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6" w:rsidRDefault="00515AD6" w:rsidP="006E46CB">
      <w:pPr>
        <w:pStyle w:val="Nadpis1"/>
        <w:rPr>
          <w:rFonts w:ascii="Times New Roman" w:hAnsi="Times New Roman"/>
          <w:sz w:val="22"/>
          <w:szCs w:val="22"/>
        </w:rPr>
      </w:pPr>
    </w:p>
    <w:p w:rsidR="003D723B" w:rsidRPr="00074698" w:rsidRDefault="003D723B" w:rsidP="003D723B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SÚHRN CHARAKTERISTICKÝCH VLASTNOSTÍ LIEKU</w:t>
      </w: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NÁZOV LIEKU</w:t>
      </w:r>
    </w:p>
    <w:p w:rsidR="003D723B" w:rsidRPr="00074698" w:rsidRDefault="003D723B" w:rsidP="001B4812">
      <w:pPr>
        <w:pStyle w:val="Nadpis3"/>
        <w:ind w:left="0"/>
        <w:jc w:val="left"/>
        <w:rPr>
          <w:rFonts w:ascii="Times New Roman" w:hAnsi="Times New Roman"/>
          <w:sz w:val="22"/>
          <w:szCs w:val="22"/>
        </w:rPr>
      </w:pPr>
    </w:p>
    <w:p w:rsidR="003D723B" w:rsidRPr="00074698" w:rsidRDefault="003D723B" w:rsidP="009542D3">
      <w:pPr>
        <w:pStyle w:val="Nadpis3"/>
        <w:ind w:left="0"/>
        <w:rPr>
          <w:rFonts w:ascii="Times New Roman" w:hAnsi="Times New Roman"/>
          <w:sz w:val="22"/>
          <w:szCs w:val="22"/>
          <w:vertAlign w:val="superscript"/>
        </w:rPr>
      </w:pPr>
      <w:proofErr w:type="spellStart"/>
      <w:r w:rsidRPr="00074698">
        <w:rPr>
          <w:rFonts w:ascii="Times New Roman" w:hAnsi="Times New Roman"/>
          <w:b w:val="0"/>
          <w:sz w:val="22"/>
          <w:szCs w:val="22"/>
        </w:rPr>
        <w:t>Xyzal</w:t>
      </w:r>
      <w:proofErr w:type="spellEnd"/>
      <w:r w:rsidRPr="00074698">
        <w:rPr>
          <w:rFonts w:ascii="Times New Roman" w:hAnsi="Times New Roman"/>
          <w:b w:val="0"/>
          <w:sz w:val="22"/>
          <w:szCs w:val="22"/>
        </w:rPr>
        <w:t xml:space="preserve"> 5</w:t>
      </w:r>
      <w:r w:rsidR="001B4812" w:rsidRPr="00074698">
        <w:rPr>
          <w:rFonts w:ascii="Times New Roman" w:hAnsi="Times New Roman"/>
          <w:b w:val="0"/>
          <w:sz w:val="22"/>
          <w:szCs w:val="22"/>
        </w:rPr>
        <w:t> </w:t>
      </w:r>
      <w:r w:rsidRPr="00074698">
        <w:rPr>
          <w:rFonts w:ascii="Times New Roman" w:hAnsi="Times New Roman"/>
          <w:b w:val="0"/>
          <w:sz w:val="22"/>
          <w:szCs w:val="22"/>
        </w:rPr>
        <w:t>mg/10</w:t>
      </w:r>
      <w:r w:rsidR="001B4812" w:rsidRPr="00074698">
        <w:rPr>
          <w:rFonts w:ascii="Times New Roman" w:hAnsi="Times New Roman"/>
          <w:b w:val="0"/>
          <w:sz w:val="22"/>
          <w:szCs w:val="22"/>
        </w:rPr>
        <w:t> </w:t>
      </w:r>
      <w:r w:rsidRPr="00074698">
        <w:rPr>
          <w:rFonts w:ascii="Times New Roman" w:hAnsi="Times New Roman"/>
          <w:b w:val="0"/>
          <w:sz w:val="22"/>
          <w:szCs w:val="22"/>
        </w:rPr>
        <w:t>ml perorálny roztok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numPr>
          <w:ilvl w:val="0"/>
          <w:numId w:val="3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KVALITATÍVNE A KVANTITATÍVNE ZLOŽENIE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1B4812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1</w:t>
      </w:r>
      <w:r w:rsidR="001B4812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ml perorálneho roztoku obsahuje 0,5</w:t>
      </w:r>
      <w:r w:rsidR="001B4812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mg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dihydrochloridu</w:t>
      </w:r>
      <w:proofErr w:type="spellEnd"/>
      <w:r w:rsidRPr="00074698">
        <w:rPr>
          <w:sz w:val="22"/>
          <w:szCs w:val="22"/>
          <w:lang w:val="sk-SK"/>
        </w:rPr>
        <w:t>.</w:t>
      </w:r>
    </w:p>
    <w:p w:rsidR="00643D0D" w:rsidRPr="00764013" w:rsidRDefault="003D723B" w:rsidP="009542D3">
      <w:pPr>
        <w:pStyle w:val="EMEAEnBodyText"/>
        <w:tabs>
          <w:tab w:val="left" w:pos="1418"/>
        </w:tabs>
        <w:autoSpaceDE w:val="0"/>
        <w:autoSpaceDN w:val="0"/>
        <w:adjustRightInd w:val="0"/>
        <w:spacing w:before="0" w:after="0"/>
        <w:rPr>
          <w:bCs/>
          <w:szCs w:val="22"/>
          <w:u w:val="single"/>
          <w:lang w:val="sk-SK"/>
        </w:rPr>
      </w:pPr>
      <w:r w:rsidRPr="00764013">
        <w:rPr>
          <w:bCs/>
          <w:szCs w:val="22"/>
          <w:u w:val="single"/>
          <w:lang w:val="sk-SK"/>
        </w:rPr>
        <w:t>Pomocné látky</w:t>
      </w:r>
      <w:r w:rsidR="00643D0D" w:rsidRPr="00764013">
        <w:rPr>
          <w:bCs/>
          <w:szCs w:val="22"/>
          <w:u w:val="single"/>
          <w:lang w:val="sk-SK"/>
        </w:rPr>
        <w:t xml:space="preserve"> so známym účinkom</w:t>
      </w:r>
      <w:r w:rsidRPr="00764013">
        <w:rPr>
          <w:bCs/>
          <w:szCs w:val="22"/>
          <w:u w:val="single"/>
          <w:lang w:val="sk-SK"/>
        </w:rPr>
        <w:t>:</w:t>
      </w:r>
    </w:p>
    <w:p w:rsidR="003D723B" w:rsidRPr="00074698" w:rsidRDefault="00643D0D" w:rsidP="009542D3">
      <w:pPr>
        <w:pStyle w:val="EMEAEnBodyText"/>
        <w:tabs>
          <w:tab w:val="left" w:pos="1418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>
        <w:rPr>
          <w:szCs w:val="22"/>
          <w:lang w:val="sk-SK"/>
        </w:rPr>
        <w:tab/>
      </w:r>
      <w:r w:rsidR="003D723B" w:rsidRPr="00074698">
        <w:rPr>
          <w:bCs/>
          <w:szCs w:val="22"/>
          <w:lang w:val="sk-SK"/>
        </w:rPr>
        <w:t>0,675</w:t>
      </w:r>
      <w:r w:rsidR="001B4812" w:rsidRPr="00074698">
        <w:rPr>
          <w:bCs/>
          <w:szCs w:val="22"/>
          <w:lang w:val="sk-SK"/>
        </w:rPr>
        <w:t> </w:t>
      </w:r>
      <w:r w:rsidR="003D723B" w:rsidRPr="00074698">
        <w:rPr>
          <w:bCs/>
          <w:szCs w:val="22"/>
          <w:lang w:val="sk-SK"/>
        </w:rPr>
        <w:t xml:space="preserve">mg </w:t>
      </w:r>
      <w:proofErr w:type="spellStart"/>
      <w:r w:rsidR="003D723B" w:rsidRPr="00074698">
        <w:rPr>
          <w:bCs/>
          <w:szCs w:val="22"/>
          <w:lang w:val="sk-SK"/>
        </w:rPr>
        <w:t>m</w:t>
      </w:r>
      <w:r w:rsidR="003D723B" w:rsidRPr="00074698">
        <w:rPr>
          <w:szCs w:val="22"/>
          <w:lang w:val="sk-SK"/>
        </w:rPr>
        <w:t>etylparabénu</w:t>
      </w:r>
      <w:proofErr w:type="spellEnd"/>
      <w:r w:rsidR="003D723B" w:rsidRPr="00074698">
        <w:rPr>
          <w:bCs/>
          <w:szCs w:val="22"/>
          <w:lang w:val="sk-SK"/>
        </w:rPr>
        <w:t>/ml</w:t>
      </w:r>
    </w:p>
    <w:p w:rsidR="003D723B" w:rsidRPr="00074698" w:rsidRDefault="003D723B" w:rsidP="009542D3">
      <w:pPr>
        <w:pStyle w:val="EMEAEnBodyText"/>
        <w:tabs>
          <w:tab w:val="left" w:pos="1418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 w:rsidRPr="00074698">
        <w:rPr>
          <w:bCs/>
          <w:szCs w:val="22"/>
          <w:lang w:val="sk-SK"/>
        </w:rPr>
        <w:tab/>
        <w:t>0,075</w:t>
      </w:r>
      <w:r w:rsidR="001B4812" w:rsidRPr="00074698">
        <w:rPr>
          <w:bCs/>
          <w:szCs w:val="22"/>
          <w:lang w:val="sk-SK"/>
        </w:rPr>
        <w:t> </w:t>
      </w:r>
      <w:r w:rsidRPr="00074698">
        <w:rPr>
          <w:bCs/>
          <w:szCs w:val="22"/>
          <w:lang w:val="sk-SK"/>
        </w:rPr>
        <w:t xml:space="preserve">mg </w:t>
      </w:r>
      <w:proofErr w:type="spellStart"/>
      <w:r w:rsidRPr="00074698">
        <w:rPr>
          <w:bCs/>
          <w:szCs w:val="22"/>
          <w:lang w:val="sk-SK"/>
        </w:rPr>
        <w:t>p</w:t>
      </w:r>
      <w:r w:rsidRPr="00074698">
        <w:rPr>
          <w:szCs w:val="22"/>
          <w:lang w:val="sk-SK"/>
        </w:rPr>
        <w:t>ropylparabénu</w:t>
      </w:r>
      <w:proofErr w:type="spellEnd"/>
      <w:r w:rsidRPr="00074698">
        <w:rPr>
          <w:bCs/>
          <w:szCs w:val="22"/>
          <w:lang w:val="sk-SK"/>
        </w:rPr>
        <w:t>/ml</w:t>
      </w:r>
    </w:p>
    <w:p w:rsidR="003D723B" w:rsidRDefault="003D723B" w:rsidP="009542D3">
      <w:pPr>
        <w:tabs>
          <w:tab w:val="left" w:pos="1418"/>
        </w:tabs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ab/>
        <w:t>0,4</w:t>
      </w:r>
      <w:r w:rsidR="001B4812" w:rsidRPr="00074698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 xml:space="preserve">g </w:t>
      </w:r>
      <w:r w:rsidR="00643D0D">
        <w:rPr>
          <w:bCs/>
          <w:sz w:val="22"/>
          <w:szCs w:val="22"/>
          <w:lang w:val="sk-SK"/>
        </w:rPr>
        <w:t xml:space="preserve">tekutého </w:t>
      </w:r>
      <w:proofErr w:type="spellStart"/>
      <w:r w:rsidRPr="00074698">
        <w:rPr>
          <w:bCs/>
          <w:sz w:val="22"/>
          <w:szCs w:val="22"/>
          <w:lang w:val="sk-SK"/>
        </w:rPr>
        <w:t>maltitolu</w:t>
      </w:r>
      <w:proofErr w:type="spellEnd"/>
      <w:r w:rsidRPr="00074698">
        <w:rPr>
          <w:bCs/>
          <w:sz w:val="22"/>
          <w:szCs w:val="22"/>
          <w:lang w:val="sk-SK"/>
        </w:rPr>
        <w:t>/ml</w:t>
      </w:r>
      <w:r w:rsidR="00BA0B50">
        <w:rPr>
          <w:bCs/>
          <w:sz w:val="22"/>
          <w:szCs w:val="22"/>
          <w:lang w:val="sk-SK"/>
        </w:rPr>
        <w:t xml:space="preserve"> </w:t>
      </w:r>
    </w:p>
    <w:p w:rsidR="007B0529" w:rsidRPr="00074698" w:rsidRDefault="007B0529" w:rsidP="009542D3">
      <w:pPr>
        <w:tabs>
          <w:tab w:val="left" w:pos="1418"/>
        </w:tabs>
        <w:rPr>
          <w:sz w:val="22"/>
          <w:szCs w:val="22"/>
          <w:lang w:val="sk-SK"/>
        </w:rPr>
      </w:pPr>
    </w:p>
    <w:p w:rsidR="003D723B" w:rsidRPr="00074698" w:rsidRDefault="003D723B" w:rsidP="009542D3">
      <w:pPr>
        <w:outlineLvl w:val="0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Úplný zoznam pomocných látok, pozri časť 6.1.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numPr>
          <w:ilvl w:val="0"/>
          <w:numId w:val="3"/>
        </w:numPr>
        <w:ind w:left="0" w:firstLine="0"/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LIEKOVÁ FORMA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Perorálny roztok</w:t>
      </w:r>
      <w:r w:rsidR="007B0529">
        <w:rPr>
          <w:sz w:val="22"/>
          <w:szCs w:val="22"/>
          <w:lang w:val="sk-SK"/>
        </w:rPr>
        <w:t>.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Čír</w:t>
      </w:r>
      <w:r w:rsidR="00643D0D">
        <w:rPr>
          <w:sz w:val="22"/>
          <w:szCs w:val="22"/>
          <w:lang w:val="sk-SK"/>
        </w:rPr>
        <w:t>y</w:t>
      </w:r>
      <w:r w:rsidRPr="00074698">
        <w:rPr>
          <w:sz w:val="22"/>
          <w:szCs w:val="22"/>
          <w:lang w:val="sk-SK"/>
        </w:rPr>
        <w:t xml:space="preserve"> a</w:t>
      </w:r>
      <w:r w:rsidR="00643D0D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bezfarebn</w:t>
      </w:r>
      <w:r w:rsidR="00643D0D">
        <w:rPr>
          <w:sz w:val="22"/>
          <w:szCs w:val="22"/>
          <w:lang w:val="sk-SK"/>
        </w:rPr>
        <w:t>ý roztok</w:t>
      </w:r>
      <w:r w:rsidR="007B0529">
        <w:rPr>
          <w:sz w:val="22"/>
          <w:szCs w:val="22"/>
          <w:lang w:val="sk-SK"/>
        </w:rPr>
        <w:t>.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numPr>
          <w:ilvl w:val="0"/>
          <w:numId w:val="3"/>
        </w:numPr>
        <w:ind w:left="0" w:firstLine="0"/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KLINICKÉ ÚDAJE</w:t>
      </w:r>
    </w:p>
    <w:p w:rsidR="003D723B" w:rsidRPr="00074698" w:rsidRDefault="003D723B" w:rsidP="009542D3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4.1</w:t>
      </w:r>
      <w:r w:rsidRPr="00074698">
        <w:rPr>
          <w:b/>
          <w:sz w:val="22"/>
          <w:szCs w:val="22"/>
          <w:lang w:val="sk-SK"/>
        </w:rPr>
        <w:tab/>
        <w:t>Terapeutické indikácie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643D0D" w:rsidP="001B4812">
      <w:pPr>
        <w:rPr>
          <w:sz w:val="22"/>
          <w:szCs w:val="22"/>
          <w:lang w:val="sk-SK"/>
        </w:rPr>
      </w:pPr>
      <w:proofErr w:type="spellStart"/>
      <w:r w:rsidRPr="00764013">
        <w:rPr>
          <w:sz w:val="22"/>
          <w:szCs w:val="22"/>
        </w:rPr>
        <w:t>Xyzal</w:t>
      </w:r>
      <w:proofErr w:type="spellEnd"/>
      <w:r w:rsidRPr="00764013">
        <w:rPr>
          <w:sz w:val="22"/>
          <w:szCs w:val="22"/>
        </w:rPr>
        <w:t xml:space="preserve"> 5 mg/10 ml </w:t>
      </w:r>
      <w:proofErr w:type="spellStart"/>
      <w:r w:rsidRPr="00764013">
        <w:rPr>
          <w:sz w:val="22"/>
          <w:szCs w:val="22"/>
        </w:rPr>
        <w:t>perorálny</w:t>
      </w:r>
      <w:proofErr w:type="spellEnd"/>
      <w:r w:rsidRPr="00764013">
        <w:rPr>
          <w:sz w:val="22"/>
          <w:szCs w:val="22"/>
        </w:rPr>
        <w:t xml:space="preserve"> roztok</w:t>
      </w:r>
      <w:r w:rsidRPr="00643D0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je indikovaný na s</w:t>
      </w:r>
      <w:r w:rsidR="003D723B" w:rsidRPr="00074698">
        <w:rPr>
          <w:sz w:val="22"/>
          <w:szCs w:val="22"/>
          <w:lang w:val="sk-SK"/>
        </w:rPr>
        <w:t>ymptomatick</w:t>
      </w:r>
      <w:r>
        <w:rPr>
          <w:sz w:val="22"/>
          <w:szCs w:val="22"/>
          <w:lang w:val="sk-SK"/>
        </w:rPr>
        <w:t>ú</w:t>
      </w:r>
      <w:r w:rsidR="003D723B" w:rsidRPr="00074698">
        <w:rPr>
          <w:sz w:val="22"/>
          <w:szCs w:val="22"/>
          <w:lang w:val="sk-SK"/>
        </w:rPr>
        <w:t xml:space="preserve"> liečb</w:t>
      </w:r>
      <w:r w:rsidR="00F574AF">
        <w:rPr>
          <w:sz w:val="22"/>
          <w:szCs w:val="22"/>
          <w:lang w:val="sk-SK"/>
        </w:rPr>
        <w:t>u</w:t>
      </w:r>
      <w:r w:rsidR="003D723B" w:rsidRPr="00074698">
        <w:rPr>
          <w:sz w:val="22"/>
          <w:szCs w:val="22"/>
          <w:lang w:val="sk-SK"/>
        </w:rPr>
        <w:t xml:space="preserve"> alergickej nádchy (vrátane perzistujúcej alergickej nádchy) a</w:t>
      </w:r>
      <w:r w:rsidR="00F574AF">
        <w:rPr>
          <w:sz w:val="22"/>
          <w:szCs w:val="22"/>
          <w:lang w:val="sk-SK"/>
        </w:rPr>
        <w:t> </w:t>
      </w:r>
      <w:proofErr w:type="spellStart"/>
      <w:r w:rsidR="003D723B" w:rsidRPr="00074698">
        <w:rPr>
          <w:sz w:val="22"/>
          <w:szCs w:val="22"/>
          <w:lang w:val="sk-SK"/>
        </w:rPr>
        <w:t>urtikárie</w:t>
      </w:r>
      <w:proofErr w:type="spellEnd"/>
      <w:r w:rsidR="00F574AF">
        <w:rPr>
          <w:sz w:val="22"/>
          <w:szCs w:val="22"/>
          <w:lang w:val="sk-SK"/>
        </w:rPr>
        <w:t> </w:t>
      </w:r>
      <w:r w:rsidR="00EA57E7">
        <w:rPr>
          <w:sz w:val="22"/>
          <w:szCs w:val="22"/>
          <w:lang w:val="sk-SK"/>
        </w:rPr>
        <w:t xml:space="preserve">dospelým </w:t>
      </w:r>
      <w:r w:rsidR="00F574AF">
        <w:rPr>
          <w:sz w:val="22"/>
          <w:szCs w:val="22"/>
          <w:lang w:val="sk-SK"/>
        </w:rPr>
        <w:t>a</w:t>
      </w:r>
      <w:r w:rsidR="00EA57E7">
        <w:rPr>
          <w:sz w:val="22"/>
          <w:szCs w:val="22"/>
          <w:lang w:val="sk-SK"/>
        </w:rPr>
        <w:t xml:space="preserve"> deťom </w:t>
      </w:r>
      <w:r w:rsidR="00F574AF">
        <w:rPr>
          <w:sz w:val="22"/>
          <w:szCs w:val="22"/>
          <w:lang w:val="sk-SK"/>
        </w:rPr>
        <w:t>vo veku od 2 rokov</w:t>
      </w:r>
      <w:r w:rsidR="003D723B" w:rsidRPr="00074698">
        <w:rPr>
          <w:sz w:val="22"/>
          <w:szCs w:val="22"/>
          <w:lang w:val="sk-SK"/>
        </w:rPr>
        <w:t>.</w:t>
      </w:r>
    </w:p>
    <w:p w:rsidR="00B215B1" w:rsidRPr="00074698" w:rsidRDefault="00B215B1" w:rsidP="009542D3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4.2</w:t>
      </w:r>
      <w:r w:rsidRPr="00074698">
        <w:rPr>
          <w:b/>
          <w:sz w:val="22"/>
          <w:szCs w:val="22"/>
          <w:lang w:val="sk-SK"/>
        </w:rPr>
        <w:tab/>
        <w:t>Dávkovanie a spôsob podávania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764013" w:rsidRDefault="00F574AF" w:rsidP="009542D3">
      <w:pPr>
        <w:jc w:val="both"/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Dávkovanie</w:t>
      </w:r>
    </w:p>
    <w:p w:rsidR="003D723B" w:rsidRPr="00074698" w:rsidRDefault="003D723B" w:rsidP="001B4812">
      <w:pPr>
        <w:pStyle w:val="Nadpis2"/>
        <w:ind w:left="0"/>
        <w:jc w:val="left"/>
        <w:rPr>
          <w:rFonts w:ascii="Times New Roman" w:hAnsi="Times New Roman"/>
          <w:sz w:val="22"/>
          <w:szCs w:val="22"/>
          <w:u w:val="none"/>
        </w:rPr>
      </w:pPr>
      <w:r w:rsidRPr="00074698">
        <w:rPr>
          <w:rFonts w:ascii="Times New Roman" w:hAnsi="Times New Roman"/>
          <w:sz w:val="22"/>
          <w:szCs w:val="22"/>
          <w:u w:val="none"/>
        </w:rPr>
        <w:t>Dospelí a </w:t>
      </w:r>
      <w:r w:rsidR="005725A0" w:rsidRPr="00074698">
        <w:rPr>
          <w:rFonts w:ascii="Times New Roman" w:hAnsi="Times New Roman"/>
          <w:sz w:val="22"/>
          <w:szCs w:val="22"/>
          <w:u w:val="none"/>
        </w:rPr>
        <w:t xml:space="preserve">dospievajúci </w:t>
      </w:r>
      <w:r w:rsidRPr="00074698">
        <w:rPr>
          <w:rFonts w:ascii="Times New Roman" w:hAnsi="Times New Roman"/>
          <w:sz w:val="22"/>
          <w:szCs w:val="22"/>
          <w:u w:val="none"/>
        </w:rPr>
        <w:t>od 12</w:t>
      </w:r>
      <w:r w:rsidR="00F574AF">
        <w:rPr>
          <w:rFonts w:ascii="Times New Roman" w:hAnsi="Times New Roman"/>
          <w:sz w:val="22"/>
          <w:szCs w:val="22"/>
          <w:u w:val="none"/>
        </w:rPr>
        <w:t> </w:t>
      </w:r>
      <w:r w:rsidRPr="00074698">
        <w:rPr>
          <w:rFonts w:ascii="Times New Roman" w:hAnsi="Times New Roman"/>
          <w:sz w:val="22"/>
          <w:szCs w:val="22"/>
          <w:u w:val="none"/>
        </w:rPr>
        <w:t>rokov: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Odporúčaná denná dávka je 5</w:t>
      </w:r>
      <w:r w:rsidR="001B4812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mg (10</w:t>
      </w:r>
      <w:r w:rsidR="001B4812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ml roztoku).</w:t>
      </w:r>
      <w:r w:rsidR="00332578">
        <w:rPr>
          <w:sz w:val="22"/>
          <w:szCs w:val="22"/>
          <w:lang w:val="sk-SK"/>
        </w:rPr>
        <w:t xml:space="preserve"> 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764013" w:rsidRDefault="003D723B" w:rsidP="009542D3">
      <w:pPr>
        <w:pStyle w:val="Nadpis2"/>
        <w:ind w:left="0"/>
        <w:rPr>
          <w:rFonts w:ascii="Times New Roman" w:hAnsi="Times New Roman"/>
          <w:i/>
          <w:sz w:val="22"/>
          <w:szCs w:val="22"/>
          <w:u w:val="none"/>
        </w:rPr>
      </w:pPr>
      <w:r w:rsidRPr="00764013">
        <w:rPr>
          <w:rFonts w:ascii="Times New Roman" w:hAnsi="Times New Roman"/>
          <w:i/>
          <w:sz w:val="22"/>
          <w:szCs w:val="22"/>
          <w:u w:val="none"/>
        </w:rPr>
        <w:t>Starší pacienti</w:t>
      </w:r>
    </w:p>
    <w:p w:rsidR="003D723B" w:rsidRPr="00074698" w:rsidRDefault="003D723B" w:rsidP="001B4812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U starších pacientov so stredne </w:t>
      </w:r>
      <w:r w:rsidR="00EA57E7">
        <w:rPr>
          <w:sz w:val="22"/>
          <w:szCs w:val="22"/>
          <w:lang w:val="sk-SK"/>
        </w:rPr>
        <w:t>ťažkou</w:t>
      </w:r>
      <w:r w:rsidR="00EA57E7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až </w:t>
      </w:r>
      <w:r w:rsidR="00EA57E7">
        <w:rPr>
          <w:sz w:val="22"/>
          <w:szCs w:val="22"/>
          <w:lang w:val="sk-SK"/>
        </w:rPr>
        <w:t>ťažkou</w:t>
      </w:r>
      <w:r w:rsidR="00EA57E7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po</w:t>
      </w:r>
      <w:r w:rsidR="00332578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funkcie obličiek sa odporúča úprava dávky (pozri nižšie P</w:t>
      </w:r>
      <w:r w:rsidR="00BA4682">
        <w:rPr>
          <w:sz w:val="22"/>
          <w:szCs w:val="22"/>
          <w:lang w:val="sk-SK"/>
        </w:rPr>
        <w:t xml:space="preserve">orucha </w:t>
      </w:r>
      <w:r w:rsidRPr="00074698">
        <w:rPr>
          <w:sz w:val="22"/>
          <w:szCs w:val="22"/>
          <w:lang w:val="sk-SK"/>
        </w:rPr>
        <w:t>funkcie obličiek).</w:t>
      </w:r>
    </w:p>
    <w:p w:rsidR="003D723B" w:rsidRPr="00074698" w:rsidRDefault="003D723B" w:rsidP="001B4812">
      <w:pPr>
        <w:rPr>
          <w:sz w:val="22"/>
          <w:szCs w:val="22"/>
          <w:lang w:val="sk-SK"/>
        </w:rPr>
      </w:pPr>
    </w:p>
    <w:p w:rsidR="003D723B" w:rsidRPr="00764013" w:rsidRDefault="002C5714" w:rsidP="001B4812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D723B" w:rsidRPr="00764013">
        <w:rPr>
          <w:i/>
          <w:sz w:val="22"/>
          <w:szCs w:val="22"/>
          <w:lang w:val="sk-SK"/>
        </w:rPr>
        <w:t>o</w:t>
      </w:r>
      <w:r w:rsidR="00332578">
        <w:rPr>
          <w:i/>
          <w:sz w:val="22"/>
          <w:szCs w:val="22"/>
          <w:lang w:val="sk-SK"/>
        </w:rPr>
        <w:t>ruch</w:t>
      </w:r>
      <w:r>
        <w:rPr>
          <w:i/>
          <w:sz w:val="22"/>
          <w:szCs w:val="22"/>
          <w:lang w:val="sk-SK"/>
        </w:rPr>
        <w:t>a</w:t>
      </w:r>
      <w:r w:rsidR="003D723B" w:rsidRPr="00764013">
        <w:rPr>
          <w:i/>
          <w:sz w:val="22"/>
          <w:szCs w:val="22"/>
          <w:lang w:val="sk-SK"/>
        </w:rPr>
        <w:t xml:space="preserve"> funkcie obličiek</w:t>
      </w:r>
    </w:p>
    <w:p w:rsidR="003D723B" w:rsidRPr="00074698" w:rsidRDefault="003D723B" w:rsidP="001B4812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Intervaly </w:t>
      </w:r>
      <w:r w:rsidR="001B4812" w:rsidRPr="00074698">
        <w:rPr>
          <w:sz w:val="22"/>
          <w:szCs w:val="22"/>
          <w:lang w:val="sk-SK"/>
        </w:rPr>
        <w:t xml:space="preserve">dávkovania </w:t>
      </w:r>
      <w:r w:rsidRPr="00074698">
        <w:rPr>
          <w:sz w:val="22"/>
          <w:szCs w:val="22"/>
          <w:lang w:val="sk-SK"/>
        </w:rPr>
        <w:t xml:space="preserve">sa musia prispôsobiť individuálne podľa funkcie obličiek. Úpravu dávkovania možno určiť pomocou nasledovnej tabuľky. Na použitie tejto dávkovacej tabuľky je potrebné stanovenie </w:t>
      </w:r>
      <w:proofErr w:type="spellStart"/>
      <w:r w:rsidRPr="00074698">
        <w:rPr>
          <w:sz w:val="22"/>
          <w:szCs w:val="22"/>
          <w:lang w:val="sk-SK"/>
        </w:rPr>
        <w:t>klírensu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kreatinínu</w:t>
      </w:r>
      <w:proofErr w:type="spellEnd"/>
      <w:r w:rsidRPr="00074698">
        <w:rPr>
          <w:sz w:val="22"/>
          <w:szCs w:val="22"/>
          <w:lang w:val="sk-SK"/>
        </w:rPr>
        <w:t xml:space="preserve"> pacienta (</w:t>
      </w:r>
      <w:proofErr w:type="spellStart"/>
      <w:r w:rsidRPr="00074698">
        <w:rPr>
          <w:sz w:val="22"/>
          <w:szCs w:val="22"/>
          <w:lang w:val="sk-SK"/>
        </w:rPr>
        <w:t>CL</w:t>
      </w:r>
      <w:r w:rsidRPr="00074698">
        <w:rPr>
          <w:sz w:val="22"/>
          <w:szCs w:val="22"/>
          <w:vertAlign w:val="subscript"/>
          <w:lang w:val="sk-SK"/>
        </w:rPr>
        <w:t>cr</w:t>
      </w:r>
      <w:proofErr w:type="spellEnd"/>
      <w:r w:rsidRPr="00074698">
        <w:rPr>
          <w:sz w:val="22"/>
          <w:szCs w:val="22"/>
          <w:lang w:val="sk-SK"/>
        </w:rPr>
        <w:t xml:space="preserve">) v ml/min. </w:t>
      </w:r>
      <w:proofErr w:type="spellStart"/>
      <w:r w:rsidRPr="00074698">
        <w:rPr>
          <w:sz w:val="22"/>
          <w:szCs w:val="22"/>
          <w:lang w:val="sk-SK"/>
        </w:rPr>
        <w:t>CL</w:t>
      </w:r>
      <w:r w:rsidRPr="00074698">
        <w:rPr>
          <w:sz w:val="22"/>
          <w:szCs w:val="22"/>
          <w:vertAlign w:val="subscript"/>
          <w:lang w:val="sk-SK"/>
        </w:rPr>
        <w:t>cr</w:t>
      </w:r>
      <w:proofErr w:type="spellEnd"/>
      <w:r w:rsidRPr="00074698">
        <w:rPr>
          <w:sz w:val="22"/>
          <w:szCs w:val="22"/>
          <w:lang w:val="sk-SK"/>
        </w:rPr>
        <w:t xml:space="preserve"> (ml/min) možno vypočítať na základe hodnoty sérového </w:t>
      </w:r>
      <w:proofErr w:type="spellStart"/>
      <w:r w:rsidRPr="00074698">
        <w:rPr>
          <w:sz w:val="22"/>
          <w:szCs w:val="22"/>
          <w:lang w:val="sk-SK"/>
        </w:rPr>
        <w:t>kreatinínu</w:t>
      </w:r>
      <w:proofErr w:type="spellEnd"/>
      <w:r w:rsidRPr="00074698">
        <w:rPr>
          <w:sz w:val="22"/>
          <w:szCs w:val="22"/>
          <w:lang w:val="sk-SK"/>
        </w:rPr>
        <w:t xml:space="preserve"> (mg/dl) pomocou nasledovného vzorca:</w:t>
      </w: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2127"/>
        </w:tabs>
        <w:jc w:val="both"/>
        <w:rPr>
          <w:i/>
          <w:iCs/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r w:rsidRPr="00074698">
        <w:rPr>
          <w:i/>
          <w:iCs/>
          <w:sz w:val="22"/>
          <w:szCs w:val="22"/>
          <w:lang w:val="sk-SK"/>
        </w:rPr>
        <w:t>[140 - vek (roky)] x hmotnosť (kg)</w:t>
      </w:r>
    </w:p>
    <w:p w:rsidR="003D723B" w:rsidRPr="00074698" w:rsidRDefault="003D723B" w:rsidP="003D723B">
      <w:pPr>
        <w:rPr>
          <w:i/>
          <w:iCs/>
          <w:sz w:val="22"/>
          <w:szCs w:val="22"/>
          <w:lang w:val="sk-SK"/>
        </w:rPr>
      </w:pPr>
      <w:r w:rsidRPr="00074698">
        <w:rPr>
          <w:i/>
          <w:iCs/>
          <w:sz w:val="22"/>
          <w:szCs w:val="22"/>
          <w:lang w:val="sk-SK"/>
        </w:rPr>
        <w:t xml:space="preserve">               </w:t>
      </w:r>
      <w:proofErr w:type="spellStart"/>
      <w:r w:rsidRPr="00074698">
        <w:rPr>
          <w:sz w:val="22"/>
          <w:szCs w:val="22"/>
          <w:lang w:val="sk-SK"/>
        </w:rPr>
        <w:t>CL</w:t>
      </w:r>
      <w:r w:rsidRPr="00074698">
        <w:rPr>
          <w:sz w:val="22"/>
          <w:szCs w:val="22"/>
          <w:vertAlign w:val="subscript"/>
          <w:lang w:val="sk-SK"/>
        </w:rPr>
        <w:t>cr</w:t>
      </w:r>
      <w:proofErr w:type="spellEnd"/>
      <w:r w:rsidRPr="00074698">
        <w:rPr>
          <w:sz w:val="22"/>
          <w:szCs w:val="22"/>
          <w:vertAlign w:val="subscript"/>
          <w:lang w:val="sk-SK"/>
        </w:rPr>
        <w:t xml:space="preserve">  </w:t>
      </w:r>
      <w:r w:rsidRPr="00074698">
        <w:rPr>
          <w:sz w:val="22"/>
          <w:szCs w:val="22"/>
          <w:lang w:val="sk-SK"/>
        </w:rPr>
        <w:t>=            ___________________________</w:t>
      </w:r>
      <w:r w:rsidR="0099118A" w:rsidRPr="00074698">
        <w:rPr>
          <w:sz w:val="22"/>
          <w:szCs w:val="22"/>
          <w:lang w:val="sk-SK"/>
        </w:rPr>
        <w:t>___</w:t>
      </w:r>
      <w:r w:rsidRPr="00074698">
        <w:rPr>
          <w:i/>
          <w:iCs/>
          <w:sz w:val="22"/>
          <w:szCs w:val="22"/>
          <w:lang w:val="sk-SK"/>
        </w:rPr>
        <w:t xml:space="preserve"> </w:t>
      </w:r>
      <w:r w:rsidR="0099118A" w:rsidRPr="00074698">
        <w:rPr>
          <w:i/>
          <w:iCs/>
          <w:sz w:val="22"/>
          <w:szCs w:val="22"/>
          <w:lang w:val="sk-SK"/>
        </w:rPr>
        <w:t xml:space="preserve"> (</w:t>
      </w:r>
      <w:r w:rsidRPr="00074698">
        <w:rPr>
          <w:i/>
          <w:iCs/>
          <w:sz w:val="22"/>
          <w:szCs w:val="22"/>
          <w:lang w:val="sk-SK"/>
        </w:rPr>
        <w:t>x 0,85 pre ženy)</w:t>
      </w:r>
    </w:p>
    <w:p w:rsidR="003D723B" w:rsidRPr="00074698" w:rsidRDefault="003D723B" w:rsidP="003D723B">
      <w:pPr>
        <w:tabs>
          <w:tab w:val="left" w:pos="2268"/>
        </w:tabs>
        <w:rPr>
          <w:sz w:val="22"/>
          <w:szCs w:val="22"/>
          <w:lang w:val="sk-SK"/>
        </w:rPr>
      </w:pPr>
      <w:r w:rsidRPr="00074698">
        <w:rPr>
          <w:i/>
          <w:iCs/>
          <w:sz w:val="22"/>
          <w:szCs w:val="22"/>
          <w:lang w:val="sk-SK"/>
        </w:rPr>
        <w:tab/>
        <w:t xml:space="preserve"> 72 x </w:t>
      </w:r>
      <w:proofErr w:type="spellStart"/>
      <w:r w:rsidRPr="00074698">
        <w:rPr>
          <w:i/>
          <w:iCs/>
          <w:sz w:val="22"/>
          <w:szCs w:val="22"/>
          <w:lang w:val="sk-SK"/>
        </w:rPr>
        <w:t>kreatinín</w:t>
      </w:r>
      <w:proofErr w:type="spellEnd"/>
      <w:r w:rsidRPr="00074698">
        <w:rPr>
          <w:i/>
          <w:iCs/>
          <w:sz w:val="22"/>
          <w:szCs w:val="22"/>
          <w:lang w:val="sk-SK"/>
        </w:rPr>
        <w:t xml:space="preserve"> v sére (mg/dl)</w:t>
      </w:r>
      <w:r w:rsidRPr="00074698">
        <w:rPr>
          <w:sz w:val="22"/>
          <w:szCs w:val="22"/>
          <w:lang w:val="sk-SK"/>
        </w:rPr>
        <w:t xml:space="preserve">  </w:t>
      </w: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</w:p>
    <w:p w:rsidR="00742318" w:rsidRDefault="00742318" w:rsidP="003D723B">
      <w:pPr>
        <w:jc w:val="both"/>
        <w:rPr>
          <w:sz w:val="22"/>
          <w:szCs w:val="22"/>
          <w:lang w:val="sk-SK"/>
        </w:rPr>
      </w:pPr>
    </w:p>
    <w:p w:rsidR="00742318" w:rsidRDefault="00742318" w:rsidP="003D723B">
      <w:pPr>
        <w:jc w:val="both"/>
        <w:rPr>
          <w:sz w:val="22"/>
          <w:szCs w:val="22"/>
          <w:lang w:val="sk-SK"/>
        </w:rPr>
      </w:pPr>
    </w:p>
    <w:p w:rsidR="00742318" w:rsidRDefault="00742318" w:rsidP="003D723B">
      <w:pPr>
        <w:jc w:val="both"/>
        <w:rPr>
          <w:sz w:val="22"/>
          <w:szCs w:val="22"/>
          <w:lang w:val="sk-SK"/>
        </w:rPr>
      </w:pPr>
    </w:p>
    <w:p w:rsidR="003D723B" w:rsidRDefault="003D723B" w:rsidP="003D723B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Úprava dávkovania u pacientov s po</w:t>
      </w:r>
      <w:r w:rsidR="00332578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funkcie obličiek:</w:t>
      </w:r>
    </w:p>
    <w:p w:rsidR="00A24CD2" w:rsidRDefault="00A24CD2" w:rsidP="009F7266">
      <w:pPr>
        <w:jc w:val="both"/>
        <w:rPr>
          <w:sz w:val="22"/>
          <w:szCs w:val="22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</w:tblGrid>
      <w:tr w:rsidR="00A24CD2" w:rsidTr="00A24CD2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D2" w:rsidRDefault="00A24CD2">
            <w:pPr>
              <w:tabs>
                <w:tab w:val="left" w:pos="2198"/>
                <w:tab w:val="left" w:pos="5175"/>
              </w:tabs>
              <w:ind w:left="-779" w:firstLine="709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Skupina                                   </w:t>
            </w:r>
            <w:proofErr w:type="spellStart"/>
            <w:r>
              <w:rPr>
                <w:sz w:val="22"/>
                <w:szCs w:val="22"/>
                <w:lang w:val="sk-SK"/>
              </w:rPr>
              <w:t>Klírens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kreatinínu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(ml/min)          Dávka a frekvencia</w:t>
            </w:r>
          </w:p>
        </w:tc>
      </w:tr>
    </w:tbl>
    <w:p w:rsidR="00A24CD2" w:rsidRDefault="00A24CD2" w:rsidP="00A24CD2">
      <w:pPr>
        <w:jc w:val="both"/>
        <w:rPr>
          <w:vanish/>
          <w:sz w:val="22"/>
          <w:szCs w:val="22"/>
          <w:lang w:val="sk-SK"/>
        </w:rPr>
      </w:pP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Normálna funkcia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≥  80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</w:t>
      </w:r>
      <w:r w:rsidRPr="007B4F7C">
        <w:rPr>
          <w:sz w:val="22"/>
          <w:szCs w:val="22"/>
          <w:lang w:val="sk-SK"/>
        </w:rPr>
        <w:t>5 mg raz denne</w:t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Ľahká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50 - 79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</w:t>
      </w:r>
      <w:r w:rsidRPr="007B4F7C">
        <w:rPr>
          <w:sz w:val="22"/>
          <w:szCs w:val="22"/>
          <w:lang w:val="sk-SK"/>
        </w:rPr>
        <w:t>5 mg raz denne</w:t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Stredne ťažká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30 - 49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</w:t>
      </w:r>
      <w:r w:rsidRPr="007B4F7C">
        <w:rPr>
          <w:sz w:val="22"/>
          <w:szCs w:val="22"/>
          <w:lang w:val="sk-SK"/>
        </w:rPr>
        <w:t>5 mg každé 2 dni</w:t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Ťažká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&lt;  30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</w:t>
      </w:r>
      <w:r w:rsidRPr="007B4F7C">
        <w:rPr>
          <w:sz w:val="22"/>
          <w:szCs w:val="22"/>
          <w:lang w:val="sk-SK"/>
        </w:rPr>
        <w:t>5 mg každé 3 dni</w:t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Konečné štádium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&lt;  10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kontraindikované</w:t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ochorenia obličiek -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na dialýze</w:t>
      </w:r>
    </w:p>
    <w:p w:rsidR="00A24CD2" w:rsidRDefault="00A24CD2" w:rsidP="00A24CD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_____________________________________________________________________________</w:t>
      </w:r>
    </w:p>
    <w:p w:rsidR="003D723B" w:rsidRPr="00074698" w:rsidRDefault="009F7266" w:rsidP="009F726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                                                                                  </w:t>
      </w:r>
    </w:p>
    <w:p w:rsidR="003D723B" w:rsidRPr="00074698" w:rsidRDefault="008C29BF" w:rsidP="00221A8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</w:t>
      </w:r>
      <w:r w:rsidR="000E5A13" w:rsidRPr="00074698">
        <w:rPr>
          <w:sz w:val="22"/>
          <w:szCs w:val="22"/>
          <w:lang w:val="sk-SK"/>
        </w:rPr>
        <w:t>ediatrick</w:t>
      </w:r>
      <w:r>
        <w:rPr>
          <w:sz w:val="22"/>
          <w:szCs w:val="22"/>
          <w:lang w:val="sk-SK"/>
        </w:rPr>
        <w:t>ých</w:t>
      </w:r>
      <w:r w:rsidR="000E5A13" w:rsidRPr="00074698">
        <w:rPr>
          <w:sz w:val="22"/>
          <w:szCs w:val="22"/>
          <w:lang w:val="sk-SK"/>
        </w:rPr>
        <w:t xml:space="preserve"> pacient</w:t>
      </w:r>
      <w:r>
        <w:rPr>
          <w:sz w:val="22"/>
          <w:szCs w:val="22"/>
          <w:lang w:val="sk-SK"/>
        </w:rPr>
        <w:t>ov</w:t>
      </w:r>
      <w:r w:rsidR="000E5A13" w:rsidRPr="00074698">
        <w:rPr>
          <w:sz w:val="22"/>
          <w:szCs w:val="22"/>
          <w:lang w:val="sk-SK"/>
        </w:rPr>
        <w:t xml:space="preserve"> </w:t>
      </w:r>
      <w:r w:rsidR="00221A84">
        <w:rPr>
          <w:sz w:val="22"/>
          <w:szCs w:val="22"/>
          <w:lang w:val="sk-SK"/>
        </w:rPr>
        <w:t xml:space="preserve">s </w:t>
      </w:r>
      <w:r w:rsidR="003D723B" w:rsidRPr="00074698">
        <w:rPr>
          <w:sz w:val="22"/>
          <w:szCs w:val="22"/>
          <w:lang w:val="sk-SK"/>
        </w:rPr>
        <w:t>po</w:t>
      </w:r>
      <w:r w:rsidR="00332578">
        <w:rPr>
          <w:sz w:val="22"/>
          <w:szCs w:val="22"/>
          <w:lang w:val="sk-SK"/>
        </w:rPr>
        <w:t>ruchou</w:t>
      </w:r>
      <w:r w:rsidR="003D723B" w:rsidRPr="00074698">
        <w:rPr>
          <w:sz w:val="22"/>
          <w:szCs w:val="22"/>
          <w:lang w:val="sk-SK"/>
        </w:rPr>
        <w:t xml:space="preserve"> funkcie obličiek</w:t>
      </w:r>
      <w:r>
        <w:rPr>
          <w:sz w:val="22"/>
          <w:szCs w:val="22"/>
          <w:lang w:val="sk-SK"/>
        </w:rPr>
        <w:t xml:space="preserve"> sa d</w:t>
      </w:r>
      <w:r w:rsidR="003D723B" w:rsidRPr="00074698">
        <w:rPr>
          <w:sz w:val="22"/>
          <w:szCs w:val="22"/>
          <w:lang w:val="sk-SK"/>
        </w:rPr>
        <w:t>ávka</w:t>
      </w:r>
      <w:r w:rsidR="000E5A13" w:rsidRPr="00074698">
        <w:rPr>
          <w:sz w:val="22"/>
          <w:szCs w:val="22"/>
          <w:lang w:val="sk-SK"/>
        </w:rPr>
        <w:t xml:space="preserve"> </w:t>
      </w:r>
      <w:r w:rsidR="004C776F" w:rsidRPr="00074698">
        <w:rPr>
          <w:sz w:val="22"/>
          <w:szCs w:val="22"/>
          <w:lang w:val="sk-SK"/>
        </w:rPr>
        <w:t xml:space="preserve">musí </w:t>
      </w:r>
      <w:r w:rsidR="003D723B" w:rsidRPr="00074698">
        <w:rPr>
          <w:sz w:val="22"/>
          <w:szCs w:val="22"/>
          <w:lang w:val="sk-SK"/>
        </w:rPr>
        <w:t xml:space="preserve">upraviť individuálne </w:t>
      </w:r>
      <w:r w:rsidR="00221A84">
        <w:rPr>
          <w:sz w:val="22"/>
          <w:szCs w:val="22"/>
          <w:lang w:val="sk-SK"/>
        </w:rPr>
        <w:t>s ohľadom</w:t>
      </w:r>
      <w:r w:rsidR="00221A84" w:rsidRPr="00074698">
        <w:rPr>
          <w:sz w:val="22"/>
          <w:szCs w:val="22"/>
          <w:lang w:val="sk-SK"/>
        </w:rPr>
        <w:t xml:space="preserve"> </w:t>
      </w:r>
      <w:r w:rsidR="00221A84">
        <w:rPr>
          <w:sz w:val="22"/>
          <w:szCs w:val="22"/>
          <w:lang w:val="sk-SK"/>
        </w:rPr>
        <w:t>na</w:t>
      </w:r>
      <w:r w:rsidR="00221A84" w:rsidRPr="00074698">
        <w:rPr>
          <w:sz w:val="22"/>
          <w:szCs w:val="22"/>
          <w:lang w:val="sk-SK"/>
        </w:rPr>
        <w:t xml:space="preserve"> </w:t>
      </w:r>
      <w:proofErr w:type="spellStart"/>
      <w:r w:rsidR="003D723B" w:rsidRPr="00074698">
        <w:rPr>
          <w:sz w:val="22"/>
          <w:szCs w:val="22"/>
          <w:lang w:val="sk-SK"/>
        </w:rPr>
        <w:t>renáln</w:t>
      </w:r>
      <w:r w:rsidR="00221A84">
        <w:rPr>
          <w:sz w:val="22"/>
          <w:szCs w:val="22"/>
          <w:lang w:val="sk-SK"/>
        </w:rPr>
        <w:t>y</w:t>
      </w:r>
      <w:proofErr w:type="spellEnd"/>
      <w:r w:rsidR="003D723B" w:rsidRPr="00074698">
        <w:rPr>
          <w:sz w:val="22"/>
          <w:szCs w:val="22"/>
          <w:lang w:val="sk-SK"/>
        </w:rPr>
        <w:t xml:space="preserve"> </w:t>
      </w:r>
      <w:proofErr w:type="spellStart"/>
      <w:r w:rsidR="003D723B" w:rsidRPr="00074698">
        <w:rPr>
          <w:sz w:val="22"/>
          <w:szCs w:val="22"/>
          <w:lang w:val="sk-SK"/>
        </w:rPr>
        <w:t>klírens</w:t>
      </w:r>
      <w:proofErr w:type="spellEnd"/>
      <w:r w:rsidR="003D723B" w:rsidRPr="00074698">
        <w:rPr>
          <w:sz w:val="22"/>
          <w:szCs w:val="22"/>
          <w:lang w:val="sk-SK"/>
        </w:rPr>
        <w:t xml:space="preserve"> pacienta a jeho telesn</w:t>
      </w:r>
      <w:r w:rsidR="00221A84">
        <w:rPr>
          <w:sz w:val="22"/>
          <w:szCs w:val="22"/>
          <w:lang w:val="sk-SK"/>
        </w:rPr>
        <w:t>ú</w:t>
      </w:r>
      <w:r w:rsidR="003D723B" w:rsidRPr="00074698">
        <w:rPr>
          <w:sz w:val="22"/>
          <w:szCs w:val="22"/>
          <w:lang w:val="sk-SK"/>
        </w:rPr>
        <w:t xml:space="preserve"> hmotnos</w:t>
      </w:r>
      <w:r w:rsidR="00221A84">
        <w:rPr>
          <w:sz w:val="22"/>
          <w:szCs w:val="22"/>
          <w:lang w:val="sk-SK"/>
        </w:rPr>
        <w:t>ť</w:t>
      </w:r>
      <w:r w:rsidR="003D723B" w:rsidRPr="00074698">
        <w:rPr>
          <w:sz w:val="22"/>
          <w:szCs w:val="22"/>
          <w:lang w:val="sk-SK"/>
        </w:rPr>
        <w:t>. U detí s po</w:t>
      </w:r>
      <w:r w:rsidR="00332578">
        <w:rPr>
          <w:sz w:val="22"/>
          <w:szCs w:val="22"/>
          <w:lang w:val="sk-SK"/>
        </w:rPr>
        <w:t>ruchou</w:t>
      </w:r>
      <w:r w:rsidR="003D723B" w:rsidRPr="00074698">
        <w:rPr>
          <w:sz w:val="22"/>
          <w:szCs w:val="22"/>
          <w:lang w:val="sk-SK"/>
        </w:rPr>
        <w:t xml:space="preserve"> funkcie obličiek nie sú žiadne špecifické údaje.</w:t>
      </w: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</w:p>
    <w:p w:rsidR="003D723B" w:rsidRPr="00764013" w:rsidRDefault="00BA4682" w:rsidP="003D723B">
      <w:pPr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D723B" w:rsidRPr="00764013">
        <w:rPr>
          <w:i/>
          <w:sz w:val="22"/>
          <w:szCs w:val="22"/>
          <w:lang w:val="sk-SK"/>
        </w:rPr>
        <w:t>o</w:t>
      </w:r>
      <w:r w:rsidR="00332578">
        <w:rPr>
          <w:i/>
          <w:sz w:val="22"/>
          <w:szCs w:val="22"/>
          <w:lang w:val="sk-SK"/>
        </w:rPr>
        <w:t>ruch</w:t>
      </w:r>
      <w:r>
        <w:rPr>
          <w:i/>
          <w:sz w:val="22"/>
          <w:szCs w:val="22"/>
          <w:lang w:val="sk-SK"/>
        </w:rPr>
        <w:t>a</w:t>
      </w:r>
      <w:r w:rsidR="003D723B" w:rsidRPr="00764013">
        <w:rPr>
          <w:i/>
          <w:sz w:val="22"/>
          <w:szCs w:val="22"/>
          <w:lang w:val="sk-SK"/>
        </w:rPr>
        <w:t xml:space="preserve"> funkcie pečene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U</w:t>
      </w:r>
      <w:r w:rsidR="00636E13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pacientov</w:t>
      </w:r>
      <w:r w:rsidR="00636E13" w:rsidRPr="00074698">
        <w:rPr>
          <w:sz w:val="22"/>
          <w:szCs w:val="22"/>
          <w:lang w:val="sk-SK"/>
        </w:rPr>
        <w:t xml:space="preserve"> len</w:t>
      </w:r>
      <w:r w:rsidRPr="00074698">
        <w:rPr>
          <w:sz w:val="22"/>
          <w:szCs w:val="22"/>
          <w:lang w:val="sk-SK"/>
        </w:rPr>
        <w:t xml:space="preserve"> s po</w:t>
      </w:r>
      <w:r w:rsidR="00332578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funkcie pečene nie je potrebná žiadna úprava dávkovania. U pacientov s po</w:t>
      </w:r>
      <w:r w:rsidR="00332578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funkcie pečene a po</w:t>
      </w:r>
      <w:r w:rsidR="00332578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funkcie obličiek sa odporúča úprava dávky (pozri vyššie Po</w:t>
      </w:r>
      <w:r w:rsidR="00332578">
        <w:rPr>
          <w:sz w:val="22"/>
          <w:szCs w:val="22"/>
          <w:lang w:val="sk-SK"/>
        </w:rPr>
        <w:t>ruch</w:t>
      </w:r>
      <w:r w:rsidR="00BA4682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 xml:space="preserve"> funkcie obličiek).</w:t>
      </w:r>
    </w:p>
    <w:p w:rsidR="008C29BF" w:rsidRPr="00074698" w:rsidRDefault="008C29BF" w:rsidP="008C29BF">
      <w:pPr>
        <w:jc w:val="both"/>
        <w:rPr>
          <w:sz w:val="22"/>
          <w:szCs w:val="22"/>
          <w:lang w:val="sk-SK"/>
        </w:rPr>
      </w:pPr>
    </w:p>
    <w:p w:rsidR="008C29BF" w:rsidRPr="00764013" w:rsidRDefault="008C29BF" w:rsidP="008C29BF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>Pediatrická populácia</w:t>
      </w:r>
    </w:p>
    <w:p w:rsidR="008C29BF" w:rsidRPr="00074698" w:rsidRDefault="008C29BF" w:rsidP="008C29B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Deti vo veku 6 až 12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rokov:</w:t>
      </w:r>
    </w:p>
    <w:p w:rsidR="008C29BF" w:rsidRPr="00074698" w:rsidRDefault="008C29BF" w:rsidP="008C29B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Odporúčaná denná dávka je 5 mg (10 ml roztoku).</w:t>
      </w:r>
      <w:r w:rsidR="00D839DA">
        <w:rPr>
          <w:sz w:val="22"/>
          <w:szCs w:val="22"/>
          <w:lang w:val="sk-SK"/>
        </w:rPr>
        <w:t xml:space="preserve"> </w:t>
      </w:r>
    </w:p>
    <w:p w:rsidR="008C29BF" w:rsidRPr="00074698" w:rsidRDefault="008C29BF" w:rsidP="008C29BF">
      <w:pPr>
        <w:rPr>
          <w:sz w:val="22"/>
          <w:szCs w:val="22"/>
          <w:lang w:val="sk-SK"/>
        </w:rPr>
      </w:pPr>
    </w:p>
    <w:p w:rsidR="008C29BF" w:rsidRPr="00074698" w:rsidRDefault="008C29BF" w:rsidP="008C29B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Deti vo veku 2 až 6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rokov:</w:t>
      </w:r>
    </w:p>
    <w:p w:rsidR="008C29BF" w:rsidRPr="00074698" w:rsidRDefault="008C29BF" w:rsidP="008C29B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Odporúčaná denná dávka je 2,5 mg, ktorá sa má podávať v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dávkach po 1,25 mg (2,5 ml roztoku dvakrát denne).</w:t>
      </w:r>
    </w:p>
    <w:p w:rsidR="008C29BF" w:rsidRPr="00074698" w:rsidRDefault="008C29BF" w:rsidP="008C29BF">
      <w:pPr>
        <w:rPr>
          <w:sz w:val="22"/>
          <w:szCs w:val="22"/>
          <w:lang w:val="sk-SK"/>
        </w:rPr>
      </w:pPr>
    </w:p>
    <w:p w:rsidR="008C29BF" w:rsidRPr="00074698" w:rsidRDefault="008C29BF" w:rsidP="008C29B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Aj keď sú k dispozícii </w:t>
      </w:r>
      <w:r w:rsidR="00221A84">
        <w:rPr>
          <w:sz w:val="22"/>
          <w:szCs w:val="22"/>
          <w:lang w:val="sk-SK"/>
        </w:rPr>
        <w:t>určité</w:t>
      </w:r>
      <w:r w:rsidR="00221A8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klinické údaje u detí vo veku od 6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mesiacov do 12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rokov (pozri časť 4.8, 5.1 a 5.2), tieto údaje nie sú dostatočné na podporu podávania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u dojčiat a batoliat vo veku do 2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rokov (pozri tiež časť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4.4).</w:t>
      </w:r>
    </w:p>
    <w:p w:rsidR="003D723B" w:rsidRDefault="003D723B" w:rsidP="003D723B">
      <w:pPr>
        <w:jc w:val="both"/>
        <w:rPr>
          <w:sz w:val="22"/>
          <w:szCs w:val="22"/>
          <w:u w:val="single"/>
          <w:lang w:val="sk-SK"/>
        </w:rPr>
      </w:pPr>
    </w:p>
    <w:p w:rsidR="008C29BF" w:rsidRPr="00764013" w:rsidRDefault="008C29BF" w:rsidP="008C29BF">
      <w:pPr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Spôsob podávania</w:t>
      </w:r>
    </w:p>
    <w:p w:rsidR="008C29BF" w:rsidRPr="00074698" w:rsidRDefault="008C29BF" w:rsidP="008C29B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Balenie obsahuje perorálnu striekačku. Perorálnou striekačkou sa má odmerať príslušný objem perorálneho roztoku a vyliať do lyžičky alebo do pohára s vodou. Perorálny roztok sa musí užívať perorálne okamžite po nariedení a môže sa užívať s jedlom alebo bez jedla.</w:t>
      </w:r>
    </w:p>
    <w:p w:rsidR="008C29BF" w:rsidRPr="00074698" w:rsidRDefault="008C29BF" w:rsidP="003D723B">
      <w:pPr>
        <w:jc w:val="both"/>
        <w:rPr>
          <w:sz w:val="22"/>
          <w:szCs w:val="22"/>
          <w:u w:val="single"/>
          <w:lang w:val="sk-SK"/>
        </w:rPr>
      </w:pPr>
    </w:p>
    <w:p w:rsidR="003D723B" w:rsidRPr="00074698" w:rsidRDefault="003D723B" w:rsidP="003D723B">
      <w:pPr>
        <w:jc w:val="both"/>
        <w:rPr>
          <w:sz w:val="22"/>
          <w:szCs w:val="22"/>
          <w:u w:val="single"/>
          <w:lang w:val="sk-SK"/>
        </w:rPr>
      </w:pPr>
      <w:r w:rsidRPr="00074698">
        <w:rPr>
          <w:sz w:val="22"/>
          <w:szCs w:val="22"/>
          <w:lang w:val="sk-SK"/>
        </w:rPr>
        <w:t>Dĺžka používania:</w:t>
      </w:r>
    </w:p>
    <w:p w:rsidR="00221A84" w:rsidRDefault="003D723B" w:rsidP="003D723B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Intermitentná</w:t>
      </w:r>
      <w:proofErr w:type="spellEnd"/>
      <w:r w:rsidRPr="00074698">
        <w:rPr>
          <w:sz w:val="22"/>
          <w:szCs w:val="22"/>
          <w:lang w:val="sk-SK"/>
        </w:rPr>
        <w:t xml:space="preserve"> alergická </w:t>
      </w:r>
      <w:proofErr w:type="spellStart"/>
      <w:r w:rsidRPr="00074698">
        <w:rPr>
          <w:sz w:val="22"/>
          <w:szCs w:val="22"/>
          <w:lang w:val="sk-SK"/>
        </w:rPr>
        <w:t>rinitída</w:t>
      </w:r>
      <w:proofErr w:type="spellEnd"/>
      <w:r w:rsidRPr="00074698">
        <w:rPr>
          <w:sz w:val="22"/>
          <w:szCs w:val="22"/>
          <w:lang w:val="sk-SK"/>
        </w:rPr>
        <w:t xml:space="preserve"> (príznaky </w:t>
      </w:r>
      <w:r w:rsidR="00221A84">
        <w:rPr>
          <w:sz w:val="22"/>
          <w:szCs w:val="22"/>
          <w:lang w:val="sk-SK"/>
        </w:rPr>
        <w:t xml:space="preserve">trvajúce menej ako </w:t>
      </w:r>
      <w:r w:rsidRPr="00074698">
        <w:rPr>
          <w:sz w:val="22"/>
          <w:szCs w:val="22"/>
          <w:lang w:val="sk-SK"/>
        </w:rPr>
        <w:t>4</w:t>
      </w:r>
      <w:r w:rsidR="00174AA4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dni do týždňa alebo </w:t>
      </w:r>
      <w:r w:rsidR="00221A84">
        <w:rPr>
          <w:sz w:val="22"/>
          <w:szCs w:val="22"/>
          <w:lang w:val="sk-SK"/>
        </w:rPr>
        <w:t>po dobu</w:t>
      </w:r>
      <w:r w:rsidR="00221A84" w:rsidRPr="00074698">
        <w:rPr>
          <w:sz w:val="22"/>
          <w:szCs w:val="22"/>
          <w:lang w:val="sk-SK"/>
        </w:rPr>
        <w:t xml:space="preserve"> </w:t>
      </w:r>
      <w:r w:rsidR="00221A84">
        <w:rPr>
          <w:sz w:val="22"/>
          <w:szCs w:val="22"/>
          <w:lang w:val="sk-SK"/>
        </w:rPr>
        <w:t>kratšiu</w:t>
      </w:r>
      <w:r w:rsidR="00221A8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ako 4</w:t>
      </w:r>
      <w:r w:rsidR="00174AA4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týžd</w:t>
      </w:r>
      <w:r w:rsidR="00221A84">
        <w:rPr>
          <w:sz w:val="22"/>
          <w:szCs w:val="22"/>
          <w:lang w:val="sk-SK"/>
        </w:rPr>
        <w:t>ne</w:t>
      </w:r>
      <w:r w:rsidR="00174AA4">
        <w:rPr>
          <w:sz w:val="22"/>
          <w:szCs w:val="22"/>
          <w:lang w:val="sk-SK"/>
        </w:rPr>
        <w:t xml:space="preserve"> </w:t>
      </w:r>
      <w:r w:rsidR="005B15CB">
        <w:rPr>
          <w:sz w:val="22"/>
          <w:szCs w:val="22"/>
          <w:lang w:val="sk-SK"/>
        </w:rPr>
        <w:t xml:space="preserve">v </w:t>
      </w:r>
      <w:r w:rsidR="00174AA4">
        <w:rPr>
          <w:sz w:val="22"/>
          <w:szCs w:val="22"/>
          <w:lang w:val="sk-SK"/>
        </w:rPr>
        <w:t>rok</w:t>
      </w:r>
      <w:r w:rsidR="005B15CB">
        <w:rPr>
          <w:sz w:val="22"/>
          <w:szCs w:val="22"/>
          <w:lang w:val="sk-SK"/>
        </w:rPr>
        <w:t>u</w:t>
      </w:r>
      <w:r w:rsidRPr="00074698">
        <w:rPr>
          <w:sz w:val="22"/>
          <w:szCs w:val="22"/>
          <w:lang w:val="sk-SK"/>
        </w:rPr>
        <w:t xml:space="preserve">) sa má liečiť podľa </w:t>
      </w:r>
      <w:r w:rsidR="00221A84">
        <w:rPr>
          <w:sz w:val="22"/>
          <w:szCs w:val="22"/>
          <w:lang w:val="sk-SK"/>
        </w:rPr>
        <w:t xml:space="preserve">charakteru </w:t>
      </w:r>
      <w:r w:rsidRPr="00074698">
        <w:rPr>
          <w:sz w:val="22"/>
          <w:szCs w:val="22"/>
          <w:lang w:val="sk-SK"/>
        </w:rPr>
        <w:t xml:space="preserve">ochorenia a jeho anamnézy; </w:t>
      </w:r>
      <w:r w:rsidR="00221A84">
        <w:rPr>
          <w:sz w:val="22"/>
          <w:szCs w:val="22"/>
          <w:lang w:val="sk-SK"/>
        </w:rPr>
        <w:t xml:space="preserve">liečbu je </w:t>
      </w:r>
      <w:r w:rsidRPr="00074698">
        <w:rPr>
          <w:sz w:val="22"/>
          <w:szCs w:val="22"/>
          <w:lang w:val="sk-SK"/>
        </w:rPr>
        <w:t>možn</w:t>
      </w:r>
      <w:r w:rsidR="00221A84">
        <w:rPr>
          <w:sz w:val="22"/>
          <w:szCs w:val="22"/>
          <w:lang w:val="sk-SK"/>
        </w:rPr>
        <w:t>é</w:t>
      </w:r>
      <w:r w:rsidRPr="00074698">
        <w:rPr>
          <w:sz w:val="22"/>
          <w:szCs w:val="22"/>
          <w:lang w:val="sk-SK"/>
        </w:rPr>
        <w:t xml:space="preserve"> ukončiť</w:t>
      </w:r>
      <w:r w:rsidR="00221A84">
        <w:rPr>
          <w:sz w:val="22"/>
          <w:szCs w:val="22"/>
          <w:lang w:val="sk-SK"/>
        </w:rPr>
        <w:t xml:space="preserve"> po </w:t>
      </w:r>
      <w:r w:rsidRPr="00074698">
        <w:rPr>
          <w:sz w:val="22"/>
          <w:szCs w:val="22"/>
          <w:lang w:val="sk-SK"/>
        </w:rPr>
        <w:t>vymizn</w:t>
      </w:r>
      <w:r w:rsidR="00221A84">
        <w:rPr>
          <w:sz w:val="22"/>
          <w:szCs w:val="22"/>
          <w:lang w:val="sk-SK"/>
        </w:rPr>
        <w:t>utí</w:t>
      </w:r>
      <w:r w:rsidRPr="00074698">
        <w:rPr>
          <w:sz w:val="22"/>
          <w:szCs w:val="22"/>
          <w:lang w:val="sk-SK"/>
        </w:rPr>
        <w:t xml:space="preserve"> príznak</w:t>
      </w:r>
      <w:r w:rsidR="00221A84">
        <w:rPr>
          <w:sz w:val="22"/>
          <w:szCs w:val="22"/>
          <w:lang w:val="sk-SK"/>
        </w:rPr>
        <w:t>ov</w:t>
      </w:r>
      <w:r w:rsidRPr="00074698">
        <w:rPr>
          <w:sz w:val="22"/>
          <w:szCs w:val="22"/>
          <w:lang w:val="sk-SK"/>
        </w:rPr>
        <w:t xml:space="preserve"> a obnoviť, keď sa opätovne prejavia príznaky. V prípade </w:t>
      </w:r>
      <w:proofErr w:type="spellStart"/>
      <w:r w:rsidRPr="00074698">
        <w:rPr>
          <w:sz w:val="22"/>
          <w:szCs w:val="22"/>
          <w:lang w:val="sk-SK"/>
        </w:rPr>
        <w:t>perzistentnej</w:t>
      </w:r>
      <w:proofErr w:type="spellEnd"/>
      <w:r w:rsidRPr="00074698">
        <w:rPr>
          <w:sz w:val="22"/>
          <w:szCs w:val="22"/>
          <w:lang w:val="sk-SK"/>
        </w:rPr>
        <w:t xml:space="preserve"> alergickej </w:t>
      </w:r>
      <w:proofErr w:type="spellStart"/>
      <w:r w:rsidRPr="00074698">
        <w:rPr>
          <w:sz w:val="22"/>
          <w:szCs w:val="22"/>
          <w:lang w:val="sk-SK"/>
        </w:rPr>
        <w:t>rinitídy</w:t>
      </w:r>
      <w:proofErr w:type="spellEnd"/>
      <w:r w:rsidRPr="00074698">
        <w:rPr>
          <w:sz w:val="22"/>
          <w:szCs w:val="22"/>
          <w:lang w:val="sk-SK"/>
        </w:rPr>
        <w:t xml:space="preserve"> (príznaky</w:t>
      </w:r>
      <w:r w:rsidR="00EA57E7">
        <w:rPr>
          <w:sz w:val="22"/>
          <w:szCs w:val="22"/>
          <w:lang w:val="sk-SK"/>
        </w:rPr>
        <w:t xml:space="preserve"> </w:t>
      </w:r>
      <w:r w:rsidR="00221A84">
        <w:rPr>
          <w:sz w:val="22"/>
          <w:szCs w:val="22"/>
          <w:lang w:val="sk-SK"/>
        </w:rPr>
        <w:t>trvajúce dlhš</w:t>
      </w:r>
      <w:r w:rsidR="00EA57E7">
        <w:rPr>
          <w:sz w:val="22"/>
          <w:szCs w:val="22"/>
          <w:lang w:val="sk-SK"/>
        </w:rPr>
        <w:t>i</w:t>
      </w:r>
      <w:r w:rsidR="00221A84">
        <w:rPr>
          <w:sz w:val="22"/>
          <w:szCs w:val="22"/>
          <w:lang w:val="sk-SK"/>
        </w:rPr>
        <w:t xml:space="preserve">e ako </w:t>
      </w:r>
      <w:r w:rsidRPr="00074698">
        <w:rPr>
          <w:sz w:val="22"/>
          <w:szCs w:val="22"/>
          <w:lang w:val="sk-SK"/>
        </w:rPr>
        <w:t>4</w:t>
      </w:r>
      <w:r w:rsidR="00174AA4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dni do týždňa a </w:t>
      </w:r>
      <w:r w:rsidR="00221A84">
        <w:rPr>
          <w:sz w:val="22"/>
          <w:szCs w:val="22"/>
          <w:lang w:val="sk-SK"/>
        </w:rPr>
        <w:t>dlhšie</w:t>
      </w:r>
      <w:r w:rsidRPr="00074698">
        <w:rPr>
          <w:sz w:val="22"/>
          <w:szCs w:val="22"/>
          <w:lang w:val="sk-SK"/>
        </w:rPr>
        <w:t xml:space="preserve"> ako 4</w:t>
      </w:r>
      <w:r w:rsidR="00174AA4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týžd</w:t>
      </w:r>
      <w:r w:rsidR="00221A84">
        <w:rPr>
          <w:sz w:val="22"/>
          <w:szCs w:val="22"/>
          <w:lang w:val="sk-SK"/>
        </w:rPr>
        <w:t>ne</w:t>
      </w:r>
      <w:r w:rsidR="00174AA4">
        <w:rPr>
          <w:sz w:val="22"/>
          <w:szCs w:val="22"/>
          <w:lang w:val="sk-SK"/>
        </w:rPr>
        <w:t xml:space="preserve"> </w:t>
      </w:r>
    </w:p>
    <w:p w:rsidR="00221A84" w:rsidRDefault="005B15CB" w:rsidP="003D723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</w:t>
      </w:r>
      <w:r w:rsidR="00174AA4">
        <w:rPr>
          <w:sz w:val="22"/>
          <w:szCs w:val="22"/>
          <w:lang w:val="sk-SK"/>
        </w:rPr>
        <w:t>rok</w:t>
      </w:r>
      <w:r>
        <w:rPr>
          <w:sz w:val="22"/>
          <w:szCs w:val="22"/>
          <w:lang w:val="sk-SK"/>
        </w:rPr>
        <w:t>u</w:t>
      </w:r>
      <w:r w:rsidR="003D723B" w:rsidRPr="00074698">
        <w:rPr>
          <w:sz w:val="22"/>
          <w:szCs w:val="22"/>
          <w:lang w:val="sk-SK"/>
        </w:rPr>
        <w:t xml:space="preserve">) možno naplánovať kontinuálnu liečbu pacienta počas obdobia expozície </w:t>
      </w:r>
      <w:proofErr w:type="spellStart"/>
      <w:r w:rsidR="003D723B" w:rsidRPr="00074698">
        <w:rPr>
          <w:sz w:val="22"/>
          <w:szCs w:val="22"/>
          <w:lang w:val="sk-SK"/>
        </w:rPr>
        <w:t>alergénom</w:t>
      </w:r>
      <w:proofErr w:type="spellEnd"/>
      <w:r w:rsidR="003D723B" w:rsidRPr="00074698">
        <w:rPr>
          <w:sz w:val="22"/>
          <w:szCs w:val="22"/>
          <w:lang w:val="sk-SK"/>
        </w:rPr>
        <w:t xml:space="preserve">. </w:t>
      </w:r>
    </w:p>
    <w:p w:rsidR="00221A84" w:rsidRDefault="00221A84" w:rsidP="003D723B">
      <w:pPr>
        <w:rPr>
          <w:sz w:val="22"/>
          <w:szCs w:val="22"/>
          <w:lang w:val="sk-SK"/>
        </w:rPr>
      </w:pPr>
    </w:p>
    <w:p w:rsidR="003D723B" w:rsidRPr="00074698" w:rsidRDefault="00174AA4" w:rsidP="003D723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 dispozícii sú</w:t>
      </w:r>
      <w:r w:rsidR="003D723B" w:rsidRPr="00074698">
        <w:rPr>
          <w:sz w:val="22"/>
          <w:szCs w:val="22"/>
          <w:lang w:val="sk-SK"/>
        </w:rPr>
        <w:t xml:space="preserve"> klinické skúsenosti s </w:t>
      </w:r>
      <w:r>
        <w:rPr>
          <w:sz w:val="22"/>
          <w:szCs w:val="22"/>
          <w:lang w:val="sk-SK"/>
        </w:rPr>
        <w:t>používaním</w:t>
      </w:r>
      <w:r w:rsidR="003D723B" w:rsidRPr="00074698">
        <w:rPr>
          <w:sz w:val="22"/>
          <w:szCs w:val="22"/>
          <w:lang w:val="sk-SK"/>
        </w:rPr>
        <w:t xml:space="preserve"> </w:t>
      </w:r>
      <w:proofErr w:type="spellStart"/>
      <w:r w:rsidR="003D723B" w:rsidRPr="00074698">
        <w:rPr>
          <w:sz w:val="22"/>
          <w:szCs w:val="22"/>
          <w:lang w:val="sk-SK"/>
        </w:rPr>
        <w:t>levocetirizínu</w:t>
      </w:r>
      <w:proofErr w:type="spellEnd"/>
      <w:r>
        <w:rPr>
          <w:sz w:val="22"/>
          <w:szCs w:val="22"/>
          <w:lang w:val="sk-SK"/>
        </w:rPr>
        <w:t xml:space="preserve"> </w:t>
      </w:r>
      <w:r w:rsidR="003D723B" w:rsidRPr="00074698">
        <w:rPr>
          <w:sz w:val="22"/>
          <w:szCs w:val="22"/>
          <w:lang w:val="sk-SK"/>
        </w:rPr>
        <w:t xml:space="preserve">počas </w:t>
      </w:r>
      <w:r>
        <w:rPr>
          <w:sz w:val="22"/>
          <w:szCs w:val="22"/>
          <w:lang w:val="sk-SK"/>
        </w:rPr>
        <w:t xml:space="preserve">liečby trvajúcej minimálne </w:t>
      </w:r>
      <w:r w:rsidR="003D723B" w:rsidRPr="00074698">
        <w:rPr>
          <w:sz w:val="22"/>
          <w:szCs w:val="22"/>
          <w:lang w:val="sk-SK"/>
        </w:rPr>
        <w:t xml:space="preserve">6 mesiacov. Pri chronickej </w:t>
      </w:r>
      <w:proofErr w:type="spellStart"/>
      <w:r w:rsidR="003D723B" w:rsidRPr="00074698">
        <w:rPr>
          <w:sz w:val="22"/>
          <w:szCs w:val="22"/>
          <w:lang w:val="sk-SK"/>
        </w:rPr>
        <w:t>urtikárii</w:t>
      </w:r>
      <w:proofErr w:type="spellEnd"/>
      <w:r w:rsidR="003D723B" w:rsidRPr="00074698">
        <w:rPr>
          <w:sz w:val="22"/>
          <w:szCs w:val="22"/>
          <w:lang w:val="sk-SK"/>
        </w:rPr>
        <w:t xml:space="preserve"> a chronickej alergickej nádche sú dostupné klinické skúsenosti s</w:t>
      </w:r>
      <w:r>
        <w:rPr>
          <w:sz w:val="22"/>
          <w:szCs w:val="22"/>
          <w:lang w:val="sk-SK"/>
        </w:rPr>
        <w:t xml:space="preserve"> používaním </w:t>
      </w:r>
      <w:proofErr w:type="spellStart"/>
      <w:r>
        <w:rPr>
          <w:sz w:val="22"/>
          <w:szCs w:val="22"/>
          <w:lang w:val="sk-SK"/>
        </w:rPr>
        <w:t>cetirizínu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 w:rsidR="003D723B" w:rsidRPr="00074698">
        <w:rPr>
          <w:sz w:val="22"/>
          <w:szCs w:val="22"/>
          <w:lang w:val="sk-SK"/>
        </w:rPr>
        <w:t>racemát</w:t>
      </w:r>
      <w:r>
        <w:rPr>
          <w:sz w:val="22"/>
          <w:szCs w:val="22"/>
          <w:lang w:val="sk-SK"/>
        </w:rPr>
        <w:t>u</w:t>
      </w:r>
      <w:proofErr w:type="spellEnd"/>
      <w:r>
        <w:rPr>
          <w:sz w:val="22"/>
          <w:szCs w:val="22"/>
          <w:lang w:val="sk-SK"/>
        </w:rPr>
        <w:t xml:space="preserve">) počas </w:t>
      </w:r>
      <w:r w:rsidR="005B15CB">
        <w:rPr>
          <w:sz w:val="22"/>
          <w:szCs w:val="22"/>
          <w:lang w:val="sk-SK"/>
        </w:rPr>
        <w:t xml:space="preserve">až </w:t>
      </w:r>
      <w:r>
        <w:rPr>
          <w:sz w:val="22"/>
          <w:szCs w:val="22"/>
          <w:lang w:val="sk-SK"/>
        </w:rPr>
        <w:t>jedného roka</w:t>
      </w:r>
      <w:r w:rsidR="003D723B" w:rsidRPr="00074698">
        <w:rPr>
          <w:sz w:val="22"/>
          <w:szCs w:val="22"/>
          <w:lang w:val="sk-SK"/>
        </w:rPr>
        <w:t>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4.3</w:t>
      </w:r>
      <w:r w:rsidRPr="00074698">
        <w:rPr>
          <w:b/>
          <w:sz w:val="22"/>
          <w:szCs w:val="22"/>
          <w:lang w:val="sk-SK"/>
        </w:rPr>
        <w:tab/>
        <w:t>Kontraindikácie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Precitlivenosť na </w:t>
      </w:r>
      <w:r w:rsidR="00174AA4">
        <w:rPr>
          <w:sz w:val="22"/>
          <w:szCs w:val="22"/>
          <w:lang w:val="sk-SK"/>
        </w:rPr>
        <w:t>liečivo</w:t>
      </w:r>
      <w:r w:rsidRPr="00074698">
        <w:rPr>
          <w:sz w:val="22"/>
          <w:szCs w:val="22"/>
          <w:lang w:val="sk-SK"/>
        </w:rPr>
        <w:t xml:space="preserve">, </w:t>
      </w:r>
      <w:r w:rsidR="001C142F">
        <w:rPr>
          <w:sz w:val="22"/>
          <w:szCs w:val="22"/>
          <w:lang w:val="sk-SK"/>
        </w:rPr>
        <w:t xml:space="preserve">na </w:t>
      </w:r>
      <w:proofErr w:type="spellStart"/>
      <w:r w:rsidR="001C142F">
        <w:rPr>
          <w:sz w:val="22"/>
          <w:szCs w:val="22"/>
          <w:lang w:val="sk-SK"/>
        </w:rPr>
        <w:t>cetirizín</w:t>
      </w:r>
      <w:proofErr w:type="spellEnd"/>
      <w:r w:rsidR="001C142F">
        <w:rPr>
          <w:sz w:val="22"/>
          <w:szCs w:val="22"/>
          <w:lang w:val="sk-SK"/>
        </w:rPr>
        <w:t xml:space="preserve">, na </w:t>
      </w:r>
      <w:proofErr w:type="spellStart"/>
      <w:r w:rsidR="001C142F">
        <w:rPr>
          <w:sz w:val="22"/>
          <w:szCs w:val="22"/>
          <w:lang w:val="sk-SK"/>
        </w:rPr>
        <w:t>hydroxyzín</w:t>
      </w:r>
      <w:proofErr w:type="spellEnd"/>
      <w:r w:rsidR="001C142F">
        <w:rPr>
          <w:sz w:val="22"/>
          <w:szCs w:val="22"/>
          <w:lang w:val="sk-SK"/>
        </w:rPr>
        <w:t xml:space="preserve">, </w:t>
      </w:r>
      <w:r w:rsidRPr="00074698">
        <w:rPr>
          <w:sz w:val="22"/>
          <w:szCs w:val="22"/>
          <w:lang w:val="sk-SK"/>
        </w:rPr>
        <w:t xml:space="preserve">na akékoľvek </w:t>
      </w:r>
      <w:proofErr w:type="spellStart"/>
      <w:r w:rsidRPr="00074698">
        <w:rPr>
          <w:sz w:val="22"/>
          <w:szCs w:val="22"/>
          <w:lang w:val="sk-SK"/>
        </w:rPr>
        <w:t>piperazínové</w:t>
      </w:r>
      <w:proofErr w:type="spellEnd"/>
      <w:r w:rsidRPr="00074698">
        <w:rPr>
          <w:sz w:val="22"/>
          <w:szCs w:val="22"/>
          <w:lang w:val="sk-SK"/>
        </w:rPr>
        <w:t xml:space="preserve"> deriváty</w:t>
      </w:r>
      <w:r w:rsidR="0015511A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alebo na ktorúkoľvek z pomocných látok</w:t>
      </w:r>
      <w:r w:rsidR="00174AA4">
        <w:rPr>
          <w:sz w:val="22"/>
          <w:szCs w:val="22"/>
          <w:lang w:val="sk-SK"/>
        </w:rPr>
        <w:t xml:space="preserve"> </w:t>
      </w:r>
      <w:r w:rsidR="00174AA4" w:rsidRPr="00174AA4">
        <w:rPr>
          <w:sz w:val="22"/>
          <w:szCs w:val="22"/>
          <w:lang w:val="sk-SK"/>
        </w:rPr>
        <w:t>uvedených v časti 6.1</w:t>
      </w:r>
      <w:r w:rsidRPr="00074698">
        <w:rPr>
          <w:sz w:val="22"/>
          <w:szCs w:val="22"/>
          <w:lang w:val="sk-SK"/>
        </w:rPr>
        <w:t>.</w:t>
      </w:r>
    </w:p>
    <w:p w:rsidR="003D723B" w:rsidRPr="00074698" w:rsidRDefault="001C142F" w:rsidP="004C776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Ťažká</w:t>
      </w:r>
      <w:r w:rsidRPr="00074698">
        <w:rPr>
          <w:sz w:val="22"/>
          <w:szCs w:val="22"/>
          <w:lang w:val="sk-SK"/>
        </w:rPr>
        <w:t xml:space="preserve"> </w:t>
      </w:r>
      <w:r w:rsidR="003D723B" w:rsidRPr="00074698">
        <w:rPr>
          <w:sz w:val="22"/>
          <w:szCs w:val="22"/>
          <w:lang w:val="sk-SK"/>
        </w:rPr>
        <w:t>po</w:t>
      </w:r>
      <w:r w:rsidR="00D839DA">
        <w:rPr>
          <w:sz w:val="22"/>
          <w:szCs w:val="22"/>
          <w:lang w:val="sk-SK"/>
        </w:rPr>
        <w:t>rucha</w:t>
      </w:r>
      <w:r w:rsidR="003D723B" w:rsidRPr="00074698">
        <w:rPr>
          <w:sz w:val="22"/>
          <w:szCs w:val="22"/>
          <w:lang w:val="sk-SK"/>
        </w:rPr>
        <w:t xml:space="preserve"> funkcie obličiek s </w:t>
      </w:r>
      <w:proofErr w:type="spellStart"/>
      <w:r w:rsidR="003D723B" w:rsidRPr="00074698">
        <w:rPr>
          <w:sz w:val="22"/>
          <w:szCs w:val="22"/>
          <w:lang w:val="sk-SK"/>
        </w:rPr>
        <w:t>klírensom</w:t>
      </w:r>
      <w:proofErr w:type="spellEnd"/>
      <w:r w:rsidR="003D723B" w:rsidRPr="00074698">
        <w:rPr>
          <w:sz w:val="22"/>
          <w:szCs w:val="22"/>
          <w:lang w:val="sk-SK"/>
        </w:rPr>
        <w:t xml:space="preserve"> </w:t>
      </w:r>
      <w:proofErr w:type="spellStart"/>
      <w:r w:rsidR="003D723B" w:rsidRPr="00074698">
        <w:rPr>
          <w:sz w:val="22"/>
          <w:szCs w:val="22"/>
          <w:lang w:val="sk-SK"/>
        </w:rPr>
        <w:t>kreatinínu</w:t>
      </w:r>
      <w:proofErr w:type="spellEnd"/>
      <w:r w:rsidR="003D723B" w:rsidRPr="00074698">
        <w:rPr>
          <w:sz w:val="22"/>
          <w:szCs w:val="22"/>
          <w:lang w:val="sk-SK"/>
        </w:rPr>
        <w:t xml:space="preserve"> menej ako 10</w:t>
      </w:r>
      <w:r w:rsidR="004C776F" w:rsidRPr="00074698">
        <w:rPr>
          <w:sz w:val="22"/>
          <w:szCs w:val="22"/>
          <w:lang w:val="sk-SK"/>
        </w:rPr>
        <w:t> </w:t>
      </w:r>
      <w:r w:rsidR="003D723B" w:rsidRPr="00074698">
        <w:rPr>
          <w:sz w:val="22"/>
          <w:szCs w:val="22"/>
          <w:lang w:val="sk-SK"/>
        </w:rPr>
        <w:t>ml/min.</w:t>
      </w:r>
    </w:p>
    <w:p w:rsidR="001C142F" w:rsidRDefault="001C142F" w:rsidP="009542D3">
      <w:pPr>
        <w:jc w:val="both"/>
        <w:rPr>
          <w:sz w:val="22"/>
          <w:szCs w:val="22"/>
          <w:lang w:val="sk-SK"/>
        </w:rPr>
      </w:pPr>
    </w:p>
    <w:p w:rsidR="001C142F" w:rsidRPr="00074698" w:rsidRDefault="001C142F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4.4</w:t>
      </w:r>
      <w:r w:rsidRPr="00074698">
        <w:rPr>
          <w:b/>
          <w:sz w:val="22"/>
          <w:szCs w:val="22"/>
          <w:lang w:val="sk-SK"/>
        </w:rPr>
        <w:tab/>
        <w:t>Osobitné upozornenia a opatrenia pri používaní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4C776F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lastRenderedPageBreak/>
        <w:t xml:space="preserve">Opatrnosť sa odporúča pri </w:t>
      </w:r>
      <w:r w:rsidR="001C142F">
        <w:rPr>
          <w:sz w:val="22"/>
          <w:szCs w:val="22"/>
          <w:lang w:val="sk-SK"/>
        </w:rPr>
        <w:t xml:space="preserve">súbežnom </w:t>
      </w:r>
      <w:r w:rsidRPr="00074698">
        <w:rPr>
          <w:sz w:val="22"/>
          <w:szCs w:val="22"/>
          <w:lang w:val="sk-SK"/>
        </w:rPr>
        <w:t xml:space="preserve">požívaní alkoholu (pozri </w:t>
      </w:r>
      <w:r w:rsidR="00174AA4">
        <w:rPr>
          <w:sz w:val="22"/>
          <w:szCs w:val="22"/>
          <w:lang w:val="sk-SK"/>
        </w:rPr>
        <w:t>časť 4.5</w:t>
      </w:r>
      <w:r w:rsidRPr="00074698">
        <w:rPr>
          <w:sz w:val="22"/>
          <w:szCs w:val="22"/>
          <w:lang w:val="sk-SK"/>
        </w:rPr>
        <w:t>).</w:t>
      </w: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</w:p>
    <w:p w:rsidR="003D723B" w:rsidRDefault="00174AA4" w:rsidP="003D723B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Xyzal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obsahuje </w:t>
      </w:r>
      <w:r w:rsidR="00F94E71">
        <w:rPr>
          <w:sz w:val="22"/>
          <w:szCs w:val="22"/>
          <w:lang w:val="sk-SK"/>
        </w:rPr>
        <w:t> </w:t>
      </w:r>
      <w:proofErr w:type="spellStart"/>
      <w:r w:rsidR="003D723B" w:rsidRPr="00074698">
        <w:rPr>
          <w:sz w:val="22"/>
          <w:szCs w:val="22"/>
          <w:lang w:val="sk-SK"/>
        </w:rPr>
        <w:t>metylparabén</w:t>
      </w:r>
      <w:proofErr w:type="spellEnd"/>
      <w:r w:rsidR="00F94E71">
        <w:rPr>
          <w:sz w:val="22"/>
          <w:szCs w:val="22"/>
          <w:lang w:val="sk-SK"/>
        </w:rPr>
        <w:t xml:space="preserve"> a </w:t>
      </w:r>
      <w:proofErr w:type="spellStart"/>
      <w:r w:rsidR="00F94E71" w:rsidRPr="00074698">
        <w:rPr>
          <w:sz w:val="22"/>
          <w:szCs w:val="22"/>
          <w:lang w:val="sk-SK"/>
        </w:rPr>
        <w:t>propylparabén</w:t>
      </w:r>
      <w:proofErr w:type="spellEnd"/>
      <w:r w:rsidR="00F94E71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ktoré</w:t>
      </w:r>
      <w:r w:rsidR="003D723B" w:rsidRPr="00074698">
        <w:rPr>
          <w:sz w:val="22"/>
          <w:szCs w:val="22"/>
          <w:lang w:val="sk-SK"/>
        </w:rPr>
        <w:t xml:space="preserve"> môž</w:t>
      </w:r>
      <w:r>
        <w:rPr>
          <w:sz w:val="22"/>
          <w:szCs w:val="22"/>
          <w:lang w:val="sk-SK"/>
        </w:rPr>
        <w:t>u</w:t>
      </w:r>
      <w:r w:rsidR="003D723B" w:rsidRPr="00074698">
        <w:rPr>
          <w:sz w:val="22"/>
          <w:szCs w:val="22"/>
          <w:lang w:val="sk-SK"/>
        </w:rPr>
        <w:t xml:space="preserve"> vyvolať alergické reakcie (prípadne oneskorené).</w:t>
      </w:r>
    </w:p>
    <w:p w:rsidR="00340EB1" w:rsidRPr="006E46CB" w:rsidRDefault="00340EB1" w:rsidP="003D723B">
      <w:pPr>
        <w:rPr>
          <w:sz w:val="22"/>
          <w:szCs w:val="22"/>
          <w:lang w:val="sk-SK"/>
        </w:rPr>
      </w:pPr>
    </w:p>
    <w:p w:rsidR="007F2614" w:rsidRDefault="007F2614" w:rsidP="007F261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 pacientov s epilepsiou a pacientov s rizikom vzniku kŕčov je potrebná opatrnosť, pretože </w:t>
      </w:r>
      <w:proofErr w:type="spellStart"/>
      <w:r>
        <w:rPr>
          <w:sz w:val="22"/>
          <w:szCs w:val="22"/>
          <w:lang w:val="sk-SK"/>
        </w:rPr>
        <w:t>levocetirizín</w:t>
      </w:r>
      <w:proofErr w:type="spellEnd"/>
      <w:r>
        <w:rPr>
          <w:sz w:val="22"/>
          <w:szCs w:val="22"/>
          <w:lang w:val="sk-SK"/>
        </w:rPr>
        <w:t xml:space="preserve"> môže spôsobiť zhoršenie záchvatov.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Xyzal</w:t>
      </w:r>
      <w:proofErr w:type="spellEnd"/>
      <w:r w:rsidRPr="00074698">
        <w:rPr>
          <w:sz w:val="22"/>
          <w:szCs w:val="22"/>
          <w:lang w:val="sk-SK"/>
        </w:rPr>
        <w:t xml:space="preserve"> obsahuje </w:t>
      </w:r>
      <w:r w:rsidR="00127842">
        <w:rPr>
          <w:sz w:val="22"/>
          <w:szCs w:val="22"/>
          <w:lang w:val="sk-SK"/>
        </w:rPr>
        <w:t xml:space="preserve">tekutý </w:t>
      </w:r>
      <w:proofErr w:type="spellStart"/>
      <w:r w:rsidRPr="00074698">
        <w:rPr>
          <w:sz w:val="22"/>
          <w:szCs w:val="22"/>
          <w:lang w:val="sk-SK"/>
        </w:rPr>
        <w:t>maltitol</w:t>
      </w:r>
      <w:proofErr w:type="spellEnd"/>
      <w:r w:rsidR="00127842">
        <w:rPr>
          <w:sz w:val="22"/>
          <w:szCs w:val="22"/>
          <w:lang w:val="sk-SK"/>
        </w:rPr>
        <w:t>.</w:t>
      </w:r>
      <w:r w:rsidRPr="00074698">
        <w:rPr>
          <w:sz w:val="22"/>
          <w:szCs w:val="22"/>
          <w:lang w:val="sk-SK"/>
        </w:rPr>
        <w:t xml:space="preserve"> Pacienti so zriedkavými vrodenými problémami intolerancie fruktózy ne</w:t>
      </w:r>
      <w:r w:rsidR="00C14886">
        <w:rPr>
          <w:sz w:val="22"/>
          <w:szCs w:val="22"/>
          <w:lang w:val="sk-SK"/>
        </w:rPr>
        <w:t>smú</w:t>
      </w:r>
      <w:r w:rsidRPr="00074698">
        <w:rPr>
          <w:sz w:val="22"/>
          <w:szCs w:val="22"/>
          <w:lang w:val="sk-SK"/>
        </w:rPr>
        <w:t xml:space="preserve"> užívať tento liek.</w:t>
      </w:r>
    </w:p>
    <w:p w:rsidR="0015511A" w:rsidRPr="00074698" w:rsidRDefault="0015511A" w:rsidP="0015511A">
      <w:pPr>
        <w:rPr>
          <w:sz w:val="22"/>
          <w:szCs w:val="22"/>
          <w:lang w:val="sk-SK"/>
        </w:rPr>
      </w:pPr>
    </w:p>
    <w:p w:rsidR="0015511A" w:rsidRPr="00074698" w:rsidRDefault="0015511A" w:rsidP="0015511A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U pacientov s </w:t>
      </w:r>
      <w:proofErr w:type="spellStart"/>
      <w:r w:rsidRPr="00074698">
        <w:rPr>
          <w:sz w:val="22"/>
          <w:szCs w:val="22"/>
          <w:lang w:val="sk-SK"/>
        </w:rPr>
        <w:t>predispozičnými</w:t>
      </w:r>
      <w:proofErr w:type="spellEnd"/>
      <w:r w:rsidRPr="00074698">
        <w:rPr>
          <w:sz w:val="22"/>
          <w:szCs w:val="22"/>
          <w:lang w:val="sk-SK"/>
        </w:rPr>
        <w:t xml:space="preserve"> faktormi </w:t>
      </w:r>
      <w:proofErr w:type="spellStart"/>
      <w:r w:rsidRPr="00074698">
        <w:rPr>
          <w:sz w:val="22"/>
          <w:szCs w:val="22"/>
          <w:lang w:val="sk-SK"/>
        </w:rPr>
        <w:t>retencie</w:t>
      </w:r>
      <w:proofErr w:type="spellEnd"/>
      <w:r w:rsidRPr="00074698">
        <w:rPr>
          <w:sz w:val="22"/>
          <w:szCs w:val="22"/>
          <w:lang w:val="sk-SK"/>
        </w:rPr>
        <w:t xml:space="preserve"> moču (napr. miechová lézia, </w:t>
      </w:r>
      <w:proofErr w:type="spellStart"/>
      <w:r w:rsidRPr="00074698">
        <w:rPr>
          <w:sz w:val="22"/>
          <w:szCs w:val="22"/>
          <w:lang w:val="sk-SK"/>
        </w:rPr>
        <w:t>hyperplázia</w:t>
      </w:r>
      <w:proofErr w:type="spellEnd"/>
      <w:r w:rsidRPr="00074698">
        <w:rPr>
          <w:sz w:val="22"/>
          <w:szCs w:val="22"/>
          <w:lang w:val="sk-SK"/>
        </w:rPr>
        <w:t xml:space="preserve"> prostaty) je potrebná opatrnosť, pretože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môže zvýšiť riziko </w:t>
      </w:r>
      <w:proofErr w:type="spellStart"/>
      <w:r w:rsidRPr="00074698">
        <w:rPr>
          <w:sz w:val="22"/>
          <w:szCs w:val="22"/>
          <w:lang w:val="sk-SK"/>
        </w:rPr>
        <w:t>retencie</w:t>
      </w:r>
      <w:proofErr w:type="spellEnd"/>
      <w:r w:rsidRPr="00074698">
        <w:rPr>
          <w:sz w:val="22"/>
          <w:szCs w:val="22"/>
          <w:lang w:val="sk-SK"/>
        </w:rPr>
        <w:t xml:space="preserve"> moču.</w:t>
      </w:r>
    </w:p>
    <w:p w:rsidR="00127842" w:rsidRDefault="00127842" w:rsidP="00127842">
      <w:pPr>
        <w:rPr>
          <w:sz w:val="22"/>
          <w:szCs w:val="22"/>
          <w:lang w:val="sk-SK"/>
        </w:rPr>
      </w:pPr>
    </w:p>
    <w:p w:rsidR="00723791" w:rsidRDefault="00723791" w:rsidP="00723791">
      <w:pPr>
        <w:rPr>
          <w:sz w:val="22"/>
          <w:szCs w:val="22"/>
          <w:lang w:val="sk-SK"/>
        </w:rPr>
      </w:pPr>
      <w:r w:rsidRPr="00534A87">
        <w:rPr>
          <w:sz w:val="22"/>
          <w:szCs w:val="22"/>
          <w:lang w:val="sk-SK"/>
        </w:rPr>
        <w:t xml:space="preserve">Odpoveď na </w:t>
      </w:r>
      <w:proofErr w:type="spellStart"/>
      <w:r w:rsidRPr="00534A87">
        <w:rPr>
          <w:sz w:val="22"/>
          <w:szCs w:val="22"/>
          <w:lang w:val="sk-SK"/>
        </w:rPr>
        <w:t>alergologické</w:t>
      </w:r>
      <w:proofErr w:type="spellEnd"/>
      <w:r w:rsidRPr="00534A87">
        <w:rPr>
          <w:sz w:val="22"/>
          <w:szCs w:val="22"/>
          <w:lang w:val="sk-SK"/>
        </w:rPr>
        <w:t xml:space="preserve"> kožné testy je </w:t>
      </w:r>
      <w:proofErr w:type="spellStart"/>
      <w:r w:rsidR="007B0529">
        <w:rPr>
          <w:sz w:val="22"/>
          <w:szCs w:val="22"/>
          <w:lang w:val="sk-SK"/>
        </w:rPr>
        <w:t>inhibovaná</w:t>
      </w:r>
      <w:proofErr w:type="spellEnd"/>
      <w:r w:rsidRPr="00534A87">
        <w:rPr>
          <w:sz w:val="22"/>
          <w:szCs w:val="22"/>
          <w:lang w:val="sk-SK"/>
        </w:rPr>
        <w:t xml:space="preserve"> </w:t>
      </w:r>
      <w:proofErr w:type="spellStart"/>
      <w:r w:rsidRPr="00534A87">
        <w:rPr>
          <w:sz w:val="22"/>
          <w:szCs w:val="22"/>
          <w:lang w:val="sk-SK"/>
        </w:rPr>
        <w:t>antihistaminikami</w:t>
      </w:r>
      <w:proofErr w:type="spellEnd"/>
      <w:r w:rsidRPr="00534A87">
        <w:rPr>
          <w:sz w:val="22"/>
          <w:szCs w:val="22"/>
          <w:lang w:val="sk-SK"/>
        </w:rPr>
        <w:t xml:space="preserve"> a </w:t>
      </w:r>
      <w:r w:rsidR="007B0529" w:rsidRPr="00534A87">
        <w:rPr>
          <w:sz w:val="22"/>
          <w:szCs w:val="22"/>
          <w:lang w:val="sk-SK"/>
        </w:rPr>
        <w:t xml:space="preserve">pred ich uskutočnením </w:t>
      </w:r>
      <w:r w:rsidRPr="00534A87">
        <w:rPr>
          <w:sz w:val="22"/>
          <w:szCs w:val="22"/>
          <w:lang w:val="sk-SK"/>
        </w:rPr>
        <w:t xml:space="preserve">je </w:t>
      </w:r>
      <w:r w:rsidR="007B0529">
        <w:rPr>
          <w:sz w:val="22"/>
          <w:szCs w:val="22"/>
          <w:lang w:val="sk-SK"/>
        </w:rPr>
        <w:t>po</w:t>
      </w:r>
      <w:r w:rsidRPr="00534A87">
        <w:rPr>
          <w:sz w:val="22"/>
          <w:szCs w:val="22"/>
          <w:lang w:val="sk-SK"/>
        </w:rPr>
        <w:t>treb</w:t>
      </w:r>
      <w:r w:rsidR="007B0529">
        <w:rPr>
          <w:sz w:val="22"/>
          <w:szCs w:val="22"/>
          <w:lang w:val="sk-SK"/>
        </w:rPr>
        <w:t>né</w:t>
      </w:r>
      <w:r w:rsidRPr="00534A87">
        <w:rPr>
          <w:sz w:val="22"/>
          <w:szCs w:val="22"/>
          <w:lang w:val="sk-SK"/>
        </w:rPr>
        <w:t xml:space="preserve"> dodržať</w:t>
      </w:r>
      <w:r w:rsidR="007B0529">
        <w:rPr>
          <w:sz w:val="22"/>
          <w:szCs w:val="22"/>
          <w:lang w:val="sk-SK"/>
        </w:rPr>
        <w:t xml:space="preserve"> </w:t>
      </w:r>
      <w:r w:rsidRPr="00534A87">
        <w:rPr>
          <w:sz w:val="22"/>
          <w:szCs w:val="22"/>
          <w:lang w:val="sk-SK"/>
        </w:rPr>
        <w:t>fáz</w:t>
      </w:r>
      <w:r w:rsidR="007B0529">
        <w:rPr>
          <w:sz w:val="22"/>
          <w:szCs w:val="22"/>
          <w:lang w:val="sk-SK"/>
        </w:rPr>
        <w:t>u</w:t>
      </w:r>
      <w:r w:rsidRPr="00534A87">
        <w:rPr>
          <w:sz w:val="22"/>
          <w:szCs w:val="22"/>
          <w:lang w:val="sk-SK"/>
        </w:rPr>
        <w:t xml:space="preserve"> </w:t>
      </w:r>
      <w:r w:rsidR="007B0529">
        <w:rPr>
          <w:sz w:val="22"/>
          <w:szCs w:val="22"/>
          <w:lang w:val="sk-SK"/>
        </w:rPr>
        <w:t>prerušenia</w:t>
      </w:r>
      <w:r w:rsidRPr="00534A87">
        <w:rPr>
          <w:sz w:val="22"/>
          <w:szCs w:val="22"/>
          <w:lang w:val="sk-SK"/>
        </w:rPr>
        <w:t xml:space="preserve"> (3 dni)</w:t>
      </w:r>
      <w:r w:rsidR="007B0529" w:rsidRPr="00534A87">
        <w:rPr>
          <w:sz w:val="22"/>
          <w:szCs w:val="22"/>
          <w:lang w:val="sk-SK"/>
        </w:rPr>
        <w:t xml:space="preserve"> </w:t>
      </w:r>
      <w:r w:rsidR="007B0529">
        <w:rPr>
          <w:sz w:val="22"/>
          <w:szCs w:val="22"/>
          <w:lang w:val="sk-SK"/>
        </w:rPr>
        <w:t>(</w:t>
      </w:r>
      <w:r w:rsidR="007B0529" w:rsidRPr="00534A87">
        <w:rPr>
          <w:sz w:val="22"/>
          <w:szCs w:val="22"/>
          <w:lang w:val="sk-SK"/>
        </w:rPr>
        <w:t>"</w:t>
      </w:r>
      <w:proofErr w:type="spellStart"/>
      <w:r w:rsidR="007B0529" w:rsidRPr="00534A87">
        <w:rPr>
          <w:sz w:val="22"/>
          <w:szCs w:val="22"/>
          <w:lang w:val="sk-SK"/>
        </w:rPr>
        <w:t>wash-out</w:t>
      </w:r>
      <w:proofErr w:type="spellEnd"/>
      <w:r w:rsidR="007B0529" w:rsidRPr="00534A87">
        <w:rPr>
          <w:sz w:val="22"/>
          <w:szCs w:val="22"/>
          <w:lang w:val="sk-SK"/>
        </w:rPr>
        <w:t xml:space="preserve"> </w:t>
      </w:r>
      <w:proofErr w:type="spellStart"/>
      <w:r w:rsidR="007B0529" w:rsidRPr="00534A87">
        <w:rPr>
          <w:sz w:val="22"/>
          <w:szCs w:val="22"/>
          <w:lang w:val="sk-SK"/>
        </w:rPr>
        <w:t>period</w:t>
      </w:r>
      <w:proofErr w:type="spellEnd"/>
      <w:r w:rsidR="007B0529" w:rsidRPr="00534A87">
        <w:rPr>
          <w:sz w:val="22"/>
          <w:szCs w:val="22"/>
          <w:lang w:val="sk-SK"/>
        </w:rPr>
        <w:t>"</w:t>
      </w:r>
      <w:r w:rsidR="007B0529">
        <w:rPr>
          <w:sz w:val="22"/>
          <w:szCs w:val="22"/>
          <w:lang w:val="sk-SK"/>
        </w:rPr>
        <w:t>).</w:t>
      </w:r>
    </w:p>
    <w:p w:rsidR="00723791" w:rsidRDefault="00723791" w:rsidP="00127842">
      <w:pPr>
        <w:rPr>
          <w:sz w:val="22"/>
          <w:szCs w:val="22"/>
          <w:lang w:val="sk-SK"/>
        </w:rPr>
      </w:pPr>
    </w:p>
    <w:p w:rsidR="007B0529" w:rsidRDefault="007B0529" w:rsidP="007237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534A87">
        <w:rPr>
          <w:sz w:val="22"/>
          <w:szCs w:val="22"/>
          <w:lang w:val="sk-SK"/>
        </w:rPr>
        <w:t xml:space="preserve">eď sa </w:t>
      </w:r>
      <w:proofErr w:type="spellStart"/>
      <w:r w:rsidRPr="00534A87">
        <w:rPr>
          <w:sz w:val="22"/>
          <w:szCs w:val="22"/>
          <w:lang w:val="sk-SK"/>
        </w:rPr>
        <w:t>levocetirizín</w:t>
      </w:r>
      <w:proofErr w:type="spellEnd"/>
      <w:r w:rsidRPr="00534A87">
        <w:rPr>
          <w:sz w:val="22"/>
          <w:szCs w:val="22"/>
          <w:lang w:val="sk-SK"/>
        </w:rPr>
        <w:t xml:space="preserve"> prestane užívať</w:t>
      </w:r>
      <w:r>
        <w:rPr>
          <w:sz w:val="22"/>
          <w:szCs w:val="22"/>
          <w:lang w:val="sk-SK"/>
        </w:rPr>
        <w:t xml:space="preserve">, </w:t>
      </w:r>
      <w:r w:rsidRPr="00534A87">
        <w:rPr>
          <w:sz w:val="22"/>
          <w:szCs w:val="22"/>
          <w:lang w:val="sk-SK"/>
        </w:rPr>
        <w:t>môže sa objaviť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</w:t>
      </w:r>
      <w:r w:rsidR="002C5714">
        <w:rPr>
          <w:sz w:val="22"/>
          <w:szCs w:val="22"/>
          <w:lang w:val="sk-SK"/>
        </w:rPr>
        <w:t>ruritus</w:t>
      </w:r>
      <w:proofErr w:type="spellEnd"/>
      <w:r>
        <w:rPr>
          <w:sz w:val="22"/>
          <w:szCs w:val="22"/>
          <w:lang w:val="sk-SK"/>
        </w:rPr>
        <w:t>, aj</w:t>
      </w:r>
      <w:r w:rsidR="00723791" w:rsidRPr="00534A87">
        <w:rPr>
          <w:sz w:val="22"/>
          <w:szCs w:val="22"/>
          <w:lang w:val="sk-SK"/>
        </w:rPr>
        <w:t xml:space="preserve"> keď sa tieto príznaky nevyskytovali pred liečb</w:t>
      </w:r>
      <w:r>
        <w:rPr>
          <w:sz w:val="22"/>
          <w:szCs w:val="22"/>
          <w:lang w:val="sk-SK"/>
        </w:rPr>
        <w:t>ou</w:t>
      </w:r>
      <w:r w:rsidR="00723791" w:rsidRPr="00534A87">
        <w:rPr>
          <w:sz w:val="22"/>
          <w:szCs w:val="22"/>
          <w:lang w:val="sk-SK"/>
        </w:rPr>
        <w:t xml:space="preserve">. </w:t>
      </w:r>
      <w:r w:rsidRPr="007B0529">
        <w:rPr>
          <w:sz w:val="22"/>
          <w:szCs w:val="22"/>
          <w:lang w:val="sk-SK"/>
        </w:rPr>
        <w:t>Príznaky môžu samovoľne vymiznúť.</w:t>
      </w:r>
      <w:r w:rsidRPr="00534A87" w:rsidDel="007B052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</w:t>
      </w:r>
      <w:r w:rsidR="00723791" w:rsidRPr="00534A87">
        <w:rPr>
          <w:sz w:val="22"/>
          <w:szCs w:val="22"/>
          <w:lang w:val="sk-SK"/>
        </w:rPr>
        <w:t xml:space="preserve"> niektorých prípadoch </w:t>
      </w:r>
      <w:r>
        <w:rPr>
          <w:sz w:val="22"/>
          <w:szCs w:val="22"/>
          <w:lang w:val="sk-SK"/>
        </w:rPr>
        <w:t xml:space="preserve">môžu byť </w:t>
      </w:r>
      <w:r w:rsidR="00723791" w:rsidRPr="00534A87">
        <w:rPr>
          <w:sz w:val="22"/>
          <w:szCs w:val="22"/>
          <w:lang w:val="sk-SK"/>
        </w:rPr>
        <w:t xml:space="preserve">intenzívne </w:t>
      </w:r>
    </w:p>
    <w:p w:rsidR="00723791" w:rsidRDefault="00723791" w:rsidP="00723791">
      <w:pPr>
        <w:rPr>
          <w:sz w:val="22"/>
          <w:szCs w:val="22"/>
          <w:lang w:val="sk-SK"/>
        </w:rPr>
      </w:pPr>
      <w:r w:rsidRPr="00534A87">
        <w:rPr>
          <w:sz w:val="22"/>
          <w:szCs w:val="22"/>
          <w:lang w:val="sk-SK"/>
        </w:rPr>
        <w:t xml:space="preserve">a môžu vyžadovať </w:t>
      </w:r>
      <w:r w:rsidR="007B0529">
        <w:rPr>
          <w:sz w:val="22"/>
          <w:szCs w:val="22"/>
          <w:lang w:val="sk-SK"/>
        </w:rPr>
        <w:t>znovu začať s</w:t>
      </w:r>
      <w:r>
        <w:rPr>
          <w:sz w:val="22"/>
          <w:szCs w:val="22"/>
          <w:lang w:val="sk-SK"/>
        </w:rPr>
        <w:t xml:space="preserve"> liečb</w:t>
      </w:r>
      <w:r w:rsidR="007B0529">
        <w:rPr>
          <w:sz w:val="22"/>
          <w:szCs w:val="22"/>
          <w:lang w:val="sk-SK"/>
        </w:rPr>
        <w:t>ou</w:t>
      </w:r>
      <w:r w:rsidRPr="00534A87">
        <w:rPr>
          <w:sz w:val="22"/>
          <w:szCs w:val="22"/>
          <w:lang w:val="sk-SK"/>
        </w:rPr>
        <w:t xml:space="preserve">. </w:t>
      </w:r>
      <w:r w:rsidR="007B0529">
        <w:rPr>
          <w:sz w:val="22"/>
          <w:szCs w:val="22"/>
          <w:lang w:val="sk-SK"/>
        </w:rPr>
        <w:t>P</w:t>
      </w:r>
      <w:r w:rsidRPr="007B0529">
        <w:rPr>
          <w:sz w:val="22"/>
          <w:szCs w:val="22"/>
          <w:lang w:val="sk-SK"/>
        </w:rPr>
        <w:t>o opätov</w:t>
      </w:r>
      <w:r w:rsidRPr="00534A87">
        <w:rPr>
          <w:sz w:val="22"/>
          <w:szCs w:val="22"/>
          <w:lang w:val="sk-SK"/>
        </w:rPr>
        <w:t xml:space="preserve">nom začatí liečby </w:t>
      </w:r>
      <w:r w:rsidR="007B0529">
        <w:rPr>
          <w:sz w:val="22"/>
          <w:szCs w:val="22"/>
          <w:lang w:val="sk-SK"/>
        </w:rPr>
        <w:t xml:space="preserve">by </w:t>
      </w:r>
      <w:r w:rsidRPr="00534A87">
        <w:rPr>
          <w:sz w:val="22"/>
          <w:szCs w:val="22"/>
          <w:lang w:val="sk-SK"/>
        </w:rPr>
        <w:t xml:space="preserve">mali </w:t>
      </w:r>
      <w:r w:rsidR="007B0529">
        <w:rPr>
          <w:sz w:val="22"/>
          <w:szCs w:val="22"/>
          <w:lang w:val="sk-SK"/>
        </w:rPr>
        <w:t>príznaky vymiz</w:t>
      </w:r>
      <w:r>
        <w:rPr>
          <w:sz w:val="22"/>
          <w:szCs w:val="22"/>
          <w:lang w:val="sk-SK"/>
        </w:rPr>
        <w:t>núť</w:t>
      </w:r>
      <w:r w:rsidRPr="00534A87">
        <w:rPr>
          <w:sz w:val="22"/>
          <w:szCs w:val="22"/>
          <w:lang w:val="sk-SK"/>
        </w:rPr>
        <w:t>.</w:t>
      </w:r>
    </w:p>
    <w:p w:rsidR="00723791" w:rsidRDefault="00723791" w:rsidP="00127842">
      <w:pPr>
        <w:rPr>
          <w:sz w:val="22"/>
          <w:szCs w:val="22"/>
          <w:lang w:val="sk-SK"/>
        </w:rPr>
      </w:pPr>
    </w:p>
    <w:p w:rsidR="00127842" w:rsidRPr="00764013" w:rsidRDefault="00127842" w:rsidP="00127842">
      <w:pPr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Pediatrick</w:t>
      </w:r>
      <w:r>
        <w:rPr>
          <w:sz w:val="22"/>
          <w:szCs w:val="22"/>
          <w:u w:val="single"/>
          <w:lang w:val="sk-SK"/>
        </w:rPr>
        <w:t>á</w:t>
      </w:r>
      <w:r w:rsidRPr="00764013">
        <w:rPr>
          <w:sz w:val="22"/>
          <w:szCs w:val="22"/>
          <w:u w:val="single"/>
          <w:lang w:val="sk-SK"/>
        </w:rPr>
        <w:t xml:space="preserve"> populácia</w:t>
      </w:r>
    </w:p>
    <w:p w:rsidR="00127842" w:rsidRPr="00074698" w:rsidRDefault="00127842" w:rsidP="00127842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Aj keď sú k dispozícii </w:t>
      </w:r>
      <w:r w:rsidR="00951499">
        <w:rPr>
          <w:sz w:val="22"/>
          <w:szCs w:val="22"/>
          <w:lang w:val="sk-SK"/>
        </w:rPr>
        <w:t>určité</w:t>
      </w:r>
      <w:r w:rsidR="00951499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klinické údaje u detí vo veku od 6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mesiacov do 12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rokov (pozri časť 4.8, 5.1 a 5.2), tieto údaje nie sú dostatočné na podporu podávania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u dojčiat a batoliat vo veku do 2</w:t>
      </w:r>
      <w:r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rokov.</w:t>
      </w:r>
    </w:p>
    <w:p w:rsidR="000E5A13" w:rsidRPr="00074698" w:rsidRDefault="000E5A13" w:rsidP="003D723B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numPr>
          <w:ilvl w:val="1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Liekové a iné interakcie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S </w:t>
      </w:r>
      <w:proofErr w:type="spellStart"/>
      <w:r w:rsidRPr="00074698">
        <w:rPr>
          <w:sz w:val="22"/>
          <w:szCs w:val="22"/>
          <w:lang w:val="sk-SK"/>
        </w:rPr>
        <w:t>levocetirizínom</w:t>
      </w:r>
      <w:proofErr w:type="spellEnd"/>
      <w:r w:rsidRPr="00074698">
        <w:rPr>
          <w:sz w:val="22"/>
          <w:szCs w:val="22"/>
          <w:lang w:val="sk-SK"/>
        </w:rPr>
        <w:t xml:space="preserve"> sa neuskutočnili žiadne </w:t>
      </w:r>
      <w:r w:rsidR="006639DA" w:rsidRPr="00074698">
        <w:rPr>
          <w:sz w:val="22"/>
          <w:szCs w:val="22"/>
          <w:lang w:val="sk-SK"/>
        </w:rPr>
        <w:t xml:space="preserve">interakčné </w:t>
      </w:r>
      <w:r w:rsidRPr="00074698">
        <w:rPr>
          <w:sz w:val="22"/>
          <w:szCs w:val="22"/>
          <w:lang w:val="sk-SK"/>
        </w:rPr>
        <w:t xml:space="preserve">štúdie (vrátane žiadnych štúdií s CYP3A4 induktormi); štúdie s </w:t>
      </w:r>
      <w:proofErr w:type="spellStart"/>
      <w:r w:rsidRPr="00074698">
        <w:rPr>
          <w:sz w:val="22"/>
          <w:szCs w:val="22"/>
          <w:lang w:val="sk-SK"/>
        </w:rPr>
        <w:t>racemátom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cetirizínu</w:t>
      </w:r>
      <w:proofErr w:type="spellEnd"/>
      <w:r w:rsidRPr="00074698">
        <w:rPr>
          <w:sz w:val="22"/>
          <w:szCs w:val="22"/>
          <w:lang w:val="sk-SK"/>
        </w:rPr>
        <w:t xml:space="preserve"> preukázali, že sa nevyskytujú žiadne klinicky významné nežiaduce interakcie (</w:t>
      </w:r>
      <w:r w:rsidR="000E5A13" w:rsidRPr="00074698">
        <w:rPr>
          <w:sz w:val="22"/>
          <w:szCs w:val="22"/>
          <w:lang w:val="sk-SK"/>
        </w:rPr>
        <w:t>s </w:t>
      </w:r>
      <w:proofErr w:type="spellStart"/>
      <w:r w:rsidR="00B509AE" w:rsidRPr="00951499">
        <w:rPr>
          <w:sz w:val="22"/>
          <w:szCs w:val="22"/>
          <w:lang w:val="sk-SK"/>
        </w:rPr>
        <w:t>fenazónom</w:t>
      </w:r>
      <w:proofErr w:type="spellEnd"/>
      <w:r w:rsidR="000E5A13" w:rsidRPr="00074698">
        <w:rPr>
          <w:sz w:val="22"/>
          <w:szCs w:val="22"/>
          <w:lang w:val="sk-SK"/>
        </w:rPr>
        <w:t xml:space="preserve">, </w:t>
      </w:r>
      <w:proofErr w:type="spellStart"/>
      <w:r w:rsidR="00127842" w:rsidRPr="00074698">
        <w:rPr>
          <w:sz w:val="22"/>
          <w:szCs w:val="22"/>
          <w:lang w:val="sk-SK"/>
        </w:rPr>
        <w:t>azitromycínom</w:t>
      </w:r>
      <w:proofErr w:type="spellEnd"/>
      <w:r w:rsidR="00127842" w:rsidRPr="00074698">
        <w:rPr>
          <w:sz w:val="22"/>
          <w:szCs w:val="22"/>
          <w:lang w:val="sk-SK"/>
        </w:rPr>
        <w:t>,</w:t>
      </w:r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cimetidínom</w:t>
      </w:r>
      <w:proofErr w:type="spellEnd"/>
      <w:r w:rsidRPr="00074698">
        <w:rPr>
          <w:sz w:val="22"/>
          <w:szCs w:val="22"/>
          <w:lang w:val="sk-SK"/>
        </w:rPr>
        <w:t xml:space="preserve">, </w:t>
      </w:r>
      <w:proofErr w:type="spellStart"/>
      <w:r w:rsidR="00127842" w:rsidRPr="00074698">
        <w:rPr>
          <w:sz w:val="22"/>
          <w:szCs w:val="22"/>
          <w:lang w:val="sk-SK"/>
        </w:rPr>
        <w:t>diazepamom</w:t>
      </w:r>
      <w:proofErr w:type="spellEnd"/>
      <w:r w:rsidR="00127842">
        <w:rPr>
          <w:sz w:val="22"/>
          <w:szCs w:val="22"/>
          <w:lang w:val="sk-SK"/>
        </w:rPr>
        <w:t>,</w:t>
      </w:r>
      <w:r w:rsidR="00127842" w:rsidRPr="00074698">
        <w:rPr>
          <w:sz w:val="22"/>
          <w:szCs w:val="22"/>
          <w:lang w:val="sk-SK"/>
        </w:rPr>
        <w:t xml:space="preserve"> </w:t>
      </w:r>
      <w:proofErr w:type="spellStart"/>
      <w:r w:rsidR="00127842" w:rsidRPr="00074698">
        <w:rPr>
          <w:sz w:val="22"/>
          <w:szCs w:val="22"/>
          <w:lang w:val="sk-SK"/>
        </w:rPr>
        <w:t>erytromycínom</w:t>
      </w:r>
      <w:proofErr w:type="spellEnd"/>
      <w:r w:rsidR="00127842" w:rsidRPr="00074698">
        <w:rPr>
          <w:sz w:val="22"/>
          <w:szCs w:val="22"/>
          <w:lang w:val="sk-SK"/>
        </w:rPr>
        <w:t>,</w:t>
      </w:r>
      <w:r w:rsidR="00127842">
        <w:rPr>
          <w:sz w:val="22"/>
          <w:szCs w:val="22"/>
          <w:lang w:val="sk-SK"/>
        </w:rPr>
        <w:t xml:space="preserve"> </w:t>
      </w:r>
      <w:proofErr w:type="spellStart"/>
      <w:r w:rsidR="00127842" w:rsidRPr="00074698">
        <w:rPr>
          <w:sz w:val="22"/>
          <w:szCs w:val="22"/>
          <w:lang w:val="sk-SK"/>
        </w:rPr>
        <w:t>glipizidom</w:t>
      </w:r>
      <w:proofErr w:type="spellEnd"/>
      <w:r w:rsidR="00127842">
        <w:rPr>
          <w:sz w:val="22"/>
          <w:szCs w:val="22"/>
          <w:lang w:val="sk-SK"/>
        </w:rPr>
        <w:t>,</w:t>
      </w:r>
      <w:r w:rsidR="00127842"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ketokonazolom</w:t>
      </w:r>
      <w:proofErr w:type="spellEnd"/>
      <w:r w:rsidRPr="00074698">
        <w:rPr>
          <w:sz w:val="22"/>
          <w:szCs w:val="22"/>
          <w:lang w:val="sk-SK"/>
        </w:rPr>
        <w:t xml:space="preserve"> a </w:t>
      </w:r>
      <w:proofErr w:type="spellStart"/>
      <w:r w:rsidR="00127842" w:rsidRPr="00074698">
        <w:rPr>
          <w:sz w:val="22"/>
          <w:szCs w:val="22"/>
          <w:lang w:val="sk-SK"/>
        </w:rPr>
        <w:t>pseudoefedrínom</w:t>
      </w:r>
      <w:proofErr w:type="spellEnd"/>
      <w:r w:rsidRPr="00074698">
        <w:rPr>
          <w:sz w:val="22"/>
          <w:szCs w:val="22"/>
          <w:lang w:val="sk-SK"/>
        </w:rPr>
        <w:t xml:space="preserve">). V štúdii s opakovanými dávkami </w:t>
      </w:r>
      <w:proofErr w:type="spellStart"/>
      <w:r w:rsidRPr="00074698">
        <w:rPr>
          <w:sz w:val="22"/>
          <w:szCs w:val="22"/>
          <w:lang w:val="sk-SK"/>
        </w:rPr>
        <w:t>teofylínu</w:t>
      </w:r>
      <w:proofErr w:type="spellEnd"/>
      <w:r w:rsidRPr="00074698">
        <w:rPr>
          <w:sz w:val="22"/>
          <w:szCs w:val="22"/>
          <w:lang w:val="sk-SK"/>
        </w:rPr>
        <w:t xml:space="preserve"> (400</w:t>
      </w:r>
      <w:r w:rsidR="00B509A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mg raz denne) sa pozoroval malý pokles </w:t>
      </w:r>
      <w:proofErr w:type="spellStart"/>
      <w:r w:rsidRPr="00074698">
        <w:rPr>
          <w:sz w:val="22"/>
          <w:szCs w:val="22"/>
          <w:lang w:val="sk-SK"/>
        </w:rPr>
        <w:t>klírensu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cetirizínu</w:t>
      </w:r>
      <w:proofErr w:type="spellEnd"/>
      <w:r w:rsidRPr="00074698">
        <w:rPr>
          <w:sz w:val="22"/>
          <w:szCs w:val="22"/>
          <w:lang w:val="sk-SK"/>
        </w:rPr>
        <w:t xml:space="preserve"> (16</w:t>
      </w:r>
      <w:r w:rsidR="00B509A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%), zatiaľ čo dostupnosť </w:t>
      </w:r>
      <w:proofErr w:type="spellStart"/>
      <w:r w:rsidRPr="00074698">
        <w:rPr>
          <w:sz w:val="22"/>
          <w:szCs w:val="22"/>
          <w:lang w:val="sk-SK"/>
        </w:rPr>
        <w:t>teofylínu</w:t>
      </w:r>
      <w:proofErr w:type="spellEnd"/>
      <w:r w:rsidRPr="00074698">
        <w:rPr>
          <w:sz w:val="22"/>
          <w:szCs w:val="22"/>
          <w:lang w:val="sk-SK"/>
        </w:rPr>
        <w:t xml:space="preserve"> sa súbežným podávaním s </w:t>
      </w:r>
      <w:proofErr w:type="spellStart"/>
      <w:r w:rsidRPr="00074698">
        <w:rPr>
          <w:sz w:val="22"/>
          <w:szCs w:val="22"/>
          <w:lang w:val="sk-SK"/>
        </w:rPr>
        <w:t>cetirizínom</w:t>
      </w:r>
      <w:proofErr w:type="spellEnd"/>
      <w:r w:rsidRPr="00074698">
        <w:rPr>
          <w:sz w:val="22"/>
          <w:szCs w:val="22"/>
          <w:lang w:val="sk-SK"/>
        </w:rPr>
        <w:t xml:space="preserve"> nemenila.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  <w:r w:rsidRPr="00074698">
        <w:rPr>
          <w:sz w:val="22"/>
          <w:szCs w:val="22"/>
        </w:rPr>
        <w:t xml:space="preserve">V štúdii s viacnásobnými dávkami </w:t>
      </w:r>
      <w:proofErr w:type="spellStart"/>
      <w:r w:rsidRPr="00074698">
        <w:rPr>
          <w:sz w:val="22"/>
          <w:szCs w:val="22"/>
        </w:rPr>
        <w:t>ritonaviru</w:t>
      </w:r>
      <w:proofErr w:type="spellEnd"/>
      <w:r w:rsidRPr="00074698">
        <w:rPr>
          <w:sz w:val="22"/>
          <w:szCs w:val="22"/>
        </w:rPr>
        <w:t xml:space="preserve"> (600</w:t>
      </w:r>
      <w:r w:rsidR="00B509AE" w:rsidRPr="00074698">
        <w:rPr>
          <w:sz w:val="22"/>
          <w:szCs w:val="22"/>
        </w:rPr>
        <w:t> </w:t>
      </w:r>
      <w:r w:rsidRPr="00074698">
        <w:rPr>
          <w:sz w:val="22"/>
          <w:szCs w:val="22"/>
        </w:rPr>
        <w:t>mg dvakrát denne) a </w:t>
      </w:r>
      <w:proofErr w:type="spellStart"/>
      <w:r w:rsidRPr="00074698">
        <w:rPr>
          <w:sz w:val="22"/>
          <w:szCs w:val="22"/>
        </w:rPr>
        <w:t>cetirizínu</w:t>
      </w:r>
      <w:proofErr w:type="spellEnd"/>
      <w:r w:rsidRPr="00074698">
        <w:rPr>
          <w:sz w:val="22"/>
          <w:szCs w:val="22"/>
        </w:rPr>
        <w:t xml:space="preserve"> (10</w:t>
      </w:r>
      <w:r w:rsidR="00B509AE" w:rsidRPr="00074698">
        <w:rPr>
          <w:sz w:val="22"/>
          <w:szCs w:val="22"/>
        </w:rPr>
        <w:t> </w:t>
      </w:r>
      <w:r w:rsidRPr="00074698">
        <w:rPr>
          <w:sz w:val="22"/>
          <w:szCs w:val="22"/>
        </w:rPr>
        <w:t xml:space="preserve">mg denne) bol rozsah expozície </w:t>
      </w:r>
      <w:proofErr w:type="spellStart"/>
      <w:r w:rsidRPr="00074698">
        <w:rPr>
          <w:sz w:val="22"/>
          <w:szCs w:val="22"/>
        </w:rPr>
        <w:t>cetirizínu</w:t>
      </w:r>
      <w:proofErr w:type="spellEnd"/>
      <w:r w:rsidRPr="00074698">
        <w:rPr>
          <w:sz w:val="22"/>
          <w:szCs w:val="22"/>
        </w:rPr>
        <w:t xml:space="preserve"> zvýšený o približne 40 %, zatiaľ čo dispozícia </w:t>
      </w:r>
      <w:proofErr w:type="spellStart"/>
      <w:r w:rsidRPr="00074698">
        <w:rPr>
          <w:sz w:val="22"/>
          <w:szCs w:val="22"/>
        </w:rPr>
        <w:t>ritonaviru</w:t>
      </w:r>
      <w:proofErr w:type="spellEnd"/>
      <w:r w:rsidRPr="00074698">
        <w:rPr>
          <w:sz w:val="22"/>
          <w:szCs w:val="22"/>
        </w:rPr>
        <w:t xml:space="preserve"> bola nepatrne zmenená (-11 %) ďalším súbežným podávaním </w:t>
      </w:r>
      <w:proofErr w:type="spellStart"/>
      <w:r w:rsidRPr="00074698">
        <w:rPr>
          <w:sz w:val="22"/>
          <w:szCs w:val="22"/>
        </w:rPr>
        <w:t>cetirizínu</w:t>
      </w:r>
      <w:proofErr w:type="spellEnd"/>
      <w:r w:rsidRPr="00074698">
        <w:rPr>
          <w:sz w:val="22"/>
          <w:szCs w:val="22"/>
        </w:rPr>
        <w:t>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3D723B" w:rsidRPr="00074698" w:rsidRDefault="006639DA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Miera </w:t>
      </w:r>
      <w:r w:rsidR="003D723B" w:rsidRPr="00074698">
        <w:rPr>
          <w:sz w:val="22"/>
          <w:szCs w:val="22"/>
          <w:lang w:val="sk-SK"/>
        </w:rPr>
        <w:t xml:space="preserve">absorpcie </w:t>
      </w:r>
      <w:proofErr w:type="spellStart"/>
      <w:r w:rsidR="003D723B" w:rsidRPr="00074698">
        <w:rPr>
          <w:sz w:val="22"/>
          <w:szCs w:val="22"/>
          <w:lang w:val="sk-SK"/>
        </w:rPr>
        <w:t>levocetirizínu</w:t>
      </w:r>
      <w:proofErr w:type="spellEnd"/>
      <w:r w:rsidR="003D723B" w:rsidRPr="00074698">
        <w:rPr>
          <w:sz w:val="22"/>
          <w:szCs w:val="22"/>
          <w:lang w:val="sk-SK"/>
        </w:rPr>
        <w:t xml:space="preserve"> nie je </w:t>
      </w:r>
      <w:r w:rsidRPr="00074698">
        <w:rPr>
          <w:sz w:val="22"/>
          <w:szCs w:val="22"/>
          <w:lang w:val="sk-SK"/>
        </w:rPr>
        <w:t xml:space="preserve">znížená </w:t>
      </w:r>
      <w:r w:rsidR="003D723B" w:rsidRPr="00074698">
        <w:rPr>
          <w:sz w:val="22"/>
          <w:szCs w:val="22"/>
          <w:lang w:val="sk-SK"/>
        </w:rPr>
        <w:t>jedlom, znižuje sa však rýchlosť absorpcie.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U citlivých pacientov môže súbežné podávanie </w:t>
      </w:r>
      <w:proofErr w:type="spellStart"/>
      <w:r w:rsidRPr="00074698">
        <w:rPr>
          <w:sz w:val="22"/>
          <w:szCs w:val="22"/>
          <w:lang w:val="sk-SK"/>
        </w:rPr>
        <w:t>cetirizínu</w:t>
      </w:r>
      <w:proofErr w:type="spellEnd"/>
      <w:r w:rsidRPr="00074698">
        <w:rPr>
          <w:sz w:val="22"/>
          <w:szCs w:val="22"/>
          <w:lang w:val="sk-SK"/>
        </w:rPr>
        <w:t xml:space="preserve"> alebo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a alkoholu alebo iných </w:t>
      </w:r>
      <w:r w:rsidR="00B509AE" w:rsidRPr="00074698">
        <w:rPr>
          <w:sz w:val="22"/>
          <w:szCs w:val="22"/>
          <w:lang w:val="sk-SK"/>
        </w:rPr>
        <w:t>liekov s tlmivým účinkom na</w:t>
      </w:r>
      <w:r w:rsidR="00B509AE" w:rsidRPr="00074698" w:rsidDel="00B509AE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CNS </w:t>
      </w:r>
      <w:r w:rsidR="001C142F">
        <w:rPr>
          <w:sz w:val="22"/>
          <w:szCs w:val="22"/>
          <w:lang w:val="sk-SK"/>
        </w:rPr>
        <w:t>vyvolať ďalšie zníženie pozornosti a výkonnosti</w:t>
      </w:r>
      <w:r w:rsidRPr="00074698">
        <w:rPr>
          <w:sz w:val="22"/>
          <w:szCs w:val="22"/>
          <w:lang w:val="sk-SK"/>
        </w:rPr>
        <w:t>.</w:t>
      </w: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sz w:val="22"/>
          <w:szCs w:val="22"/>
          <w:lang w:val="sk-SK"/>
        </w:rPr>
      </w:pPr>
      <w:bookmarkStart w:id="0" w:name="OLE_LINK1"/>
      <w:r w:rsidRPr="00074698">
        <w:rPr>
          <w:b/>
          <w:sz w:val="22"/>
          <w:szCs w:val="22"/>
          <w:lang w:val="sk-SK"/>
        </w:rPr>
        <w:t>4.6</w:t>
      </w:r>
      <w:bookmarkEnd w:id="0"/>
      <w:r w:rsidRPr="00074698">
        <w:rPr>
          <w:b/>
          <w:sz w:val="22"/>
          <w:szCs w:val="22"/>
          <w:lang w:val="sk-SK"/>
        </w:rPr>
        <w:tab/>
      </w:r>
      <w:proofErr w:type="spellStart"/>
      <w:r w:rsidR="00127842">
        <w:rPr>
          <w:b/>
          <w:sz w:val="22"/>
          <w:szCs w:val="22"/>
          <w:lang w:val="sk-SK"/>
        </w:rPr>
        <w:t>Fertilita</w:t>
      </w:r>
      <w:proofErr w:type="spellEnd"/>
      <w:r w:rsidR="00127842">
        <w:rPr>
          <w:b/>
          <w:sz w:val="22"/>
          <w:szCs w:val="22"/>
          <w:lang w:val="sk-SK"/>
        </w:rPr>
        <w:t>, g</w:t>
      </w:r>
      <w:r w:rsidRPr="00074698">
        <w:rPr>
          <w:b/>
          <w:sz w:val="22"/>
          <w:szCs w:val="22"/>
          <w:lang w:val="sk-SK"/>
        </w:rPr>
        <w:t>ravidita a laktácia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127842" w:rsidRPr="00764013" w:rsidRDefault="00127842" w:rsidP="009542D3">
      <w:pPr>
        <w:jc w:val="both"/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Gravidita</w:t>
      </w:r>
    </w:p>
    <w:p w:rsidR="003D723B" w:rsidRPr="00074698" w:rsidRDefault="00127842" w:rsidP="009542D3">
      <w:pPr>
        <w:jc w:val="both"/>
        <w:rPr>
          <w:sz w:val="22"/>
          <w:szCs w:val="22"/>
          <w:lang w:val="sk-SK"/>
        </w:rPr>
      </w:pPr>
      <w:r w:rsidRPr="00127842">
        <w:rPr>
          <w:sz w:val="22"/>
          <w:szCs w:val="22"/>
          <w:lang w:val="sk-SK"/>
        </w:rPr>
        <w:t xml:space="preserve">Nie sú k dispozícii alebo je iba obmedzené množstvo údajov (menej ako 300 ukončených gravidít) o použití </w:t>
      </w:r>
      <w:proofErr w:type="spellStart"/>
      <w:r>
        <w:rPr>
          <w:sz w:val="22"/>
          <w:szCs w:val="22"/>
          <w:lang w:val="sk-SK"/>
        </w:rPr>
        <w:t>levocetirizínu</w:t>
      </w:r>
      <w:proofErr w:type="spellEnd"/>
      <w:r w:rsidRPr="00127842">
        <w:rPr>
          <w:sz w:val="22"/>
          <w:szCs w:val="22"/>
          <w:lang w:val="sk-SK"/>
        </w:rPr>
        <w:t xml:space="preserve"> u gravidných žien.</w:t>
      </w:r>
      <w:r w:rsidR="003D723B" w:rsidRPr="000746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Avšak pre </w:t>
      </w:r>
      <w:proofErr w:type="spellStart"/>
      <w:r>
        <w:rPr>
          <w:sz w:val="22"/>
          <w:szCs w:val="22"/>
          <w:lang w:val="sk-SK"/>
        </w:rPr>
        <w:t>cetirizín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racemát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levocetirizínu</w:t>
      </w:r>
      <w:proofErr w:type="spellEnd"/>
      <w:r>
        <w:rPr>
          <w:sz w:val="22"/>
          <w:szCs w:val="22"/>
          <w:lang w:val="sk-SK"/>
        </w:rPr>
        <w:t>, v</w:t>
      </w:r>
      <w:r w:rsidRPr="00127842">
        <w:rPr>
          <w:sz w:val="22"/>
          <w:szCs w:val="22"/>
          <w:lang w:val="sk-SK"/>
        </w:rPr>
        <w:t>eľké množstvo údajov u gravidných žien (viac ako 1</w:t>
      </w:r>
      <w:r>
        <w:rPr>
          <w:sz w:val="22"/>
          <w:szCs w:val="22"/>
          <w:lang w:val="sk-SK"/>
        </w:rPr>
        <w:t> </w:t>
      </w:r>
      <w:r w:rsidRPr="00127842">
        <w:rPr>
          <w:sz w:val="22"/>
          <w:szCs w:val="22"/>
          <w:lang w:val="sk-SK"/>
        </w:rPr>
        <w:t>000 ukončených gravidít) nepoukazuj</w:t>
      </w:r>
      <w:r w:rsidR="00C14886">
        <w:rPr>
          <w:sz w:val="22"/>
          <w:szCs w:val="22"/>
          <w:lang w:val="sk-SK"/>
        </w:rPr>
        <w:t>e</w:t>
      </w:r>
      <w:r w:rsidRPr="00127842">
        <w:rPr>
          <w:sz w:val="22"/>
          <w:szCs w:val="22"/>
          <w:lang w:val="sk-SK"/>
        </w:rPr>
        <w:t xml:space="preserve"> na </w:t>
      </w:r>
      <w:proofErr w:type="spellStart"/>
      <w:r w:rsidRPr="00127842">
        <w:rPr>
          <w:sz w:val="22"/>
          <w:szCs w:val="22"/>
          <w:lang w:val="sk-SK"/>
        </w:rPr>
        <w:t>malformácie</w:t>
      </w:r>
      <w:proofErr w:type="spellEnd"/>
      <w:r w:rsidRPr="00127842">
        <w:rPr>
          <w:sz w:val="22"/>
          <w:szCs w:val="22"/>
          <w:lang w:val="sk-SK"/>
        </w:rPr>
        <w:t xml:space="preserve"> ani </w:t>
      </w:r>
      <w:proofErr w:type="spellStart"/>
      <w:r w:rsidRPr="00127842">
        <w:rPr>
          <w:sz w:val="22"/>
          <w:szCs w:val="22"/>
          <w:lang w:val="sk-SK"/>
        </w:rPr>
        <w:t>fetálnu</w:t>
      </w:r>
      <w:proofErr w:type="spellEnd"/>
      <w:r w:rsidRPr="00127842">
        <w:rPr>
          <w:sz w:val="22"/>
          <w:szCs w:val="22"/>
          <w:lang w:val="sk-SK"/>
        </w:rPr>
        <w:t>/</w:t>
      </w:r>
      <w:proofErr w:type="spellStart"/>
      <w:r w:rsidRPr="00127842">
        <w:rPr>
          <w:sz w:val="22"/>
          <w:szCs w:val="22"/>
          <w:lang w:val="sk-SK"/>
        </w:rPr>
        <w:t>neonatálnu</w:t>
      </w:r>
      <w:proofErr w:type="spellEnd"/>
      <w:r w:rsidRPr="00127842">
        <w:rPr>
          <w:sz w:val="22"/>
          <w:szCs w:val="22"/>
          <w:lang w:val="sk-SK"/>
        </w:rPr>
        <w:t xml:space="preserve"> toxicitu</w:t>
      </w:r>
      <w:r>
        <w:rPr>
          <w:sz w:val="22"/>
          <w:szCs w:val="22"/>
          <w:lang w:val="sk-SK"/>
        </w:rPr>
        <w:t xml:space="preserve">. </w:t>
      </w:r>
      <w:r w:rsidR="003D723B" w:rsidRPr="00074698">
        <w:rPr>
          <w:sz w:val="22"/>
          <w:szCs w:val="22"/>
          <w:lang w:val="sk-SK"/>
        </w:rPr>
        <w:t>Štúdie na zvieratách nepreukázali priame alebo nepriame škodlivé účinky na graviditu</w:t>
      </w:r>
      <w:r w:rsidR="003D723B" w:rsidRPr="00074698">
        <w:rPr>
          <w:b/>
          <w:i/>
          <w:sz w:val="22"/>
          <w:szCs w:val="22"/>
          <w:lang w:val="sk-SK"/>
        </w:rPr>
        <w:t xml:space="preserve">, </w:t>
      </w:r>
      <w:r w:rsidR="003D723B" w:rsidRPr="00074698">
        <w:rPr>
          <w:sz w:val="22"/>
          <w:szCs w:val="22"/>
          <w:lang w:val="sk-SK"/>
        </w:rPr>
        <w:t>embryonálny/</w:t>
      </w:r>
      <w:proofErr w:type="spellStart"/>
      <w:r w:rsidR="003D723B" w:rsidRPr="00074698">
        <w:rPr>
          <w:sz w:val="22"/>
          <w:szCs w:val="22"/>
          <w:lang w:val="sk-SK"/>
        </w:rPr>
        <w:t>fetálny</w:t>
      </w:r>
      <w:proofErr w:type="spellEnd"/>
      <w:r w:rsidR="003D723B" w:rsidRPr="00074698">
        <w:rPr>
          <w:sz w:val="22"/>
          <w:szCs w:val="22"/>
          <w:lang w:val="sk-SK"/>
        </w:rPr>
        <w:t xml:space="preserve"> vývoj, pôrod alebo </w:t>
      </w:r>
      <w:proofErr w:type="spellStart"/>
      <w:r w:rsidR="003D723B" w:rsidRPr="00074698">
        <w:rPr>
          <w:sz w:val="22"/>
          <w:szCs w:val="22"/>
          <w:lang w:val="sk-SK"/>
        </w:rPr>
        <w:t>postnatálny</w:t>
      </w:r>
      <w:proofErr w:type="spellEnd"/>
      <w:r w:rsidR="003D723B" w:rsidRPr="00074698">
        <w:rPr>
          <w:sz w:val="22"/>
          <w:szCs w:val="22"/>
          <w:lang w:val="sk-SK"/>
        </w:rPr>
        <w:t xml:space="preserve"> vývoj</w:t>
      </w:r>
      <w:r>
        <w:rPr>
          <w:sz w:val="22"/>
          <w:szCs w:val="22"/>
          <w:lang w:val="sk-SK"/>
        </w:rPr>
        <w:t xml:space="preserve"> (pozri časť 5.3)</w:t>
      </w:r>
      <w:r w:rsidR="003D723B" w:rsidRPr="00074698">
        <w:rPr>
          <w:sz w:val="22"/>
          <w:szCs w:val="22"/>
          <w:lang w:val="sk-SK"/>
        </w:rPr>
        <w:t>.</w:t>
      </w:r>
    </w:p>
    <w:p w:rsidR="003D723B" w:rsidRDefault="001C142F" w:rsidP="009542D3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127842" w:rsidRPr="00127842">
        <w:rPr>
          <w:sz w:val="22"/>
          <w:szCs w:val="22"/>
          <w:lang w:val="sk-SK"/>
        </w:rPr>
        <w:t>oužit</w:t>
      </w:r>
      <w:r>
        <w:rPr>
          <w:sz w:val="22"/>
          <w:szCs w:val="22"/>
          <w:lang w:val="sk-SK"/>
        </w:rPr>
        <w:t>ie</w:t>
      </w:r>
      <w:r w:rsidR="00127842" w:rsidRPr="00127842">
        <w:rPr>
          <w:sz w:val="22"/>
          <w:szCs w:val="22"/>
          <w:lang w:val="sk-SK"/>
        </w:rPr>
        <w:t xml:space="preserve"> </w:t>
      </w:r>
      <w:proofErr w:type="spellStart"/>
      <w:r w:rsidR="00127842">
        <w:rPr>
          <w:sz w:val="22"/>
          <w:szCs w:val="22"/>
          <w:lang w:val="sk-SK"/>
        </w:rPr>
        <w:t>levocetirizínu</w:t>
      </w:r>
      <w:proofErr w:type="spellEnd"/>
      <w:r w:rsidR="00127842">
        <w:rPr>
          <w:sz w:val="22"/>
          <w:szCs w:val="22"/>
          <w:lang w:val="sk-SK"/>
        </w:rPr>
        <w:t xml:space="preserve"> </w:t>
      </w:r>
      <w:r w:rsidR="00127842" w:rsidRPr="00127842">
        <w:rPr>
          <w:sz w:val="22"/>
          <w:szCs w:val="22"/>
          <w:lang w:val="sk-SK"/>
        </w:rPr>
        <w:t xml:space="preserve">počas gravidity sa má </w:t>
      </w:r>
      <w:r>
        <w:rPr>
          <w:sz w:val="22"/>
          <w:szCs w:val="22"/>
          <w:lang w:val="sk-SK"/>
        </w:rPr>
        <w:t>z</w:t>
      </w:r>
      <w:r w:rsidR="00127842" w:rsidRPr="00127842">
        <w:rPr>
          <w:sz w:val="22"/>
          <w:szCs w:val="22"/>
          <w:lang w:val="sk-SK"/>
        </w:rPr>
        <w:t>važovať, iba ak je to nevyhnutné.</w:t>
      </w:r>
    </w:p>
    <w:p w:rsidR="00127842" w:rsidRDefault="00127842" w:rsidP="009542D3">
      <w:pPr>
        <w:rPr>
          <w:b/>
          <w:sz w:val="22"/>
          <w:szCs w:val="22"/>
          <w:lang w:val="sk-SK"/>
        </w:rPr>
      </w:pPr>
    </w:p>
    <w:p w:rsidR="00127842" w:rsidRPr="00764013" w:rsidRDefault="00EA57E7" w:rsidP="009542D3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C333CE" w:rsidRDefault="00C333CE" w:rsidP="009542D3">
      <w:pPr>
        <w:rPr>
          <w:sz w:val="22"/>
          <w:szCs w:val="22"/>
          <w:lang w:val="sk-SK"/>
        </w:rPr>
      </w:pPr>
      <w:r w:rsidRPr="00764013">
        <w:rPr>
          <w:sz w:val="22"/>
          <w:szCs w:val="22"/>
          <w:lang w:val="sk-SK"/>
        </w:rPr>
        <w:t xml:space="preserve">Preukázalo sa, že </w:t>
      </w:r>
      <w:proofErr w:type="spellStart"/>
      <w:r w:rsidRPr="00764013">
        <w:rPr>
          <w:sz w:val="22"/>
          <w:szCs w:val="22"/>
          <w:lang w:val="sk-SK"/>
        </w:rPr>
        <w:t>cetirizín</w:t>
      </w:r>
      <w:proofErr w:type="spellEnd"/>
      <w:r w:rsidRPr="00764013">
        <w:rPr>
          <w:sz w:val="22"/>
          <w:szCs w:val="22"/>
          <w:lang w:val="sk-SK"/>
        </w:rPr>
        <w:t xml:space="preserve">, </w:t>
      </w:r>
      <w:proofErr w:type="spellStart"/>
      <w:r w:rsidRPr="00764013">
        <w:rPr>
          <w:sz w:val="22"/>
          <w:szCs w:val="22"/>
          <w:lang w:val="sk-SK"/>
        </w:rPr>
        <w:t>racemát</w:t>
      </w:r>
      <w:proofErr w:type="spellEnd"/>
      <w:r w:rsidRPr="00764013">
        <w:rPr>
          <w:sz w:val="22"/>
          <w:szCs w:val="22"/>
          <w:lang w:val="sk-SK"/>
        </w:rPr>
        <w:t xml:space="preserve"> </w:t>
      </w:r>
      <w:proofErr w:type="spellStart"/>
      <w:r w:rsidRPr="00764013">
        <w:rPr>
          <w:sz w:val="22"/>
          <w:szCs w:val="22"/>
          <w:lang w:val="sk-SK"/>
        </w:rPr>
        <w:t>levocetirizínu</w:t>
      </w:r>
      <w:proofErr w:type="spellEnd"/>
      <w:r w:rsidRPr="00764013">
        <w:rPr>
          <w:sz w:val="22"/>
          <w:szCs w:val="22"/>
          <w:lang w:val="sk-SK"/>
        </w:rPr>
        <w:t>, sa vylučuje do</w:t>
      </w:r>
      <w:r w:rsidR="000910F5">
        <w:rPr>
          <w:sz w:val="22"/>
          <w:szCs w:val="22"/>
          <w:lang w:val="sk-SK"/>
        </w:rPr>
        <w:t xml:space="preserve"> </w:t>
      </w:r>
      <w:r w:rsidR="001C142F" w:rsidRPr="00677A8D">
        <w:rPr>
          <w:sz w:val="22"/>
          <w:szCs w:val="22"/>
          <w:lang w:val="sk-SK"/>
        </w:rPr>
        <w:t>m</w:t>
      </w:r>
      <w:r w:rsidR="001C142F">
        <w:rPr>
          <w:sz w:val="22"/>
          <w:szCs w:val="22"/>
          <w:lang w:val="sk-SK"/>
        </w:rPr>
        <w:t>ater</w:t>
      </w:r>
      <w:r w:rsidR="000910F5">
        <w:rPr>
          <w:sz w:val="22"/>
          <w:szCs w:val="22"/>
          <w:lang w:val="sk-SK"/>
        </w:rPr>
        <w:t>ského</w:t>
      </w:r>
      <w:r w:rsidRPr="00764013">
        <w:rPr>
          <w:sz w:val="22"/>
          <w:szCs w:val="22"/>
          <w:lang w:val="sk-SK"/>
        </w:rPr>
        <w:t xml:space="preserve"> mlieka.</w:t>
      </w:r>
      <w:r>
        <w:rPr>
          <w:sz w:val="22"/>
          <w:szCs w:val="22"/>
          <w:lang w:val="sk-SK"/>
        </w:rPr>
        <w:t xml:space="preserve"> Preto je vylučovanie </w:t>
      </w:r>
      <w:proofErr w:type="spellStart"/>
      <w:r>
        <w:rPr>
          <w:sz w:val="22"/>
          <w:szCs w:val="22"/>
          <w:lang w:val="sk-SK"/>
        </w:rPr>
        <w:t>levocetirizínu</w:t>
      </w:r>
      <w:proofErr w:type="spellEnd"/>
      <w:r>
        <w:rPr>
          <w:sz w:val="22"/>
          <w:szCs w:val="22"/>
          <w:lang w:val="sk-SK"/>
        </w:rPr>
        <w:t xml:space="preserve"> do</w:t>
      </w:r>
      <w:r w:rsidR="000910F5">
        <w:rPr>
          <w:sz w:val="22"/>
          <w:szCs w:val="22"/>
          <w:lang w:val="sk-SK"/>
        </w:rPr>
        <w:t xml:space="preserve"> </w:t>
      </w:r>
      <w:r w:rsidR="003C05A6" w:rsidRPr="00677A8D">
        <w:rPr>
          <w:sz w:val="22"/>
          <w:szCs w:val="22"/>
          <w:lang w:val="sk-SK"/>
        </w:rPr>
        <w:t>ľud</w:t>
      </w:r>
      <w:r w:rsidR="003C05A6">
        <w:rPr>
          <w:sz w:val="22"/>
          <w:szCs w:val="22"/>
          <w:lang w:val="sk-SK"/>
        </w:rPr>
        <w:t xml:space="preserve">ského </w:t>
      </w:r>
      <w:r w:rsidR="001C142F">
        <w:rPr>
          <w:sz w:val="22"/>
          <w:szCs w:val="22"/>
          <w:lang w:val="sk-SK"/>
        </w:rPr>
        <w:t>mater</w:t>
      </w:r>
      <w:r w:rsidR="000910F5">
        <w:rPr>
          <w:sz w:val="22"/>
          <w:szCs w:val="22"/>
          <w:lang w:val="sk-SK"/>
        </w:rPr>
        <w:t>ského</w:t>
      </w:r>
      <w:r>
        <w:rPr>
          <w:sz w:val="22"/>
          <w:szCs w:val="22"/>
          <w:lang w:val="sk-SK"/>
        </w:rPr>
        <w:t xml:space="preserve"> mlieka</w:t>
      </w:r>
      <w:r w:rsidR="00951499" w:rsidRPr="00951499">
        <w:rPr>
          <w:sz w:val="22"/>
          <w:szCs w:val="22"/>
          <w:lang w:val="sk-SK"/>
        </w:rPr>
        <w:t xml:space="preserve"> </w:t>
      </w:r>
      <w:r w:rsidR="00951499">
        <w:rPr>
          <w:sz w:val="22"/>
          <w:szCs w:val="22"/>
          <w:lang w:val="sk-SK"/>
        </w:rPr>
        <w:t>pravdepodobné</w:t>
      </w:r>
      <w:r>
        <w:rPr>
          <w:sz w:val="22"/>
          <w:szCs w:val="22"/>
          <w:lang w:val="sk-SK"/>
        </w:rPr>
        <w:t xml:space="preserve">. Nežiaduce reakcie </w:t>
      </w:r>
      <w:r>
        <w:rPr>
          <w:sz w:val="22"/>
          <w:szCs w:val="22"/>
          <w:lang w:val="sk-SK"/>
        </w:rPr>
        <w:lastRenderedPageBreak/>
        <w:t>súvisiace s </w:t>
      </w:r>
      <w:proofErr w:type="spellStart"/>
      <w:r>
        <w:rPr>
          <w:sz w:val="22"/>
          <w:szCs w:val="22"/>
          <w:lang w:val="sk-SK"/>
        </w:rPr>
        <w:t>levocetirizínom</w:t>
      </w:r>
      <w:proofErr w:type="spellEnd"/>
      <w:r>
        <w:rPr>
          <w:sz w:val="22"/>
          <w:szCs w:val="22"/>
          <w:lang w:val="sk-SK"/>
        </w:rPr>
        <w:t xml:space="preserve"> sa môžu pozorovať u dojčených detí. Preto je potrebná opatrnosť pri predpisovaní </w:t>
      </w:r>
      <w:proofErr w:type="spellStart"/>
      <w:r>
        <w:rPr>
          <w:sz w:val="22"/>
          <w:szCs w:val="22"/>
          <w:lang w:val="sk-SK"/>
        </w:rPr>
        <w:t>levocetirizínu</w:t>
      </w:r>
      <w:proofErr w:type="spellEnd"/>
      <w:r>
        <w:rPr>
          <w:sz w:val="22"/>
          <w:szCs w:val="22"/>
          <w:lang w:val="sk-SK"/>
        </w:rPr>
        <w:t xml:space="preserve"> dojčiacim ženám.</w:t>
      </w:r>
    </w:p>
    <w:p w:rsidR="00C333CE" w:rsidRDefault="00C333CE" w:rsidP="009542D3">
      <w:pPr>
        <w:rPr>
          <w:sz w:val="22"/>
          <w:szCs w:val="22"/>
          <w:lang w:val="sk-SK"/>
        </w:rPr>
      </w:pPr>
    </w:p>
    <w:p w:rsidR="00C333CE" w:rsidRPr="00764013" w:rsidRDefault="00C333CE" w:rsidP="009542D3">
      <w:pPr>
        <w:rPr>
          <w:sz w:val="22"/>
          <w:szCs w:val="22"/>
          <w:u w:val="single"/>
          <w:lang w:val="sk-SK"/>
        </w:rPr>
      </w:pPr>
      <w:proofErr w:type="spellStart"/>
      <w:r w:rsidRPr="00764013">
        <w:rPr>
          <w:sz w:val="22"/>
          <w:szCs w:val="22"/>
          <w:u w:val="single"/>
          <w:lang w:val="sk-SK"/>
        </w:rPr>
        <w:t>Fe</w:t>
      </w:r>
      <w:r w:rsidR="00EA57E7">
        <w:rPr>
          <w:sz w:val="22"/>
          <w:szCs w:val="22"/>
          <w:u w:val="single"/>
          <w:lang w:val="sk-SK"/>
        </w:rPr>
        <w:t>r</w:t>
      </w:r>
      <w:r w:rsidRPr="00764013">
        <w:rPr>
          <w:sz w:val="22"/>
          <w:szCs w:val="22"/>
          <w:u w:val="single"/>
          <w:lang w:val="sk-SK"/>
        </w:rPr>
        <w:t>tilita</w:t>
      </w:r>
      <w:proofErr w:type="spellEnd"/>
    </w:p>
    <w:p w:rsidR="00C333CE" w:rsidRPr="00764013" w:rsidRDefault="00C333CE" w:rsidP="009542D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 sú k dispozícii žiadne klinické údaje pre </w:t>
      </w:r>
      <w:proofErr w:type="spellStart"/>
      <w:r>
        <w:rPr>
          <w:sz w:val="22"/>
          <w:szCs w:val="22"/>
          <w:lang w:val="sk-SK"/>
        </w:rPr>
        <w:t>levocetirizín</w:t>
      </w:r>
      <w:proofErr w:type="spellEnd"/>
      <w:r>
        <w:rPr>
          <w:sz w:val="22"/>
          <w:szCs w:val="22"/>
          <w:lang w:val="sk-SK"/>
        </w:rPr>
        <w:t>.</w:t>
      </w:r>
    </w:p>
    <w:p w:rsidR="001C142F" w:rsidRPr="00BA0B50" w:rsidRDefault="001C142F" w:rsidP="009542D3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4.7</w:t>
      </w:r>
      <w:r w:rsidRPr="00074698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Porovnávacie klinické štúdie ne</w:t>
      </w:r>
      <w:r w:rsidR="001C142F">
        <w:rPr>
          <w:sz w:val="22"/>
          <w:szCs w:val="22"/>
          <w:lang w:val="sk-SK"/>
        </w:rPr>
        <w:t>preukáza</w:t>
      </w:r>
      <w:r w:rsidRPr="00074698">
        <w:rPr>
          <w:sz w:val="22"/>
          <w:szCs w:val="22"/>
          <w:lang w:val="sk-SK"/>
        </w:rPr>
        <w:t>li žiadn</w:t>
      </w:r>
      <w:r w:rsidR="00951499">
        <w:rPr>
          <w:sz w:val="22"/>
          <w:szCs w:val="22"/>
          <w:lang w:val="sk-SK"/>
        </w:rPr>
        <w:t>y</w:t>
      </w:r>
      <w:r w:rsidRPr="00074698">
        <w:rPr>
          <w:sz w:val="22"/>
          <w:szCs w:val="22"/>
          <w:lang w:val="sk-SK"/>
        </w:rPr>
        <w:t xml:space="preserve"> </w:t>
      </w:r>
      <w:r w:rsidR="00951499">
        <w:rPr>
          <w:sz w:val="22"/>
          <w:szCs w:val="22"/>
          <w:lang w:val="sk-SK"/>
        </w:rPr>
        <w:t>dôkaz</w:t>
      </w:r>
      <w:r w:rsidRPr="00074698">
        <w:rPr>
          <w:sz w:val="22"/>
          <w:szCs w:val="22"/>
          <w:lang w:val="sk-SK"/>
        </w:rPr>
        <w:t xml:space="preserve">, že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v odporúčanej dávke oslabuje pozornosť, reaktivitu alebo schopnosť viesť vozidlá. </w:t>
      </w:r>
    </w:p>
    <w:p w:rsidR="003D723B" w:rsidRPr="00074698" w:rsidRDefault="001C142F" w:rsidP="003D723B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Napriek tomu </w:t>
      </w:r>
      <w:r w:rsidR="003D723B" w:rsidRPr="00074698">
        <w:rPr>
          <w:sz w:val="22"/>
          <w:szCs w:val="22"/>
          <w:lang w:val="sk-SK"/>
        </w:rPr>
        <w:t xml:space="preserve">niektorí pacienti pri liečbe </w:t>
      </w:r>
      <w:proofErr w:type="spellStart"/>
      <w:r w:rsidR="003D723B" w:rsidRPr="00074698">
        <w:rPr>
          <w:sz w:val="22"/>
          <w:szCs w:val="22"/>
          <w:lang w:val="sk-SK"/>
        </w:rPr>
        <w:t>levocetirizínom</w:t>
      </w:r>
      <w:proofErr w:type="spellEnd"/>
      <w:r w:rsidR="003D723B" w:rsidRPr="00074698">
        <w:rPr>
          <w:sz w:val="22"/>
          <w:szCs w:val="22"/>
          <w:lang w:val="sk-SK"/>
        </w:rPr>
        <w:t xml:space="preserve"> môžu pociťovať ospalosť, únavu a </w:t>
      </w:r>
      <w:r w:rsidR="003D723B" w:rsidRPr="00C26F41">
        <w:rPr>
          <w:sz w:val="22"/>
          <w:szCs w:val="22"/>
          <w:lang w:val="sk-SK"/>
        </w:rPr>
        <w:t>asténiu</w:t>
      </w:r>
      <w:r w:rsidR="003D723B" w:rsidRPr="00074698">
        <w:rPr>
          <w:sz w:val="22"/>
          <w:szCs w:val="22"/>
          <w:lang w:val="sk-SK"/>
        </w:rPr>
        <w:t xml:space="preserve">. Preto pacienti, ktorí plánujú viesť vozidlá, </w:t>
      </w:r>
      <w:r>
        <w:rPr>
          <w:sz w:val="22"/>
          <w:szCs w:val="22"/>
          <w:lang w:val="sk-SK"/>
        </w:rPr>
        <w:t>vykoná</w:t>
      </w:r>
      <w:r w:rsidR="003D723B" w:rsidRPr="00074698">
        <w:rPr>
          <w:sz w:val="22"/>
          <w:szCs w:val="22"/>
          <w:lang w:val="sk-SK"/>
        </w:rPr>
        <w:t>vať potenciálne riskantn</w:t>
      </w:r>
      <w:r>
        <w:rPr>
          <w:sz w:val="22"/>
          <w:szCs w:val="22"/>
          <w:lang w:val="sk-SK"/>
        </w:rPr>
        <w:t>é</w:t>
      </w:r>
      <w:r w:rsidR="003D723B" w:rsidRPr="00074698">
        <w:rPr>
          <w:sz w:val="22"/>
          <w:szCs w:val="22"/>
          <w:lang w:val="sk-SK"/>
        </w:rPr>
        <w:t xml:space="preserve"> aktiv</w:t>
      </w:r>
      <w:r>
        <w:rPr>
          <w:sz w:val="22"/>
          <w:szCs w:val="22"/>
          <w:lang w:val="sk-SK"/>
        </w:rPr>
        <w:t>ity</w:t>
      </w:r>
      <w:r w:rsidR="003D723B" w:rsidRPr="00074698">
        <w:rPr>
          <w:sz w:val="22"/>
          <w:szCs w:val="22"/>
          <w:lang w:val="sk-SK"/>
        </w:rPr>
        <w:t xml:space="preserve"> alebo obsluhovať stroje, majú zohľadniť svoju reakciu na liek. </w:t>
      </w:r>
    </w:p>
    <w:p w:rsidR="00460FEC" w:rsidRDefault="00460FEC" w:rsidP="003D723B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4.8</w:t>
      </w:r>
      <w:r w:rsidRPr="00074698">
        <w:rPr>
          <w:b/>
          <w:sz w:val="22"/>
          <w:szCs w:val="22"/>
          <w:lang w:val="sk-SK"/>
        </w:rPr>
        <w:tab/>
        <w:t>Nežiaduce účinky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261A35" w:rsidRPr="00074698" w:rsidRDefault="00261A35" w:rsidP="003D723B">
      <w:pPr>
        <w:rPr>
          <w:sz w:val="22"/>
          <w:szCs w:val="22"/>
          <w:u w:val="single"/>
          <w:lang w:val="sk-SK"/>
        </w:rPr>
      </w:pPr>
      <w:r w:rsidRPr="00074698">
        <w:rPr>
          <w:sz w:val="22"/>
          <w:szCs w:val="22"/>
          <w:u w:val="single"/>
          <w:lang w:val="sk-SK"/>
        </w:rPr>
        <w:t>Klinické štúdie</w:t>
      </w:r>
    </w:p>
    <w:p w:rsidR="00C333CE" w:rsidRPr="00764013" w:rsidRDefault="00C333CE" w:rsidP="003D723B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 xml:space="preserve">Dospelí </w:t>
      </w:r>
      <w:r w:rsidR="00DB696C">
        <w:rPr>
          <w:i/>
          <w:sz w:val="22"/>
          <w:szCs w:val="22"/>
          <w:lang w:val="sk-SK"/>
        </w:rPr>
        <w:t xml:space="preserve">a dospievajúci </w:t>
      </w:r>
      <w:r w:rsidRPr="00764013">
        <w:rPr>
          <w:i/>
          <w:sz w:val="22"/>
          <w:szCs w:val="22"/>
          <w:lang w:val="sk-SK"/>
        </w:rPr>
        <w:t>vo veku od 12 rokov</w:t>
      </w:r>
    </w:p>
    <w:p w:rsidR="00460FEC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V terapeutických štúdiách so ženami a mužmi vo veku od 12 do 71</w:t>
      </w:r>
      <w:r w:rsidR="00C333CE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rokov malo 15,1 %</w:t>
      </w:r>
      <w:r w:rsidRPr="00074698">
        <w:rPr>
          <w:color w:val="FF6600"/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pacientov v skupine s</w:t>
      </w:r>
      <w:r w:rsidR="00C333CE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5</w:t>
      </w:r>
      <w:r w:rsidR="00C333CE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mg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aspoň jednu nežiaducu</w:t>
      </w:r>
      <w:r w:rsidR="006639DA" w:rsidRPr="00074698">
        <w:rPr>
          <w:sz w:val="22"/>
          <w:szCs w:val="22"/>
          <w:lang w:val="sk-SK"/>
        </w:rPr>
        <w:t xml:space="preserve"> liekovú</w:t>
      </w:r>
      <w:r w:rsidRPr="00074698">
        <w:rPr>
          <w:sz w:val="22"/>
          <w:szCs w:val="22"/>
          <w:lang w:val="sk-SK"/>
        </w:rPr>
        <w:t xml:space="preserve"> reakciu v porovnaní s 11,3 % v skupine 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s </w:t>
      </w:r>
      <w:proofErr w:type="spellStart"/>
      <w:r w:rsidRPr="00074698">
        <w:rPr>
          <w:sz w:val="22"/>
          <w:szCs w:val="22"/>
          <w:lang w:val="sk-SK"/>
        </w:rPr>
        <w:t>placebom</w:t>
      </w:r>
      <w:proofErr w:type="spellEnd"/>
      <w:r w:rsidRPr="00074698">
        <w:rPr>
          <w:sz w:val="22"/>
          <w:szCs w:val="22"/>
          <w:lang w:val="sk-SK"/>
        </w:rPr>
        <w:t xml:space="preserve">. 91,6 % týchto nežiaducich reakcií </w:t>
      </w:r>
      <w:r w:rsidR="00D4158F">
        <w:rPr>
          <w:sz w:val="22"/>
          <w:szCs w:val="22"/>
          <w:lang w:val="sk-SK"/>
        </w:rPr>
        <w:t xml:space="preserve">na liek </w:t>
      </w:r>
      <w:r w:rsidRPr="00074698">
        <w:rPr>
          <w:sz w:val="22"/>
          <w:szCs w:val="22"/>
          <w:lang w:val="sk-SK"/>
        </w:rPr>
        <w:t xml:space="preserve">bolo </w:t>
      </w:r>
      <w:r w:rsidR="00D4158F">
        <w:rPr>
          <w:sz w:val="22"/>
          <w:szCs w:val="22"/>
          <w:lang w:val="sk-SK"/>
        </w:rPr>
        <w:t>ľahkých</w:t>
      </w:r>
      <w:r w:rsidR="00D4158F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až stredne </w:t>
      </w:r>
      <w:r w:rsidR="00D4158F">
        <w:rPr>
          <w:sz w:val="22"/>
          <w:szCs w:val="22"/>
          <w:lang w:val="sk-SK"/>
        </w:rPr>
        <w:t>ťažký</w:t>
      </w:r>
      <w:r w:rsidRPr="00074698">
        <w:rPr>
          <w:sz w:val="22"/>
          <w:szCs w:val="22"/>
          <w:lang w:val="sk-SK"/>
        </w:rPr>
        <w:t>ch.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  <w:r w:rsidRPr="00074698">
        <w:rPr>
          <w:sz w:val="22"/>
          <w:szCs w:val="22"/>
        </w:rPr>
        <w:t xml:space="preserve">V terapeutických skúšaniach bolo percento pacientov, ktorí boli zo štúdie vyradení pre nežiaduce </w:t>
      </w:r>
      <w:r w:rsidR="006639DA" w:rsidRPr="00074698">
        <w:rPr>
          <w:sz w:val="22"/>
          <w:szCs w:val="22"/>
        </w:rPr>
        <w:t xml:space="preserve">udalosti </w:t>
      </w:r>
      <w:r w:rsidRPr="00074698">
        <w:rPr>
          <w:sz w:val="22"/>
          <w:szCs w:val="22"/>
        </w:rPr>
        <w:t>1</w:t>
      </w:r>
      <w:r w:rsidR="00C333CE">
        <w:rPr>
          <w:sz w:val="22"/>
          <w:szCs w:val="22"/>
        </w:rPr>
        <w:t>,0</w:t>
      </w:r>
      <w:r w:rsidRPr="00074698">
        <w:rPr>
          <w:sz w:val="22"/>
          <w:szCs w:val="22"/>
        </w:rPr>
        <w:t xml:space="preserve"> % (9/935) </w:t>
      </w:r>
      <w:r w:rsidR="006639DA" w:rsidRPr="00074698">
        <w:rPr>
          <w:sz w:val="22"/>
          <w:szCs w:val="22"/>
        </w:rPr>
        <w:t xml:space="preserve">pri </w:t>
      </w:r>
      <w:r w:rsidRPr="00074698">
        <w:rPr>
          <w:sz w:val="22"/>
          <w:szCs w:val="22"/>
        </w:rPr>
        <w:t>5</w:t>
      </w:r>
      <w:r w:rsidR="00C333CE">
        <w:rPr>
          <w:sz w:val="22"/>
          <w:szCs w:val="22"/>
        </w:rPr>
        <w:t> </w:t>
      </w:r>
      <w:r w:rsidRPr="00074698">
        <w:rPr>
          <w:sz w:val="22"/>
          <w:szCs w:val="22"/>
        </w:rPr>
        <w:t xml:space="preserve">mg </w:t>
      </w:r>
      <w:proofErr w:type="spellStart"/>
      <w:r w:rsidRPr="00074698">
        <w:rPr>
          <w:sz w:val="22"/>
          <w:szCs w:val="22"/>
        </w:rPr>
        <w:t>levocetirizínu</w:t>
      </w:r>
      <w:proofErr w:type="spellEnd"/>
      <w:r w:rsidRPr="00074698">
        <w:rPr>
          <w:sz w:val="22"/>
          <w:szCs w:val="22"/>
        </w:rPr>
        <w:t xml:space="preserve"> a 1,8 % (14/771) </w:t>
      </w:r>
      <w:r w:rsidR="006639DA" w:rsidRPr="00074698">
        <w:rPr>
          <w:sz w:val="22"/>
          <w:szCs w:val="22"/>
        </w:rPr>
        <w:t xml:space="preserve">pri </w:t>
      </w:r>
      <w:proofErr w:type="spellStart"/>
      <w:r w:rsidR="006639DA" w:rsidRPr="00074698">
        <w:rPr>
          <w:sz w:val="22"/>
          <w:szCs w:val="22"/>
        </w:rPr>
        <w:t>placebe</w:t>
      </w:r>
      <w:proofErr w:type="spellEnd"/>
      <w:r w:rsidRPr="00074698">
        <w:rPr>
          <w:sz w:val="22"/>
          <w:szCs w:val="22"/>
        </w:rPr>
        <w:t xml:space="preserve">. </w:t>
      </w:r>
    </w:p>
    <w:p w:rsidR="003D723B" w:rsidRPr="00074698" w:rsidRDefault="003D723B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</w:p>
    <w:p w:rsidR="003D723B" w:rsidRPr="00074698" w:rsidRDefault="003D723B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Klinické terapeutické skúšania s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levocetirizínom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zahŕňali 935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jedincov, ktorí užívali odporúčanú dávku lieku 5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mg denne. V tejto skupine </w:t>
      </w:r>
      <w:r w:rsidR="00D4158F">
        <w:rPr>
          <w:rFonts w:ascii="Times New Roman" w:hAnsi="Times New Roman"/>
          <w:sz w:val="22"/>
          <w:szCs w:val="22"/>
        </w:rPr>
        <w:t xml:space="preserve">bola </w:t>
      </w:r>
      <w:r w:rsidRPr="00074698">
        <w:rPr>
          <w:rFonts w:ascii="Times New Roman" w:hAnsi="Times New Roman"/>
          <w:sz w:val="22"/>
          <w:szCs w:val="22"/>
        </w:rPr>
        <w:t>zaznamena</w:t>
      </w:r>
      <w:r w:rsidR="00D4158F">
        <w:rPr>
          <w:rFonts w:ascii="Times New Roman" w:hAnsi="Times New Roman"/>
          <w:sz w:val="22"/>
          <w:szCs w:val="22"/>
        </w:rPr>
        <w:t>ná</w:t>
      </w:r>
      <w:r w:rsidRPr="00074698">
        <w:rPr>
          <w:rFonts w:ascii="Times New Roman" w:hAnsi="Times New Roman"/>
          <w:sz w:val="22"/>
          <w:szCs w:val="22"/>
        </w:rPr>
        <w:t xml:space="preserve"> nasledovná </w:t>
      </w:r>
      <w:proofErr w:type="spellStart"/>
      <w:r w:rsidRPr="00074698">
        <w:rPr>
          <w:rFonts w:ascii="Times New Roman" w:hAnsi="Times New Roman"/>
          <w:sz w:val="22"/>
          <w:szCs w:val="22"/>
        </w:rPr>
        <w:t>incidencia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nežiaducich </w:t>
      </w:r>
      <w:r w:rsidR="006639DA" w:rsidRPr="00074698">
        <w:rPr>
          <w:rFonts w:ascii="Times New Roman" w:hAnsi="Times New Roman"/>
          <w:sz w:val="22"/>
          <w:szCs w:val="22"/>
        </w:rPr>
        <w:t xml:space="preserve">reakcií </w:t>
      </w:r>
      <w:r w:rsidR="00D4158F">
        <w:rPr>
          <w:rFonts w:ascii="Times New Roman" w:hAnsi="Times New Roman"/>
          <w:sz w:val="22"/>
          <w:szCs w:val="22"/>
        </w:rPr>
        <w:t xml:space="preserve">na liek </w:t>
      </w:r>
      <w:r w:rsidRPr="00074698">
        <w:rPr>
          <w:rFonts w:ascii="Times New Roman" w:hAnsi="Times New Roman"/>
          <w:sz w:val="22"/>
          <w:szCs w:val="22"/>
        </w:rPr>
        <w:t xml:space="preserve">s frekvenciou 1 % alebo vyššou (časté: </w:t>
      </w:r>
      <w:r w:rsidR="0015511A" w:rsidRPr="00074698">
        <w:rPr>
          <w:rFonts w:ascii="Times New Roman" w:hAnsi="Times New Roman"/>
          <w:sz w:val="22"/>
          <w:szCs w:val="22"/>
        </w:rPr>
        <w:t>≥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1/100</w:t>
      </w:r>
      <w:r w:rsidR="00D4158F">
        <w:rPr>
          <w:rFonts w:ascii="Times New Roman" w:hAnsi="Times New Roman"/>
          <w:sz w:val="22"/>
          <w:szCs w:val="22"/>
        </w:rPr>
        <w:t xml:space="preserve"> až</w:t>
      </w:r>
      <w:r w:rsidRPr="00074698">
        <w:rPr>
          <w:rFonts w:ascii="Times New Roman" w:hAnsi="Times New Roman"/>
          <w:sz w:val="22"/>
          <w:szCs w:val="22"/>
        </w:rPr>
        <w:t xml:space="preserve"> </w:t>
      </w:r>
      <w:r w:rsidRPr="00074698">
        <w:rPr>
          <w:rFonts w:ascii="Times New Roman" w:hAnsi="Times New Roman"/>
          <w:sz w:val="22"/>
          <w:szCs w:val="22"/>
        </w:rPr>
        <w:sym w:font="Symbol" w:char="F03C"/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1/10) po podaní </w:t>
      </w:r>
      <w:r w:rsidR="002F6A9B" w:rsidRPr="00074698">
        <w:rPr>
          <w:rFonts w:ascii="Times New Roman" w:hAnsi="Times New Roman"/>
          <w:sz w:val="22"/>
          <w:szCs w:val="22"/>
        </w:rPr>
        <w:t>5</w:t>
      </w:r>
      <w:r w:rsidR="00C333CE">
        <w:rPr>
          <w:rFonts w:ascii="Times New Roman" w:hAnsi="Times New Roman"/>
          <w:sz w:val="22"/>
          <w:szCs w:val="22"/>
        </w:rPr>
        <w:t> </w:t>
      </w:r>
      <w:r w:rsidR="002F6A9B" w:rsidRPr="00074698">
        <w:rPr>
          <w:rFonts w:ascii="Times New Roman" w:hAnsi="Times New Roman"/>
          <w:sz w:val="22"/>
          <w:szCs w:val="22"/>
        </w:rPr>
        <w:t xml:space="preserve">mg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074698">
        <w:rPr>
          <w:rFonts w:ascii="Times New Roman" w:hAnsi="Times New Roman"/>
          <w:sz w:val="22"/>
          <w:szCs w:val="22"/>
        </w:rPr>
        <w:t>placeba</w:t>
      </w:r>
      <w:proofErr w:type="spellEnd"/>
      <w:r w:rsidRPr="00074698">
        <w:rPr>
          <w:rFonts w:ascii="Times New Roman" w:hAnsi="Times New Roman"/>
          <w:sz w:val="22"/>
          <w:szCs w:val="22"/>
        </w:rPr>
        <w:t>:</w:t>
      </w:r>
    </w:p>
    <w:p w:rsidR="003D723B" w:rsidRPr="00074698" w:rsidRDefault="003D723B" w:rsidP="003D723B">
      <w:pPr>
        <w:jc w:val="center"/>
        <w:rPr>
          <w:sz w:val="22"/>
          <w:szCs w:val="22"/>
          <w:lang w:val="sk-SK"/>
        </w:rPr>
      </w:pP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930"/>
        <w:gridCol w:w="2623"/>
      </w:tblGrid>
      <w:tr w:rsidR="003D723B" w:rsidRPr="00074698" w:rsidTr="00460FEC">
        <w:tc>
          <w:tcPr>
            <w:tcW w:w="2693" w:type="dxa"/>
          </w:tcPr>
          <w:p w:rsidR="003D723B" w:rsidRPr="00074698" w:rsidRDefault="003D723B" w:rsidP="003D723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b/>
                <w:bCs/>
                <w:sz w:val="22"/>
                <w:szCs w:val="22"/>
                <w:lang w:val="sk-SK"/>
              </w:rPr>
              <w:t>Preferenčný termín</w:t>
            </w:r>
          </w:p>
          <w:p w:rsidR="003D723B" w:rsidRPr="00074698" w:rsidRDefault="003D723B" w:rsidP="003D723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b/>
                <w:bCs/>
                <w:sz w:val="22"/>
                <w:szCs w:val="22"/>
                <w:lang w:val="sk-SK"/>
              </w:rPr>
              <w:t>(WHO</w:t>
            </w:r>
            <w:r w:rsidR="00EA57E7">
              <w:rPr>
                <w:b/>
                <w:bCs/>
                <w:sz w:val="22"/>
                <w:szCs w:val="22"/>
                <w:lang w:val="sk-SK"/>
              </w:rPr>
              <w:t>-</w:t>
            </w:r>
            <w:r w:rsidRPr="00074698">
              <w:rPr>
                <w:b/>
                <w:bCs/>
                <w:sz w:val="22"/>
                <w:szCs w:val="22"/>
                <w:lang w:val="sk-SK"/>
              </w:rPr>
              <w:t>ART)</w:t>
            </w:r>
          </w:p>
        </w:tc>
        <w:tc>
          <w:tcPr>
            <w:tcW w:w="1930" w:type="dxa"/>
          </w:tcPr>
          <w:p w:rsidR="003D723B" w:rsidRPr="00074698" w:rsidRDefault="003D723B" w:rsidP="003D723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74698">
              <w:rPr>
                <w:b/>
                <w:bCs/>
                <w:sz w:val="22"/>
                <w:szCs w:val="22"/>
                <w:lang w:val="sk-SK"/>
              </w:rPr>
              <w:t>Placebo</w:t>
            </w:r>
            <w:proofErr w:type="spellEnd"/>
          </w:p>
          <w:p w:rsidR="003D723B" w:rsidRPr="00074698" w:rsidRDefault="003D723B" w:rsidP="003D723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b/>
                <w:bCs/>
                <w:sz w:val="22"/>
                <w:szCs w:val="22"/>
                <w:lang w:val="sk-SK"/>
              </w:rPr>
              <w:t>(n = 771)</w:t>
            </w:r>
          </w:p>
        </w:tc>
        <w:tc>
          <w:tcPr>
            <w:tcW w:w="2623" w:type="dxa"/>
          </w:tcPr>
          <w:p w:rsidR="003D723B" w:rsidRPr="00074698" w:rsidRDefault="003D723B" w:rsidP="003D723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74698">
              <w:rPr>
                <w:b/>
                <w:bCs/>
                <w:sz w:val="22"/>
                <w:szCs w:val="22"/>
                <w:lang w:val="sk-SK"/>
              </w:rPr>
              <w:t>Levocetirizín</w:t>
            </w:r>
            <w:proofErr w:type="spellEnd"/>
            <w:r w:rsidRPr="00074698">
              <w:rPr>
                <w:b/>
                <w:bCs/>
                <w:sz w:val="22"/>
                <w:szCs w:val="22"/>
                <w:lang w:val="sk-SK"/>
              </w:rPr>
              <w:t xml:space="preserve"> 5</w:t>
            </w:r>
            <w:r w:rsidR="00C333CE">
              <w:rPr>
                <w:b/>
                <w:bCs/>
                <w:sz w:val="22"/>
                <w:szCs w:val="22"/>
                <w:lang w:val="sk-SK"/>
              </w:rPr>
              <w:t> </w:t>
            </w:r>
            <w:r w:rsidRPr="00074698">
              <w:rPr>
                <w:b/>
                <w:bCs/>
                <w:sz w:val="22"/>
                <w:szCs w:val="22"/>
                <w:lang w:val="sk-SK"/>
              </w:rPr>
              <w:t>mg</w:t>
            </w:r>
          </w:p>
          <w:p w:rsidR="003D723B" w:rsidRPr="00074698" w:rsidRDefault="003D723B" w:rsidP="003D723B">
            <w:pPr>
              <w:ind w:left="63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b/>
                <w:bCs/>
                <w:sz w:val="22"/>
                <w:szCs w:val="22"/>
                <w:lang w:val="sk-SK"/>
              </w:rPr>
              <w:t>(n = 935)</w:t>
            </w:r>
          </w:p>
        </w:tc>
      </w:tr>
      <w:tr w:rsidR="003D723B" w:rsidRPr="00074698" w:rsidTr="00460FEC">
        <w:tc>
          <w:tcPr>
            <w:tcW w:w="2693" w:type="dxa"/>
          </w:tcPr>
          <w:p w:rsidR="003D723B" w:rsidRPr="00074698" w:rsidRDefault="00D4158F" w:rsidP="002156B5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3D723B" w:rsidRPr="00074698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1930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25 (3,2 %)</w:t>
            </w:r>
          </w:p>
        </w:tc>
        <w:tc>
          <w:tcPr>
            <w:tcW w:w="2623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24 (2,6 %)</w:t>
            </w:r>
          </w:p>
        </w:tc>
      </w:tr>
      <w:tr w:rsidR="003D723B" w:rsidRPr="00074698" w:rsidTr="00460FEC">
        <w:tc>
          <w:tcPr>
            <w:tcW w:w="2693" w:type="dxa"/>
          </w:tcPr>
          <w:p w:rsidR="003D723B" w:rsidRPr="00074698" w:rsidRDefault="00D4158F" w:rsidP="002156B5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o</w:t>
            </w:r>
            <w:r w:rsidR="003D723B" w:rsidRPr="00074698">
              <w:rPr>
                <w:sz w:val="22"/>
                <w:szCs w:val="22"/>
                <w:lang w:val="sk-SK"/>
              </w:rPr>
              <w:t>spalosť</w:t>
            </w:r>
          </w:p>
        </w:tc>
        <w:tc>
          <w:tcPr>
            <w:tcW w:w="1930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11 (1,4 %)</w:t>
            </w:r>
          </w:p>
        </w:tc>
        <w:tc>
          <w:tcPr>
            <w:tcW w:w="2623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49 (5,2 %)</w:t>
            </w:r>
          </w:p>
        </w:tc>
      </w:tr>
      <w:tr w:rsidR="003D723B" w:rsidRPr="00074698" w:rsidTr="00460FEC">
        <w:tc>
          <w:tcPr>
            <w:tcW w:w="2693" w:type="dxa"/>
          </w:tcPr>
          <w:p w:rsidR="003D723B" w:rsidRPr="00074698" w:rsidRDefault="00D4158F" w:rsidP="002156B5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3D723B" w:rsidRPr="00074698">
              <w:rPr>
                <w:sz w:val="22"/>
                <w:szCs w:val="22"/>
                <w:lang w:val="sk-SK"/>
              </w:rPr>
              <w:t>ucho v ústach</w:t>
            </w:r>
          </w:p>
        </w:tc>
        <w:tc>
          <w:tcPr>
            <w:tcW w:w="1930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12 (1,6 %)</w:t>
            </w:r>
          </w:p>
        </w:tc>
        <w:tc>
          <w:tcPr>
            <w:tcW w:w="2623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24 (2,6 %)</w:t>
            </w:r>
          </w:p>
        </w:tc>
      </w:tr>
      <w:tr w:rsidR="003D723B" w:rsidRPr="00074698" w:rsidTr="00460FEC">
        <w:tc>
          <w:tcPr>
            <w:tcW w:w="2693" w:type="dxa"/>
          </w:tcPr>
          <w:p w:rsidR="003D723B" w:rsidRPr="00074698" w:rsidRDefault="00D4158F" w:rsidP="002156B5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ú</w:t>
            </w:r>
            <w:r w:rsidR="003D723B" w:rsidRPr="00074698">
              <w:rPr>
                <w:sz w:val="22"/>
                <w:szCs w:val="22"/>
                <w:lang w:val="sk-SK"/>
              </w:rPr>
              <w:t>nava</w:t>
            </w:r>
            <w:r w:rsidR="003D723B" w:rsidRPr="00074698">
              <w:rPr>
                <w:sz w:val="22"/>
                <w:szCs w:val="22"/>
                <w:lang w:val="sk-SK"/>
              </w:rPr>
              <w:tab/>
            </w:r>
          </w:p>
        </w:tc>
        <w:tc>
          <w:tcPr>
            <w:tcW w:w="1930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9 (1,2 %)</w:t>
            </w:r>
          </w:p>
        </w:tc>
        <w:tc>
          <w:tcPr>
            <w:tcW w:w="2623" w:type="dxa"/>
          </w:tcPr>
          <w:p w:rsidR="003D723B" w:rsidRPr="00074698" w:rsidRDefault="003D723B" w:rsidP="003D723B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23 (2,5 %)</w:t>
            </w:r>
          </w:p>
        </w:tc>
      </w:tr>
    </w:tbl>
    <w:p w:rsidR="003D723B" w:rsidRPr="00074698" w:rsidRDefault="003D723B" w:rsidP="003D723B">
      <w:pPr>
        <w:ind w:left="709"/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Ďalej </w:t>
      </w:r>
      <w:r w:rsidR="00D4158F">
        <w:rPr>
          <w:rFonts w:ascii="Times New Roman" w:hAnsi="Times New Roman"/>
          <w:sz w:val="22"/>
          <w:szCs w:val="22"/>
        </w:rPr>
        <w:t>bol</w:t>
      </w:r>
      <w:r w:rsidR="00D4158F" w:rsidRPr="00074698">
        <w:rPr>
          <w:rFonts w:ascii="Times New Roman" w:hAnsi="Times New Roman"/>
          <w:sz w:val="22"/>
          <w:szCs w:val="22"/>
        </w:rPr>
        <w:t xml:space="preserve"> </w:t>
      </w:r>
      <w:r w:rsidRPr="00074698">
        <w:rPr>
          <w:rFonts w:ascii="Times New Roman" w:hAnsi="Times New Roman"/>
          <w:sz w:val="22"/>
          <w:szCs w:val="22"/>
        </w:rPr>
        <w:t>pozorova</w:t>
      </w:r>
      <w:r w:rsidR="00D4158F">
        <w:rPr>
          <w:rFonts w:ascii="Times New Roman" w:hAnsi="Times New Roman"/>
          <w:sz w:val="22"/>
          <w:szCs w:val="22"/>
        </w:rPr>
        <w:t>ný</w:t>
      </w:r>
      <w:r w:rsidRPr="00074698">
        <w:rPr>
          <w:rFonts w:ascii="Times New Roman" w:hAnsi="Times New Roman"/>
          <w:sz w:val="22"/>
          <w:szCs w:val="22"/>
        </w:rPr>
        <w:t xml:space="preserve"> menej častý výskyt nežiaducich reakcií (menej časté: </w:t>
      </w:r>
      <w:r w:rsidR="0015511A" w:rsidRPr="00074698">
        <w:rPr>
          <w:rFonts w:ascii="Times New Roman" w:hAnsi="Times New Roman"/>
          <w:sz w:val="22"/>
          <w:szCs w:val="22"/>
        </w:rPr>
        <w:t>≥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1/1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000</w:t>
      </w:r>
      <w:r w:rsidR="00D4158F">
        <w:rPr>
          <w:rFonts w:ascii="Times New Roman" w:hAnsi="Times New Roman"/>
          <w:sz w:val="22"/>
          <w:szCs w:val="22"/>
        </w:rPr>
        <w:t xml:space="preserve"> </w:t>
      </w:r>
      <w:r w:rsidRPr="00074698">
        <w:rPr>
          <w:rFonts w:ascii="Times New Roman" w:hAnsi="Times New Roman"/>
          <w:sz w:val="22"/>
          <w:szCs w:val="22"/>
        </w:rPr>
        <w:t xml:space="preserve">až </w:t>
      </w:r>
      <w:r w:rsidRPr="00074698">
        <w:rPr>
          <w:rFonts w:ascii="Times New Roman" w:hAnsi="Times New Roman"/>
          <w:sz w:val="22"/>
          <w:szCs w:val="22"/>
        </w:rPr>
        <w:sym w:font="Symbol" w:char="F03C"/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1/100) ako sú </w:t>
      </w:r>
      <w:r w:rsidRPr="00C26F41">
        <w:rPr>
          <w:rFonts w:ascii="Times New Roman" w:hAnsi="Times New Roman"/>
          <w:sz w:val="22"/>
          <w:szCs w:val="22"/>
        </w:rPr>
        <w:t xml:space="preserve">asténia </w:t>
      </w:r>
      <w:r w:rsidRPr="00074698">
        <w:rPr>
          <w:rFonts w:ascii="Times New Roman" w:hAnsi="Times New Roman"/>
          <w:sz w:val="22"/>
          <w:szCs w:val="22"/>
        </w:rPr>
        <w:t xml:space="preserve">alebo bolesti brucha. </w:t>
      </w:r>
    </w:p>
    <w:p w:rsidR="003D723B" w:rsidRPr="00074698" w:rsidRDefault="003D723B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Výskyt sedatívnych nežiaducich </w:t>
      </w:r>
      <w:r w:rsidR="002F6A9B" w:rsidRPr="00074698">
        <w:rPr>
          <w:rFonts w:ascii="Times New Roman" w:hAnsi="Times New Roman"/>
          <w:sz w:val="22"/>
          <w:szCs w:val="22"/>
        </w:rPr>
        <w:t>reakcií</w:t>
      </w:r>
      <w:r w:rsidR="00D4158F">
        <w:rPr>
          <w:rFonts w:ascii="Times New Roman" w:hAnsi="Times New Roman"/>
          <w:sz w:val="22"/>
          <w:szCs w:val="22"/>
        </w:rPr>
        <w:t xml:space="preserve"> na liek</w:t>
      </w:r>
      <w:r w:rsidRPr="00074698">
        <w:rPr>
          <w:rFonts w:ascii="Times New Roman" w:hAnsi="Times New Roman"/>
          <w:sz w:val="22"/>
          <w:szCs w:val="22"/>
        </w:rPr>
        <w:t>, ako je ospalosť, únava a</w:t>
      </w:r>
      <w:r w:rsidR="00D4158F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asténia, </w:t>
      </w:r>
      <w:r w:rsidR="00D4158F">
        <w:rPr>
          <w:rFonts w:ascii="Times New Roman" w:hAnsi="Times New Roman"/>
          <w:sz w:val="22"/>
          <w:szCs w:val="22"/>
        </w:rPr>
        <w:t>bol</w:t>
      </w:r>
      <w:r w:rsidR="00D4158F" w:rsidRPr="00074698">
        <w:rPr>
          <w:rFonts w:ascii="Times New Roman" w:hAnsi="Times New Roman"/>
          <w:sz w:val="22"/>
          <w:szCs w:val="22"/>
        </w:rPr>
        <w:t xml:space="preserve"> </w:t>
      </w:r>
      <w:r w:rsidRPr="00074698">
        <w:rPr>
          <w:rFonts w:ascii="Times New Roman" w:hAnsi="Times New Roman"/>
          <w:sz w:val="22"/>
          <w:szCs w:val="22"/>
        </w:rPr>
        <w:t>všeobecne pozorova</w:t>
      </w:r>
      <w:r w:rsidR="00D4158F">
        <w:rPr>
          <w:rFonts w:ascii="Times New Roman" w:hAnsi="Times New Roman"/>
          <w:sz w:val="22"/>
          <w:szCs w:val="22"/>
        </w:rPr>
        <w:t>ný</w:t>
      </w:r>
      <w:r w:rsidRPr="00074698">
        <w:rPr>
          <w:rFonts w:ascii="Times New Roman" w:hAnsi="Times New Roman"/>
          <w:sz w:val="22"/>
          <w:szCs w:val="22"/>
        </w:rPr>
        <w:t xml:space="preserve"> častejšie (8,1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%) po 5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mg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ako po užívaní </w:t>
      </w:r>
      <w:proofErr w:type="spellStart"/>
      <w:r w:rsidRPr="00074698">
        <w:rPr>
          <w:rFonts w:ascii="Times New Roman" w:hAnsi="Times New Roman"/>
          <w:sz w:val="22"/>
          <w:szCs w:val="22"/>
        </w:rPr>
        <w:t>placeba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(3,1 %).</w:t>
      </w:r>
    </w:p>
    <w:p w:rsidR="003D723B" w:rsidRPr="00074698" w:rsidRDefault="003D723B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</w:p>
    <w:p w:rsidR="00261A35" w:rsidRPr="00423879" w:rsidRDefault="00C333CE" w:rsidP="003D723B">
      <w:pPr>
        <w:pStyle w:val="Zarkazkladnhotextu3"/>
        <w:ind w:left="0"/>
        <w:rPr>
          <w:rFonts w:ascii="Times New Roman" w:hAnsi="Times New Roman"/>
          <w:i/>
          <w:sz w:val="22"/>
          <w:szCs w:val="22"/>
        </w:rPr>
      </w:pPr>
      <w:r w:rsidRPr="00423879">
        <w:rPr>
          <w:rFonts w:ascii="Times New Roman" w:hAnsi="Times New Roman"/>
          <w:i/>
          <w:sz w:val="22"/>
          <w:szCs w:val="22"/>
        </w:rPr>
        <w:t>Pediatrická populácia</w:t>
      </w:r>
    </w:p>
    <w:p w:rsidR="00261A35" w:rsidRPr="00074698" w:rsidRDefault="00261A35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V dvoch </w:t>
      </w:r>
      <w:proofErr w:type="spellStart"/>
      <w:r w:rsidRPr="00074698">
        <w:rPr>
          <w:rFonts w:ascii="Times New Roman" w:hAnsi="Times New Roman"/>
          <w:sz w:val="22"/>
          <w:szCs w:val="22"/>
        </w:rPr>
        <w:t>placebom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kontrolovaných štúdiách </w:t>
      </w:r>
      <w:r w:rsidR="00EA57E7">
        <w:rPr>
          <w:rFonts w:ascii="Times New Roman" w:hAnsi="Times New Roman"/>
          <w:sz w:val="22"/>
          <w:szCs w:val="22"/>
        </w:rPr>
        <w:t>s</w:t>
      </w:r>
      <w:r w:rsidR="00EA57E7" w:rsidRPr="00074698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pediatrický</w:t>
      </w:r>
      <w:r w:rsidR="00EA57E7">
        <w:rPr>
          <w:rFonts w:ascii="Times New Roman" w:hAnsi="Times New Roman"/>
          <w:sz w:val="22"/>
          <w:szCs w:val="22"/>
        </w:rPr>
        <w:t>mi</w:t>
      </w:r>
      <w:r w:rsidRPr="00074698">
        <w:rPr>
          <w:rFonts w:ascii="Times New Roman" w:hAnsi="Times New Roman"/>
          <w:sz w:val="22"/>
          <w:szCs w:val="22"/>
        </w:rPr>
        <w:t xml:space="preserve"> pacient</w:t>
      </w:r>
      <w:r w:rsidR="00EA57E7">
        <w:rPr>
          <w:rFonts w:ascii="Times New Roman" w:hAnsi="Times New Roman"/>
          <w:sz w:val="22"/>
          <w:szCs w:val="22"/>
        </w:rPr>
        <w:t>mi</w:t>
      </w:r>
      <w:r w:rsidRPr="00074698">
        <w:rPr>
          <w:rFonts w:ascii="Times New Roman" w:hAnsi="Times New Roman"/>
          <w:sz w:val="22"/>
          <w:szCs w:val="22"/>
        </w:rPr>
        <w:t xml:space="preserve"> vo veku 6-11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mesiacov a vo veku od 1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roka do 6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rokov bolo 159 osôb vystavených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v dávke 1,25 mg denne po</w:t>
      </w:r>
      <w:r w:rsidR="005B15CB">
        <w:rPr>
          <w:rFonts w:ascii="Times New Roman" w:hAnsi="Times New Roman"/>
          <w:sz w:val="22"/>
          <w:szCs w:val="22"/>
        </w:rPr>
        <w:t xml:space="preserve">čas </w:t>
      </w:r>
      <w:r w:rsidRPr="00074698">
        <w:rPr>
          <w:rFonts w:ascii="Times New Roman" w:hAnsi="Times New Roman"/>
          <w:sz w:val="22"/>
          <w:szCs w:val="22"/>
        </w:rPr>
        <w:t>2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týždňov a</w:t>
      </w:r>
      <w:r w:rsidR="00D4158F">
        <w:rPr>
          <w:rFonts w:ascii="Times New Roman" w:hAnsi="Times New Roman"/>
          <w:sz w:val="22"/>
          <w:szCs w:val="22"/>
        </w:rPr>
        <w:t xml:space="preserve"> v dávke </w:t>
      </w:r>
      <w:r w:rsidRPr="00074698">
        <w:rPr>
          <w:rFonts w:ascii="Times New Roman" w:hAnsi="Times New Roman"/>
          <w:sz w:val="22"/>
          <w:szCs w:val="22"/>
        </w:rPr>
        <w:t xml:space="preserve">1,25 mg dvakrát denne v uvedenom poradí. S mierou </w:t>
      </w:r>
      <w:r w:rsidR="00D4158F">
        <w:rPr>
          <w:rFonts w:ascii="Times New Roman" w:hAnsi="Times New Roman"/>
          <w:sz w:val="22"/>
          <w:szCs w:val="22"/>
        </w:rPr>
        <w:t xml:space="preserve">výskytu </w:t>
      </w:r>
      <w:r w:rsidRPr="00074698">
        <w:rPr>
          <w:rFonts w:ascii="Times New Roman" w:hAnsi="Times New Roman"/>
          <w:sz w:val="22"/>
          <w:szCs w:val="22"/>
        </w:rPr>
        <w:t xml:space="preserve">1 % alebo vyššou </w:t>
      </w:r>
      <w:r w:rsidR="00D4158F">
        <w:rPr>
          <w:rFonts w:ascii="Times New Roman" w:hAnsi="Times New Roman"/>
          <w:sz w:val="22"/>
          <w:szCs w:val="22"/>
        </w:rPr>
        <w:t xml:space="preserve">sa </w:t>
      </w:r>
      <w:r w:rsidRPr="00074698">
        <w:rPr>
          <w:rFonts w:ascii="Times New Roman" w:hAnsi="Times New Roman"/>
          <w:sz w:val="22"/>
          <w:szCs w:val="22"/>
        </w:rPr>
        <w:t xml:space="preserve">pri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levocetirizíne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074698">
        <w:rPr>
          <w:rFonts w:ascii="Times New Roman" w:hAnsi="Times New Roman"/>
          <w:sz w:val="22"/>
          <w:szCs w:val="22"/>
        </w:rPr>
        <w:t>placebe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zaznamenala nasledujúca </w:t>
      </w:r>
      <w:proofErr w:type="spellStart"/>
      <w:r w:rsidRPr="00074698">
        <w:rPr>
          <w:rFonts w:ascii="Times New Roman" w:hAnsi="Times New Roman"/>
          <w:sz w:val="22"/>
          <w:szCs w:val="22"/>
        </w:rPr>
        <w:t>incidencia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nežiaducich reakcií</w:t>
      </w:r>
      <w:r w:rsidR="00D4158F">
        <w:rPr>
          <w:rFonts w:ascii="Times New Roman" w:hAnsi="Times New Roman"/>
          <w:sz w:val="22"/>
          <w:szCs w:val="22"/>
        </w:rPr>
        <w:t xml:space="preserve"> na liek</w:t>
      </w:r>
      <w:r w:rsidRPr="00074698">
        <w:rPr>
          <w:rFonts w:ascii="Times New Roman" w:hAnsi="Times New Roman"/>
          <w:sz w:val="22"/>
          <w:szCs w:val="22"/>
        </w:rPr>
        <w:t>.</w:t>
      </w:r>
    </w:p>
    <w:p w:rsidR="00261A35" w:rsidRPr="00074698" w:rsidRDefault="00261A35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1619"/>
        <w:gridCol w:w="2230"/>
      </w:tblGrid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>Trieda orgánového systému a uprednostňovaný výraz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>Placebo</w:t>
            </w:r>
            <w:proofErr w:type="spellEnd"/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 xml:space="preserve"> (n=83)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>Levocetirizín</w:t>
            </w:r>
            <w:proofErr w:type="spellEnd"/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 xml:space="preserve"> (n=159)</w:t>
            </w: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>gastrointestinálneho</w:t>
            </w:r>
            <w:proofErr w:type="spellEnd"/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D4158F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t>h</w:t>
            </w:r>
            <w:r w:rsidR="0015511A" w:rsidRPr="00074698">
              <w:rPr>
                <w:rFonts w:eastAsia="MS Mincho"/>
                <w:sz w:val="22"/>
                <w:szCs w:val="22"/>
                <w:lang w:val="sk-SK"/>
              </w:rPr>
              <w:t>načka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0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3(1,9 %)</w:t>
            </w: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D4158F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t>v</w:t>
            </w:r>
            <w:r w:rsidR="0015511A" w:rsidRPr="00074698">
              <w:rPr>
                <w:rFonts w:eastAsia="MS Mincho"/>
                <w:sz w:val="22"/>
                <w:szCs w:val="22"/>
                <w:lang w:val="sk-SK"/>
              </w:rPr>
              <w:t>racanie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1(1,2 %)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1(0,6 %)</w:t>
            </w: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D4158F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t>z</w:t>
            </w:r>
            <w:r w:rsidR="0015511A" w:rsidRPr="00074698">
              <w:rPr>
                <w:rFonts w:eastAsia="MS Mincho"/>
                <w:sz w:val="22"/>
                <w:szCs w:val="22"/>
                <w:lang w:val="sk-SK"/>
              </w:rPr>
              <w:t>ápcha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0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2(1,3 %)</w:t>
            </w: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D4158F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proofErr w:type="spellStart"/>
            <w:r>
              <w:rPr>
                <w:rFonts w:eastAsia="MS Mincho"/>
                <w:sz w:val="22"/>
                <w:szCs w:val="22"/>
                <w:lang w:val="sk-SK"/>
              </w:rPr>
              <w:t>s</w:t>
            </w:r>
            <w:r w:rsidR="0015511A" w:rsidRPr="00074698">
              <w:rPr>
                <w:rFonts w:eastAsia="MS Mincho"/>
                <w:sz w:val="22"/>
                <w:szCs w:val="22"/>
                <w:lang w:val="sk-SK"/>
              </w:rPr>
              <w:t>omnolencia</w:t>
            </w:r>
            <w:proofErr w:type="spellEnd"/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2(2,4 %)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3(1,9 %)</w:t>
            </w: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b/>
                <w:bCs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sk-SK"/>
              </w:rPr>
            </w:pPr>
          </w:p>
        </w:tc>
      </w:tr>
      <w:tr w:rsidR="0015511A" w:rsidRPr="00074698" w:rsidTr="00AA1E28">
        <w:trPr>
          <w:trHeight w:val="270"/>
          <w:jc w:val="center"/>
        </w:trPr>
        <w:tc>
          <w:tcPr>
            <w:tcW w:w="4133" w:type="dxa"/>
          </w:tcPr>
          <w:p w:rsidR="0015511A" w:rsidRPr="00074698" w:rsidRDefault="00D4158F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lastRenderedPageBreak/>
              <w:t>p</w:t>
            </w:r>
            <w:r w:rsidR="0015511A" w:rsidRPr="00074698">
              <w:rPr>
                <w:rFonts w:eastAsia="MS Mincho"/>
                <w:sz w:val="22"/>
                <w:szCs w:val="22"/>
                <w:lang w:val="sk-SK"/>
              </w:rPr>
              <w:t>orucha spánku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0</w:t>
            </w:r>
          </w:p>
        </w:tc>
        <w:tc>
          <w:tcPr>
            <w:tcW w:w="0" w:type="auto"/>
          </w:tcPr>
          <w:p w:rsidR="0015511A" w:rsidRPr="00074698" w:rsidRDefault="0015511A" w:rsidP="00AA1E28">
            <w:pPr>
              <w:jc w:val="center"/>
              <w:rPr>
                <w:rFonts w:eastAsia="MS Mincho"/>
                <w:sz w:val="22"/>
                <w:szCs w:val="22"/>
                <w:lang w:val="sk-SK"/>
              </w:rPr>
            </w:pPr>
            <w:r w:rsidRPr="00074698">
              <w:rPr>
                <w:rFonts w:eastAsia="MS Mincho"/>
                <w:sz w:val="22"/>
                <w:szCs w:val="22"/>
                <w:lang w:val="sk-SK"/>
              </w:rPr>
              <w:t>2(1,3 %)</w:t>
            </w:r>
          </w:p>
        </w:tc>
      </w:tr>
    </w:tbl>
    <w:p w:rsidR="00261A35" w:rsidRPr="00074698" w:rsidRDefault="00261A35" w:rsidP="00261A35">
      <w:pPr>
        <w:pStyle w:val="Default"/>
        <w:rPr>
          <w:color w:val="auto"/>
          <w:sz w:val="22"/>
          <w:szCs w:val="22"/>
          <w:lang w:val="sk-SK"/>
        </w:rPr>
      </w:pPr>
    </w:p>
    <w:p w:rsidR="00261A35" w:rsidRPr="00074698" w:rsidRDefault="00AA7C71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U detí vo veku 6-12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rokov sa uskutočnili dvojito zaslepené </w:t>
      </w:r>
      <w:proofErr w:type="spellStart"/>
      <w:r w:rsidRPr="00074698">
        <w:rPr>
          <w:rFonts w:ascii="Times New Roman" w:hAnsi="Times New Roman"/>
          <w:sz w:val="22"/>
          <w:szCs w:val="22"/>
        </w:rPr>
        <w:t>placebom</w:t>
      </w:r>
      <w:proofErr w:type="spellEnd"/>
      <w:r w:rsidR="00EC7FB1">
        <w:rPr>
          <w:rFonts w:ascii="Times New Roman" w:hAnsi="Times New Roman"/>
          <w:sz w:val="22"/>
          <w:szCs w:val="22"/>
        </w:rPr>
        <w:t>,</w:t>
      </w:r>
      <w:r w:rsidRPr="00074698">
        <w:rPr>
          <w:rFonts w:ascii="Times New Roman" w:hAnsi="Times New Roman"/>
          <w:sz w:val="22"/>
          <w:szCs w:val="22"/>
        </w:rPr>
        <w:t xml:space="preserve"> kontrolované štúdie, v ktorých 243 detí </w:t>
      </w:r>
      <w:r w:rsidR="00D4158F">
        <w:rPr>
          <w:rFonts w:ascii="Times New Roman" w:hAnsi="Times New Roman"/>
          <w:sz w:val="22"/>
          <w:szCs w:val="22"/>
        </w:rPr>
        <w:t>užívalo</w:t>
      </w:r>
      <w:r w:rsidR="00D4158F" w:rsidRPr="00074698">
        <w:rPr>
          <w:rFonts w:ascii="Times New Roman" w:hAnsi="Times New Roman"/>
          <w:sz w:val="22"/>
          <w:szCs w:val="22"/>
        </w:rPr>
        <w:t xml:space="preserve"> </w:t>
      </w:r>
      <w:r w:rsidRPr="00074698">
        <w:rPr>
          <w:rFonts w:ascii="Times New Roman" w:hAnsi="Times New Roman"/>
          <w:sz w:val="22"/>
          <w:szCs w:val="22"/>
        </w:rPr>
        <w:t xml:space="preserve">5 mg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denne rozličn</w:t>
      </w:r>
      <w:r w:rsidR="00EC7FB1">
        <w:rPr>
          <w:rFonts w:ascii="Times New Roman" w:hAnsi="Times New Roman"/>
          <w:sz w:val="22"/>
          <w:szCs w:val="22"/>
        </w:rPr>
        <w:t>e dlhú</w:t>
      </w:r>
      <w:r w:rsidRPr="00074698">
        <w:rPr>
          <w:rFonts w:ascii="Times New Roman" w:hAnsi="Times New Roman"/>
          <w:sz w:val="22"/>
          <w:szCs w:val="22"/>
        </w:rPr>
        <w:t xml:space="preserve"> dobu, ktorá sa pohybovala od menej ako 1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>týždeň do 13</w:t>
      </w:r>
      <w:r w:rsidR="00C333CE">
        <w:rPr>
          <w:rFonts w:ascii="Times New Roman" w:hAnsi="Times New Roman"/>
          <w:sz w:val="22"/>
          <w:szCs w:val="22"/>
        </w:rPr>
        <w:t> </w:t>
      </w:r>
      <w:r w:rsidRPr="00074698">
        <w:rPr>
          <w:rFonts w:ascii="Times New Roman" w:hAnsi="Times New Roman"/>
          <w:sz w:val="22"/>
          <w:szCs w:val="22"/>
        </w:rPr>
        <w:t xml:space="preserve">týždňov. S mierou </w:t>
      </w:r>
      <w:r w:rsidR="00D4158F">
        <w:rPr>
          <w:rFonts w:ascii="Times New Roman" w:hAnsi="Times New Roman"/>
          <w:sz w:val="22"/>
          <w:szCs w:val="22"/>
        </w:rPr>
        <w:t xml:space="preserve">výskytu </w:t>
      </w:r>
      <w:r w:rsidRPr="00074698">
        <w:rPr>
          <w:rFonts w:ascii="Times New Roman" w:hAnsi="Times New Roman"/>
          <w:sz w:val="22"/>
          <w:szCs w:val="22"/>
        </w:rPr>
        <w:t xml:space="preserve">1 % alebo vyššou sa pri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levocetirizíne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074698">
        <w:rPr>
          <w:rFonts w:ascii="Times New Roman" w:hAnsi="Times New Roman"/>
          <w:sz w:val="22"/>
          <w:szCs w:val="22"/>
        </w:rPr>
        <w:t>placebe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zaznamenala nasledujúca </w:t>
      </w:r>
      <w:proofErr w:type="spellStart"/>
      <w:r w:rsidRPr="00074698">
        <w:rPr>
          <w:rFonts w:ascii="Times New Roman" w:hAnsi="Times New Roman"/>
          <w:sz w:val="22"/>
          <w:szCs w:val="22"/>
        </w:rPr>
        <w:t>incidencia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nežiaducich reakcií</w:t>
      </w:r>
      <w:r w:rsidR="00D4158F">
        <w:rPr>
          <w:rFonts w:ascii="Times New Roman" w:hAnsi="Times New Roman"/>
          <w:sz w:val="22"/>
          <w:szCs w:val="22"/>
        </w:rPr>
        <w:t xml:space="preserve"> na liek</w:t>
      </w:r>
      <w:r w:rsidRPr="00074698">
        <w:rPr>
          <w:rFonts w:ascii="Times New Roman" w:hAnsi="Times New Roman"/>
          <w:sz w:val="22"/>
          <w:szCs w:val="22"/>
        </w:rPr>
        <w:t>.</w:t>
      </w:r>
    </w:p>
    <w:p w:rsidR="00B907D7" w:rsidRPr="00074698" w:rsidRDefault="00B907D7" w:rsidP="00AA7C71">
      <w:pPr>
        <w:jc w:val="center"/>
        <w:rPr>
          <w:sz w:val="22"/>
          <w:szCs w:val="22"/>
          <w:lang w:val="sk-SK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3136"/>
      </w:tblGrid>
      <w:tr w:rsidR="004A3544" w:rsidRPr="00074698" w:rsidTr="00AA7C71">
        <w:tc>
          <w:tcPr>
            <w:tcW w:w="2977" w:type="dxa"/>
          </w:tcPr>
          <w:p w:rsidR="00AA7C71" w:rsidRPr="00074698" w:rsidRDefault="00AA7C71" w:rsidP="00AA7C71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074698">
              <w:rPr>
                <w:b/>
                <w:bCs/>
                <w:sz w:val="22"/>
                <w:szCs w:val="22"/>
                <w:lang w:val="sk-SK"/>
              </w:rPr>
              <w:t>Preferenčný termín</w:t>
            </w:r>
          </w:p>
        </w:tc>
        <w:tc>
          <w:tcPr>
            <w:tcW w:w="2551" w:type="dxa"/>
          </w:tcPr>
          <w:p w:rsidR="00AA7C71" w:rsidRPr="00074698" w:rsidRDefault="00AA7C71" w:rsidP="00AA7C71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74698">
              <w:rPr>
                <w:b/>
                <w:bCs/>
                <w:sz w:val="22"/>
                <w:szCs w:val="22"/>
                <w:lang w:val="sk-SK"/>
              </w:rPr>
              <w:t>Placebo</w:t>
            </w:r>
            <w:proofErr w:type="spellEnd"/>
            <w:r w:rsidRPr="00074698">
              <w:rPr>
                <w:b/>
                <w:bCs/>
                <w:sz w:val="22"/>
                <w:szCs w:val="22"/>
                <w:lang w:val="sk-SK"/>
              </w:rPr>
              <w:t xml:space="preserve"> (n = 240)</w:t>
            </w:r>
          </w:p>
        </w:tc>
        <w:tc>
          <w:tcPr>
            <w:tcW w:w="3136" w:type="dxa"/>
          </w:tcPr>
          <w:p w:rsidR="00AA7C71" w:rsidRPr="00074698" w:rsidRDefault="00AA7C71" w:rsidP="00AA7C71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074698">
              <w:rPr>
                <w:b/>
                <w:bCs/>
                <w:sz w:val="22"/>
                <w:szCs w:val="22"/>
                <w:lang w:val="sk-SK"/>
              </w:rPr>
              <w:t>Levocetirizín</w:t>
            </w:r>
            <w:proofErr w:type="spellEnd"/>
            <w:r w:rsidRPr="00074698">
              <w:rPr>
                <w:b/>
                <w:bCs/>
                <w:sz w:val="22"/>
                <w:szCs w:val="22"/>
                <w:lang w:val="sk-SK"/>
              </w:rPr>
              <w:t xml:space="preserve"> 5 mg (n = 243)</w:t>
            </w:r>
          </w:p>
        </w:tc>
      </w:tr>
      <w:tr w:rsidR="004A3544" w:rsidRPr="00074698" w:rsidTr="00AA7C71">
        <w:tc>
          <w:tcPr>
            <w:tcW w:w="2977" w:type="dxa"/>
          </w:tcPr>
          <w:p w:rsidR="00AA7C71" w:rsidRPr="00074698" w:rsidRDefault="00D4158F" w:rsidP="004A354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AA7C71" w:rsidRPr="00074698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551" w:type="dxa"/>
          </w:tcPr>
          <w:p w:rsidR="00AA7C71" w:rsidRPr="00074698" w:rsidRDefault="00AA7C71" w:rsidP="00AA7C71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5 (2,1 %)</w:t>
            </w:r>
          </w:p>
        </w:tc>
        <w:tc>
          <w:tcPr>
            <w:tcW w:w="3136" w:type="dxa"/>
          </w:tcPr>
          <w:p w:rsidR="00AA7C71" w:rsidRPr="00074698" w:rsidRDefault="00AA7C71" w:rsidP="00AA7C71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2 (0,8 %)</w:t>
            </w:r>
          </w:p>
        </w:tc>
      </w:tr>
      <w:tr w:rsidR="004A3544" w:rsidRPr="00074698" w:rsidTr="00AA7C71">
        <w:tc>
          <w:tcPr>
            <w:tcW w:w="2977" w:type="dxa"/>
          </w:tcPr>
          <w:p w:rsidR="00AA7C71" w:rsidRPr="00074698" w:rsidRDefault="00827DCD" w:rsidP="004A3544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somnolencia</w:t>
            </w:r>
            <w:proofErr w:type="spellEnd"/>
          </w:p>
        </w:tc>
        <w:tc>
          <w:tcPr>
            <w:tcW w:w="2551" w:type="dxa"/>
          </w:tcPr>
          <w:p w:rsidR="00AA7C71" w:rsidRPr="00074698" w:rsidRDefault="00AA7C71" w:rsidP="00AA7C71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1 (0,4 %)</w:t>
            </w:r>
          </w:p>
        </w:tc>
        <w:tc>
          <w:tcPr>
            <w:tcW w:w="3136" w:type="dxa"/>
          </w:tcPr>
          <w:p w:rsidR="00AA7C71" w:rsidRPr="00074698" w:rsidRDefault="00AA7C71" w:rsidP="00AA7C71">
            <w:pPr>
              <w:jc w:val="center"/>
              <w:rPr>
                <w:sz w:val="22"/>
                <w:szCs w:val="22"/>
                <w:lang w:val="sk-SK"/>
              </w:rPr>
            </w:pPr>
            <w:r w:rsidRPr="00074698">
              <w:rPr>
                <w:sz w:val="22"/>
                <w:szCs w:val="22"/>
                <w:lang w:val="sk-SK"/>
              </w:rPr>
              <w:t>7 (2,9</w:t>
            </w:r>
            <w:r w:rsidR="00C333CE">
              <w:rPr>
                <w:sz w:val="22"/>
                <w:szCs w:val="22"/>
                <w:lang w:val="sk-SK"/>
              </w:rPr>
              <w:t> </w:t>
            </w:r>
            <w:r w:rsidRPr="00074698">
              <w:rPr>
                <w:sz w:val="22"/>
                <w:szCs w:val="22"/>
                <w:lang w:val="sk-SK"/>
              </w:rPr>
              <w:t>%)</w:t>
            </w:r>
          </w:p>
        </w:tc>
      </w:tr>
    </w:tbl>
    <w:p w:rsidR="00AA7C71" w:rsidRPr="00074698" w:rsidRDefault="00AA7C71" w:rsidP="00AA7C71">
      <w:pPr>
        <w:jc w:val="both"/>
        <w:rPr>
          <w:sz w:val="22"/>
          <w:szCs w:val="22"/>
          <w:lang w:val="sk-SK"/>
        </w:rPr>
      </w:pPr>
    </w:p>
    <w:p w:rsidR="00AA7C71" w:rsidRPr="00074698" w:rsidRDefault="00AA7C71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Tak ako je uvedené v častiach 4.2 a 4.</w:t>
      </w:r>
      <w:r w:rsidR="00E75E7F" w:rsidRPr="00074698">
        <w:rPr>
          <w:rFonts w:ascii="Times New Roman" w:hAnsi="Times New Roman"/>
          <w:sz w:val="22"/>
          <w:szCs w:val="22"/>
        </w:rPr>
        <w:t>4 všimnite si, prosím, že hoci sú k dispozícii klinické údaje u detí vo veku 6</w:t>
      </w:r>
      <w:r w:rsidR="00C333CE">
        <w:rPr>
          <w:rFonts w:ascii="Times New Roman" w:hAnsi="Times New Roman"/>
          <w:sz w:val="22"/>
          <w:szCs w:val="22"/>
        </w:rPr>
        <w:t> </w:t>
      </w:r>
      <w:r w:rsidR="00E75E7F" w:rsidRPr="00074698">
        <w:rPr>
          <w:rFonts w:ascii="Times New Roman" w:hAnsi="Times New Roman"/>
          <w:sz w:val="22"/>
          <w:szCs w:val="22"/>
        </w:rPr>
        <w:t>mesiacov až 12</w:t>
      </w:r>
      <w:r w:rsidR="00C333CE">
        <w:rPr>
          <w:rFonts w:ascii="Times New Roman" w:hAnsi="Times New Roman"/>
          <w:sz w:val="22"/>
          <w:szCs w:val="22"/>
        </w:rPr>
        <w:t> </w:t>
      </w:r>
      <w:r w:rsidR="00E75E7F" w:rsidRPr="00074698">
        <w:rPr>
          <w:rFonts w:ascii="Times New Roman" w:hAnsi="Times New Roman"/>
          <w:sz w:val="22"/>
          <w:szCs w:val="22"/>
        </w:rPr>
        <w:t>rokov uvedené v tejto časti, nemáme dostatočné údaje na podporu podávania lieku u dojčiat a batoliat vo veku menej ako 2</w:t>
      </w:r>
      <w:r w:rsidR="00C333CE">
        <w:rPr>
          <w:rFonts w:ascii="Times New Roman" w:hAnsi="Times New Roman"/>
          <w:sz w:val="22"/>
          <w:szCs w:val="22"/>
        </w:rPr>
        <w:t> </w:t>
      </w:r>
      <w:r w:rsidR="00E75E7F" w:rsidRPr="00074698">
        <w:rPr>
          <w:rFonts w:ascii="Times New Roman" w:hAnsi="Times New Roman"/>
          <w:sz w:val="22"/>
          <w:szCs w:val="22"/>
        </w:rPr>
        <w:t>roky.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E75E7F" w:rsidRPr="00074698" w:rsidRDefault="00E75E7F" w:rsidP="002156B5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074698">
        <w:rPr>
          <w:rFonts w:ascii="Times New Roman" w:hAnsi="Times New Roman"/>
          <w:sz w:val="22"/>
          <w:szCs w:val="22"/>
          <w:u w:val="single"/>
        </w:rPr>
        <w:t>Skúsenosti po uvedení lieku na trh</w:t>
      </w:r>
    </w:p>
    <w:p w:rsidR="0015511A" w:rsidRPr="00074698" w:rsidRDefault="0015511A" w:rsidP="0015511A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Nežiaduce reakcie zaznamenané po uvedení lieku na trh sú uvedené podľa triedy orgánov</w:t>
      </w:r>
      <w:r w:rsidR="00A84546">
        <w:rPr>
          <w:rFonts w:ascii="Times New Roman" w:hAnsi="Times New Roman"/>
          <w:sz w:val="22"/>
          <w:szCs w:val="22"/>
        </w:rPr>
        <w:t>ých</w:t>
      </w:r>
      <w:r w:rsidRPr="00074698">
        <w:rPr>
          <w:rFonts w:ascii="Times New Roman" w:hAnsi="Times New Roman"/>
          <w:sz w:val="22"/>
          <w:szCs w:val="22"/>
        </w:rPr>
        <w:t xml:space="preserve"> systém</w:t>
      </w:r>
      <w:r w:rsidR="00A84546">
        <w:rPr>
          <w:rFonts w:ascii="Times New Roman" w:hAnsi="Times New Roman"/>
          <w:sz w:val="22"/>
          <w:szCs w:val="22"/>
        </w:rPr>
        <w:t>ov</w:t>
      </w:r>
      <w:r w:rsidRPr="00074698">
        <w:rPr>
          <w:rFonts w:ascii="Times New Roman" w:hAnsi="Times New Roman"/>
          <w:sz w:val="22"/>
          <w:szCs w:val="22"/>
        </w:rPr>
        <w:t xml:space="preserve"> a frekvencie. Frekvencia je definovaná nasledovne: </w:t>
      </w:r>
      <w:r w:rsidRPr="00074698">
        <w:rPr>
          <w:rFonts w:ascii="Times New Roman" w:hAnsi="Times New Roman"/>
          <w:bCs/>
          <w:sz w:val="22"/>
          <w:szCs w:val="22"/>
        </w:rPr>
        <w:t>veľmi časté (</w:t>
      </w:r>
      <w:r w:rsidRPr="00074698">
        <w:rPr>
          <w:rFonts w:ascii="Times New Roman" w:hAnsi="Times New Roman"/>
          <w:bCs/>
          <w:sz w:val="22"/>
          <w:szCs w:val="22"/>
        </w:rPr>
        <w:sym w:font="Symbol" w:char="F0B3"/>
      </w:r>
      <w:r w:rsidRPr="00074698">
        <w:rPr>
          <w:rFonts w:ascii="Times New Roman" w:hAnsi="Times New Roman"/>
          <w:bCs/>
          <w:sz w:val="22"/>
          <w:szCs w:val="22"/>
        </w:rPr>
        <w:t> 1/10), č</w:t>
      </w:r>
      <w:r w:rsidRPr="00074698">
        <w:rPr>
          <w:rFonts w:ascii="Times New Roman" w:hAnsi="Times New Roman"/>
          <w:iCs/>
          <w:sz w:val="22"/>
          <w:szCs w:val="22"/>
        </w:rPr>
        <w:t>asté (</w:t>
      </w:r>
      <w:r w:rsidRPr="00074698">
        <w:rPr>
          <w:rFonts w:ascii="Times New Roman" w:hAnsi="Times New Roman"/>
          <w:iCs/>
          <w:sz w:val="22"/>
          <w:szCs w:val="22"/>
        </w:rPr>
        <w:sym w:font="Symbol" w:char="F0B3"/>
      </w:r>
      <w:r w:rsidRPr="00074698">
        <w:rPr>
          <w:rFonts w:ascii="Times New Roman" w:hAnsi="Times New Roman"/>
          <w:iCs/>
          <w:sz w:val="22"/>
          <w:szCs w:val="22"/>
        </w:rPr>
        <w:t> 1/100 až &lt; 1/10), m</w:t>
      </w:r>
      <w:r w:rsidRPr="00074698">
        <w:rPr>
          <w:rFonts w:ascii="Times New Roman" w:hAnsi="Times New Roman"/>
          <w:bCs/>
          <w:iCs/>
          <w:sz w:val="22"/>
          <w:szCs w:val="22"/>
        </w:rPr>
        <w:t>enej časté (</w:t>
      </w:r>
      <w:r w:rsidRPr="00074698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Pr="00074698">
        <w:rPr>
          <w:rFonts w:ascii="Times New Roman" w:hAnsi="Times New Roman"/>
          <w:bCs/>
          <w:iCs/>
          <w:sz w:val="22"/>
          <w:szCs w:val="22"/>
        </w:rPr>
        <w:t> 1/1 000 až &lt; 1/100), z</w:t>
      </w:r>
      <w:r w:rsidRPr="00074698">
        <w:rPr>
          <w:rFonts w:ascii="Times New Roman" w:hAnsi="Times New Roman"/>
          <w:iCs/>
          <w:sz w:val="22"/>
          <w:szCs w:val="22"/>
        </w:rPr>
        <w:t>riedkavé (</w:t>
      </w:r>
      <w:r w:rsidRPr="00074698">
        <w:rPr>
          <w:rFonts w:ascii="Times New Roman" w:hAnsi="Times New Roman"/>
          <w:bCs/>
          <w:iCs/>
          <w:sz w:val="22"/>
          <w:szCs w:val="22"/>
        </w:rPr>
        <w:sym w:font="Symbol" w:char="F0B3"/>
      </w:r>
      <w:r w:rsidRPr="00074698">
        <w:rPr>
          <w:rFonts w:ascii="Times New Roman" w:hAnsi="Times New Roman"/>
          <w:bCs/>
          <w:iCs/>
          <w:sz w:val="22"/>
          <w:szCs w:val="22"/>
        </w:rPr>
        <w:t> </w:t>
      </w:r>
      <w:r w:rsidRPr="00074698">
        <w:rPr>
          <w:rFonts w:ascii="Times New Roman" w:hAnsi="Times New Roman"/>
          <w:iCs/>
          <w:sz w:val="22"/>
          <w:szCs w:val="22"/>
        </w:rPr>
        <w:t>1/10 000 až &lt; 1/1 000), veľmi zriedkavé (&lt; 1/10 000), neznáme z dostupných údajov.</w:t>
      </w:r>
    </w:p>
    <w:p w:rsidR="003D723B" w:rsidRPr="00074698" w:rsidRDefault="003D723B" w:rsidP="003D723B">
      <w:pPr>
        <w:pStyle w:val="Zarkazkladnhotextu3"/>
        <w:ind w:left="0"/>
        <w:rPr>
          <w:rFonts w:ascii="Times New Roman" w:hAnsi="Times New Roman"/>
          <w:sz w:val="22"/>
          <w:szCs w:val="22"/>
        </w:rPr>
      </w:pP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imunitného systému: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precitlivenosť vrátane </w:t>
      </w:r>
      <w:proofErr w:type="spellStart"/>
      <w:r w:rsidRPr="00074698">
        <w:rPr>
          <w:rFonts w:ascii="Times New Roman" w:hAnsi="Times New Roman"/>
          <w:sz w:val="22"/>
          <w:szCs w:val="22"/>
        </w:rPr>
        <w:t>anafylaxie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metabolizmu a výživy: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Neznáme: zvýšená chuť do jedla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Psychické poruchy: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Neznáme: agresivita, agitácia, halucináci</w:t>
      </w:r>
      <w:r w:rsidR="00EC7FB1">
        <w:rPr>
          <w:rFonts w:ascii="Times New Roman" w:hAnsi="Times New Roman"/>
          <w:sz w:val="22"/>
          <w:szCs w:val="22"/>
        </w:rPr>
        <w:t>e</w:t>
      </w:r>
      <w:r w:rsidRPr="00074698">
        <w:rPr>
          <w:rFonts w:ascii="Times New Roman" w:hAnsi="Times New Roman"/>
          <w:sz w:val="22"/>
          <w:szCs w:val="22"/>
        </w:rPr>
        <w:t>, depresia, nespavosť, myšlienky na samovraždu</w:t>
      </w:r>
      <w:r w:rsidR="00D915A4">
        <w:rPr>
          <w:rFonts w:ascii="Times New Roman" w:hAnsi="Times New Roman"/>
          <w:sz w:val="22"/>
          <w:szCs w:val="22"/>
        </w:rPr>
        <w:t>, nočné mory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nervového systému: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kŕče, </w:t>
      </w:r>
      <w:proofErr w:type="spellStart"/>
      <w:r w:rsidRPr="00074698">
        <w:rPr>
          <w:rFonts w:ascii="Times New Roman" w:hAnsi="Times New Roman"/>
          <w:sz w:val="22"/>
          <w:szCs w:val="22"/>
        </w:rPr>
        <w:t>parestézia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, závrat, synkopa, </w:t>
      </w:r>
      <w:proofErr w:type="spellStart"/>
      <w:r w:rsidRPr="00074698">
        <w:rPr>
          <w:rFonts w:ascii="Times New Roman" w:hAnsi="Times New Roman"/>
          <w:sz w:val="22"/>
          <w:szCs w:val="22"/>
        </w:rPr>
        <w:t>tremor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74698">
        <w:rPr>
          <w:rFonts w:ascii="Times New Roman" w:hAnsi="Times New Roman"/>
          <w:sz w:val="22"/>
          <w:szCs w:val="22"/>
        </w:rPr>
        <w:t>dysgeúzia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ucha a labyrintu: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sz w:val="22"/>
          <w:szCs w:val="22"/>
        </w:rPr>
        <w:t>vertigo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oka: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poruchy </w:t>
      </w:r>
      <w:r w:rsidR="00492466">
        <w:rPr>
          <w:rFonts w:ascii="Times New Roman" w:hAnsi="Times New Roman"/>
          <w:sz w:val="22"/>
          <w:szCs w:val="22"/>
        </w:rPr>
        <w:t>videnia</w:t>
      </w:r>
      <w:r w:rsidRPr="00074698">
        <w:rPr>
          <w:rFonts w:ascii="Times New Roman" w:hAnsi="Times New Roman"/>
          <w:sz w:val="22"/>
          <w:szCs w:val="22"/>
        </w:rPr>
        <w:t>, rozmazané videnie</w:t>
      </w:r>
      <w:r w:rsidR="007615D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615D5" w:rsidRPr="007615D5">
        <w:rPr>
          <w:rFonts w:ascii="Times New Roman" w:hAnsi="Times New Roman"/>
          <w:sz w:val="22"/>
          <w:szCs w:val="22"/>
        </w:rPr>
        <w:t>okulogyrácia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srdca a srdcovej činnosti: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sz w:val="22"/>
          <w:szCs w:val="22"/>
        </w:rPr>
        <w:t>palpitácie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74698">
        <w:rPr>
          <w:rFonts w:ascii="Times New Roman" w:hAnsi="Times New Roman"/>
          <w:sz w:val="22"/>
          <w:szCs w:val="22"/>
        </w:rPr>
        <w:t>tachykardia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Poruchy dýchacej sústavy, hrudníka a </w:t>
      </w:r>
      <w:proofErr w:type="spellStart"/>
      <w:r w:rsidRPr="00074698">
        <w:rPr>
          <w:rFonts w:ascii="Times New Roman" w:hAnsi="Times New Roman"/>
          <w:sz w:val="22"/>
          <w:szCs w:val="22"/>
        </w:rPr>
        <w:t>mediastína</w:t>
      </w:r>
      <w:proofErr w:type="spellEnd"/>
      <w:r w:rsidRPr="00074698">
        <w:rPr>
          <w:rFonts w:ascii="Times New Roman" w:hAnsi="Times New Roman"/>
          <w:sz w:val="22"/>
          <w:szCs w:val="22"/>
        </w:rPr>
        <w:t>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sz w:val="22"/>
          <w:szCs w:val="22"/>
        </w:rPr>
        <w:t>dyspnoe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Poruchy </w:t>
      </w:r>
      <w:proofErr w:type="spellStart"/>
      <w:r w:rsidRPr="00074698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traktu: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sz w:val="22"/>
          <w:szCs w:val="22"/>
        </w:rPr>
        <w:t>nauzea</w:t>
      </w:r>
      <w:proofErr w:type="spellEnd"/>
      <w:r w:rsidRPr="00074698">
        <w:rPr>
          <w:rFonts w:ascii="Times New Roman" w:hAnsi="Times New Roman"/>
          <w:sz w:val="22"/>
          <w:szCs w:val="22"/>
        </w:rPr>
        <w:t>, vracanie</w:t>
      </w:r>
      <w:r w:rsidR="00C333CE">
        <w:rPr>
          <w:rFonts w:ascii="Times New Roman" w:hAnsi="Times New Roman"/>
          <w:sz w:val="22"/>
          <w:szCs w:val="22"/>
        </w:rPr>
        <w:t>, hnačka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pečene a žlčových ciest: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Neznáme: hepatitída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iCs/>
          <w:sz w:val="22"/>
          <w:szCs w:val="22"/>
        </w:rPr>
        <w:t>Poruchy obličiek a močových ciest: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iCs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iCs/>
          <w:sz w:val="22"/>
          <w:szCs w:val="22"/>
        </w:rPr>
        <w:t>dyzúria</w:t>
      </w:r>
      <w:proofErr w:type="spellEnd"/>
      <w:r w:rsidRPr="00074698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074698">
        <w:rPr>
          <w:rFonts w:ascii="Times New Roman" w:hAnsi="Times New Roman"/>
          <w:iCs/>
          <w:sz w:val="22"/>
          <w:szCs w:val="22"/>
        </w:rPr>
        <w:t>retencia</w:t>
      </w:r>
      <w:proofErr w:type="spellEnd"/>
      <w:r w:rsidRPr="00074698">
        <w:rPr>
          <w:rFonts w:ascii="Times New Roman" w:hAnsi="Times New Roman"/>
          <w:iCs/>
          <w:sz w:val="22"/>
          <w:szCs w:val="22"/>
        </w:rPr>
        <w:t xml:space="preserve"> moču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kože a podkožného tkaniva: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sz w:val="22"/>
          <w:szCs w:val="22"/>
        </w:rPr>
        <w:t>angioneurotický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edém, lokalizovaná lieková vyrážka, </w:t>
      </w:r>
      <w:proofErr w:type="spellStart"/>
      <w:r w:rsidRPr="00074698">
        <w:rPr>
          <w:rFonts w:ascii="Times New Roman" w:hAnsi="Times New Roman"/>
          <w:sz w:val="22"/>
          <w:szCs w:val="22"/>
        </w:rPr>
        <w:t>pruritus</w:t>
      </w:r>
      <w:proofErr w:type="spellEnd"/>
      <w:r w:rsidRPr="00074698">
        <w:rPr>
          <w:rFonts w:ascii="Times New Roman" w:hAnsi="Times New Roman"/>
          <w:sz w:val="22"/>
          <w:szCs w:val="22"/>
        </w:rPr>
        <w:t>, vyrážka, žihľavka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Poruchy kostrovej a svalovej sústavy a spojivového tkaniva: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074698">
        <w:rPr>
          <w:rFonts w:ascii="Times New Roman" w:hAnsi="Times New Roman"/>
          <w:sz w:val="22"/>
          <w:szCs w:val="22"/>
        </w:rPr>
        <w:t>myalgia</w:t>
      </w:r>
      <w:proofErr w:type="spellEnd"/>
      <w:r w:rsidR="00C333C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333CE">
        <w:rPr>
          <w:rFonts w:ascii="Times New Roman" w:hAnsi="Times New Roman"/>
          <w:sz w:val="22"/>
          <w:szCs w:val="22"/>
        </w:rPr>
        <w:t>artralgia</w:t>
      </w:r>
      <w:proofErr w:type="spellEnd"/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iCs/>
          <w:sz w:val="22"/>
          <w:szCs w:val="22"/>
        </w:rPr>
        <w:t>Celkové poruchy a reakcie v mieste podania: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Neznáme: edém</w:t>
      </w:r>
    </w:p>
    <w:p w:rsidR="0015511A" w:rsidRPr="00074698" w:rsidRDefault="0015511A" w:rsidP="0015511A">
      <w:pPr>
        <w:pStyle w:val="Zarkazkladnhotextu3"/>
        <w:numPr>
          <w:ilvl w:val="0"/>
          <w:numId w:val="8"/>
        </w:numPr>
        <w:ind w:hanging="709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>Laboratórne a funkčné vyšetrenia:</w:t>
      </w:r>
    </w:p>
    <w:p w:rsidR="0015511A" w:rsidRPr="00074698" w:rsidRDefault="0015511A" w:rsidP="0015511A">
      <w:pPr>
        <w:pStyle w:val="Zarkazkladnhotextu3"/>
        <w:ind w:left="72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Neznáme: zvýšenie telesnej hmotnosti, abnormálne pečeňové funkčné testy </w:t>
      </w:r>
    </w:p>
    <w:p w:rsidR="00E75E7F" w:rsidRPr="00074698" w:rsidRDefault="00E75E7F" w:rsidP="00E75E7F">
      <w:pPr>
        <w:rPr>
          <w:sz w:val="22"/>
          <w:szCs w:val="22"/>
          <w:lang w:val="sk-SK"/>
        </w:rPr>
      </w:pPr>
    </w:p>
    <w:p w:rsidR="00E75E7F" w:rsidRDefault="00F94E71" w:rsidP="00E75E7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074698">
        <w:rPr>
          <w:sz w:val="22"/>
          <w:szCs w:val="22"/>
          <w:lang w:val="sk-SK"/>
        </w:rPr>
        <w:t>etylparabén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 </w:t>
      </w:r>
      <w:proofErr w:type="spellStart"/>
      <w:r>
        <w:rPr>
          <w:sz w:val="22"/>
          <w:szCs w:val="22"/>
          <w:lang w:val="sk-SK"/>
        </w:rPr>
        <w:t>p</w:t>
      </w:r>
      <w:r w:rsidR="00E75E7F" w:rsidRPr="00074698">
        <w:rPr>
          <w:sz w:val="22"/>
          <w:szCs w:val="22"/>
          <w:lang w:val="sk-SK"/>
        </w:rPr>
        <w:t>ropylparabén</w:t>
      </w:r>
      <w:proofErr w:type="spellEnd"/>
      <w:r w:rsidR="00E75E7F" w:rsidRPr="00074698">
        <w:rPr>
          <w:sz w:val="22"/>
          <w:szCs w:val="22"/>
          <w:lang w:val="sk-SK"/>
        </w:rPr>
        <w:t xml:space="preserve"> môžu vyvolať alergické reakcie (prípadne oneskorené).</w:t>
      </w:r>
    </w:p>
    <w:p w:rsidR="00723791" w:rsidRDefault="00723791" w:rsidP="00E75E7F">
      <w:pPr>
        <w:rPr>
          <w:sz w:val="22"/>
          <w:szCs w:val="22"/>
          <w:lang w:val="sk-SK"/>
        </w:rPr>
      </w:pPr>
    </w:p>
    <w:p w:rsidR="00723791" w:rsidRPr="002C5714" w:rsidRDefault="002C5714" w:rsidP="00723791">
      <w:pPr>
        <w:tabs>
          <w:tab w:val="left" w:pos="851"/>
        </w:tabs>
        <w:ind w:left="709" w:hanging="709"/>
        <w:rPr>
          <w:sz w:val="22"/>
          <w:szCs w:val="22"/>
          <w:u w:val="single"/>
          <w:lang w:val="sk-SK"/>
        </w:rPr>
      </w:pPr>
      <w:r w:rsidRPr="002C5714">
        <w:rPr>
          <w:sz w:val="22"/>
          <w:szCs w:val="22"/>
          <w:u w:val="single"/>
          <w:lang w:val="sk-SK"/>
        </w:rPr>
        <w:t>Po</w:t>
      </w:r>
      <w:r w:rsidR="00723791" w:rsidRPr="002C5714">
        <w:rPr>
          <w:sz w:val="22"/>
          <w:szCs w:val="22"/>
          <w:u w:val="single"/>
          <w:lang w:val="sk-SK"/>
        </w:rPr>
        <w:t>pis vybraných nežiaducich účinkov</w:t>
      </w:r>
    </w:p>
    <w:p w:rsidR="00723791" w:rsidRPr="002C5714" w:rsidRDefault="00723791" w:rsidP="00723791">
      <w:pPr>
        <w:tabs>
          <w:tab w:val="left" w:pos="851"/>
        </w:tabs>
        <w:ind w:left="709" w:hanging="709"/>
        <w:rPr>
          <w:sz w:val="22"/>
          <w:szCs w:val="22"/>
          <w:lang w:val="sk-SK"/>
        </w:rPr>
      </w:pPr>
      <w:r w:rsidRPr="002C5714">
        <w:rPr>
          <w:sz w:val="22"/>
          <w:szCs w:val="22"/>
          <w:lang w:val="sk-SK"/>
        </w:rPr>
        <w:lastRenderedPageBreak/>
        <w:t xml:space="preserve">Po prerušení liečby </w:t>
      </w:r>
      <w:proofErr w:type="spellStart"/>
      <w:r w:rsidRPr="002C5714">
        <w:rPr>
          <w:sz w:val="22"/>
          <w:szCs w:val="22"/>
          <w:lang w:val="sk-SK"/>
        </w:rPr>
        <w:t>levocetirizínom</w:t>
      </w:r>
      <w:proofErr w:type="spellEnd"/>
      <w:r w:rsidRPr="002C5714">
        <w:rPr>
          <w:sz w:val="22"/>
          <w:szCs w:val="22"/>
          <w:lang w:val="sk-SK"/>
        </w:rPr>
        <w:t xml:space="preserve"> bol hlásen</w:t>
      </w:r>
      <w:r w:rsidR="002C5714">
        <w:rPr>
          <w:sz w:val="22"/>
          <w:szCs w:val="22"/>
          <w:lang w:val="sk-SK"/>
        </w:rPr>
        <w:t>ý</w:t>
      </w:r>
      <w:r w:rsidRPr="002C5714">
        <w:rPr>
          <w:sz w:val="22"/>
          <w:szCs w:val="22"/>
          <w:lang w:val="sk-SK"/>
        </w:rPr>
        <w:t xml:space="preserve"> </w:t>
      </w:r>
      <w:proofErr w:type="spellStart"/>
      <w:r w:rsidR="002C5714">
        <w:rPr>
          <w:sz w:val="22"/>
          <w:szCs w:val="22"/>
          <w:lang w:val="sk-SK"/>
        </w:rPr>
        <w:t>pruritus</w:t>
      </w:r>
      <w:proofErr w:type="spellEnd"/>
      <w:r w:rsidRPr="002C5714">
        <w:rPr>
          <w:sz w:val="22"/>
          <w:szCs w:val="22"/>
          <w:lang w:val="sk-SK"/>
        </w:rPr>
        <w:t>.</w:t>
      </w:r>
    </w:p>
    <w:p w:rsidR="0085765A" w:rsidRDefault="0085765A" w:rsidP="00764013">
      <w:pPr>
        <w:autoSpaceDE w:val="0"/>
        <w:autoSpaceDN w:val="0"/>
        <w:adjustRightInd w:val="0"/>
        <w:rPr>
          <w:noProof/>
          <w:sz w:val="22"/>
          <w:szCs w:val="22"/>
          <w:u w:val="single"/>
          <w:lang w:val="sk-SK"/>
        </w:rPr>
      </w:pPr>
    </w:p>
    <w:p w:rsidR="002C5714" w:rsidRDefault="002C5714" w:rsidP="00764013">
      <w:pPr>
        <w:autoSpaceDE w:val="0"/>
        <w:autoSpaceDN w:val="0"/>
        <w:adjustRightInd w:val="0"/>
        <w:rPr>
          <w:noProof/>
          <w:sz w:val="22"/>
          <w:szCs w:val="22"/>
          <w:u w:val="single"/>
          <w:lang w:val="sk-SK"/>
        </w:rPr>
      </w:pPr>
    </w:p>
    <w:p w:rsidR="0085765A" w:rsidRPr="00764013" w:rsidRDefault="0085765A" w:rsidP="0076401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764013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3D723B" w:rsidRPr="00764013" w:rsidRDefault="0085765A" w:rsidP="0085765A">
      <w:pPr>
        <w:tabs>
          <w:tab w:val="left" w:pos="851"/>
        </w:tabs>
        <w:rPr>
          <w:noProof/>
          <w:sz w:val="22"/>
          <w:szCs w:val="22"/>
          <w:u w:val="single"/>
          <w:lang w:val="sk-SK"/>
        </w:rPr>
      </w:pPr>
      <w:r w:rsidRPr="00764013">
        <w:rPr>
          <w:noProof/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Pr="00764013">
        <w:rPr>
          <w:sz w:val="22"/>
          <w:szCs w:val="22"/>
          <w:lang w:val="sk-SK"/>
        </w:rPr>
        <w:t xml:space="preserve"> a</w:t>
      </w:r>
      <w:r w:rsidRPr="00764013">
        <w:rPr>
          <w:noProof/>
          <w:sz w:val="22"/>
          <w:szCs w:val="22"/>
          <w:lang w:val="sk-SK"/>
        </w:rPr>
        <w:t xml:space="preserve"> rizika lieku. </w:t>
      </w:r>
      <w:r w:rsidRPr="00764013">
        <w:rPr>
          <w:sz w:val="22"/>
          <w:szCs w:val="22"/>
          <w:lang w:val="sk-SK"/>
        </w:rPr>
        <w:t xml:space="preserve">Od </w:t>
      </w:r>
      <w:r w:rsidRPr="0076401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7F2614">
        <w:rPr>
          <w:sz w:val="22"/>
          <w:szCs w:val="22"/>
          <w:lang w:val="sk-SK"/>
        </w:rPr>
        <w:t xml:space="preserve">na </w:t>
      </w:r>
      <w:r w:rsidR="007F2614">
        <w:rPr>
          <w:sz w:val="22"/>
          <w:szCs w:val="22"/>
          <w:highlight w:val="lightGray"/>
          <w:lang w:val="sk-SK"/>
        </w:rPr>
        <w:t xml:space="preserve">národné centrum hlásenia uvedené </w:t>
      </w:r>
      <w:r w:rsidRPr="00764013">
        <w:rPr>
          <w:noProof/>
          <w:sz w:val="22"/>
          <w:szCs w:val="22"/>
          <w:highlight w:val="lightGray"/>
          <w:lang w:val="sk-SK"/>
        </w:rPr>
        <w:t>v </w:t>
      </w:r>
      <w:hyperlink r:id="rId9" w:history="1">
        <w:r w:rsidRPr="00764013">
          <w:rPr>
            <w:sz w:val="22"/>
            <w:szCs w:val="22"/>
            <w:highlight w:val="lightGray"/>
            <w:u w:val="single"/>
          </w:rPr>
          <w:t>P</w:t>
        </w:r>
        <w:r w:rsidRPr="00764013">
          <w:rPr>
            <w:noProof/>
            <w:sz w:val="22"/>
            <w:szCs w:val="22"/>
            <w:highlight w:val="lightGray"/>
            <w:u w:val="single"/>
            <w:lang w:val="sk-SK"/>
          </w:rPr>
          <w:t xml:space="preserve">rílohe </w:t>
        </w:r>
        <w:r w:rsidRPr="00764013">
          <w:rPr>
            <w:sz w:val="22"/>
            <w:szCs w:val="22"/>
            <w:highlight w:val="lightGray"/>
            <w:u w:val="single"/>
          </w:rPr>
          <w:t>V</w:t>
        </w:r>
      </w:hyperlink>
      <w:r w:rsidRPr="00BA0B50">
        <w:rPr>
          <w:noProof/>
          <w:sz w:val="22"/>
          <w:szCs w:val="22"/>
          <w:lang w:val="sk-SK"/>
        </w:rPr>
        <w:t>.</w:t>
      </w:r>
    </w:p>
    <w:p w:rsidR="0085765A" w:rsidRPr="00BA0B50" w:rsidRDefault="0085765A" w:rsidP="0085765A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4.9</w:t>
      </w:r>
      <w:r w:rsidRPr="00074698">
        <w:rPr>
          <w:b/>
          <w:sz w:val="22"/>
          <w:szCs w:val="22"/>
          <w:lang w:val="sk-SK"/>
        </w:rPr>
        <w:tab/>
        <w:t>Predávkovanie</w:t>
      </w:r>
    </w:p>
    <w:p w:rsidR="003D723B" w:rsidRPr="00074698" w:rsidRDefault="003D723B" w:rsidP="002156B5">
      <w:pPr>
        <w:rPr>
          <w:sz w:val="22"/>
          <w:szCs w:val="22"/>
          <w:lang w:val="sk-SK"/>
        </w:rPr>
      </w:pPr>
    </w:p>
    <w:p w:rsidR="003D723B" w:rsidRPr="00764013" w:rsidRDefault="003D723B" w:rsidP="002156B5">
      <w:pPr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Príznaky</w:t>
      </w:r>
    </w:p>
    <w:p w:rsidR="003D723B" w:rsidRPr="00074698" w:rsidRDefault="003D723B" w:rsidP="002156B5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Príznaky predávkovania môžu zahŕňať ospalosť u</w:t>
      </w:r>
      <w:r w:rsidR="00E13CA5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dospelých</w:t>
      </w:r>
      <w:r w:rsidR="00E13CA5">
        <w:rPr>
          <w:sz w:val="22"/>
          <w:szCs w:val="22"/>
          <w:lang w:val="sk-SK"/>
        </w:rPr>
        <w:t xml:space="preserve">. </w:t>
      </w:r>
      <w:r w:rsidR="00E13CA5" w:rsidRPr="00B13124">
        <w:rPr>
          <w:sz w:val="22"/>
          <w:szCs w:val="22"/>
          <w:lang w:val="sk-SK"/>
        </w:rPr>
        <w:t>U</w:t>
      </w:r>
      <w:r w:rsidR="00E13CA5">
        <w:rPr>
          <w:sz w:val="22"/>
          <w:szCs w:val="22"/>
          <w:lang w:val="sk-SK"/>
        </w:rPr>
        <w:t> detí s</w:t>
      </w:r>
      <w:r w:rsidRPr="00074698">
        <w:rPr>
          <w:sz w:val="22"/>
          <w:szCs w:val="22"/>
          <w:lang w:val="sk-SK"/>
        </w:rPr>
        <w:t xml:space="preserve">a na začiatku </w:t>
      </w:r>
      <w:r w:rsidR="002C5714">
        <w:rPr>
          <w:sz w:val="22"/>
          <w:szCs w:val="22"/>
          <w:lang w:val="sk-SK"/>
        </w:rPr>
        <w:t xml:space="preserve">liečby </w:t>
      </w:r>
      <w:r w:rsidR="00E13CA5">
        <w:rPr>
          <w:sz w:val="22"/>
          <w:szCs w:val="22"/>
          <w:lang w:val="sk-SK"/>
        </w:rPr>
        <w:t xml:space="preserve">môže prejaviť </w:t>
      </w:r>
      <w:proofErr w:type="spellStart"/>
      <w:r w:rsidRPr="00074698">
        <w:rPr>
          <w:sz w:val="22"/>
          <w:szCs w:val="22"/>
          <w:lang w:val="sk-SK"/>
        </w:rPr>
        <w:t>agitovanosť</w:t>
      </w:r>
      <w:proofErr w:type="spellEnd"/>
      <w:r w:rsidRPr="00074698">
        <w:rPr>
          <w:sz w:val="22"/>
          <w:szCs w:val="22"/>
          <w:lang w:val="sk-SK"/>
        </w:rPr>
        <w:t xml:space="preserve"> a</w:t>
      </w:r>
      <w:r w:rsidR="00E13CA5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nepokoj</w:t>
      </w:r>
      <w:r w:rsidR="00E13CA5">
        <w:rPr>
          <w:sz w:val="22"/>
          <w:szCs w:val="22"/>
          <w:lang w:val="sk-SK"/>
        </w:rPr>
        <w:t xml:space="preserve"> s </w:t>
      </w:r>
      <w:r w:rsidR="00460FEC">
        <w:rPr>
          <w:sz w:val="22"/>
          <w:szCs w:val="22"/>
          <w:lang w:val="sk-SK"/>
        </w:rPr>
        <w:t>následn</w:t>
      </w:r>
      <w:r w:rsidR="00E13CA5">
        <w:rPr>
          <w:sz w:val="22"/>
          <w:szCs w:val="22"/>
          <w:lang w:val="sk-SK"/>
        </w:rPr>
        <w:t>ou</w:t>
      </w:r>
      <w:r w:rsidR="00460FEC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ospalosť</w:t>
      </w:r>
      <w:r w:rsidR="00E13CA5">
        <w:rPr>
          <w:sz w:val="22"/>
          <w:szCs w:val="22"/>
          <w:lang w:val="sk-SK"/>
        </w:rPr>
        <w:t>ou</w:t>
      </w:r>
      <w:r w:rsidRPr="00074698">
        <w:rPr>
          <w:sz w:val="22"/>
          <w:szCs w:val="22"/>
          <w:lang w:val="sk-SK"/>
        </w:rPr>
        <w:t>.</w:t>
      </w:r>
    </w:p>
    <w:p w:rsidR="003D723B" w:rsidRPr="00074698" w:rsidRDefault="003D723B" w:rsidP="002156B5">
      <w:pPr>
        <w:rPr>
          <w:sz w:val="22"/>
          <w:szCs w:val="22"/>
          <w:lang w:val="sk-SK"/>
        </w:rPr>
      </w:pPr>
    </w:p>
    <w:p w:rsidR="003D723B" w:rsidRPr="00764013" w:rsidRDefault="00EC08E7" w:rsidP="002156B5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Opat</w:t>
      </w:r>
      <w:r w:rsidR="00EC7FB1">
        <w:rPr>
          <w:sz w:val="22"/>
          <w:szCs w:val="22"/>
          <w:u w:val="single"/>
          <w:lang w:val="sk-SK"/>
        </w:rPr>
        <w:t>r</w:t>
      </w:r>
      <w:r>
        <w:rPr>
          <w:sz w:val="22"/>
          <w:szCs w:val="22"/>
          <w:u w:val="single"/>
          <w:lang w:val="sk-SK"/>
        </w:rPr>
        <w:t>enia</w:t>
      </w:r>
      <w:r w:rsidRPr="00764013">
        <w:rPr>
          <w:sz w:val="22"/>
          <w:szCs w:val="22"/>
          <w:u w:val="single"/>
          <w:lang w:val="sk-SK"/>
        </w:rPr>
        <w:t xml:space="preserve"> </w:t>
      </w:r>
      <w:r w:rsidR="002156B5" w:rsidRPr="00764013">
        <w:rPr>
          <w:sz w:val="22"/>
          <w:szCs w:val="22"/>
          <w:u w:val="single"/>
          <w:lang w:val="sk-SK"/>
        </w:rPr>
        <w:t>pri predávkovaní</w:t>
      </w:r>
    </w:p>
    <w:p w:rsidR="003D723B" w:rsidRPr="00074698" w:rsidRDefault="003D723B" w:rsidP="002156B5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Nie je známe žiadne špecifické </w:t>
      </w:r>
      <w:proofErr w:type="spellStart"/>
      <w:r w:rsidRPr="00074698">
        <w:rPr>
          <w:sz w:val="22"/>
          <w:szCs w:val="22"/>
          <w:lang w:val="sk-SK"/>
        </w:rPr>
        <w:t>antidotum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>.</w:t>
      </w:r>
    </w:p>
    <w:p w:rsidR="003D723B" w:rsidRPr="00074698" w:rsidRDefault="003D723B" w:rsidP="002156B5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Pokiaľ dôjde k predávkovaniu, odporúča sa symptomatická alebo podporná liečba. </w:t>
      </w:r>
      <w:r w:rsidR="0085765A">
        <w:rPr>
          <w:sz w:val="22"/>
          <w:szCs w:val="22"/>
          <w:lang w:val="sk-SK"/>
        </w:rPr>
        <w:t>K</w:t>
      </w:r>
      <w:r w:rsidRPr="00074698">
        <w:rPr>
          <w:sz w:val="22"/>
          <w:szCs w:val="22"/>
          <w:lang w:val="sk-SK"/>
        </w:rPr>
        <w:t>rátko</w:t>
      </w:r>
      <w:r w:rsidR="0085765A">
        <w:rPr>
          <w:sz w:val="22"/>
          <w:szCs w:val="22"/>
          <w:lang w:val="sk-SK"/>
        </w:rPr>
        <w:t xml:space="preserve"> po</w:t>
      </w:r>
      <w:r w:rsidRPr="00074698">
        <w:rPr>
          <w:sz w:val="22"/>
          <w:szCs w:val="22"/>
          <w:lang w:val="sk-SK"/>
        </w:rPr>
        <w:t xml:space="preserve"> požit</w:t>
      </w:r>
      <w:r w:rsidR="0085765A">
        <w:rPr>
          <w:sz w:val="22"/>
          <w:szCs w:val="22"/>
          <w:lang w:val="sk-SK"/>
        </w:rPr>
        <w:t>í lieku sa môže zvážiť</w:t>
      </w:r>
      <w:r w:rsidRPr="00074698">
        <w:rPr>
          <w:sz w:val="22"/>
          <w:szCs w:val="22"/>
          <w:lang w:val="sk-SK"/>
        </w:rPr>
        <w:t xml:space="preserve"> výplach žalúdka.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 w:rsidR="00EC08E7">
        <w:rPr>
          <w:sz w:val="22"/>
          <w:szCs w:val="22"/>
          <w:lang w:val="sk-SK"/>
        </w:rPr>
        <w:t>sa nedá</w:t>
      </w:r>
      <w:r w:rsidRPr="00074698">
        <w:rPr>
          <w:sz w:val="22"/>
          <w:szCs w:val="22"/>
          <w:lang w:val="sk-SK"/>
        </w:rPr>
        <w:t xml:space="preserve"> účinne odstr</w:t>
      </w:r>
      <w:r w:rsidR="00EC08E7">
        <w:rPr>
          <w:sz w:val="22"/>
          <w:szCs w:val="22"/>
          <w:lang w:val="sk-SK"/>
        </w:rPr>
        <w:t>ániť</w:t>
      </w:r>
      <w:r w:rsidRPr="00074698">
        <w:rPr>
          <w:sz w:val="22"/>
          <w:szCs w:val="22"/>
          <w:lang w:val="sk-SK"/>
        </w:rPr>
        <w:t xml:space="preserve"> hemodialýzou.</w:t>
      </w:r>
    </w:p>
    <w:p w:rsidR="003D723B" w:rsidRPr="00074698" w:rsidRDefault="003D723B" w:rsidP="002156B5">
      <w:pPr>
        <w:rPr>
          <w:sz w:val="22"/>
          <w:szCs w:val="22"/>
          <w:lang w:val="sk-SK"/>
        </w:rPr>
      </w:pPr>
    </w:p>
    <w:p w:rsidR="003D723B" w:rsidRPr="00074698" w:rsidRDefault="003D723B" w:rsidP="002156B5">
      <w:pPr>
        <w:rPr>
          <w:sz w:val="22"/>
          <w:szCs w:val="22"/>
          <w:lang w:val="sk-SK"/>
        </w:rPr>
      </w:pPr>
    </w:p>
    <w:p w:rsidR="003D723B" w:rsidRPr="00074698" w:rsidRDefault="009542D3" w:rsidP="003D723B">
      <w:pPr>
        <w:numPr>
          <w:ilvl w:val="0"/>
          <w:numId w:val="1"/>
        </w:numPr>
        <w:tabs>
          <w:tab w:val="clear" w:pos="369"/>
          <w:tab w:val="num" w:pos="567"/>
        </w:tabs>
        <w:ind w:left="0" w:firstLine="0"/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 xml:space="preserve">FARMAKOLOGICKÉ </w:t>
      </w:r>
      <w:r w:rsidR="003D723B" w:rsidRPr="00074698">
        <w:rPr>
          <w:b/>
          <w:sz w:val="22"/>
          <w:szCs w:val="22"/>
          <w:lang w:val="sk-SK"/>
        </w:rPr>
        <w:t>VLASTNOSTI</w:t>
      </w: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5.1</w:t>
      </w:r>
      <w:r w:rsidRPr="00074698">
        <w:rPr>
          <w:b/>
          <w:sz w:val="22"/>
          <w:szCs w:val="22"/>
          <w:lang w:val="sk-SK"/>
        </w:rPr>
        <w:tab/>
      </w:r>
      <w:proofErr w:type="spellStart"/>
      <w:r w:rsidRPr="00074698">
        <w:rPr>
          <w:b/>
          <w:sz w:val="22"/>
          <w:szCs w:val="22"/>
          <w:lang w:val="sk-SK"/>
        </w:rPr>
        <w:t>Farmakodynamické</w:t>
      </w:r>
      <w:proofErr w:type="spellEnd"/>
      <w:r w:rsidRPr="00074698">
        <w:rPr>
          <w:b/>
          <w:sz w:val="22"/>
          <w:szCs w:val="22"/>
          <w:lang w:val="sk-SK"/>
        </w:rPr>
        <w:t xml:space="preserve"> vlastnosti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Farmakoterapeutická</w:t>
      </w:r>
      <w:proofErr w:type="spellEnd"/>
      <w:r w:rsidRPr="00074698">
        <w:rPr>
          <w:sz w:val="22"/>
          <w:szCs w:val="22"/>
          <w:lang w:val="sk-SK"/>
        </w:rPr>
        <w:t xml:space="preserve"> skupina: </w:t>
      </w:r>
      <w:proofErr w:type="spellStart"/>
      <w:r w:rsidR="00EC08E7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ntihistaminiká</w:t>
      </w:r>
      <w:proofErr w:type="spellEnd"/>
      <w:r w:rsidRPr="00074698">
        <w:rPr>
          <w:sz w:val="22"/>
          <w:szCs w:val="22"/>
          <w:lang w:val="sk-SK"/>
        </w:rPr>
        <w:t xml:space="preserve"> na systémové použitie, deriváty</w:t>
      </w:r>
      <w:r w:rsidR="00492466">
        <w:rPr>
          <w:sz w:val="22"/>
          <w:szCs w:val="22"/>
          <w:lang w:val="sk-SK"/>
        </w:rPr>
        <w:t xml:space="preserve"> </w:t>
      </w:r>
      <w:proofErr w:type="spellStart"/>
      <w:r w:rsidR="00492466">
        <w:rPr>
          <w:sz w:val="22"/>
          <w:szCs w:val="22"/>
          <w:lang w:val="sk-SK"/>
        </w:rPr>
        <w:t>piperazínu</w:t>
      </w:r>
      <w:proofErr w:type="spellEnd"/>
      <w:r w:rsidRPr="00074698">
        <w:rPr>
          <w:sz w:val="22"/>
          <w:szCs w:val="22"/>
          <w:lang w:val="sk-SK"/>
        </w:rPr>
        <w:t>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ATC kód: R06AE09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85765A" w:rsidRDefault="0085765A" w:rsidP="003D723B">
      <w:pPr>
        <w:rPr>
          <w:sz w:val="22"/>
          <w:szCs w:val="22"/>
          <w:lang w:val="sk-SK"/>
        </w:rPr>
      </w:pPr>
      <w:r w:rsidRPr="0085765A">
        <w:rPr>
          <w:sz w:val="22"/>
          <w:szCs w:val="22"/>
          <w:u w:val="single"/>
          <w:lang w:val="sk-SK"/>
        </w:rPr>
        <w:t>Mechanizmus účinku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, (R) </w:t>
      </w:r>
      <w:proofErr w:type="spellStart"/>
      <w:r w:rsidRPr="00074698">
        <w:rPr>
          <w:sz w:val="22"/>
          <w:szCs w:val="22"/>
          <w:lang w:val="sk-SK"/>
        </w:rPr>
        <w:t>enantiomér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cetirizínu</w:t>
      </w:r>
      <w:proofErr w:type="spellEnd"/>
      <w:r w:rsidRPr="00074698">
        <w:rPr>
          <w:sz w:val="22"/>
          <w:szCs w:val="22"/>
          <w:lang w:val="sk-SK"/>
        </w:rPr>
        <w:t xml:space="preserve">, je účinný a selektívny antagonista </w:t>
      </w:r>
      <w:r w:rsidR="005725A0" w:rsidRPr="00074698">
        <w:rPr>
          <w:sz w:val="22"/>
          <w:szCs w:val="22"/>
          <w:lang w:val="sk-SK"/>
        </w:rPr>
        <w:t>periférnych</w:t>
      </w:r>
      <w:r w:rsidRPr="00074698">
        <w:rPr>
          <w:sz w:val="22"/>
          <w:szCs w:val="22"/>
          <w:lang w:val="sk-SK"/>
        </w:rPr>
        <w:t xml:space="preserve"> H</w:t>
      </w:r>
      <w:r w:rsidRPr="00074698">
        <w:rPr>
          <w:sz w:val="22"/>
          <w:szCs w:val="22"/>
          <w:vertAlign w:val="subscript"/>
          <w:lang w:val="sk-SK"/>
        </w:rPr>
        <w:t>1</w:t>
      </w:r>
      <w:r w:rsidRPr="00074698">
        <w:rPr>
          <w:sz w:val="22"/>
          <w:szCs w:val="22"/>
          <w:lang w:val="sk-SK"/>
        </w:rPr>
        <w:t xml:space="preserve"> - receptorov.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85765A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Väzbové štúdie odhalili, že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má </w:t>
      </w:r>
      <w:r w:rsidR="00EC08E7">
        <w:rPr>
          <w:sz w:val="22"/>
          <w:szCs w:val="22"/>
          <w:lang w:val="sk-SK"/>
        </w:rPr>
        <w:t>vysokú</w:t>
      </w:r>
      <w:r w:rsidR="00EC08E7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afinitu k ľudským H</w:t>
      </w:r>
      <w:r w:rsidRPr="00074698">
        <w:rPr>
          <w:sz w:val="22"/>
          <w:szCs w:val="22"/>
          <w:vertAlign w:val="subscript"/>
          <w:lang w:val="sk-SK"/>
        </w:rPr>
        <w:t>1</w:t>
      </w:r>
      <w:r w:rsidRPr="00074698">
        <w:rPr>
          <w:sz w:val="22"/>
          <w:szCs w:val="22"/>
          <w:lang w:val="sk-SK"/>
        </w:rPr>
        <w:t xml:space="preserve"> - receptorom (</w:t>
      </w:r>
      <w:proofErr w:type="spellStart"/>
      <w:r w:rsidRPr="00074698">
        <w:rPr>
          <w:sz w:val="22"/>
          <w:szCs w:val="22"/>
          <w:lang w:val="sk-SK"/>
        </w:rPr>
        <w:t>Ki</w:t>
      </w:r>
      <w:proofErr w:type="spellEnd"/>
      <w:r w:rsidRPr="00074698">
        <w:rPr>
          <w:sz w:val="22"/>
          <w:szCs w:val="22"/>
          <w:lang w:val="sk-SK"/>
        </w:rPr>
        <w:t xml:space="preserve"> = 3,2</w:t>
      </w:r>
      <w:r w:rsidR="0085765A">
        <w:rPr>
          <w:sz w:val="22"/>
          <w:szCs w:val="22"/>
          <w:lang w:val="sk-SK"/>
        </w:rPr>
        <w:t> </w:t>
      </w:r>
      <w:proofErr w:type="spellStart"/>
      <w:r w:rsidRPr="00074698">
        <w:rPr>
          <w:sz w:val="22"/>
          <w:szCs w:val="22"/>
          <w:lang w:val="sk-SK"/>
        </w:rPr>
        <w:t>nmol</w:t>
      </w:r>
      <w:proofErr w:type="spellEnd"/>
      <w:r w:rsidRPr="00074698">
        <w:rPr>
          <w:sz w:val="22"/>
          <w:szCs w:val="22"/>
          <w:lang w:val="sk-SK"/>
        </w:rPr>
        <w:t xml:space="preserve">/l).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má dvojnásobne vyššiu afinitu ako </w:t>
      </w:r>
      <w:proofErr w:type="spellStart"/>
      <w:r w:rsidRPr="00074698">
        <w:rPr>
          <w:sz w:val="22"/>
          <w:szCs w:val="22"/>
          <w:lang w:val="sk-SK"/>
        </w:rPr>
        <w:t>cetirizín</w:t>
      </w:r>
      <w:proofErr w:type="spellEnd"/>
      <w:r w:rsidRPr="00074698">
        <w:rPr>
          <w:sz w:val="22"/>
          <w:szCs w:val="22"/>
          <w:lang w:val="sk-SK"/>
        </w:rPr>
        <w:t xml:space="preserve"> (</w:t>
      </w:r>
      <w:proofErr w:type="spellStart"/>
      <w:r w:rsidRPr="00074698">
        <w:rPr>
          <w:sz w:val="22"/>
          <w:szCs w:val="22"/>
          <w:lang w:val="sk-SK"/>
        </w:rPr>
        <w:t>Ki</w:t>
      </w:r>
      <w:proofErr w:type="spellEnd"/>
      <w:r w:rsidRPr="00074698">
        <w:rPr>
          <w:sz w:val="22"/>
          <w:szCs w:val="22"/>
          <w:lang w:val="sk-SK"/>
        </w:rPr>
        <w:t xml:space="preserve"> = 6,3</w:t>
      </w:r>
      <w:r w:rsidR="0085765A">
        <w:rPr>
          <w:sz w:val="22"/>
          <w:szCs w:val="22"/>
          <w:lang w:val="sk-SK"/>
        </w:rPr>
        <w:t> </w:t>
      </w:r>
      <w:proofErr w:type="spellStart"/>
      <w:r w:rsidRPr="00074698">
        <w:rPr>
          <w:sz w:val="22"/>
          <w:szCs w:val="22"/>
          <w:lang w:val="sk-SK"/>
        </w:rPr>
        <w:t>nmol</w:t>
      </w:r>
      <w:proofErr w:type="spellEnd"/>
      <w:r w:rsidRPr="00074698">
        <w:rPr>
          <w:sz w:val="22"/>
          <w:szCs w:val="22"/>
          <w:lang w:val="sk-SK"/>
        </w:rPr>
        <w:t xml:space="preserve">/l).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sa uvoľňuje z H</w:t>
      </w:r>
      <w:r w:rsidRPr="00074698">
        <w:rPr>
          <w:sz w:val="22"/>
          <w:szCs w:val="22"/>
          <w:vertAlign w:val="subscript"/>
          <w:lang w:val="sk-SK"/>
        </w:rPr>
        <w:t>1</w:t>
      </w:r>
      <w:r w:rsidRPr="00074698">
        <w:rPr>
          <w:sz w:val="22"/>
          <w:szCs w:val="22"/>
          <w:lang w:val="sk-SK"/>
        </w:rPr>
        <w:t xml:space="preserve"> - receptorov s polčasom 115 ± 38</w:t>
      </w:r>
      <w:r w:rsidR="0085765A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min. </w:t>
      </w:r>
    </w:p>
    <w:p w:rsidR="002C5714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Po jednorazovom podaní vykazuje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obsadenosť receptora 90 % po 4</w:t>
      </w:r>
      <w:r w:rsidR="0085765A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hodinách a 57 % 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po 24</w:t>
      </w:r>
      <w:r w:rsidR="0085765A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hodinách.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  <w:proofErr w:type="spellStart"/>
      <w:r w:rsidRPr="00074698">
        <w:rPr>
          <w:sz w:val="22"/>
          <w:szCs w:val="22"/>
        </w:rPr>
        <w:t>Farmakodynamické</w:t>
      </w:r>
      <w:proofErr w:type="spellEnd"/>
      <w:r w:rsidRPr="00074698">
        <w:rPr>
          <w:sz w:val="22"/>
          <w:szCs w:val="22"/>
        </w:rPr>
        <w:t xml:space="preserve"> štúdie u zdravých dobrovoľníkov dokázali, že </w:t>
      </w:r>
      <w:proofErr w:type="spellStart"/>
      <w:r w:rsidRPr="00074698">
        <w:rPr>
          <w:sz w:val="22"/>
          <w:szCs w:val="22"/>
        </w:rPr>
        <w:t>levocetirizín</w:t>
      </w:r>
      <w:proofErr w:type="spellEnd"/>
      <w:r w:rsidRPr="00074698">
        <w:rPr>
          <w:sz w:val="22"/>
          <w:szCs w:val="22"/>
        </w:rPr>
        <w:t xml:space="preserve"> má v polovičnej dávke porovnateľný účinok s </w:t>
      </w:r>
      <w:proofErr w:type="spellStart"/>
      <w:r w:rsidRPr="00074698">
        <w:rPr>
          <w:sz w:val="22"/>
          <w:szCs w:val="22"/>
        </w:rPr>
        <w:t>cetirizínom</w:t>
      </w:r>
      <w:proofErr w:type="spellEnd"/>
      <w:r w:rsidRPr="00074698">
        <w:rPr>
          <w:sz w:val="22"/>
          <w:szCs w:val="22"/>
        </w:rPr>
        <w:t xml:space="preserve">, ako na kožu, tak </w:t>
      </w:r>
      <w:r w:rsidR="00EC08E7">
        <w:rPr>
          <w:sz w:val="22"/>
          <w:szCs w:val="22"/>
        </w:rPr>
        <w:t>aj</w:t>
      </w:r>
      <w:r w:rsidR="00EC08E7" w:rsidRPr="00074698">
        <w:rPr>
          <w:sz w:val="22"/>
          <w:szCs w:val="22"/>
        </w:rPr>
        <w:t xml:space="preserve"> </w:t>
      </w:r>
      <w:r w:rsidRPr="00074698">
        <w:rPr>
          <w:sz w:val="22"/>
          <w:szCs w:val="22"/>
        </w:rPr>
        <w:t>v nose.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</w:p>
    <w:p w:rsidR="000C1C82" w:rsidRDefault="000C1C82" w:rsidP="003D723B">
      <w:pPr>
        <w:pStyle w:val="Zkladntext"/>
        <w:jc w:val="left"/>
        <w:rPr>
          <w:sz w:val="22"/>
          <w:szCs w:val="22"/>
          <w:lang w:val="cs-CZ"/>
        </w:rPr>
      </w:pPr>
      <w:r w:rsidRPr="000C1C82">
        <w:rPr>
          <w:sz w:val="22"/>
          <w:szCs w:val="22"/>
          <w:u w:val="single"/>
          <w:lang w:val="cs-CZ"/>
        </w:rPr>
        <w:t>Farmakodynamické účinky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  <w:proofErr w:type="spellStart"/>
      <w:r w:rsidRPr="00074698">
        <w:rPr>
          <w:sz w:val="22"/>
          <w:szCs w:val="22"/>
        </w:rPr>
        <w:t>Farmakodynamická</w:t>
      </w:r>
      <w:proofErr w:type="spellEnd"/>
      <w:r w:rsidRPr="00074698">
        <w:rPr>
          <w:sz w:val="22"/>
          <w:szCs w:val="22"/>
        </w:rPr>
        <w:t xml:space="preserve"> aktivita </w:t>
      </w:r>
      <w:proofErr w:type="spellStart"/>
      <w:r w:rsidRPr="00074698">
        <w:rPr>
          <w:sz w:val="22"/>
          <w:szCs w:val="22"/>
        </w:rPr>
        <w:t>levocetirizínu</w:t>
      </w:r>
      <w:proofErr w:type="spellEnd"/>
      <w:r w:rsidRPr="00074698">
        <w:rPr>
          <w:sz w:val="22"/>
          <w:szCs w:val="22"/>
        </w:rPr>
        <w:t xml:space="preserve"> sa študovala v </w:t>
      </w:r>
      <w:proofErr w:type="spellStart"/>
      <w:r w:rsidRPr="00074698">
        <w:rPr>
          <w:sz w:val="22"/>
          <w:szCs w:val="22"/>
        </w:rPr>
        <w:t>randomizovaných</w:t>
      </w:r>
      <w:proofErr w:type="spellEnd"/>
      <w:r w:rsidRPr="00074698">
        <w:rPr>
          <w:sz w:val="22"/>
          <w:szCs w:val="22"/>
        </w:rPr>
        <w:t>, kontrolovaných skúšaniach: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  <w:r w:rsidRPr="00074698">
        <w:rPr>
          <w:sz w:val="22"/>
          <w:szCs w:val="22"/>
        </w:rPr>
        <w:t>V štúdii porovnávajúcej účinky 5</w:t>
      </w:r>
      <w:r w:rsidR="000C1C82">
        <w:rPr>
          <w:sz w:val="22"/>
          <w:szCs w:val="22"/>
        </w:rPr>
        <w:t> </w:t>
      </w:r>
      <w:r w:rsidRPr="00074698">
        <w:rPr>
          <w:sz w:val="22"/>
          <w:szCs w:val="22"/>
        </w:rPr>
        <w:t xml:space="preserve">mg </w:t>
      </w:r>
      <w:proofErr w:type="spellStart"/>
      <w:r w:rsidRPr="00074698">
        <w:rPr>
          <w:sz w:val="22"/>
          <w:szCs w:val="22"/>
        </w:rPr>
        <w:t>levocetirizínu</w:t>
      </w:r>
      <w:proofErr w:type="spellEnd"/>
      <w:r w:rsidRPr="00074698">
        <w:rPr>
          <w:sz w:val="22"/>
          <w:szCs w:val="22"/>
        </w:rPr>
        <w:t>, 5</w:t>
      </w:r>
      <w:r w:rsidR="000C1C82">
        <w:rPr>
          <w:sz w:val="22"/>
          <w:szCs w:val="22"/>
        </w:rPr>
        <w:t> </w:t>
      </w:r>
      <w:r w:rsidRPr="00074698">
        <w:rPr>
          <w:sz w:val="22"/>
          <w:szCs w:val="22"/>
        </w:rPr>
        <w:t xml:space="preserve">mg </w:t>
      </w:r>
      <w:proofErr w:type="spellStart"/>
      <w:r w:rsidRPr="00074698">
        <w:rPr>
          <w:sz w:val="22"/>
          <w:szCs w:val="22"/>
        </w:rPr>
        <w:t>desloratadínu</w:t>
      </w:r>
      <w:proofErr w:type="spellEnd"/>
      <w:r w:rsidRPr="00074698">
        <w:rPr>
          <w:sz w:val="22"/>
          <w:szCs w:val="22"/>
        </w:rPr>
        <w:t xml:space="preserve"> a </w:t>
      </w:r>
      <w:proofErr w:type="spellStart"/>
      <w:r w:rsidRPr="00074698">
        <w:rPr>
          <w:sz w:val="22"/>
          <w:szCs w:val="22"/>
        </w:rPr>
        <w:t>placeba</w:t>
      </w:r>
      <w:proofErr w:type="spellEnd"/>
      <w:r w:rsidRPr="00074698">
        <w:rPr>
          <w:sz w:val="22"/>
          <w:szCs w:val="22"/>
        </w:rPr>
        <w:t xml:space="preserve"> na histamínom vyvolaný edém a sčervenenie liečba </w:t>
      </w:r>
      <w:proofErr w:type="spellStart"/>
      <w:r w:rsidRPr="00074698">
        <w:rPr>
          <w:sz w:val="22"/>
          <w:szCs w:val="22"/>
        </w:rPr>
        <w:t>levocetirizínom</w:t>
      </w:r>
      <w:proofErr w:type="spellEnd"/>
      <w:r w:rsidRPr="00074698">
        <w:rPr>
          <w:sz w:val="22"/>
          <w:szCs w:val="22"/>
        </w:rPr>
        <w:t xml:space="preserve"> mala za následok významné zníženie tvorby edému a</w:t>
      </w:r>
      <w:r w:rsidR="00EC08E7">
        <w:rPr>
          <w:sz w:val="22"/>
          <w:szCs w:val="22"/>
        </w:rPr>
        <w:t> </w:t>
      </w:r>
      <w:r w:rsidRPr="00074698">
        <w:rPr>
          <w:sz w:val="22"/>
          <w:szCs w:val="22"/>
        </w:rPr>
        <w:t>sčervenenia, čo bolo najvýraznejšie počas prvých 12</w:t>
      </w:r>
      <w:r w:rsidR="000C1C82">
        <w:rPr>
          <w:sz w:val="22"/>
          <w:szCs w:val="22"/>
        </w:rPr>
        <w:t> </w:t>
      </w:r>
      <w:r w:rsidRPr="00074698">
        <w:rPr>
          <w:sz w:val="22"/>
          <w:szCs w:val="22"/>
        </w:rPr>
        <w:t>hodín a pretrvávalo 24</w:t>
      </w:r>
      <w:r w:rsidR="000C1C82">
        <w:rPr>
          <w:sz w:val="22"/>
          <w:szCs w:val="22"/>
        </w:rPr>
        <w:t> </w:t>
      </w:r>
      <w:r w:rsidRPr="00074698">
        <w:rPr>
          <w:sz w:val="22"/>
          <w:szCs w:val="22"/>
        </w:rPr>
        <w:t>hodín (p&lt;0,001) v porovnaní s </w:t>
      </w:r>
      <w:proofErr w:type="spellStart"/>
      <w:r w:rsidRPr="00074698">
        <w:rPr>
          <w:sz w:val="22"/>
          <w:szCs w:val="22"/>
        </w:rPr>
        <w:t>placebom</w:t>
      </w:r>
      <w:proofErr w:type="spellEnd"/>
      <w:r w:rsidRPr="00074698">
        <w:rPr>
          <w:sz w:val="22"/>
          <w:szCs w:val="22"/>
        </w:rPr>
        <w:t xml:space="preserve"> a </w:t>
      </w:r>
      <w:proofErr w:type="spellStart"/>
      <w:r w:rsidRPr="00074698">
        <w:rPr>
          <w:sz w:val="22"/>
          <w:szCs w:val="22"/>
        </w:rPr>
        <w:t>desloratadínom</w:t>
      </w:r>
      <w:proofErr w:type="spellEnd"/>
      <w:r w:rsidRPr="00074698">
        <w:rPr>
          <w:sz w:val="22"/>
          <w:szCs w:val="22"/>
        </w:rPr>
        <w:t>.</w:t>
      </w:r>
    </w:p>
    <w:p w:rsidR="003D723B" w:rsidRPr="00074698" w:rsidRDefault="003D723B" w:rsidP="003D723B">
      <w:pPr>
        <w:pStyle w:val="Zkladntext"/>
        <w:jc w:val="left"/>
        <w:rPr>
          <w:sz w:val="22"/>
          <w:szCs w:val="22"/>
        </w:rPr>
      </w:pPr>
    </w:p>
    <w:p w:rsidR="003D723B" w:rsidRPr="00074698" w:rsidRDefault="00EC08E7" w:rsidP="003D723B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placebom</w:t>
      </w:r>
      <w:proofErr w:type="spellEnd"/>
      <w:r>
        <w:rPr>
          <w:sz w:val="22"/>
          <w:szCs w:val="22"/>
        </w:rPr>
        <w:t xml:space="preserve"> kontrolovaných </w:t>
      </w:r>
      <w:proofErr w:type="spellStart"/>
      <w:r w:rsidR="00DF1185">
        <w:rPr>
          <w:sz w:val="22"/>
          <w:szCs w:val="22"/>
        </w:rPr>
        <w:t>skúšanich</w:t>
      </w:r>
      <w:proofErr w:type="spellEnd"/>
      <w:r>
        <w:rPr>
          <w:sz w:val="22"/>
          <w:szCs w:val="22"/>
        </w:rPr>
        <w:t xml:space="preserve">, v modeli </w:t>
      </w:r>
      <w:proofErr w:type="spellStart"/>
      <w:r>
        <w:rPr>
          <w:sz w:val="22"/>
          <w:szCs w:val="22"/>
        </w:rPr>
        <w:t>komôrkovej</w:t>
      </w:r>
      <w:proofErr w:type="spellEnd"/>
      <w:r>
        <w:rPr>
          <w:sz w:val="22"/>
          <w:szCs w:val="22"/>
        </w:rPr>
        <w:t xml:space="preserve"> expozície </w:t>
      </w:r>
      <w:proofErr w:type="spellStart"/>
      <w:r>
        <w:rPr>
          <w:sz w:val="22"/>
          <w:szCs w:val="22"/>
        </w:rPr>
        <w:t>alergénu</w:t>
      </w:r>
      <w:proofErr w:type="spellEnd"/>
      <w:r>
        <w:rPr>
          <w:sz w:val="22"/>
          <w:szCs w:val="22"/>
        </w:rPr>
        <w:t>, bol n</w:t>
      </w:r>
      <w:r w:rsidR="003D723B" w:rsidRPr="00074698">
        <w:rPr>
          <w:sz w:val="22"/>
          <w:szCs w:val="22"/>
        </w:rPr>
        <w:t xml:space="preserve">ástup </w:t>
      </w:r>
      <w:r>
        <w:rPr>
          <w:sz w:val="22"/>
          <w:szCs w:val="22"/>
        </w:rPr>
        <w:t>účinku</w:t>
      </w:r>
      <w:r w:rsidRPr="00074698">
        <w:rPr>
          <w:sz w:val="22"/>
          <w:szCs w:val="22"/>
        </w:rPr>
        <w:t xml:space="preserve"> </w:t>
      </w:r>
      <w:r w:rsidR="003D723B" w:rsidRPr="00074698">
        <w:rPr>
          <w:sz w:val="22"/>
          <w:szCs w:val="22"/>
        </w:rPr>
        <w:t>5</w:t>
      </w:r>
      <w:r w:rsidR="000C1C82">
        <w:rPr>
          <w:sz w:val="22"/>
          <w:szCs w:val="22"/>
        </w:rPr>
        <w:t> </w:t>
      </w:r>
      <w:r w:rsidR="003D723B" w:rsidRPr="00074698">
        <w:rPr>
          <w:sz w:val="22"/>
          <w:szCs w:val="22"/>
        </w:rPr>
        <w:t xml:space="preserve">mg </w:t>
      </w:r>
      <w:proofErr w:type="spellStart"/>
      <w:r w:rsidR="003D723B" w:rsidRPr="00074698">
        <w:rPr>
          <w:sz w:val="22"/>
          <w:szCs w:val="22"/>
        </w:rPr>
        <w:t>levocetirizínu</w:t>
      </w:r>
      <w:proofErr w:type="spellEnd"/>
      <w:r w:rsidR="003D723B" w:rsidRPr="00074698">
        <w:rPr>
          <w:sz w:val="22"/>
          <w:szCs w:val="22"/>
        </w:rPr>
        <w:t xml:space="preserve">  pri kontrolovaných peľom indukovaných príznakoch pozorova</w:t>
      </w:r>
      <w:r>
        <w:rPr>
          <w:sz w:val="22"/>
          <w:szCs w:val="22"/>
        </w:rPr>
        <w:t>ný</w:t>
      </w:r>
      <w:r w:rsidR="003D723B" w:rsidRPr="00074698">
        <w:rPr>
          <w:sz w:val="22"/>
          <w:szCs w:val="22"/>
        </w:rPr>
        <w:t xml:space="preserve"> 1</w:t>
      </w:r>
      <w:r w:rsidR="000C1C82">
        <w:rPr>
          <w:sz w:val="22"/>
          <w:szCs w:val="22"/>
        </w:rPr>
        <w:t> </w:t>
      </w:r>
      <w:r w:rsidR="003D723B" w:rsidRPr="00074698">
        <w:rPr>
          <w:sz w:val="22"/>
          <w:szCs w:val="22"/>
        </w:rPr>
        <w:t>hodinu po užití lieku</w:t>
      </w:r>
      <w:r>
        <w:rPr>
          <w:sz w:val="22"/>
          <w:szCs w:val="22"/>
        </w:rPr>
        <w:t>.</w:t>
      </w:r>
      <w:r w:rsidR="003D723B" w:rsidRPr="00074698">
        <w:rPr>
          <w:sz w:val="22"/>
          <w:szCs w:val="22"/>
        </w:rPr>
        <w:t xml:space="preserve"> </w:t>
      </w: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  <w:r w:rsidRPr="00074698">
        <w:rPr>
          <w:bCs/>
          <w:i/>
          <w:iCs/>
          <w:sz w:val="22"/>
          <w:szCs w:val="22"/>
          <w:lang w:val="sk-SK"/>
        </w:rPr>
        <w:t xml:space="preserve">In </w:t>
      </w:r>
      <w:proofErr w:type="spellStart"/>
      <w:r w:rsidRPr="00074698">
        <w:rPr>
          <w:bCs/>
          <w:i/>
          <w:iCs/>
          <w:sz w:val="22"/>
          <w:szCs w:val="22"/>
          <w:lang w:val="sk-SK"/>
        </w:rPr>
        <w:t>vitro</w:t>
      </w:r>
      <w:proofErr w:type="spellEnd"/>
      <w:r w:rsidRPr="00074698">
        <w:rPr>
          <w:bCs/>
          <w:sz w:val="22"/>
          <w:szCs w:val="22"/>
          <w:lang w:val="sk-SK"/>
        </w:rPr>
        <w:t xml:space="preserve"> štúdie (technika </w:t>
      </w:r>
      <w:proofErr w:type="spellStart"/>
      <w:r w:rsidRPr="00074698">
        <w:rPr>
          <w:bCs/>
          <w:sz w:val="22"/>
          <w:szCs w:val="22"/>
          <w:lang w:val="sk-SK"/>
        </w:rPr>
        <w:t>Boydenovych</w:t>
      </w:r>
      <w:proofErr w:type="spellEnd"/>
      <w:r w:rsidRPr="00074698">
        <w:rPr>
          <w:bCs/>
          <w:sz w:val="22"/>
          <w:szCs w:val="22"/>
          <w:lang w:val="sk-SK"/>
        </w:rPr>
        <w:t xml:space="preserve"> komôrok a tkanivových kultúr) ukázali, že </w:t>
      </w:r>
      <w:proofErr w:type="spellStart"/>
      <w:r w:rsidR="005725A0" w:rsidRPr="00074698">
        <w:rPr>
          <w:bCs/>
          <w:sz w:val="22"/>
          <w:szCs w:val="22"/>
          <w:lang w:val="sk-SK"/>
        </w:rPr>
        <w:t>levocetirizín</w:t>
      </w:r>
      <w:proofErr w:type="spellEnd"/>
      <w:r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inhibuje</w:t>
      </w:r>
      <w:proofErr w:type="spellEnd"/>
      <w:r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eotaxínom</w:t>
      </w:r>
      <w:proofErr w:type="spellEnd"/>
      <w:r w:rsidRPr="00074698">
        <w:rPr>
          <w:bCs/>
          <w:sz w:val="22"/>
          <w:szCs w:val="22"/>
          <w:lang w:val="sk-SK"/>
        </w:rPr>
        <w:t xml:space="preserve"> indukovanú </w:t>
      </w:r>
      <w:proofErr w:type="spellStart"/>
      <w:r w:rsidRPr="00074698">
        <w:rPr>
          <w:bCs/>
          <w:sz w:val="22"/>
          <w:szCs w:val="22"/>
          <w:lang w:val="sk-SK"/>
        </w:rPr>
        <w:t>transendoteliálnu</w:t>
      </w:r>
      <w:proofErr w:type="spellEnd"/>
      <w:r w:rsidRPr="00074698">
        <w:rPr>
          <w:bCs/>
          <w:sz w:val="22"/>
          <w:szCs w:val="22"/>
          <w:lang w:val="sk-SK"/>
        </w:rPr>
        <w:t xml:space="preserve"> migráciu </w:t>
      </w:r>
      <w:proofErr w:type="spellStart"/>
      <w:r w:rsidRPr="00074698">
        <w:rPr>
          <w:bCs/>
          <w:sz w:val="22"/>
          <w:szCs w:val="22"/>
          <w:lang w:val="sk-SK"/>
        </w:rPr>
        <w:t>eozinofilov</w:t>
      </w:r>
      <w:proofErr w:type="spellEnd"/>
      <w:r w:rsidRPr="00074698">
        <w:rPr>
          <w:bCs/>
          <w:sz w:val="22"/>
          <w:szCs w:val="22"/>
          <w:lang w:val="sk-SK"/>
        </w:rPr>
        <w:t xml:space="preserve"> do kožných a pľúcnych buniek. </w:t>
      </w:r>
      <w:proofErr w:type="spellStart"/>
      <w:r w:rsidRPr="00074698">
        <w:rPr>
          <w:bCs/>
          <w:sz w:val="22"/>
          <w:szCs w:val="22"/>
          <w:lang w:val="sk-SK"/>
        </w:rPr>
        <w:t>Farmakodynamické</w:t>
      </w:r>
      <w:proofErr w:type="spellEnd"/>
      <w:r w:rsidRPr="00074698">
        <w:rPr>
          <w:bCs/>
          <w:sz w:val="22"/>
          <w:szCs w:val="22"/>
          <w:lang w:val="sk-SK"/>
        </w:rPr>
        <w:t xml:space="preserve"> experimentálne štúdie </w:t>
      </w:r>
      <w:r w:rsidRPr="00074698">
        <w:rPr>
          <w:bCs/>
          <w:i/>
          <w:iCs/>
          <w:sz w:val="22"/>
          <w:szCs w:val="22"/>
          <w:lang w:val="sk-SK"/>
        </w:rPr>
        <w:t xml:space="preserve">in </w:t>
      </w:r>
      <w:proofErr w:type="spellStart"/>
      <w:r w:rsidRPr="00074698">
        <w:rPr>
          <w:bCs/>
          <w:i/>
          <w:iCs/>
          <w:sz w:val="22"/>
          <w:szCs w:val="22"/>
          <w:lang w:val="sk-SK"/>
        </w:rPr>
        <w:t>vivo</w:t>
      </w:r>
      <w:proofErr w:type="spellEnd"/>
      <w:r w:rsidRPr="00074698">
        <w:rPr>
          <w:bCs/>
          <w:sz w:val="22"/>
          <w:szCs w:val="22"/>
          <w:lang w:val="sk-SK"/>
        </w:rPr>
        <w:t xml:space="preserve"> (metóda kožných komôrok) ukázali tri hlavné inhibičné účinky </w:t>
      </w:r>
      <w:proofErr w:type="spellStart"/>
      <w:r w:rsidRPr="00074698">
        <w:rPr>
          <w:bCs/>
          <w:sz w:val="22"/>
          <w:szCs w:val="22"/>
          <w:lang w:val="sk-SK"/>
        </w:rPr>
        <w:t>levocetirizínu</w:t>
      </w:r>
      <w:proofErr w:type="spellEnd"/>
      <w:r w:rsidRPr="00074698">
        <w:rPr>
          <w:bCs/>
          <w:sz w:val="22"/>
          <w:szCs w:val="22"/>
          <w:lang w:val="sk-SK"/>
        </w:rPr>
        <w:t xml:space="preserve"> 5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mg v prvých 6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 xml:space="preserve">hodinách peľom indukovanej reakcie, </w:t>
      </w:r>
      <w:r w:rsidRPr="00074698">
        <w:rPr>
          <w:bCs/>
          <w:sz w:val="22"/>
          <w:szCs w:val="22"/>
          <w:lang w:val="sk-SK"/>
        </w:rPr>
        <w:lastRenderedPageBreak/>
        <w:t>v porovnaní s </w:t>
      </w:r>
      <w:proofErr w:type="spellStart"/>
      <w:r w:rsidRPr="00074698">
        <w:rPr>
          <w:bCs/>
          <w:sz w:val="22"/>
          <w:szCs w:val="22"/>
          <w:lang w:val="sk-SK"/>
        </w:rPr>
        <w:t>placebom</w:t>
      </w:r>
      <w:proofErr w:type="spellEnd"/>
      <w:r w:rsidRPr="00074698">
        <w:rPr>
          <w:bCs/>
          <w:sz w:val="22"/>
          <w:szCs w:val="22"/>
          <w:lang w:val="sk-SK"/>
        </w:rPr>
        <w:t xml:space="preserve"> u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14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 xml:space="preserve">dospelých pacientov: </w:t>
      </w:r>
      <w:r w:rsidR="00A56973" w:rsidRPr="00074698">
        <w:rPr>
          <w:bCs/>
          <w:sz w:val="22"/>
          <w:szCs w:val="22"/>
          <w:lang w:val="sk-SK"/>
        </w:rPr>
        <w:t xml:space="preserve">inhibíciu </w:t>
      </w:r>
      <w:r w:rsidRPr="00074698">
        <w:rPr>
          <w:bCs/>
          <w:sz w:val="22"/>
          <w:szCs w:val="22"/>
          <w:lang w:val="sk-SK"/>
        </w:rPr>
        <w:t xml:space="preserve">uvoľnenia VCAM-1, </w:t>
      </w:r>
      <w:r w:rsidR="00A56973" w:rsidRPr="00074698">
        <w:rPr>
          <w:bCs/>
          <w:sz w:val="22"/>
          <w:szCs w:val="22"/>
          <w:lang w:val="sk-SK"/>
        </w:rPr>
        <w:t xml:space="preserve">moduláciu </w:t>
      </w:r>
      <w:r w:rsidRPr="00074698">
        <w:rPr>
          <w:bCs/>
          <w:sz w:val="22"/>
          <w:szCs w:val="22"/>
          <w:lang w:val="sk-SK"/>
        </w:rPr>
        <w:t xml:space="preserve">cievnej </w:t>
      </w:r>
      <w:proofErr w:type="spellStart"/>
      <w:r w:rsidRPr="00074698">
        <w:rPr>
          <w:bCs/>
          <w:sz w:val="22"/>
          <w:szCs w:val="22"/>
          <w:lang w:val="sk-SK"/>
        </w:rPr>
        <w:t>permeability</w:t>
      </w:r>
      <w:proofErr w:type="spellEnd"/>
      <w:r w:rsidRPr="00074698">
        <w:rPr>
          <w:bCs/>
          <w:sz w:val="22"/>
          <w:szCs w:val="22"/>
          <w:lang w:val="sk-SK"/>
        </w:rPr>
        <w:t xml:space="preserve"> a </w:t>
      </w:r>
      <w:r w:rsidR="00A56973" w:rsidRPr="00074698">
        <w:rPr>
          <w:bCs/>
          <w:sz w:val="22"/>
          <w:szCs w:val="22"/>
          <w:lang w:val="sk-SK"/>
        </w:rPr>
        <w:t xml:space="preserve">zníženú migráciu </w:t>
      </w:r>
      <w:proofErr w:type="spellStart"/>
      <w:r w:rsidRPr="00074698">
        <w:rPr>
          <w:bCs/>
          <w:sz w:val="22"/>
          <w:szCs w:val="22"/>
          <w:lang w:val="sk-SK"/>
        </w:rPr>
        <w:t>eozinofilov</w:t>
      </w:r>
      <w:proofErr w:type="spellEnd"/>
      <w:r w:rsidRPr="00074698">
        <w:rPr>
          <w:bCs/>
          <w:sz w:val="22"/>
          <w:szCs w:val="22"/>
          <w:lang w:val="sk-SK"/>
        </w:rPr>
        <w:t xml:space="preserve">. </w:t>
      </w: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</w:p>
    <w:p w:rsidR="000C1C82" w:rsidRDefault="000C1C82" w:rsidP="003D723B">
      <w:pPr>
        <w:rPr>
          <w:bCs/>
          <w:sz w:val="22"/>
          <w:szCs w:val="22"/>
          <w:lang w:val="sk-SK"/>
        </w:rPr>
      </w:pPr>
      <w:r w:rsidRPr="000C1C82">
        <w:rPr>
          <w:bCs/>
          <w:sz w:val="22"/>
          <w:szCs w:val="22"/>
          <w:u w:val="single"/>
          <w:lang w:val="sk-SK"/>
        </w:rPr>
        <w:t>Klinická účinnosť a</w:t>
      </w:r>
      <w:r>
        <w:rPr>
          <w:bCs/>
          <w:sz w:val="22"/>
          <w:szCs w:val="22"/>
          <w:u w:val="single"/>
          <w:lang w:val="sk-SK"/>
        </w:rPr>
        <w:t> </w:t>
      </w:r>
      <w:r w:rsidRPr="000C1C82">
        <w:rPr>
          <w:bCs/>
          <w:sz w:val="22"/>
          <w:szCs w:val="22"/>
          <w:u w:val="single"/>
          <w:lang w:val="sk-SK"/>
        </w:rPr>
        <w:t>bezpečnosť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 xml:space="preserve">Účinnosť a bezpečnosť </w:t>
      </w:r>
      <w:proofErr w:type="spellStart"/>
      <w:r w:rsidRPr="00074698">
        <w:rPr>
          <w:bCs/>
          <w:sz w:val="22"/>
          <w:szCs w:val="22"/>
          <w:lang w:val="sk-SK"/>
        </w:rPr>
        <w:t>levocetirizínu</w:t>
      </w:r>
      <w:proofErr w:type="spellEnd"/>
      <w:r w:rsidRPr="00074698">
        <w:rPr>
          <w:bCs/>
          <w:sz w:val="22"/>
          <w:szCs w:val="22"/>
          <w:lang w:val="sk-SK"/>
        </w:rPr>
        <w:t xml:space="preserve"> boli dokázané v niekoľkých dvojito zaslepených, </w:t>
      </w:r>
      <w:proofErr w:type="spellStart"/>
      <w:r w:rsidRPr="00074698">
        <w:rPr>
          <w:bCs/>
          <w:sz w:val="22"/>
          <w:szCs w:val="22"/>
          <w:lang w:val="sk-SK"/>
        </w:rPr>
        <w:t>placebom</w:t>
      </w:r>
      <w:proofErr w:type="spellEnd"/>
      <w:r w:rsidRPr="00074698">
        <w:rPr>
          <w:bCs/>
          <w:sz w:val="22"/>
          <w:szCs w:val="22"/>
          <w:lang w:val="sk-SK"/>
        </w:rPr>
        <w:t xml:space="preserve"> kontrolovaných klinických štúdiách uskutočnených</w:t>
      </w:r>
      <w:r w:rsidR="00EC08E7">
        <w:rPr>
          <w:bCs/>
          <w:sz w:val="22"/>
          <w:szCs w:val="22"/>
          <w:lang w:val="sk-SK"/>
        </w:rPr>
        <w:t xml:space="preserve"> </w:t>
      </w:r>
      <w:r w:rsidRPr="00074698">
        <w:rPr>
          <w:bCs/>
          <w:sz w:val="22"/>
          <w:szCs w:val="22"/>
          <w:lang w:val="sk-SK"/>
        </w:rPr>
        <w:t xml:space="preserve"> s dospelými pacientmi </w:t>
      </w:r>
      <w:r w:rsidR="00EC08E7">
        <w:rPr>
          <w:bCs/>
          <w:sz w:val="22"/>
          <w:szCs w:val="22"/>
          <w:lang w:val="sk-SK"/>
        </w:rPr>
        <w:t>so</w:t>
      </w:r>
      <w:r w:rsidR="00EC08E7" w:rsidRPr="00074698">
        <w:rPr>
          <w:bCs/>
          <w:sz w:val="22"/>
          <w:szCs w:val="22"/>
          <w:lang w:val="sk-SK"/>
        </w:rPr>
        <w:t xml:space="preserve"> </w:t>
      </w:r>
      <w:r w:rsidRPr="00074698">
        <w:rPr>
          <w:bCs/>
          <w:sz w:val="22"/>
          <w:szCs w:val="22"/>
          <w:lang w:val="sk-SK"/>
        </w:rPr>
        <w:t>sezónnou alergickou nádchou</w:t>
      </w:r>
      <w:r w:rsidR="00A56973" w:rsidRPr="00074698">
        <w:rPr>
          <w:bCs/>
          <w:sz w:val="22"/>
          <w:szCs w:val="22"/>
          <w:lang w:val="sk-SK"/>
        </w:rPr>
        <w:t>,</w:t>
      </w:r>
      <w:r w:rsidRPr="00074698">
        <w:rPr>
          <w:bCs/>
          <w:sz w:val="22"/>
          <w:szCs w:val="22"/>
          <w:lang w:val="sk-SK"/>
        </w:rPr>
        <w:t xml:space="preserve"> chronickou alergickou nádchou</w:t>
      </w:r>
      <w:r w:rsidR="00A56973" w:rsidRPr="00074698">
        <w:rPr>
          <w:bCs/>
          <w:sz w:val="22"/>
          <w:szCs w:val="22"/>
          <w:lang w:val="sk-SK"/>
        </w:rPr>
        <w:t xml:space="preserve"> alebo </w:t>
      </w:r>
      <w:proofErr w:type="spellStart"/>
      <w:r w:rsidR="00A56973" w:rsidRPr="00074698">
        <w:rPr>
          <w:bCs/>
          <w:sz w:val="22"/>
          <w:szCs w:val="22"/>
          <w:lang w:val="sk-SK"/>
        </w:rPr>
        <w:t>perzistentnou</w:t>
      </w:r>
      <w:proofErr w:type="spellEnd"/>
      <w:r w:rsidR="00A56973" w:rsidRPr="00074698">
        <w:rPr>
          <w:bCs/>
          <w:sz w:val="22"/>
          <w:szCs w:val="22"/>
          <w:lang w:val="sk-SK"/>
        </w:rPr>
        <w:t xml:space="preserve"> alergickou nádchou</w:t>
      </w:r>
      <w:r w:rsidRPr="00074698">
        <w:rPr>
          <w:bCs/>
          <w:sz w:val="22"/>
          <w:szCs w:val="22"/>
          <w:lang w:val="sk-SK"/>
        </w:rPr>
        <w:t>.</w:t>
      </w:r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Levocetirizín</w:t>
      </w:r>
      <w:proofErr w:type="spellEnd"/>
      <w:r w:rsidRPr="00074698">
        <w:rPr>
          <w:bCs/>
          <w:sz w:val="22"/>
          <w:szCs w:val="22"/>
          <w:lang w:val="sk-SK"/>
        </w:rPr>
        <w:t xml:space="preserve"> vykazoval </w:t>
      </w:r>
      <w:r w:rsidR="00A56973" w:rsidRPr="00074698">
        <w:rPr>
          <w:bCs/>
          <w:sz w:val="22"/>
          <w:szCs w:val="22"/>
          <w:lang w:val="sk-SK"/>
        </w:rPr>
        <w:t xml:space="preserve">v niektorých štúdiách </w:t>
      </w:r>
      <w:r w:rsidRPr="00074698">
        <w:rPr>
          <w:bCs/>
          <w:sz w:val="22"/>
          <w:szCs w:val="22"/>
          <w:lang w:val="sk-SK"/>
        </w:rPr>
        <w:t>významné zlepšenie príznakov alergickej nádchy vrátane obštrukcie nosa.</w:t>
      </w: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</w:p>
    <w:p w:rsidR="00EC08E7" w:rsidRDefault="003D723B" w:rsidP="003D723B">
      <w:pPr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>6-mesačná klinická štúdia s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551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dospelými pacientmi (vrátane 276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 xml:space="preserve">pacientov liečených </w:t>
      </w:r>
      <w:proofErr w:type="spellStart"/>
      <w:r w:rsidRPr="00074698">
        <w:rPr>
          <w:bCs/>
          <w:sz w:val="22"/>
          <w:szCs w:val="22"/>
          <w:lang w:val="sk-SK"/>
        </w:rPr>
        <w:t>levocetirizínom</w:t>
      </w:r>
      <w:proofErr w:type="spellEnd"/>
      <w:r w:rsidRPr="00074698">
        <w:rPr>
          <w:bCs/>
          <w:sz w:val="22"/>
          <w:szCs w:val="22"/>
          <w:lang w:val="sk-SK"/>
        </w:rPr>
        <w:t xml:space="preserve">) </w:t>
      </w:r>
      <w:r w:rsidR="00EC08E7">
        <w:rPr>
          <w:bCs/>
          <w:sz w:val="22"/>
          <w:szCs w:val="22"/>
          <w:lang w:val="sk-SK"/>
        </w:rPr>
        <w:t xml:space="preserve">s </w:t>
      </w:r>
      <w:proofErr w:type="spellStart"/>
      <w:r w:rsidRPr="00074698">
        <w:rPr>
          <w:bCs/>
          <w:sz w:val="22"/>
          <w:szCs w:val="22"/>
          <w:lang w:val="sk-SK"/>
        </w:rPr>
        <w:t>perzistentnou</w:t>
      </w:r>
      <w:proofErr w:type="spellEnd"/>
      <w:r w:rsidRPr="00074698">
        <w:rPr>
          <w:bCs/>
          <w:sz w:val="22"/>
          <w:szCs w:val="22"/>
          <w:lang w:val="sk-SK"/>
        </w:rPr>
        <w:t xml:space="preserve"> alergickou nádchou (príznaky prítomné 4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dni v týždni najmenej 4</w:t>
      </w:r>
      <w:r w:rsidR="000C1C82">
        <w:rPr>
          <w:bCs/>
          <w:sz w:val="22"/>
          <w:szCs w:val="22"/>
          <w:lang w:val="sk-SK"/>
        </w:rPr>
        <w:t> </w:t>
      </w: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>po sebe nasledujúce týždne) a so zvýšenou precitlivenosťou na roztoče z domáceho prachu a trávový peľ dokázala, že 5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 xml:space="preserve">mg </w:t>
      </w:r>
      <w:proofErr w:type="spellStart"/>
      <w:r w:rsidRPr="00074698">
        <w:rPr>
          <w:bCs/>
          <w:sz w:val="22"/>
          <w:szCs w:val="22"/>
          <w:lang w:val="sk-SK"/>
        </w:rPr>
        <w:t>levocetirizínu</w:t>
      </w:r>
      <w:proofErr w:type="spellEnd"/>
      <w:r w:rsidRPr="00074698">
        <w:rPr>
          <w:bCs/>
          <w:sz w:val="22"/>
          <w:szCs w:val="22"/>
          <w:lang w:val="sk-SK"/>
        </w:rPr>
        <w:t xml:space="preserve"> bolo klinicky i štatisticky významne účinnejš</w:t>
      </w:r>
      <w:r w:rsidR="00EC08E7">
        <w:rPr>
          <w:bCs/>
          <w:sz w:val="22"/>
          <w:szCs w:val="22"/>
          <w:lang w:val="sk-SK"/>
        </w:rPr>
        <w:t>ie</w:t>
      </w:r>
      <w:r w:rsidRPr="00074698">
        <w:rPr>
          <w:bCs/>
          <w:sz w:val="22"/>
          <w:szCs w:val="22"/>
          <w:lang w:val="sk-SK"/>
        </w:rPr>
        <w:t xml:space="preserve"> </w:t>
      </w:r>
      <w:r w:rsidR="00EC08E7">
        <w:rPr>
          <w:bCs/>
          <w:sz w:val="22"/>
          <w:szCs w:val="22"/>
          <w:lang w:val="sk-SK"/>
        </w:rPr>
        <w:t>ako</w:t>
      </w:r>
      <w:r w:rsidR="00EC08E7"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placebo</w:t>
      </w:r>
      <w:proofErr w:type="spellEnd"/>
      <w:r w:rsidRPr="00074698">
        <w:rPr>
          <w:bCs/>
          <w:sz w:val="22"/>
          <w:szCs w:val="22"/>
          <w:lang w:val="sk-SK"/>
        </w:rPr>
        <w:t xml:space="preserve"> z hľadiska úľavy celkových príznakov alergickej nádchy počas celého trvania štúdie bez akejkoľvek </w:t>
      </w:r>
      <w:proofErr w:type="spellStart"/>
      <w:r w:rsidRPr="00074698">
        <w:rPr>
          <w:bCs/>
          <w:sz w:val="22"/>
          <w:szCs w:val="22"/>
          <w:lang w:val="sk-SK"/>
        </w:rPr>
        <w:t>tachyfylaxie</w:t>
      </w:r>
      <w:proofErr w:type="spellEnd"/>
      <w:r w:rsidRPr="00074698">
        <w:rPr>
          <w:bCs/>
          <w:sz w:val="22"/>
          <w:szCs w:val="22"/>
          <w:lang w:val="sk-SK"/>
        </w:rPr>
        <w:t xml:space="preserve">. Počas celého trvania štúdie </w:t>
      </w:r>
      <w:proofErr w:type="spellStart"/>
      <w:r w:rsidRPr="00074698">
        <w:rPr>
          <w:bCs/>
          <w:sz w:val="22"/>
          <w:szCs w:val="22"/>
          <w:lang w:val="sk-SK"/>
        </w:rPr>
        <w:t>levocetirizín</w:t>
      </w:r>
      <w:proofErr w:type="spellEnd"/>
      <w:r w:rsidRPr="00074698">
        <w:rPr>
          <w:bCs/>
          <w:sz w:val="22"/>
          <w:szCs w:val="22"/>
          <w:lang w:val="sk-SK"/>
        </w:rPr>
        <w:t xml:space="preserve"> významne zlepšil kvalitu života pacientov.</w:t>
      </w:r>
    </w:p>
    <w:p w:rsidR="0035127E" w:rsidRPr="00074698" w:rsidRDefault="0035127E" w:rsidP="003D723B">
      <w:pPr>
        <w:rPr>
          <w:bCs/>
          <w:sz w:val="22"/>
          <w:szCs w:val="22"/>
          <w:lang w:val="sk-SK"/>
        </w:rPr>
      </w:pP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>V </w:t>
      </w:r>
      <w:proofErr w:type="spellStart"/>
      <w:r w:rsidRPr="00074698">
        <w:rPr>
          <w:bCs/>
          <w:sz w:val="22"/>
          <w:szCs w:val="22"/>
          <w:lang w:val="sk-SK"/>
        </w:rPr>
        <w:t>placebom</w:t>
      </w:r>
      <w:proofErr w:type="spellEnd"/>
      <w:r w:rsidRPr="00074698">
        <w:rPr>
          <w:bCs/>
          <w:sz w:val="22"/>
          <w:szCs w:val="22"/>
          <w:lang w:val="sk-SK"/>
        </w:rPr>
        <w:t xml:space="preserve"> kontrolovanom klinickom skúšaní zahŕňajúcom 166 pacientov s chronickou </w:t>
      </w:r>
      <w:proofErr w:type="spellStart"/>
      <w:r w:rsidRPr="00074698">
        <w:rPr>
          <w:bCs/>
          <w:sz w:val="22"/>
          <w:szCs w:val="22"/>
          <w:lang w:val="sk-SK"/>
        </w:rPr>
        <w:t>idiopatickou</w:t>
      </w:r>
      <w:proofErr w:type="spellEnd"/>
      <w:r w:rsidRPr="00074698">
        <w:rPr>
          <w:bCs/>
          <w:sz w:val="22"/>
          <w:szCs w:val="22"/>
          <w:lang w:val="sk-SK"/>
        </w:rPr>
        <w:t xml:space="preserve"> žihľavkou </w:t>
      </w:r>
      <w:r w:rsidR="00EC08E7">
        <w:rPr>
          <w:bCs/>
          <w:sz w:val="22"/>
          <w:szCs w:val="22"/>
          <w:lang w:val="sk-SK"/>
        </w:rPr>
        <w:t xml:space="preserve">bolo </w:t>
      </w:r>
      <w:r w:rsidRPr="00074698">
        <w:rPr>
          <w:bCs/>
          <w:sz w:val="22"/>
          <w:szCs w:val="22"/>
          <w:lang w:val="sk-SK"/>
        </w:rPr>
        <w:t>85 paciento</w:t>
      </w:r>
      <w:r w:rsidR="00EC08E7">
        <w:rPr>
          <w:bCs/>
          <w:sz w:val="22"/>
          <w:szCs w:val="22"/>
          <w:lang w:val="sk-SK"/>
        </w:rPr>
        <w:t>m</w:t>
      </w:r>
      <w:r w:rsidRPr="00074698">
        <w:rPr>
          <w:bCs/>
          <w:sz w:val="22"/>
          <w:szCs w:val="22"/>
          <w:lang w:val="sk-SK"/>
        </w:rPr>
        <w:t xml:space="preserve"> </w:t>
      </w:r>
      <w:r w:rsidR="00EC08E7">
        <w:rPr>
          <w:bCs/>
          <w:sz w:val="22"/>
          <w:szCs w:val="22"/>
          <w:lang w:val="sk-SK"/>
        </w:rPr>
        <w:t>podávané</w:t>
      </w:r>
      <w:r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placebo</w:t>
      </w:r>
      <w:proofErr w:type="spellEnd"/>
      <w:r w:rsidRPr="00074698">
        <w:rPr>
          <w:bCs/>
          <w:sz w:val="22"/>
          <w:szCs w:val="22"/>
          <w:lang w:val="sk-SK"/>
        </w:rPr>
        <w:t xml:space="preserve"> a 81 pacientov </w:t>
      </w:r>
      <w:r w:rsidR="00EC08E7">
        <w:rPr>
          <w:bCs/>
          <w:sz w:val="22"/>
          <w:szCs w:val="22"/>
          <w:lang w:val="sk-SK"/>
        </w:rPr>
        <w:t xml:space="preserve">bolo liečených </w:t>
      </w:r>
      <w:r w:rsidRPr="00074698">
        <w:rPr>
          <w:bCs/>
          <w:sz w:val="22"/>
          <w:szCs w:val="22"/>
          <w:lang w:val="sk-SK"/>
        </w:rPr>
        <w:t>5</w:t>
      </w:r>
      <w:r w:rsidR="000C1C82"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 xml:space="preserve">mg </w:t>
      </w:r>
      <w:proofErr w:type="spellStart"/>
      <w:r w:rsidRPr="00074698">
        <w:rPr>
          <w:bCs/>
          <w:sz w:val="22"/>
          <w:szCs w:val="22"/>
          <w:lang w:val="sk-SK"/>
        </w:rPr>
        <w:t>levocetirizínu</w:t>
      </w:r>
      <w:proofErr w:type="spellEnd"/>
      <w:r w:rsidRPr="00074698">
        <w:rPr>
          <w:bCs/>
          <w:sz w:val="22"/>
          <w:szCs w:val="22"/>
          <w:lang w:val="sk-SK"/>
        </w:rPr>
        <w:t xml:space="preserve"> jedenkrát denne počas šiestich týždňov. Liečba </w:t>
      </w:r>
      <w:proofErr w:type="spellStart"/>
      <w:r w:rsidRPr="00074698">
        <w:rPr>
          <w:bCs/>
          <w:sz w:val="22"/>
          <w:szCs w:val="22"/>
          <w:lang w:val="sk-SK"/>
        </w:rPr>
        <w:t>levocetirizínom</w:t>
      </w:r>
      <w:proofErr w:type="spellEnd"/>
      <w:r w:rsidRPr="00074698">
        <w:rPr>
          <w:bCs/>
          <w:sz w:val="22"/>
          <w:szCs w:val="22"/>
          <w:lang w:val="sk-SK"/>
        </w:rPr>
        <w:t xml:space="preserve"> znamenala významné zníženie závažnosti </w:t>
      </w:r>
      <w:proofErr w:type="spellStart"/>
      <w:r w:rsidRPr="00074698">
        <w:rPr>
          <w:bCs/>
          <w:sz w:val="22"/>
          <w:szCs w:val="22"/>
          <w:lang w:val="sk-SK"/>
        </w:rPr>
        <w:t>pruritu</w:t>
      </w:r>
      <w:proofErr w:type="spellEnd"/>
      <w:r w:rsidRPr="00074698">
        <w:rPr>
          <w:bCs/>
          <w:sz w:val="22"/>
          <w:szCs w:val="22"/>
          <w:lang w:val="sk-SK"/>
        </w:rPr>
        <w:t xml:space="preserve"> počas prvého týždňa a počas celého obdobia liečby v porovnaní s </w:t>
      </w:r>
      <w:proofErr w:type="spellStart"/>
      <w:r w:rsidRPr="00074698">
        <w:rPr>
          <w:bCs/>
          <w:sz w:val="22"/>
          <w:szCs w:val="22"/>
          <w:lang w:val="sk-SK"/>
        </w:rPr>
        <w:t>placebom</w:t>
      </w:r>
      <w:proofErr w:type="spellEnd"/>
      <w:r w:rsidRPr="00074698">
        <w:rPr>
          <w:bCs/>
          <w:sz w:val="22"/>
          <w:szCs w:val="22"/>
          <w:lang w:val="sk-SK"/>
        </w:rPr>
        <w:t xml:space="preserve">. </w:t>
      </w:r>
      <w:proofErr w:type="spellStart"/>
      <w:r w:rsidRPr="00074698">
        <w:rPr>
          <w:bCs/>
          <w:sz w:val="22"/>
          <w:szCs w:val="22"/>
          <w:lang w:val="sk-SK"/>
        </w:rPr>
        <w:t>Levocetirizín</w:t>
      </w:r>
      <w:proofErr w:type="spellEnd"/>
      <w:r w:rsidRPr="00074698">
        <w:rPr>
          <w:bCs/>
          <w:sz w:val="22"/>
          <w:szCs w:val="22"/>
          <w:lang w:val="sk-SK"/>
        </w:rPr>
        <w:t xml:space="preserve"> mal tiež za následok </w:t>
      </w:r>
      <w:r w:rsidR="00EC08E7">
        <w:rPr>
          <w:bCs/>
          <w:sz w:val="22"/>
          <w:szCs w:val="22"/>
          <w:lang w:val="sk-SK"/>
        </w:rPr>
        <w:t>výrazn</w:t>
      </w:r>
      <w:r w:rsidRPr="00074698">
        <w:rPr>
          <w:bCs/>
          <w:sz w:val="22"/>
          <w:szCs w:val="22"/>
          <w:lang w:val="sk-SK"/>
        </w:rPr>
        <w:t xml:space="preserve">ejšie zlepšenie kvality života </w:t>
      </w:r>
      <w:r w:rsidR="00A56973" w:rsidRPr="00074698">
        <w:rPr>
          <w:bCs/>
          <w:sz w:val="22"/>
          <w:szCs w:val="22"/>
          <w:lang w:val="sk-SK"/>
        </w:rPr>
        <w:t xml:space="preserve">súvisiace so zdravím </w:t>
      </w:r>
      <w:r w:rsidRPr="00074698">
        <w:rPr>
          <w:bCs/>
          <w:sz w:val="22"/>
          <w:szCs w:val="22"/>
          <w:lang w:val="sk-SK"/>
        </w:rPr>
        <w:t xml:space="preserve">hodnotenej podľa </w:t>
      </w:r>
      <w:proofErr w:type="spellStart"/>
      <w:r w:rsidRPr="00074698">
        <w:rPr>
          <w:bCs/>
          <w:sz w:val="22"/>
          <w:szCs w:val="22"/>
          <w:lang w:val="sk-SK"/>
        </w:rPr>
        <w:t>Dermatology</w:t>
      </w:r>
      <w:proofErr w:type="spellEnd"/>
      <w:r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Life</w:t>
      </w:r>
      <w:proofErr w:type="spellEnd"/>
      <w:r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Pr="00074698">
        <w:rPr>
          <w:bCs/>
          <w:sz w:val="22"/>
          <w:szCs w:val="22"/>
          <w:lang w:val="sk-SK"/>
        </w:rPr>
        <w:t>Quality</w:t>
      </w:r>
      <w:proofErr w:type="spellEnd"/>
      <w:r w:rsidRPr="00074698">
        <w:rPr>
          <w:bCs/>
          <w:sz w:val="22"/>
          <w:szCs w:val="22"/>
          <w:lang w:val="sk-SK"/>
        </w:rPr>
        <w:t xml:space="preserve"> Index v porovnaní s </w:t>
      </w:r>
      <w:proofErr w:type="spellStart"/>
      <w:r w:rsidRPr="00074698">
        <w:rPr>
          <w:bCs/>
          <w:sz w:val="22"/>
          <w:szCs w:val="22"/>
          <w:lang w:val="sk-SK"/>
        </w:rPr>
        <w:t>placebom</w:t>
      </w:r>
      <w:proofErr w:type="spellEnd"/>
      <w:r w:rsidRPr="00074698">
        <w:rPr>
          <w:bCs/>
          <w:sz w:val="22"/>
          <w:szCs w:val="22"/>
          <w:lang w:val="sk-SK"/>
        </w:rPr>
        <w:t>.</w:t>
      </w: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</w:p>
    <w:p w:rsidR="00B215B1" w:rsidRPr="00074698" w:rsidRDefault="00B215B1" w:rsidP="00B215B1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Chronická </w:t>
      </w:r>
      <w:proofErr w:type="spellStart"/>
      <w:r w:rsidRPr="00074698">
        <w:rPr>
          <w:sz w:val="22"/>
          <w:szCs w:val="22"/>
          <w:lang w:val="sk-SK"/>
        </w:rPr>
        <w:t>idiopatická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urtikária</w:t>
      </w:r>
      <w:proofErr w:type="spellEnd"/>
      <w:r w:rsidRPr="00074698">
        <w:rPr>
          <w:sz w:val="22"/>
          <w:szCs w:val="22"/>
          <w:lang w:val="sk-SK"/>
        </w:rPr>
        <w:t xml:space="preserve"> sa skúmala ako model podmienok </w:t>
      </w:r>
      <w:proofErr w:type="spellStart"/>
      <w:r w:rsidRPr="00074698">
        <w:rPr>
          <w:sz w:val="22"/>
          <w:szCs w:val="22"/>
          <w:lang w:val="sk-SK"/>
        </w:rPr>
        <w:t>urtikárie</w:t>
      </w:r>
      <w:proofErr w:type="spellEnd"/>
      <w:r w:rsidRPr="00074698">
        <w:rPr>
          <w:sz w:val="22"/>
          <w:szCs w:val="22"/>
          <w:lang w:val="sk-SK"/>
        </w:rPr>
        <w:t xml:space="preserve">. Keďže uvoľnenie histamínu je príčinným faktorom </w:t>
      </w:r>
      <w:proofErr w:type="spellStart"/>
      <w:r w:rsidR="00EC08E7" w:rsidRPr="00B13124">
        <w:rPr>
          <w:sz w:val="22"/>
          <w:szCs w:val="22"/>
          <w:lang w:val="sk-SK"/>
        </w:rPr>
        <w:t>ur</w:t>
      </w:r>
      <w:r w:rsidR="00EC08E7">
        <w:rPr>
          <w:sz w:val="22"/>
          <w:szCs w:val="22"/>
          <w:lang w:val="sk-SK"/>
        </w:rPr>
        <w:t>tik</w:t>
      </w:r>
      <w:r w:rsidR="00F578C9">
        <w:rPr>
          <w:sz w:val="22"/>
          <w:szCs w:val="22"/>
          <w:lang w:val="sk-SK"/>
        </w:rPr>
        <w:t>a</w:t>
      </w:r>
      <w:r w:rsidR="00EC08E7">
        <w:rPr>
          <w:sz w:val="22"/>
          <w:szCs w:val="22"/>
          <w:lang w:val="sk-SK"/>
        </w:rPr>
        <w:t>r</w:t>
      </w:r>
      <w:r w:rsidR="00D07C46">
        <w:rPr>
          <w:sz w:val="22"/>
          <w:szCs w:val="22"/>
          <w:lang w:val="sk-SK"/>
        </w:rPr>
        <w:t>iál</w:t>
      </w:r>
      <w:r w:rsidR="00EC08E7">
        <w:rPr>
          <w:sz w:val="22"/>
          <w:szCs w:val="22"/>
          <w:lang w:val="sk-SK"/>
        </w:rPr>
        <w:t>nych</w:t>
      </w:r>
      <w:proofErr w:type="spellEnd"/>
      <w:r w:rsidR="00EC08E7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ochorení, predpokladá sa, že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bude </w:t>
      </w:r>
      <w:r w:rsidR="00EC08E7" w:rsidRPr="00B13124">
        <w:rPr>
          <w:sz w:val="22"/>
          <w:szCs w:val="22"/>
          <w:lang w:val="sk-SK"/>
        </w:rPr>
        <w:t>okr</w:t>
      </w:r>
      <w:r w:rsidR="00EC08E7">
        <w:rPr>
          <w:sz w:val="22"/>
          <w:szCs w:val="22"/>
          <w:lang w:val="sk-SK"/>
        </w:rPr>
        <w:t xml:space="preserve">em </w:t>
      </w:r>
      <w:r w:rsidR="00EC08E7" w:rsidRPr="00074698">
        <w:rPr>
          <w:sz w:val="22"/>
          <w:szCs w:val="22"/>
          <w:lang w:val="sk-SK"/>
        </w:rPr>
        <w:t xml:space="preserve">chronickej </w:t>
      </w:r>
      <w:proofErr w:type="spellStart"/>
      <w:r w:rsidR="00EC08E7" w:rsidRPr="00074698">
        <w:rPr>
          <w:sz w:val="22"/>
          <w:szCs w:val="22"/>
          <w:lang w:val="sk-SK"/>
        </w:rPr>
        <w:t>idiopatickej</w:t>
      </w:r>
      <w:proofErr w:type="spellEnd"/>
      <w:r w:rsidR="00EC08E7" w:rsidRPr="00074698">
        <w:rPr>
          <w:sz w:val="22"/>
          <w:szCs w:val="22"/>
          <w:lang w:val="sk-SK"/>
        </w:rPr>
        <w:t xml:space="preserve"> </w:t>
      </w:r>
      <w:proofErr w:type="spellStart"/>
      <w:r w:rsidR="00EC08E7" w:rsidRPr="00074698">
        <w:rPr>
          <w:sz w:val="22"/>
          <w:szCs w:val="22"/>
          <w:lang w:val="sk-SK"/>
        </w:rPr>
        <w:t>urtikári</w:t>
      </w:r>
      <w:r w:rsidR="00EC08E7">
        <w:rPr>
          <w:sz w:val="22"/>
          <w:szCs w:val="22"/>
          <w:lang w:val="sk-SK"/>
        </w:rPr>
        <w:t>e</w:t>
      </w:r>
      <w:proofErr w:type="spellEnd"/>
      <w:r w:rsidR="00EC08E7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účinný </w:t>
      </w:r>
      <w:r w:rsidR="00EC08E7">
        <w:rPr>
          <w:sz w:val="22"/>
          <w:szCs w:val="22"/>
          <w:lang w:val="sk-SK"/>
        </w:rPr>
        <w:t xml:space="preserve">aj </w:t>
      </w:r>
      <w:r w:rsidRPr="00074698">
        <w:rPr>
          <w:sz w:val="22"/>
          <w:szCs w:val="22"/>
          <w:lang w:val="sk-SK"/>
        </w:rPr>
        <w:t xml:space="preserve">pri </w:t>
      </w:r>
      <w:r w:rsidR="00190D1A" w:rsidRPr="00074698">
        <w:rPr>
          <w:sz w:val="22"/>
          <w:szCs w:val="22"/>
          <w:lang w:val="sk-SK"/>
        </w:rPr>
        <w:t>zmiernen</w:t>
      </w:r>
      <w:r w:rsidR="00EC08E7">
        <w:rPr>
          <w:sz w:val="22"/>
          <w:szCs w:val="22"/>
          <w:lang w:val="sk-SK"/>
        </w:rPr>
        <w:t>í</w:t>
      </w:r>
      <w:r w:rsidR="00190D1A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príznakov </w:t>
      </w:r>
      <w:r w:rsidR="00EC08E7">
        <w:rPr>
          <w:sz w:val="22"/>
          <w:szCs w:val="22"/>
          <w:lang w:val="sk-SK"/>
        </w:rPr>
        <w:t>iných</w:t>
      </w:r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urtikárií</w:t>
      </w:r>
      <w:proofErr w:type="spellEnd"/>
      <w:r w:rsidR="00EC08E7">
        <w:rPr>
          <w:sz w:val="22"/>
          <w:szCs w:val="22"/>
          <w:lang w:val="sk-SK"/>
        </w:rPr>
        <w:t>.</w:t>
      </w:r>
    </w:p>
    <w:p w:rsidR="003D723B" w:rsidRPr="00074698" w:rsidRDefault="003D723B" w:rsidP="003D723B">
      <w:pPr>
        <w:rPr>
          <w:bCs/>
          <w:sz w:val="22"/>
          <w:szCs w:val="22"/>
          <w:lang w:val="sk-SK"/>
        </w:rPr>
      </w:pPr>
    </w:p>
    <w:p w:rsidR="003D723B" w:rsidRPr="00074698" w:rsidRDefault="003D723B" w:rsidP="003D723B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74698">
        <w:rPr>
          <w:rFonts w:ascii="Times New Roman" w:hAnsi="Times New Roman" w:cs="Times New Roman"/>
          <w:sz w:val="22"/>
          <w:szCs w:val="22"/>
          <w:lang w:val="sk-SK"/>
        </w:rPr>
        <w:t>EKG ne</w:t>
      </w:r>
      <w:r w:rsidR="00B82218">
        <w:rPr>
          <w:rFonts w:ascii="Times New Roman" w:hAnsi="Times New Roman" w:cs="Times New Roman"/>
          <w:sz w:val="22"/>
          <w:szCs w:val="22"/>
          <w:lang w:val="sk-SK"/>
        </w:rPr>
        <w:t>pre</w:t>
      </w:r>
      <w:r w:rsidRPr="00074698">
        <w:rPr>
          <w:rFonts w:ascii="Times New Roman" w:hAnsi="Times New Roman" w:cs="Times New Roman"/>
          <w:sz w:val="22"/>
          <w:szCs w:val="22"/>
          <w:lang w:val="sk-SK"/>
        </w:rPr>
        <w:t xml:space="preserve">ukázalo významné účinky </w:t>
      </w:r>
      <w:proofErr w:type="spellStart"/>
      <w:r w:rsidRPr="00074698">
        <w:rPr>
          <w:rFonts w:ascii="Times New Roman" w:hAnsi="Times New Roman" w:cs="Times New Roman"/>
          <w:sz w:val="22"/>
          <w:szCs w:val="22"/>
          <w:lang w:val="sk-SK"/>
        </w:rPr>
        <w:t>levocetirizínu</w:t>
      </w:r>
      <w:proofErr w:type="spellEnd"/>
      <w:r w:rsidRPr="00074698">
        <w:rPr>
          <w:rFonts w:ascii="Times New Roman" w:hAnsi="Times New Roman" w:cs="Times New Roman"/>
          <w:sz w:val="22"/>
          <w:szCs w:val="22"/>
          <w:lang w:val="sk-SK"/>
        </w:rPr>
        <w:t xml:space="preserve"> na QT interval.</w:t>
      </w:r>
    </w:p>
    <w:p w:rsidR="000C1C82" w:rsidRPr="00074698" w:rsidRDefault="000C1C82" w:rsidP="000C1C82">
      <w:pPr>
        <w:rPr>
          <w:bCs/>
          <w:sz w:val="22"/>
          <w:szCs w:val="22"/>
          <w:lang w:val="sk-SK"/>
        </w:rPr>
      </w:pPr>
    </w:p>
    <w:p w:rsidR="000C1C82" w:rsidRPr="00764013" w:rsidRDefault="000C1C82" w:rsidP="000C1C82">
      <w:pPr>
        <w:rPr>
          <w:bCs/>
          <w:sz w:val="22"/>
          <w:szCs w:val="22"/>
          <w:u w:val="single"/>
          <w:lang w:val="sk-SK"/>
        </w:rPr>
      </w:pPr>
      <w:r w:rsidRPr="00764013">
        <w:rPr>
          <w:bCs/>
          <w:sz w:val="22"/>
          <w:szCs w:val="22"/>
          <w:u w:val="single"/>
          <w:lang w:val="sk-SK"/>
        </w:rPr>
        <w:t>Pediatrická populácia</w:t>
      </w:r>
    </w:p>
    <w:p w:rsidR="000C1C82" w:rsidRPr="00074698" w:rsidRDefault="000C1C82" w:rsidP="000C1C82">
      <w:pPr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 xml:space="preserve">Bezpečnosť a účinnosť tabliet </w:t>
      </w:r>
      <w:proofErr w:type="spellStart"/>
      <w:r w:rsidRPr="00074698">
        <w:rPr>
          <w:bCs/>
          <w:sz w:val="22"/>
          <w:szCs w:val="22"/>
          <w:lang w:val="sk-SK"/>
        </w:rPr>
        <w:t>levocetirizínu</w:t>
      </w:r>
      <w:proofErr w:type="spellEnd"/>
      <w:r w:rsidRPr="00074698">
        <w:rPr>
          <w:bCs/>
          <w:sz w:val="22"/>
          <w:szCs w:val="22"/>
          <w:lang w:val="sk-SK"/>
        </w:rPr>
        <w:t xml:space="preserve"> u </w:t>
      </w:r>
      <w:r w:rsidR="008344F4">
        <w:rPr>
          <w:bCs/>
          <w:sz w:val="22"/>
          <w:szCs w:val="22"/>
          <w:lang w:val="sk-SK"/>
        </w:rPr>
        <w:t>pediatrických</w:t>
      </w:r>
      <w:r w:rsidRPr="00074698">
        <w:rPr>
          <w:bCs/>
          <w:sz w:val="22"/>
          <w:szCs w:val="22"/>
          <w:lang w:val="sk-SK"/>
        </w:rPr>
        <w:t xml:space="preserve"> pacientov sa skúmala v dvoch </w:t>
      </w:r>
      <w:proofErr w:type="spellStart"/>
      <w:r w:rsidRPr="00074698">
        <w:rPr>
          <w:bCs/>
          <w:sz w:val="22"/>
          <w:szCs w:val="22"/>
          <w:lang w:val="sk-SK"/>
        </w:rPr>
        <w:t>placebom</w:t>
      </w:r>
      <w:proofErr w:type="spellEnd"/>
      <w:r w:rsidRPr="00074698">
        <w:rPr>
          <w:bCs/>
          <w:sz w:val="22"/>
          <w:szCs w:val="22"/>
          <w:lang w:val="sk-SK"/>
        </w:rPr>
        <w:t xml:space="preserve"> kontrolovaných klinických skúšaniach, zahŕňajúcich pacientov vo veku od 6 do 12</w:t>
      </w:r>
      <w:r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rokov so sezónnou, resp.</w:t>
      </w:r>
      <w:r>
        <w:rPr>
          <w:bCs/>
          <w:sz w:val="22"/>
          <w:szCs w:val="22"/>
          <w:lang w:val="sk-SK"/>
        </w:rPr>
        <w:t xml:space="preserve"> </w:t>
      </w:r>
      <w:r w:rsidRPr="00074698">
        <w:rPr>
          <w:bCs/>
          <w:sz w:val="22"/>
          <w:szCs w:val="22"/>
          <w:lang w:val="sk-SK"/>
        </w:rPr>
        <w:t xml:space="preserve">chronickou alergickou nádchou. V oboch skúšaniach </w:t>
      </w:r>
      <w:proofErr w:type="spellStart"/>
      <w:r w:rsidRPr="00074698">
        <w:rPr>
          <w:bCs/>
          <w:sz w:val="22"/>
          <w:szCs w:val="22"/>
          <w:lang w:val="sk-SK"/>
        </w:rPr>
        <w:t>levocetirizín</w:t>
      </w:r>
      <w:proofErr w:type="spellEnd"/>
      <w:r w:rsidRPr="00074698">
        <w:rPr>
          <w:bCs/>
          <w:sz w:val="22"/>
          <w:szCs w:val="22"/>
          <w:lang w:val="sk-SK"/>
        </w:rPr>
        <w:t xml:space="preserve"> významne zlepšil príznaky a zvýšil kvalitu života súvisiacu so zdravím.</w:t>
      </w:r>
    </w:p>
    <w:p w:rsidR="000C1C82" w:rsidRPr="00074698" w:rsidRDefault="000C1C82" w:rsidP="000C1C82">
      <w:pPr>
        <w:rPr>
          <w:bCs/>
          <w:sz w:val="22"/>
          <w:szCs w:val="22"/>
          <w:lang w:val="sk-SK"/>
        </w:rPr>
      </w:pPr>
    </w:p>
    <w:p w:rsidR="000C1C82" w:rsidRPr="00074698" w:rsidRDefault="000C1C82" w:rsidP="000C1C82">
      <w:pPr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>U detí vo veku do 6</w:t>
      </w:r>
      <w:r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rokov sa klinická bezpečnosť stanovila z niekoľkých krátkodobých alebo dlhodobých terapeutických štúdií:</w:t>
      </w:r>
    </w:p>
    <w:p w:rsidR="000C1C82" w:rsidRPr="00074698" w:rsidRDefault="00FA5D1B" w:rsidP="000C1C82">
      <w:pPr>
        <w:numPr>
          <w:ilvl w:val="0"/>
          <w:numId w:val="9"/>
        </w:numPr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</w:t>
      </w:r>
      <w:r w:rsidR="000C1C82" w:rsidRPr="00074698">
        <w:rPr>
          <w:bCs/>
          <w:sz w:val="22"/>
          <w:szCs w:val="22"/>
          <w:lang w:val="sk-SK"/>
        </w:rPr>
        <w:t>edna klinická štúdia, v ktorej bolo 29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detí vo veku 2 až 6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 xml:space="preserve">rokov s alergickou </w:t>
      </w:r>
      <w:proofErr w:type="spellStart"/>
      <w:r w:rsidR="000C1C82" w:rsidRPr="00074698">
        <w:rPr>
          <w:bCs/>
          <w:sz w:val="22"/>
          <w:szCs w:val="22"/>
          <w:lang w:val="sk-SK"/>
        </w:rPr>
        <w:t>rinitídou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liečených </w:t>
      </w:r>
      <w:proofErr w:type="spellStart"/>
      <w:r w:rsidR="000C1C82" w:rsidRPr="00074698">
        <w:rPr>
          <w:bCs/>
          <w:sz w:val="22"/>
          <w:szCs w:val="22"/>
          <w:lang w:val="sk-SK"/>
        </w:rPr>
        <w:t>levocetirizínom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v dávke 1,25 mg dvakrát denne po</w:t>
      </w:r>
      <w:r>
        <w:rPr>
          <w:bCs/>
          <w:sz w:val="22"/>
          <w:szCs w:val="22"/>
          <w:lang w:val="sk-SK"/>
        </w:rPr>
        <w:t>čas</w:t>
      </w:r>
      <w:r w:rsidR="000C1C82" w:rsidRPr="00074698">
        <w:rPr>
          <w:bCs/>
          <w:sz w:val="22"/>
          <w:szCs w:val="22"/>
          <w:lang w:val="sk-SK"/>
        </w:rPr>
        <w:t xml:space="preserve"> 4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týždňov</w:t>
      </w:r>
    </w:p>
    <w:p w:rsidR="000C1C82" w:rsidRPr="00074698" w:rsidRDefault="00FA5D1B" w:rsidP="000C1C82">
      <w:pPr>
        <w:numPr>
          <w:ilvl w:val="0"/>
          <w:numId w:val="9"/>
        </w:numPr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</w:t>
      </w:r>
      <w:r w:rsidR="000C1C82" w:rsidRPr="00074698">
        <w:rPr>
          <w:bCs/>
          <w:sz w:val="22"/>
          <w:szCs w:val="22"/>
          <w:lang w:val="sk-SK"/>
        </w:rPr>
        <w:t>edna klinická štúdia, v ktorej bolo 114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detí vo veku 1 až 5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 xml:space="preserve">rokov s alergickou </w:t>
      </w:r>
      <w:proofErr w:type="spellStart"/>
      <w:r w:rsidR="000C1C82" w:rsidRPr="00074698">
        <w:rPr>
          <w:bCs/>
          <w:sz w:val="22"/>
          <w:szCs w:val="22"/>
          <w:lang w:val="sk-SK"/>
        </w:rPr>
        <w:t>rinitídou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alebo chronickou </w:t>
      </w:r>
      <w:proofErr w:type="spellStart"/>
      <w:r w:rsidR="000C1C82" w:rsidRPr="00074698">
        <w:rPr>
          <w:bCs/>
          <w:sz w:val="22"/>
          <w:szCs w:val="22"/>
          <w:lang w:val="sk-SK"/>
        </w:rPr>
        <w:t>idiopatickou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="000C1C82" w:rsidRPr="00074698">
        <w:rPr>
          <w:bCs/>
          <w:sz w:val="22"/>
          <w:szCs w:val="22"/>
          <w:lang w:val="sk-SK"/>
        </w:rPr>
        <w:t>urtikáriou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liečených </w:t>
      </w:r>
      <w:proofErr w:type="spellStart"/>
      <w:r w:rsidR="000C1C82" w:rsidRPr="00074698">
        <w:rPr>
          <w:bCs/>
          <w:sz w:val="22"/>
          <w:szCs w:val="22"/>
          <w:lang w:val="sk-SK"/>
        </w:rPr>
        <w:t>levocetirizínom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v dávke 1,25 mg dvakrát denne </w:t>
      </w:r>
      <w:r>
        <w:rPr>
          <w:bCs/>
          <w:sz w:val="22"/>
          <w:szCs w:val="22"/>
          <w:lang w:val="sk-SK"/>
        </w:rPr>
        <w:t>počas</w:t>
      </w:r>
      <w:r w:rsidR="000C1C82" w:rsidRPr="00074698">
        <w:rPr>
          <w:bCs/>
          <w:sz w:val="22"/>
          <w:szCs w:val="22"/>
          <w:lang w:val="sk-SK"/>
        </w:rPr>
        <w:t xml:space="preserve"> 2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týždňov</w:t>
      </w:r>
    </w:p>
    <w:p w:rsidR="000C1C82" w:rsidRPr="00074698" w:rsidRDefault="00FA5D1B" w:rsidP="000C1C82">
      <w:pPr>
        <w:numPr>
          <w:ilvl w:val="0"/>
          <w:numId w:val="9"/>
        </w:numPr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</w:t>
      </w:r>
      <w:r w:rsidR="000C1C82" w:rsidRPr="00074698">
        <w:rPr>
          <w:bCs/>
          <w:sz w:val="22"/>
          <w:szCs w:val="22"/>
          <w:lang w:val="sk-SK"/>
        </w:rPr>
        <w:t>edna klinická štúdia, v ktorej bolo 45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detí vo veku 6 až 11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 xml:space="preserve">mesiacov s alergickou </w:t>
      </w:r>
      <w:proofErr w:type="spellStart"/>
      <w:r w:rsidR="000C1C82" w:rsidRPr="00074698">
        <w:rPr>
          <w:bCs/>
          <w:sz w:val="22"/>
          <w:szCs w:val="22"/>
          <w:lang w:val="sk-SK"/>
        </w:rPr>
        <w:t>rinitídou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alebo chronickou </w:t>
      </w:r>
      <w:proofErr w:type="spellStart"/>
      <w:r w:rsidR="000C1C82" w:rsidRPr="00074698">
        <w:rPr>
          <w:bCs/>
          <w:sz w:val="22"/>
          <w:szCs w:val="22"/>
          <w:lang w:val="sk-SK"/>
        </w:rPr>
        <w:t>idiopatickou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="000C1C82" w:rsidRPr="00074698">
        <w:rPr>
          <w:bCs/>
          <w:sz w:val="22"/>
          <w:szCs w:val="22"/>
          <w:lang w:val="sk-SK"/>
        </w:rPr>
        <w:t>urtikáriou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liečených </w:t>
      </w:r>
      <w:proofErr w:type="spellStart"/>
      <w:r w:rsidR="000C1C82" w:rsidRPr="00074698">
        <w:rPr>
          <w:bCs/>
          <w:sz w:val="22"/>
          <w:szCs w:val="22"/>
          <w:lang w:val="sk-SK"/>
        </w:rPr>
        <w:t>levocetirizínom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v dávke 1,25 mg jedenkrát denne po</w:t>
      </w:r>
      <w:r>
        <w:rPr>
          <w:bCs/>
          <w:sz w:val="22"/>
          <w:szCs w:val="22"/>
          <w:lang w:val="sk-SK"/>
        </w:rPr>
        <w:t>čas</w:t>
      </w:r>
      <w:r w:rsidR="000C1C82" w:rsidRPr="00074698">
        <w:rPr>
          <w:bCs/>
          <w:sz w:val="22"/>
          <w:szCs w:val="22"/>
          <w:lang w:val="sk-SK"/>
        </w:rPr>
        <w:t xml:space="preserve"> 2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týždňov</w:t>
      </w:r>
    </w:p>
    <w:p w:rsidR="000C1C82" w:rsidRPr="00074698" w:rsidRDefault="00FA5D1B" w:rsidP="000C1C82">
      <w:pPr>
        <w:numPr>
          <w:ilvl w:val="0"/>
          <w:numId w:val="9"/>
        </w:numPr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</w:t>
      </w:r>
      <w:r w:rsidR="000C1C82" w:rsidRPr="00074698">
        <w:rPr>
          <w:bCs/>
          <w:sz w:val="22"/>
          <w:szCs w:val="22"/>
          <w:lang w:val="sk-SK"/>
        </w:rPr>
        <w:t xml:space="preserve">edna dlhodobá (18 mesiacov) klinická štúdia </w:t>
      </w:r>
      <w:r w:rsidR="00DC64E4">
        <w:rPr>
          <w:bCs/>
          <w:sz w:val="22"/>
          <w:szCs w:val="22"/>
          <w:lang w:val="sk-SK"/>
        </w:rPr>
        <w:t>s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255</w:t>
      </w:r>
      <w:r w:rsidR="000C1C82">
        <w:rPr>
          <w:bCs/>
          <w:sz w:val="22"/>
          <w:szCs w:val="22"/>
          <w:lang w:val="sk-SK"/>
        </w:rPr>
        <w:t> </w:t>
      </w:r>
      <w:proofErr w:type="spellStart"/>
      <w:r w:rsidR="000C1C82" w:rsidRPr="00074698">
        <w:rPr>
          <w:bCs/>
          <w:sz w:val="22"/>
          <w:szCs w:val="22"/>
          <w:lang w:val="sk-SK"/>
        </w:rPr>
        <w:t>atopický</w:t>
      </w:r>
      <w:r w:rsidR="00DC64E4">
        <w:rPr>
          <w:bCs/>
          <w:sz w:val="22"/>
          <w:szCs w:val="22"/>
          <w:lang w:val="sk-SK"/>
        </w:rPr>
        <w:t>mi</w:t>
      </w:r>
      <w:proofErr w:type="spellEnd"/>
      <w:r w:rsidR="000C1C82" w:rsidRPr="00074698">
        <w:rPr>
          <w:bCs/>
          <w:sz w:val="22"/>
          <w:szCs w:val="22"/>
          <w:lang w:val="sk-SK"/>
        </w:rPr>
        <w:t xml:space="preserve"> </w:t>
      </w:r>
      <w:r w:rsidR="00F85843">
        <w:rPr>
          <w:bCs/>
          <w:sz w:val="22"/>
          <w:szCs w:val="22"/>
          <w:lang w:val="sk-SK"/>
        </w:rPr>
        <w:t>jedinc</w:t>
      </w:r>
      <w:r w:rsidR="00DC64E4">
        <w:rPr>
          <w:bCs/>
          <w:sz w:val="22"/>
          <w:szCs w:val="22"/>
          <w:lang w:val="sk-SK"/>
        </w:rPr>
        <w:t>ami</w:t>
      </w:r>
      <w:r w:rsidR="000C1C82" w:rsidRPr="00074698">
        <w:rPr>
          <w:bCs/>
          <w:sz w:val="22"/>
          <w:szCs w:val="22"/>
          <w:lang w:val="sk-SK"/>
        </w:rPr>
        <w:t xml:space="preserve"> vo veku 12 až 24</w:t>
      </w:r>
      <w:r w:rsidR="000C1C82">
        <w:rPr>
          <w:bCs/>
          <w:sz w:val="22"/>
          <w:szCs w:val="22"/>
          <w:lang w:val="sk-SK"/>
        </w:rPr>
        <w:t> </w:t>
      </w:r>
      <w:r w:rsidR="000C1C82" w:rsidRPr="00074698">
        <w:rPr>
          <w:bCs/>
          <w:sz w:val="22"/>
          <w:szCs w:val="22"/>
          <w:lang w:val="sk-SK"/>
        </w:rPr>
        <w:t>mesiacov liečený</w:t>
      </w:r>
      <w:r w:rsidR="00DC64E4">
        <w:rPr>
          <w:bCs/>
          <w:sz w:val="22"/>
          <w:szCs w:val="22"/>
          <w:lang w:val="sk-SK"/>
        </w:rPr>
        <w:t>mi</w:t>
      </w:r>
      <w:r w:rsidR="000C1C82" w:rsidRPr="00074698">
        <w:rPr>
          <w:bCs/>
          <w:sz w:val="22"/>
          <w:szCs w:val="22"/>
          <w:lang w:val="sk-SK"/>
        </w:rPr>
        <w:t xml:space="preserve"> </w:t>
      </w:r>
      <w:proofErr w:type="spellStart"/>
      <w:r w:rsidR="000C1C82" w:rsidRPr="00074698">
        <w:rPr>
          <w:bCs/>
          <w:sz w:val="22"/>
          <w:szCs w:val="22"/>
          <w:lang w:val="sk-SK"/>
        </w:rPr>
        <w:t>levocetirizínom</w:t>
      </w:r>
      <w:proofErr w:type="spellEnd"/>
      <w:r w:rsidR="000C1C82" w:rsidRPr="00074698">
        <w:rPr>
          <w:bCs/>
          <w:sz w:val="22"/>
          <w:szCs w:val="22"/>
          <w:lang w:val="sk-SK"/>
        </w:rPr>
        <w:t>.</w:t>
      </w:r>
    </w:p>
    <w:p w:rsidR="000C1C82" w:rsidRDefault="000C1C82" w:rsidP="000C1C82">
      <w:pPr>
        <w:rPr>
          <w:bCs/>
          <w:sz w:val="22"/>
          <w:szCs w:val="22"/>
          <w:lang w:val="sk-SK"/>
        </w:rPr>
      </w:pPr>
    </w:p>
    <w:p w:rsidR="000C1C82" w:rsidRPr="00074698" w:rsidRDefault="000C1C82" w:rsidP="000C1C82">
      <w:pPr>
        <w:rPr>
          <w:bCs/>
          <w:sz w:val="22"/>
          <w:szCs w:val="22"/>
          <w:lang w:val="sk-SK"/>
        </w:rPr>
      </w:pPr>
      <w:r w:rsidRPr="00074698">
        <w:rPr>
          <w:bCs/>
          <w:sz w:val="22"/>
          <w:szCs w:val="22"/>
          <w:lang w:val="sk-SK"/>
        </w:rPr>
        <w:t>Profil bezpečnosti bol podobný ako profil pozorovaný v krátkodobých štúdiách uskutočnených u detí vo veku 1 až 5</w:t>
      </w:r>
      <w:r>
        <w:rPr>
          <w:bCs/>
          <w:sz w:val="22"/>
          <w:szCs w:val="22"/>
          <w:lang w:val="sk-SK"/>
        </w:rPr>
        <w:t> </w:t>
      </w:r>
      <w:r w:rsidRPr="00074698">
        <w:rPr>
          <w:bCs/>
          <w:sz w:val="22"/>
          <w:szCs w:val="22"/>
          <w:lang w:val="sk-SK"/>
        </w:rPr>
        <w:t>rokov.</w:t>
      </w:r>
    </w:p>
    <w:p w:rsidR="003D723B" w:rsidRPr="00074698" w:rsidRDefault="003D723B" w:rsidP="009542D3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3D723B" w:rsidRPr="00074698" w:rsidRDefault="003D723B" w:rsidP="009542D3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5.2</w:t>
      </w:r>
      <w:r w:rsidRPr="00074698">
        <w:rPr>
          <w:b/>
          <w:sz w:val="22"/>
          <w:szCs w:val="22"/>
          <w:lang w:val="sk-SK"/>
        </w:rPr>
        <w:tab/>
      </w:r>
      <w:proofErr w:type="spellStart"/>
      <w:r w:rsidRPr="00074698">
        <w:rPr>
          <w:b/>
          <w:sz w:val="22"/>
          <w:szCs w:val="22"/>
          <w:lang w:val="sk-SK"/>
        </w:rPr>
        <w:t>Farmakokinetické</w:t>
      </w:r>
      <w:proofErr w:type="spellEnd"/>
      <w:r w:rsidRPr="00074698">
        <w:rPr>
          <w:b/>
          <w:sz w:val="22"/>
          <w:szCs w:val="22"/>
          <w:lang w:val="sk-SK"/>
        </w:rPr>
        <w:t xml:space="preserve"> vlastnosti</w:t>
      </w:r>
    </w:p>
    <w:p w:rsidR="003D723B" w:rsidRPr="00074698" w:rsidRDefault="003D723B" w:rsidP="009542D3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</w:p>
    <w:p w:rsidR="003D723B" w:rsidRPr="00074698" w:rsidRDefault="003D723B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074698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je lineárna a nezávislá od dávky a času s nízkou variabilitou medzi jednotlivými </w:t>
      </w:r>
      <w:r w:rsidR="005725A0" w:rsidRPr="00074698">
        <w:rPr>
          <w:rFonts w:ascii="Times New Roman" w:hAnsi="Times New Roman"/>
          <w:sz w:val="22"/>
          <w:szCs w:val="22"/>
        </w:rPr>
        <w:t>subjektmi</w:t>
      </w:r>
      <w:r w:rsidRPr="0007469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74698">
        <w:rPr>
          <w:rFonts w:ascii="Times New Roman" w:hAnsi="Times New Roman"/>
          <w:sz w:val="22"/>
          <w:szCs w:val="22"/>
        </w:rPr>
        <w:t>Farmakokinetický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profil je rovnaký po podaní samotného </w:t>
      </w:r>
      <w:proofErr w:type="spellStart"/>
      <w:r w:rsidRPr="00074698">
        <w:rPr>
          <w:rFonts w:ascii="Times New Roman" w:hAnsi="Times New Roman"/>
          <w:sz w:val="22"/>
          <w:szCs w:val="22"/>
        </w:rPr>
        <w:t>enantioméru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074698">
        <w:rPr>
          <w:rFonts w:ascii="Times New Roman" w:hAnsi="Times New Roman"/>
          <w:sz w:val="22"/>
          <w:szCs w:val="22"/>
        </w:rPr>
        <w:t>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. V procese absorpcie a eliminácie nedochádza ku </w:t>
      </w:r>
      <w:proofErr w:type="spellStart"/>
      <w:r w:rsidRPr="00074698">
        <w:rPr>
          <w:rFonts w:ascii="Times New Roman" w:hAnsi="Times New Roman"/>
          <w:sz w:val="22"/>
          <w:szCs w:val="22"/>
        </w:rPr>
        <w:t>chirálnej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inverzii.</w:t>
      </w:r>
    </w:p>
    <w:p w:rsidR="00D11789" w:rsidRPr="00074698" w:rsidRDefault="00D11789" w:rsidP="003D723B">
      <w:pPr>
        <w:rPr>
          <w:sz w:val="22"/>
          <w:szCs w:val="22"/>
          <w:u w:val="single"/>
          <w:lang w:val="sk-SK"/>
        </w:rPr>
      </w:pPr>
    </w:p>
    <w:p w:rsidR="003D723B" w:rsidRPr="00764013" w:rsidRDefault="003D723B" w:rsidP="003D723B">
      <w:pPr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Absorpcia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Po perorálnom podaní sa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rýchlo a vo veľkom množstve absorbuje. U dospelých sa maximálne plazmatické koncentrácie dosiahnu za 0,9</w:t>
      </w:r>
      <w:r w:rsidR="000C1C82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hodiny po podaní. Rovnovážny stav sa dosiahne za dva dni. Maximálne koncentrácie sú obvykle 270</w:t>
      </w:r>
      <w:r w:rsidR="000C1C82">
        <w:rPr>
          <w:sz w:val="22"/>
          <w:szCs w:val="22"/>
          <w:lang w:val="sk-SK"/>
        </w:rPr>
        <w:t> </w:t>
      </w:r>
      <w:proofErr w:type="spellStart"/>
      <w:r w:rsidRPr="00074698">
        <w:rPr>
          <w:sz w:val="22"/>
          <w:szCs w:val="22"/>
          <w:lang w:val="sk-SK"/>
        </w:rPr>
        <w:t>ng</w:t>
      </w:r>
      <w:proofErr w:type="spellEnd"/>
      <w:r w:rsidRPr="00074698">
        <w:rPr>
          <w:sz w:val="22"/>
          <w:szCs w:val="22"/>
          <w:lang w:val="sk-SK"/>
        </w:rPr>
        <w:t>/ml po jednorazovej 5</w:t>
      </w:r>
      <w:r w:rsidR="000C1C82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mg dávke a</w:t>
      </w:r>
      <w:r w:rsidR="000C1C82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308</w:t>
      </w:r>
      <w:r w:rsidR="000C1C82">
        <w:rPr>
          <w:sz w:val="22"/>
          <w:szCs w:val="22"/>
          <w:lang w:val="sk-SK"/>
        </w:rPr>
        <w:t> </w:t>
      </w:r>
      <w:proofErr w:type="spellStart"/>
      <w:r w:rsidRPr="00074698">
        <w:rPr>
          <w:sz w:val="22"/>
          <w:szCs w:val="22"/>
          <w:lang w:val="sk-SK"/>
        </w:rPr>
        <w:t>ng</w:t>
      </w:r>
      <w:proofErr w:type="spellEnd"/>
      <w:r w:rsidRPr="00074698">
        <w:rPr>
          <w:sz w:val="22"/>
          <w:szCs w:val="22"/>
          <w:lang w:val="sk-SK"/>
        </w:rPr>
        <w:t>/ml po podaní opakovanej dávky 5</w:t>
      </w:r>
      <w:r w:rsidR="000C1C82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mg jedenkrát denne. Rozsah absorpcie nie je závislý od  dávky a nie je ovplyvnený príjmom potravy, ale maximálna koncentrác</w:t>
      </w:r>
      <w:r w:rsidR="009542D3" w:rsidRPr="00074698">
        <w:rPr>
          <w:sz w:val="22"/>
          <w:szCs w:val="22"/>
          <w:lang w:val="sk-SK"/>
        </w:rPr>
        <w:t>ia je znížená a oneskorená.</w:t>
      </w:r>
    </w:p>
    <w:p w:rsidR="00B907D7" w:rsidRPr="00074698" w:rsidRDefault="00B907D7" w:rsidP="003D723B">
      <w:pPr>
        <w:rPr>
          <w:sz w:val="22"/>
          <w:szCs w:val="22"/>
          <w:lang w:val="sk-SK"/>
        </w:rPr>
      </w:pPr>
    </w:p>
    <w:p w:rsidR="003D723B" w:rsidRPr="00764013" w:rsidRDefault="003D723B" w:rsidP="003D723B">
      <w:pPr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Distribúcia</w:t>
      </w:r>
    </w:p>
    <w:p w:rsidR="003D723B" w:rsidRPr="00074698" w:rsidRDefault="003D723B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U ľudí nie sú k dispozícii žiadne údaje týkajúce sa tkanivovej distribúcie ani ohľadom prechodu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74698">
        <w:rPr>
          <w:rFonts w:ascii="Times New Roman" w:hAnsi="Times New Roman"/>
          <w:sz w:val="22"/>
          <w:szCs w:val="22"/>
        </w:rPr>
        <w:t>hematoencefalickou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bariérou. U potkanov a psov sa najvyššie hladiny v tkanive pozorovali v pečeni a obličkách a najnižšie v CNS </w:t>
      </w:r>
      <w:proofErr w:type="spellStart"/>
      <w:r w:rsidRPr="00074698">
        <w:rPr>
          <w:rFonts w:ascii="Times New Roman" w:hAnsi="Times New Roman"/>
          <w:sz w:val="22"/>
          <w:szCs w:val="22"/>
        </w:rPr>
        <w:t>kompartmente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. </w:t>
      </w:r>
    </w:p>
    <w:p w:rsidR="003D723B" w:rsidRPr="00074698" w:rsidRDefault="003D723B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</w:rPr>
      </w:pPr>
      <w:r w:rsidRPr="00074698">
        <w:rPr>
          <w:rFonts w:ascii="Times New Roman" w:hAnsi="Times New Roman"/>
          <w:sz w:val="22"/>
          <w:szCs w:val="22"/>
        </w:rPr>
        <w:t xml:space="preserve">U ľudí sa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viaže z 90 % na plazmatické proteíny. Distribúcia </w:t>
      </w:r>
      <w:proofErr w:type="spellStart"/>
      <w:r w:rsidRPr="00074698">
        <w:rPr>
          <w:rFonts w:ascii="Times New Roman" w:hAnsi="Times New Roman"/>
          <w:sz w:val="22"/>
          <w:szCs w:val="22"/>
        </w:rPr>
        <w:t>levocetirizínu</w:t>
      </w:r>
      <w:proofErr w:type="spellEnd"/>
      <w:r w:rsidRPr="00074698">
        <w:rPr>
          <w:rFonts w:ascii="Times New Roman" w:hAnsi="Times New Roman"/>
          <w:sz w:val="22"/>
          <w:szCs w:val="22"/>
        </w:rPr>
        <w:t xml:space="preserve"> je obmedzená, pretože distribučný objem </w:t>
      </w:r>
      <w:r w:rsidR="000E6301" w:rsidRPr="00074698">
        <w:rPr>
          <w:rFonts w:ascii="Times New Roman" w:hAnsi="Times New Roman"/>
          <w:sz w:val="22"/>
          <w:szCs w:val="22"/>
        </w:rPr>
        <w:t xml:space="preserve">je </w:t>
      </w:r>
      <w:r w:rsidRPr="00074698">
        <w:rPr>
          <w:rFonts w:ascii="Times New Roman" w:hAnsi="Times New Roman"/>
          <w:sz w:val="22"/>
          <w:szCs w:val="22"/>
        </w:rPr>
        <w:t>0,4</w:t>
      </w:r>
      <w:r w:rsidR="00B907D7">
        <w:rPr>
          <w:rFonts w:ascii="Times New Roman" w:hAnsi="Times New Roman"/>
          <w:sz w:val="22"/>
          <w:szCs w:val="22"/>
        </w:rPr>
        <w:t xml:space="preserve"> </w:t>
      </w:r>
      <w:r w:rsidRPr="00074698">
        <w:rPr>
          <w:rFonts w:ascii="Times New Roman" w:hAnsi="Times New Roman"/>
          <w:sz w:val="22"/>
          <w:szCs w:val="22"/>
        </w:rPr>
        <w:t>l/kg.</w:t>
      </w:r>
    </w:p>
    <w:p w:rsidR="001B16EB" w:rsidRDefault="001B16EB" w:rsidP="003D723B">
      <w:pPr>
        <w:rPr>
          <w:sz w:val="22"/>
          <w:szCs w:val="22"/>
          <w:u w:val="single"/>
          <w:lang w:val="sk-SK"/>
        </w:rPr>
      </w:pPr>
    </w:p>
    <w:p w:rsidR="003D723B" w:rsidRPr="00764013" w:rsidRDefault="003D723B" w:rsidP="003D723B">
      <w:pPr>
        <w:rPr>
          <w:sz w:val="22"/>
          <w:szCs w:val="22"/>
          <w:u w:val="single"/>
          <w:lang w:val="sk-SK"/>
        </w:rPr>
      </w:pPr>
      <w:proofErr w:type="spellStart"/>
      <w:r w:rsidRPr="00764013"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Rozsah metabolizmu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u ľudí je menej ako 14</w:t>
      </w:r>
      <w:r w:rsidR="000C1C82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% dávky</w:t>
      </w:r>
      <w:r w:rsidR="001B16EB">
        <w:rPr>
          <w:sz w:val="22"/>
          <w:szCs w:val="22"/>
          <w:lang w:val="sk-SK"/>
        </w:rPr>
        <w:t>,</w:t>
      </w:r>
      <w:r w:rsidRPr="00074698">
        <w:rPr>
          <w:sz w:val="22"/>
          <w:szCs w:val="22"/>
          <w:lang w:val="sk-SK"/>
        </w:rPr>
        <w:t xml:space="preserve"> a preto sa predpokladá, že rozdiely dané genetickým polymorfizmom alebo súbežným podávaním enzymatických inhibítorov sú zanedbateľné. Metabolická premena spočíva v aromatickej oxidácii, N- a O- </w:t>
      </w:r>
      <w:proofErr w:type="spellStart"/>
      <w:r w:rsidRPr="00074698">
        <w:rPr>
          <w:sz w:val="22"/>
          <w:szCs w:val="22"/>
          <w:lang w:val="sk-SK"/>
        </w:rPr>
        <w:t>dealkylácii</w:t>
      </w:r>
      <w:proofErr w:type="spellEnd"/>
      <w:r w:rsidRPr="00074698">
        <w:rPr>
          <w:sz w:val="22"/>
          <w:szCs w:val="22"/>
          <w:lang w:val="sk-SK"/>
        </w:rPr>
        <w:t xml:space="preserve"> a konjugácii s </w:t>
      </w:r>
      <w:proofErr w:type="spellStart"/>
      <w:r w:rsidRPr="00074698">
        <w:rPr>
          <w:sz w:val="22"/>
          <w:szCs w:val="22"/>
          <w:lang w:val="sk-SK"/>
        </w:rPr>
        <w:t>taurínom</w:t>
      </w:r>
      <w:proofErr w:type="spellEnd"/>
      <w:r w:rsidRPr="00074698">
        <w:rPr>
          <w:sz w:val="22"/>
          <w:szCs w:val="22"/>
          <w:lang w:val="sk-SK"/>
        </w:rPr>
        <w:t xml:space="preserve">. Proces </w:t>
      </w:r>
      <w:proofErr w:type="spellStart"/>
      <w:r w:rsidRPr="00074698">
        <w:rPr>
          <w:sz w:val="22"/>
          <w:szCs w:val="22"/>
          <w:lang w:val="sk-SK"/>
        </w:rPr>
        <w:t>dealkylácie</w:t>
      </w:r>
      <w:proofErr w:type="spellEnd"/>
      <w:r w:rsidRPr="00074698">
        <w:rPr>
          <w:sz w:val="22"/>
          <w:szCs w:val="22"/>
          <w:lang w:val="sk-SK"/>
        </w:rPr>
        <w:t xml:space="preserve"> je primárne sprostredkovaný CYP 3A4, aromatická oxidácia zahŕňa </w:t>
      </w:r>
      <w:r w:rsidR="000E6301" w:rsidRPr="00074698">
        <w:rPr>
          <w:sz w:val="22"/>
          <w:szCs w:val="22"/>
          <w:lang w:val="sk-SK"/>
        </w:rPr>
        <w:t xml:space="preserve">mnohonásobné </w:t>
      </w:r>
      <w:r w:rsidRPr="00074698">
        <w:rPr>
          <w:sz w:val="22"/>
          <w:szCs w:val="22"/>
          <w:lang w:val="sk-SK"/>
        </w:rPr>
        <w:t xml:space="preserve">a/alebo neurčené CYP </w:t>
      </w:r>
      <w:proofErr w:type="spellStart"/>
      <w:r w:rsidRPr="00074698">
        <w:rPr>
          <w:sz w:val="22"/>
          <w:szCs w:val="22"/>
          <w:lang w:val="sk-SK"/>
        </w:rPr>
        <w:t>izoformy</w:t>
      </w:r>
      <w:proofErr w:type="spellEnd"/>
      <w:r w:rsidRPr="00074698">
        <w:rPr>
          <w:sz w:val="22"/>
          <w:szCs w:val="22"/>
          <w:lang w:val="sk-SK"/>
        </w:rPr>
        <w:t xml:space="preserve">.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 w:rsidR="00FA5D1B">
        <w:rPr>
          <w:sz w:val="22"/>
          <w:szCs w:val="22"/>
          <w:lang w:val="sk-SK"/>
        </w:rPr>
        <w:t xml:space="preserve">nemal žiadny vplyv na </w:t>
      </w:r>
      <w:r w:rsidR="00FA5D1B" w:rsidRPr="00074698">
        <w:rPr>
          <w:sz w:val="22"/>
          <w:szCs w:val="22"/>
          <w:lang w:val="sk-SK"/>
        </w:rPr>
        <w:t xml:space="preserve">aktivitu CYP </w:t>
      </w:r>
      <w:proofErr w:type="spellStart"/>
      <w:r w:rsidR="00FA5D1B" w:rsidRPr="00074698">
        <w:rPr>
          <w:sz w:val="22"/>
          <w:szCs w:val="22"/>
          <w:lang w:val="sk-SK"/>
        </w:rPr>
        <w:t>izoenzýmov</w:t>
      </w:r>
      <w:proofErr w:type="spellEnd"/>
      <w:r w:rsidR="00FA5D1B" w:rsidRPr="00074698">
        <w:rPr>
          <w:sz w:val="22"/>
          <w:szCs w:val="22"/>
          <w:lang w:val="sk-SK"/>
        </w:rPr>
        <w:t xml:space="preserve"> 1A2, 2C9, 2C19, 2D6, 2E1 a 3A4</w:t>
      </w:r>
      <w:r w:rsidR="00FA5D1B">
        <w:rPr>
          <w:sz w:val="22"/>
          <w:szCs w:val="22"/>
          <w:lang w:val="sk-SK"/>
        </w:rPr>
        <w:t xml:space="preserve"> pri </w:t>
      </w:r>
      <w:r w:rsidR="00FA5D1B" w:rsidRPr="00074698">
        <w:rPr>
          <w:sz w:val="22"/>
          <w:szCs w:val="22"/>
          <w:lang w:val="sk-SK"/>
        </w:rPr>
        <w:t xml:space="preserve">koncentráciách </w:t>
      </w:r>
      <w:r w:rsidR="00FA5D1B">
        <w:rPr>
          <w:sz w:val="22"/>
          <w:szCs w:val="22"/>
          <w:lang w:val="sk-SK"/>
        </w:rPr>
        <w:t xml:space="preserve">výrazne prevyšujúcich </w:t>
      </w:r>
      <w:r w:rsidR="00FA5D1B" w:rsidRPr="00074698">
        <w:rPr>
          <w:sz w:val="22"/>
          <w:szCs w:val="22"/>
          <w:lang w:val="sk-SK"/>
        </w:rPr>
        <w:t>maximáln</w:t>
      </w:r>
      <w:r w:rsidR="00FA5D1B">
        <w:rPr>
          <w:sz w:val="22"/>
          <w:szCs w:val="22"/>
          <w:lang w:val="sk-SK"/>
        </w:rPr>
        <w:t>e</w:t>
      </w:r>
      <w:r w:rsidR="00FA5D1B" w:rsidRPr="00074698">
        <w:rPr>
          <w:sz w:val="22"/>
          <w:szCs w:val="22"/>
          <w:lang w:val="sk-SK"/>
        </w:rPr>
        <w:t xml:space="preserve"> koncentráci</w:t>
      </w:r>
      <w:r w:rsidR="00FA5D1B">
        <w:rPr>
          <w:sz w:val="22"/>
          <w:szCs w:val="22"/>
          <w:lang w:val="sk-SK"/>
        </w:rPr>
        <w:t>e</w:t>
      </w:r>
      <w:r w:rsidR="00FA5D1B" w:rsidRPr="00074698">
        <w:rPr>
          <w:sz w:val="22"/>
          <w:szCs w:val="22"/>
          <w:lang w:val="sk-SK"/>
        </w:rPr>
        <w:t xml:space="preserve"> </w:t>
      </w:r>
      <w:r w:rsidR="00FA5D1B">
        <w:rPr>
          <w:sz w:val="22"/>
          <w:szCs w:val="22"/>
          <w:lang w:val="sk-SK"/>
        </w:rPr>
        <w:t xml:space="preserve">dosiahnuté pri </w:t>
      </w:r>
      <w:r w:rsidRPr="00074698">
        <w:rPr>
          <w:sz w:val="22"/>
          <w:szCs w:val="22"/>
          <w:lang w:val="sk-SK"/>
        </w:rPr>
        <w:t>perorálnej dávke 5</w:t>
      </w:r>
      <w:r w:rsidR="000C1C82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mg</w:t>
      </w:r>
      <w:r w:rsidR="00FA5D1B">
        <w:rPr>
          <w:sz w:val="22"/>
          <w:szCs w:val="22"/>
          <w:lang w:val="sk-SK"/>
        </w:rPr>
        <w:t>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Vzhľadom na </w:t>
      </w:r>
      <w:r w:rsidR="00FA5D1B">
        <w:rPr>
          <w:sz w:val="22"/>
          <w:szCs w:val="22"/>
          <w:lang w:val="sk-SK"/>
        </w:rPr>
        <w:t xml:space="preserve">jeho </w:t>
      </w:r>
      <w:r w:rsidRPr="00074698">
        <w:rPr>
          <w:sz w:val="22"/>
          <w:szCs w:val="22"/>
          <w:lang w:val="sk-SK"/>
        </w:rPr>
        <w:t>nízky metabolizmus a </w:t>
      </w:r>
      <w:r w:rsidR="00E43403">
        <w:rPr>
          <w:sz w:val="22"/>
          <w:szCs w:val="22"/>
          <w:lang w:val="sk-SK"/>
        </w:rPr>
        <w:t>absenciu</w:t>
      </w:r>
      <w:r w:rsidR="00E43403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metabolick</w:t>
      </w:r>
      <w:r w:rsidR="00E43403">
        <w:rPr>
          <w:sz w:val="22"/>
          <w:szCs w:val="22"/>
          <w:lang w:val="sk-SK"/>
        </w:rPr>
        <w:t>ého</w:t>
      </w:r>
      <w:r w:rsidRPr="00074698">
        <w:rPr>
          <w:sz w:val="22"/>
          <w:szCs w:val="22"/>
          <w:lang w:val="sk-SK"/>
        </w:rPr>
        <w:t xml:space="preserve"> inhibičn</w:t>
      </w:r>
      <w:r w:rsidR="00E43403">
        <w:rPr>
          <w:sz w:val="22"/>
          <w:szCs w:val="22"/>
          <w:lang w:val="sk-SK"/>
        </w:rPr>
        <w:t>ého</w:t>
      </w:r>
      <w:r w:rsidRPr="00074698">
        <w:rPr>
          <w:sz w:val="22"/>
          <w:szCs w:val="22"/>
          <w:lang w:val="sk-SK"/>
        </w:rPr>
        <w:t xml:space="preserve"> potenciál</w:t>
      </w:r>
      <w:r w:rsidR="00E43403">
        <w:rPr>
          <w:sz w:val="22"/>
          <w:szCs w:val="22"/>
          <w:lang w:val="sk-SK"/>
        </w:rPr>
        <w:t>u</w:t>
      </w:r>
      <w:r w:rsidRPr="00074698">
        <w:rPr>
          <w:sz w:val="22"/>
          <w:szCs w:val="22"/>
          <w:lang w:val="sk-SK"/>
        </w:rPr>
        <w:t xml:space="preserve"> je interakcia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s inými látkami</w:t>
      </w:r>
      <w:r w:rsidR="000E6301" w:rsidRPr="00074698">
        <w:rPr>
          <w:sz w:val="22"/>
          <w:szCs w:val="22"/>
          <w:lang w:val="sk-SK"/>
        </w:rPr>
        <w:t xml:space="preserve"> alebo naopak</w:t>
      </w:r>
      <w:r w:rsidRPr="00074698">
        <w:rPr>
          <w:sz w:val="22"/>
          <w:szCs w:val="22"/>
          <w:lang w:val="sk-SK"/>
        </w:rPr>
        <w:t xml:space="preserve"> nepravdepodobná.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</w:p>
    <w:p w:rsidR="003D723B" w:rsidRPr="00764013" w:rsidRDefault="003D723B" w:rsidP="003D723B">
      <w:pPr>
        <w:rPr>
          <w:sz w:val="22"/>
          <w:szCs w:val="22"/>
          <w:u w:val="single"/>
          <w:lang w:val="sk-SK"/>
        </w:rPr>
      </w:pPr>
      <w:r w:rsidRPr="00764013">
        <w:rPr>
          <w:sz w:val="22"/>
          <w:szCs w:val="22"/>
          <w:u w:val="single"/>
          <w:lang w:val="sk-SK"/>
        </w:rPr>
        <w:t>Eliminácia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Plazmatický polčas u dospelých </w:t>
      </w:r>
      <w:r w:rsidR="000E6301" w:rsidRPr="00074698">
        <w:rPr>
          <w:sz w:val="22"/>
          <w:szCs w:val="22"/>
          <w:lang w:val="sk-SK"/>
        </w:rPr>
        <w:t xml:space="preserve">je </w:t>
      </w:r>
      <w:r w:rsidRPr="00074698">
        <w:rPr>
          <w:sz w:val="22"/>
          <w:szCs w:val="22"/>
          <w:lang w:val="sk-SK"/>
        </w:rPr>
        <w:t>7,9 ± 1,9</w:t>
      </w:r>
      <w:r w:rsidR="00766D4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hodiny. Plazmatický polčas je kratší u malých detí. Priemerný zdanlivý celkový telesný </w:t>
      </w:r>
      <w:proofErr w:type="spellStart"/>
      <w:r w:rsidRPr="00074698">
        <w:rPr>
          <w:sz w:val="22"/>
          <w:szCs w:val="22"/>
          <w:lang w:val="sk-SK"/>
        </w:rPr>
        <w:t>klírens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 w:rsidR="00E43403">
        <w:rPr>
          <w:sz w:val="22"/>
          <w:szCs w:val="22"/>
          <w:lang w:val="sk-SK"/>
        </w:rPr>
        <w:t xml:space="preserve">u dospelých </w:t>
      </w:r>
      <w:r w:rsidRPr="00074698">
        <w:rPr>
          <w:sz w:val="22"/>
          <w:szCs w:val="22"/>
          <w:lang w:val="sk-SK"/>
        </w:rPr>
        <w:t>je 0,63</w:t>
      </w:r>
      <w:r w:rsidR="00766D4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ml/min/kg. </w:t>
      </w:r>
      <w:proofErr w:type="spellStart"/>
      <w:r w:rsidR="00E43403">
        <w:rPr>
          <w:sz w:val="22"/>
          <w:szCs w:val="22"/>
          <w:lang w:val="sk-SK"/>
        </w:rPr>
        <w:t>L</w:t>
      </w:r>
      <w:r w:rsidRPr="00074698">
        <w:rPr>
          <w:sz w:val="22"/>
          <w:szCs w:val="22"/>
          <w:lang w:val="sk-SK"/>
        </w:rPr>
        <w:t>evocetirizín</w:t>
      </w:r>
      <w:proofErr w:type="spellEnd"/>
      <w:r w:rsidRPr="00074698">
        <w:rPr>
          <w:sz w:val="22"/>
          <w:szCs w:val="22"/>
          <w:lang w:val="sk-SK"/>
        </w:rPr>
        <w:t xml:space="preserve"> a</w:t>
      </w:r>
      <w:r w:rsidR="00E43403">
        <w:rPr>
          <w:sz w:val="22"/>
          <w:szCs w:val="22"/>
          <w:lang w:val="sk-SK"/>
        </w:rPr>
        <w:t xml:space="preserve"> jeho </w:t>
      </w:r>
      <w:proofErr w:type="spellStart"/>
      <w:r w:rsidRPr="00074698">
        <w:rPr>
          <w:sz w:val="22"/>
          <w:szCs w:val="22"/>
          <w:lang w:val="sk-SK"/>
        </w:rPr>
        <w:t>metabolit</w:t>
      </w:r>
      <w:r w:rsidR="00E43403">
        <w:rPr>
          <w:sz w:val="22"/>
          <w:szCs w:val="22"/>
          <w:lang w:val="sk-SK"/>
        </w:rPr>
        <w:t>y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 w:rsidR="00E43403">
        <w:rPr>
          <w:sz w:val="22"/>
          <w:szCs w:val="22"/>
          <w:lang w:val="sk-SK"/>
        </w:rPr>
        <w:t xml:space="preserve">sa vylučujú prevažne </w:t>
      </w:r>
      <w:r w:rsidRPr="00074698">
        <w:rPr>
          <w:sz w:val="22"/>
          <w:szCs w:val="22"/>
          <w:lang w:val="sk-SK"/>
        </w:rPr>
        <w:t>moč</w:t>
      </w:r>
      <w:r w:rsidR="00E43403">
        <w:rPr>
          <w:sz w:val="22"/>
          <w:szCs w:val="22"/>
          <w:lang w:val="sk-SK"/>
        </w:rPr>
        <w:t>om</w:t>
      </w:r>
      <w:r w:rsidRPr="00074698">
        <w:rPr>
          <w:sz w:val="22"/>
          <w:szCs w:val="22"/>
          <w:lang w:val="sk-SK"/>
        </w:rPr>
        <w:t xml:space="preserve">, v priemernom množstve 85,4 % dávky. Vylučovanie stolicou predstavuje iba 12,9 % dávky. </w:t>
      </w:r>
      <w:proofErr w:type="spellStart"/>
      <w:r w:rsidRPr="00074698">
        <w:rPr>
          <w:sz w:val="22"/>
          <w:szCs w:val="22"/>
          <w:lang w:val="sk-SK"/>
        </w:rPr>
        <w:t>Levocetirizín</w:t>
      </w:r>
      <w:proofErr w:type="spellEnd"/>
      <w:r w:rsidRPr="00074698">
        <w:rPr>
          <w:sz w:val="22"/>
          <w:szCs w:val="22"/>
          <w:lang w:val="sk-SK"/>
        </w:rPr>
        <w:t xml:space="preserve"> sa vylučuje </w:t>
      </w:r>
      <w:proofErr w:type="spellStart"/>
      <w:r w:rsidRPr="00074698">
        <w:rPr>
          <w:sz w:val="22"/>
          <w:szCs w:val="22"/>
          <w:lang w:val="sk-SK"/>
        </w:rPr>
        <w:t>glomerulárnou</w:t>
      </w:r>
      <w:proofErr w:type="spellEnd"/>
      <w:r w:rsidRPr="00074698">
        <w:rPr>
          <w:sz w:val="22"/>
          <w:szCs w:val="22"/>
          <w:lang w:val="sk-SK"/>
        </w:rPr>
        <w:t xml:space="preserve"> filtráciou a aktívnou </w:t>
      </w:r>
      <w:proofErr w:type="spellStart"/>
      <w:r w:rsidRPr="00074698">
        <w:rPr>
          <w:sz w:val="22"/>
          <w:szCs w:val="22"/>
          <w:lang w:val="sk-SK"/>
        </w:rPr>
        <w:t>tubulárnou</w:t>
      </w:r>
      <w:proofErr w:type="spellEnd"/>
      <w:r w:rsidRPr="00074698">
        <w:rPr>
          <w:sz w:val="22"/>
          <w:szCs w:val="22"/>
          <w:lang w:val="sk-SK"/>
        </w:rPr>
        <w:t xml:space="preserve"> sekréciou.</w:t>
      </w:r>
    </w:p>
    <w:p w:rsidR="003D723B" w:rsidRPr="00074698" w:rsidRDefault="003D723B" w:rsidP="003D723B">
      <w:pPr>
        <w:rPr>
          <w:sz w:val="22"/>
          <w:szCs w:val="22"/>
          <w:u w:val="single"/>
          <w:lang w:val="sk-SK"/>
        </w:rPr>
      </w:pPr>
    </w:p>
    <w:p w:rsidR="00766D48" w:rsidRPr="00764013" w:rsidRDefault="00766D48" w:rsidP="003D723B">
      <w:pPr>
        <w:pStyle w:val="Zarkazkladnhotextu3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764013">
        <w:rPr>
          <w:rFonts w:ascii="Times New Roman" w:hAnsi="Times New Roman"/>
          <w:sz w:val="22"/>
          <w:szCs w:val="22"/>
          <w:u w:val="single"/>
        </w:rPr>
        <w:t xml:space="preserve">Osobitné </w:t>
      </w:r>
      <w:r w:rsidR="00E43403">
        <w:rPr>
          <w:rFonts w:ascii="Times New Roman" w:hAnsi="Times New Roman"/>
          <w:sz w:val="22"/>
          <w:szCs w:val="22"/>
          <w:u w:val="single"/>
        </w:rPr>
        <w:t>skupiny pacientov</w:t>
      </w:r>
    </w:p>
    <w:p w:rsidR="003D723B" w:rsidRPr="00764013" w:rsidRDefault="003D723B" w:rsidP="003D723B">
      <w:pPr>
        <w:pStyle w:val="Zarkazkladnhotextu3"/>
        <w:ind w:left="0"/>
        <w:jc w:val="left"/>
        <w:rPr>
          <w:rFonts w:ascii="Times New Roman" w:hAnsi="Times New Roman"/>
          <w:i/>
          <w:sz w:val="22"/>
          <w:szCs w:val="22"/>
        </w:rPr>
      </w:pPr>
      <w:r w:rsidRPr="00764013">
        <w:rPr>
          <w:rFonts w:ascii="Times New Roman" w:hAnsi="Times New Roman"/>
          <w:i/>
          <w:sz w:val="22"/>
          <w:szCs w:val="22"/>
        </w:rPr>
        <w:t>P</w:t>
      </w:r>
      <w:r w:rsidR="00E952F9">
        <w:rPr>
          <w:rFonts w:ascii="Times New Roman" w:hAnsi="Times New Roman"/>
          <w:i/>
          <w:sz w:val="22"/>
          <w:szCs w:val="22"/>
        </w:rPr>
        <w:t>orucha</w:t>
      </w:r>
      <w:r w:rsidRPr="00764013">
        <w:rPr>
          <w:rFonts w:ascii="Times New Roman" w:hAnsi="Times New Roman"/>
          <w:i/>
          <w:sz w:val="22"/>
          <w:szCs w:val="22"/>
        </w:rPr>
        <w:t xml:space="preserve"> funkcie obličiek</w:t>
      </w: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Zdanlivý telesný </w:t>
      </w:r>
      <w:proofErr w:type="spellStart"/>
      <w:r w:rsidRPr="00074698">
        <w:rPr>
          <w:sz w:val="22"/>
          <w:szCs w:val="22"/>
          <w:lang w:val="sk-SK"/>
        </w:rPr>
        <w:t>klírens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má vzťah ku </w:t>
      </w:r>
      <w:proofErr w:type="spellStart"/>
      <w:r w:rsidRPr="00074698">
        <w:rPr>
          <w:sz w:val="22"/>
          <w:szCs w:val="22"/>
          <w:lang w:val="sk-SK"/>
        </w:rPr>
        <w:t>klírensu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kreatinínu</w:t>
      </w:r>
      <w:proofErr w:type="spellEnd"/>
      <w:r w:rsidRPr="00074698">
        <w:rPr>
          <w:sz w:val="22"/>
          <w:szCs w:val="22"/>
          <w:lang w:val="sk-SK"/>
        </w:rPr>
        <w:t xml:space="preserve">. Preto sa odporúča u pacientov so stredne </w:t>
      </w:r>
      <w:r w:rsidR="00E43403">
        <w:rPr>
          <w:sz w:val="22"/>
          <w:szCs w:val="22"/>
          <w:lang w:val="sk-SK"/>
        </w:rPr>
        <w:t>ťažkou</w:t>
      </w:r>
      <w:r w:rsidR="00E43403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a </w:t>
      </w:r>
      <w:r w:rsidR="00E43403">
        <w:rPr>
          <w:sz w:val="22"/>
          <w:szCs w:val="22"/>
          <w:lang w:val="sk-SK"/>
        </w:rPr>
        <w:t>ťažkou</w:t>
      </w:r>
      <w:r w:rsidR="00E43403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po</w:t>
      </w:r>
      <w:r w:rsidR="00E952F9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funkcie obličiek upraviť intervaly podávania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na základe </w:t>
      </w:r>
      <w:proofErr w:type="spellStart"/>
      <w:r w:rsidRPr="00074698">
        <w:rPr>
          <w:sz w:val="22"/>
          <w:szCs w:val="22"/>
          <w:lang w:val="sk-SK"/>
        </w:rPr>
        <w:t>klírensu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kreatinínu</w:t>
      </w:r>
      <w:proofErr w:type="spellEnd"/>
      <w:r w:rsidRPr="00074698">
        <w:rPr>
          <w:sz w:val="22"/>
          <w:szCs w:val="22"/>
          <w:lang w:val="sk-SK"/>
        </w:rPr>
        <w:t xml:space="preserve">. U pacientov s </w:t>
      </w:r>
      <w:proofErr w:type="spellStart"/>
      <w:r w:rsidRPr="00074698">
        <w:rPr>
          <w:sz w:val="22"/>
          <w:szCs w:val="22"/>
          <w:lang w:val="sk-SK"/>
        </w:rPr>
        <w:t>anúriou</w:t>
      </w:r>
      <w:proofErr w:type="spellEnd"/>
      <w:r w:rsidRPr="00074698">
        <w:rPr>
          <w:sz w:val="22"/>
          <w:szCs w:val="22"/>
          <w:lang w:val="sk-SK"/>
        </w:rPr>
        <w:t xml:space="preserve"> v konečnom štádiu obličkového zlyhania sa znižuje celkový telesný </w:t>
      </w:r>
      <w:proofErr w:type="spellStart"/>
      <w:r w:rsidRPr="00074698">
        <w:rPr>
          <w:sz w:val="22"/>
          <w:szCs w:val="22"/>
          <w:lang w:val="sk-SK"/>
        </w:rPr>
        <w:t>klírens</w:t>
      </w:r>
      <w:proofErr w:type="spellEnd"/>
      <w:r w:rsidRPr="00074698">
        <w:rPr>
          <w:sz w:val="22"/>
          <w:szCs w:val="22"/>
          <w:lang w:val="sk-SK"/>
        </w:rPr>
        <w:t xml:space="preserve"> približne o 80 % v porovnaní so zdravými osobami. Množstvo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odstránené štandardnou 4-hodinovou hemodialýzou </w:t>
      </w:r>
      <w:r w:rsidR="00E43403">
        <w:rPr>
          <w:sz w:val="22"/>
          <w:szCs w:val="22"/>
          <w:lang w:val="sk-SK"/>
        </w:rPr>
        <w:t xml:space="preserve">bolo </w:t>
      </w:r>
      <w:r w:rsidRPr="00074698">
        <w:rPr>
          <w:sz w:val="22"/>
          <w:szCs w:val="22"/>
          <w:lang w:val="sk-SK"/>
        </w:rPr>
        <w:t>&lt;10 %.</w:t>
      </w:r>
    </w:p>
    <w:p w:rsidR="0035127E" w:rsidRPr="00074698" w:rsidRDefault="0035127E" w:rsidP="003D723B">
      <w:pPr>
        <w:rPr>
          <w:sz w:val="22"/>
          <w:szCs w:val="22"/>
          <w:lang w:val="sk-SK"/>
        </w:rPr>
      </w:pPr>
    </w:p>
    <w:p w:rsidR="0035127E" w:rsidRPr="00764013" w:rsidRDefault="00766D48" w:rsidP="003D723B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>Pediatrická populácia</w:t>
      </w:r>
    </w:p>
    <w:p w:rsidR="00575D9E" w:rsidRPr="00074698" w:rsidRDefault="0035127E" w:rsidP="00575D9E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Údaje z pediatrickej </w:t>
      </w:r>
      <w:proofErr w:type="spellStart"/>
      <w:r w:rsidRPr="00074698">
        <w:rPr>
          <w:sz w:val="22"/>
          <w:szCs w:val="22"/>
          <w:lang w:val="sk-SK"/>
        </w:rPr>
        <w:t>farmakokinetickej</w:t>
      </w:r>
      <w:proofErr w:type="spellEnd"/>
      <w:r w:rsidRPr="00074698">
        <w:rPr>
          <w:sz w:val="22"/>
          <w:szCs w:val="22"/>
          <w:lang w:val="sk-SK"/>
        </w:rPr>
        <w:t xml:space="preserve"> štúdie s perorálnym podávaním jednorazovej dávky 5 mg </w:t>
      </w:r>
      <w:proofErr w:type="spellStart"/>
      <w:r w:rsidRPr="00074698">
        <w:rPr>
          <w:sz w:val="22"/>
          <w:szCs w:val="22"/>
          <w:lang w:val="sk-SK"/>
        </w:rPr>
        <w:t>levocetirizínu</w:t>
      </w:r>
      <w:proofErr w:type="spellEnd"/>
      <w:r w:rsidRPr="00074698">
        <w:rPr>
          <w:sz w:val="22"/>
          <w:szCs w:val="22"/>
          <w:lang w:val="sk-SK"/>
        </w:rPr>
        <w:t xml:space="preserve"> u 14 detí vo veku 6 až 11</w:t>
      </w:r>
      <w:r w:rsidR="00766D4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rokov s telesnou hmotnosťou v rozmedzí 20 až 40 kg preukázali, že hodnoty </w:t>
      </w:r>
      <w:proofErr w:type="spellStart"/>
      <w:r w:rsidRPr="00074698">
        <w:rPr>
          <w:sz w:val="22"/>
          <w:szCs w:val="22"/>
          <w:lang w:val="sk-SK"/>
        </w:rPr>
        <w:t>C</w:t>
      </w:r>
      <w:r w:rsidRPr="00B13124">
        <w:rPr>
          <w:sz w:val="22"/>
          <w:szCs w:val="22"/>
          <w:vertAlign w:val="subscript"/>
          <w:lang w:val="sk-SK"/>
        </w:rPr>
        <w:t>max</w:t>
      </w:r>
      <w:proofErr w:type="spellEnd"/>
      <w:r w:rsidRPr="00074698">
        <w:rPr>
          <w:sz w:val="22"/>
          <w:szCs w:val="22"/>
          <w:lang w:val="sk-SK"/>
        </w:rPr>
        <w:t xml:space="preserve"> a AUC boli približne 2-krát vyššie ako hodnoty zaznamenané u zdravých dospelých jedincov v skríženej </w:t>
      </w:r>
      <w:r w:rsidR="00575D9E" w:rsidRPr="00074698">
        <w:rPr>
          <w:sz w:val="22"/>
          <w:szCs w:val="22"/>
          <w:lang w:val="sk-SK"/>
        </w:rPr>
        <w:t xml:space="preserve">porovnávajúcej </w:t>
      </w:r>
      <w:r w:rsidRPr="00074698">
        <w:rPr>
          <w:sz w:val="22"/>
          <w:szCs w:val="22"/>
          <w:lang w:val="sk-SK"/>
        </w:rPr>
        <w:t xml:space="preserve">štúdii. </w:t>
      </w:r>
      <w:r w:rsidR="00575D9E" w:rsidRPr="00074698">
        <w:rPr>
          <w:sz w:val="22"/>
          <w:szCs w:val="22"/>
          <w:lang w:val="sk-SK"/>
        </w:rPr>
        <w:t xml:space="preserve">Priemerná </w:t>
      </w:r>
      <w:proofErr w:type="spellStart"/>
      <w:r w:rsidR="00575D9E" w:rsidRPr="00074698">
        <w:rPr>
          <w:sz w:val="22"/>
          <w:szCs w:val="22"/>
          <w:lang w:val="sk-SK"/>
        </w:rPr>
        <w:t>C</w:t>
      </w:r>
      <w:r w:rsidR="00575D9E" w:rsidRPr="00B13124">
        <w:rPr>
          <w:sz w:val="22"/>
          <w:szCs w:val="22"/>
          <w:vertAlign w:val="subscript"/>
          <w:lang w:val="sk-SK"/>
        </w:rPr>
        <w:t>max</w:t>
      </w:r>
      <w:proofErr w:type="spellEnd"/>
      <w:r w:rsidR="00575D9E" w:rsidRPr="00074698">
        <w:rPr>
          <w:sz w:val="22"/>
          <w:szCs w:val="22"/>
          <w:lang w:val="sk-SK"/>
        </w:rPr>
        <w:t xml:space="preserve"> bola 450 </w:t>
      </w:r>
      <w:proofErr w:type="spellStart"/>
      <w:r w:rsidR="00575D9E" w:rsidRPr="00074698">
        <w:rPr>
          <w:sz w:val="22"/>
          <w:szCs w:val="22"/>
          <w:lang w:val="sk-SK"/>
        </w:rPr>
        <w:t>ng</w:t>
      </w:r>
      <w:proofErr w:type="spellEnd"/>
      <w:r w:rsidR="00575D9E" w:rsidRPr="00074698">
        <w:rPr>
          <w:sz w:val="22"/>
          <w:szCs w:val="22"/>
          <w:lang w:val="sk-SK"/>
        </w:rPr>
        <w:t>/ml, nastáva priemerne za 1,2</w:t>
      </w:r>
      <w:r w:rsidR="00766D48">
        <w:rPr>
          <w:sz w:val="22"/>
          <w:szCs w:val="22"/>
          <w:lang w:val="sk-SK"/>
        </w:rPr>
        <w:t> </w:t>
      </w:r>
      <w:r w:rsidR="00575D9E" w:rsidRPr="00074698">
        <w:rPr>
          <w:sz w:val="22"/>
          <w:szCs w:val="22"/>
          <w:lang w:val="sk-SK"/>
        </w:rPr>
        <w:t xml:space="preserve">hodiny, na telesnú hmotnosť normalizovaný celkový telový </w:t>
      </w:r>
      <w:proofErr w:type="spellStart"/>
      <w:r w:rsidR="00575D9E" w:rsidRPr="00074698">
        <w:rPr>
          <w:sz w:val="22"/>
          <w:szCs w:val="22"/>
          <w:lang w:val="sk-SK"/>
        </w:rPr>
        <w:t>klírens</w:t>
      </w:r>
      <w:proofErr w:type="spellEnd"/>
      <w:r w:rsidR="00575D9E" w:rsidRPr="00074698">
        <w:rPr>
          <w:sz w:val="22"/>
          <w:szCs w:val="22"/>
          <w:lang w:val="sk-SK"/>
        </w:rPr>
        <w:t xml:space="preserve"> bol o 30 % vyšší, a eliminačný polčas o 24 % kratší u detí a dospievajúcich ako u dospelých. U pediatrických pacientov mladších ako 6 rokov sa neuskutočnili cielené </w:t>
      </w:r>
      <w:proofErr w:type="spellStart"/>
      <w:r w:rsidR="00575D9E" w:rsidRPr="00074698">
        <w:rPr>
          <w:sz w:val="22"/>
          <w:szCs w:val="22"/>
          <w:lang w:val="sk-SK"/>
        </w:rPr>
        <w:t>farmakokinetické</w:t>
      </w:r>
      <w:proofErr w:type="spellEnd"/>
      <w:r w:rsidR="00575D9E" w:rsidRPr="00074698">
        <w:rPr>
          <w:sz w:val="22"/>
          <w:szCs w:val="22"/>
          <w:lang w:val="sk-SK"/>
        </w:rPr>
        <w:t xml:space="preserve"> štúdie. Retrospektívna populačná </w:t>
      </w:r>
      <w:proofErr w:type="spellStart"/>
      <w:r w:rsidR="00575D9E" w:rsidRPr="00074698">
        <w:rPr>
          <w:sz w:val="22"/>
          <w:szCs w:val="22"/>
          <w:lang w:val="sk-SK"/>
        </w:rPr>
        <w:t>farmakokinetická</w:t>
      </w:r>
      <w:proofErr w:type="spellEnd"/>
      <w:r w:rsidR="00575D9E" w:rsidRPr="00074698">
        <w:rPr>
          <w:sz w:val="22"/>
          <w:szCs w:val="22"/>
          <w:lang w:val="sk-SK"/>
        </w:rPr>
        <w:t xml:space="preserve"> analýza bola prevedená u 32</w:t>
      </w:r>
      <w:r w:rsidR="004249D3">
        <w:rPr>
          <w:sz w:val="22"/>
          <w:szCs w:val="22"/>
          <w:lang w:val="sk-SK"/>
        </w:rPr>
        <w:t>3</w:t>
      </w:r>
      <w:r w:rsidR="00575D9E" w:rsidRPr="00074698">
        <w:rPr>
          <w:sz w:val="22"/>
          <w:szCs w:val="22"/>
          <w:lang w:val="sk-SK"/>
        </w:rPr>
        <w:t xml:space="preserve"> osôb (181 detí vo veku 1 až 5 rokov, 18 detí vo veku 6 až 11 rokov a 124 dospelých vo veku 18 až 55 rokov), ktoré dostali buď jednorazovú alebo viacnásobnú dávku </w:t>
      </w:r>
      <w:proofErr w:type="spellStart"/>
      <w:r w:rsidR="00575D9E" w:rsidRPr="00074698">
        <w:rPr>
          <w:sz w:val="22"/>
          <w:szCs w:val="22"/>
          <w:lang w:val="sk-SK"/>
        </w:rPr>
        <w:t>levocetirizínu</w:t>
      </w:r>
      <w:proofErr w:type="spellEnd"/>
      <w:r w:rsidR="00575D9E" w:rsidRPr="00074698">
        <w:rPr>
          <w:sz w:val="22"/>
          <w:szCs w:val="22"/>
          <w:lang w:val="sk-SK"/>
        </w:rPr>
        <w:t xml:space="preserve"> v rozmedzí 1,25 mg až 30 mg. Údaje získané z tejto analýzy </w:t>
      </w:r>
      <w:r w:rsidR="00E43403">
        <w:rPr>
          <w:sz w:val="22"/>
          <w:szCs w:val="22"/>
          <w:lang w:val="sk-SK"/>
        </w:rPr>
        <w:t>ukáza</w:t>
      </w:r>
      <w:r w:rsidR="00575D9E" w:rsidRPr="00074698">
        <w:rPr>
          <w:sz w:val="22"/>
          <w:szCs w:val="22"/>
          <w:lang w:val="sk-SK"/>
        </w:rPr>
        <w:t>li, že po</w:t>
      </w:r>
      <w:r w:rsidR="00E43403">
        <w:rPr>
          <w:sz w:val="22"/>
          <w:szCs w:val="22"/>
          <w:lang w:val="sk-SK"/>
        </w:rPr>
        <w:t xml:space="preserve"> podaní</w:t>
      </w:r>
      <w:r w:rsidR="00575D9E" w:rsidRPr="00074698">
        <w:rPr>
          <w:sz w:val="22"/>
          <w:szCs w:val="22"/>
          <w:lang w:val="sk-SK"/>
        </w:rPr>
        <w:t xml:space="preserve"> 1,25 mg jedenkrát denne deťom vo veku od 6 mesiacov do 5 rokov </w:t>
      </w:r>
      <w:r w:rsidR="00E43403">
        <w:rPr>
          <w:sz w:val="22"/>
          <w:szCs w:val="22"/>
          <w:lang w:val="sk-SK"/>
        </w:rPr>
        <w:t>sa očakávajú</w:t>
      </w:r>
      <w:r w:rsidR="00575D9E" w:rsidRPr="00074698">
        <w:rPr>
          <w:sz w:val="22"/>
          <w:szCs w:val="22"/>
          <w:lang w:val="sk-SK"/>
        </w:rPr>
        <w:t xml:space="preserve"> plazmatické koncentrácie </w:t>
      </w:r>
      <w:r w:rsidR="00E43403">
        <w:rPr>
          <w:sz w:val="22"/>
          <w:szCs w:val="22"/>
          <w:lang w:val="sk-SK"/>
        </w:rPr>
        <w:t xml:space="preserve">podobné </w:t>
      </w:r>
      <w:r w:rsidR="00575D9E" w:rsidRPr="00074698">
        <w:rPr>
          <w:sz w:val="22"/>
          <w:szCs w:val="22"/>
          <w:lang w:val="sk-SK"/>
        </w:rPr>
        <w:t>ako u dospelých, ktorí dostávali 5 mg jedenkrát denne.</w:t>
      </w:r>
    </w:p>
    <w:p w:rsidR="00051759" w:rsidRPr="00074698" w:rsidRDefault="00051759" w:rsidP="003D723B">
      <w:pPr>
        <w:rPr>
          <w:sz w:val="22"/>
          <w:szCs w:val="22"/>
          <w:lang w:val="sk-SK"/>
        </w:rPr>
      </w:pPr>
    </w:p>
    <w:p w:rsidR="00575D9E" w:rsidRPr="00764013" w:rsidRDefault="00575D9E" w:rsidP="00575D9E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 xml:space="preserve">Starší </w:t>
      </w:r>
      <w:r w:rsidR="00051759">
        <w:rPr>
          <w:i/>
          <w:sz w:val="22"/>
          <w:szCs w:val="22"/>
          <w:lang w:val="sk-SK"/>
        </w:rPr>
        <w:t>pacienti</w:t>
      </w:r>
    </w:p>
    <w:p w:rsidR="00575D9E" w:rsidRPr="00074698" w:rsidRDefault="004A3544" w:rsidP="00575D9E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lastRenderedPageBreak/>
        <w:t xml:space="preserve">U starších </w:t>
      </w:r>
      <w:r w:rsidR="00AD4A51">
        <w:rPr>
          <w:sz w:val="22"/>
          <w:szCs w:val="22"/>
          <w:lang w:val="sk-SK"/>
        </w:rPr>
        <w:t>ľudí</w:t>
      </w:r>
      <w:r w:rsidR="00AD4A51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sú </w:t>
      </w:r>
      <w:r w:rsidR="00575D9E" w:rsidRPr="00074698">
        <w:rPr>
          <w:sz w:val="22"/>
          <w:szCs w:val="22"/>
          <w:lang w:val="sk-SK"/>
        </w:rPr>
        <w:t>d</w:t>
      </w:r>
      <w:r w:rsidR="00AD4A51">
        <w:rPr>
          <w:sz w:val="22"/>
          <w:szCs w:val="22"/>
          <w:lang w:val="sk-SK"/>
        </w:rPr>
        <w:t>ostupné</w:t>
      </w:r>
      <w:r w:rsidR="00575D9E" w:rsidRPr="00074698">
        <w:rPr>
          <w:sz w:val="22"/>
          <w:szCs w:val="22"/>
          <w:lang w:val="sk-SK"/>
        </w:rPr>
        <w:t xml:space="preserve"> o</w:t>
      </w:r>
      <w:r w:rsidRPr="00074698">
        <w:rPr>
          <w:sz w:val="22"/>
          <w:szCs w:val="22"/>
          <w:lang w:val="sk-SK"/>
        </w:rPr>
        <w:t>b</w:t>
      </w:r>
      <w:r w:rsidR="00575D9E" w:rsidRPr="00074698">
        <w:rPr>
          <w:sz w:val="22"/>
          <w:szCs w:val="22"/>
          <w:lang w:val="sk-SK"/>
        </w:rPr>
        <w:t>me</w:t>
      </w:r>
      <w:r w:rsidRPr="00074698">
        <w:rPr>
          <w:sz w:val="22"/>
          <w:szCs w:val="22"/>
          <w:lang w:val="sk-SK"/>
        </w:rPr>
        <w:t>d</w:t>
      </w:r>
      <w:r w:rsidR="00575D9E" w:rsidRPr="00074698">
        <w:rPr>
          <w:sz w:val="22"/>
          <w:szCs w:val="22"/>
          <w:lang w:val="sk-SK"/>
        </w:rPr>
        <w:t>zen</w:t>
      </w:r>
      <w:r w:rsidRPr="00074698">
        <w:rPr>
          <w:sz w:val="22"/>
          <w:szCs w:val="22"/>
          <w:lang w:val="sk-SK"/>
        </w:rPr>
        <w:t>é</w:t>
      </w:r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farmakokinetick</w:t>
      </w:r>
      <w:r w:rsidRPr="00074698">
        <w:rPr>
          <w:sz w:val="22"/>
          <w:szCs w:val="22"/>
          <w:lang w:val="sk-SK"/>
        </w:rPr>
        <w:t>é</w:t>
      </w:r>
      <w:proofErr w:type="spellEnd"/>
      <w:r w:rsidRPr="00074698">
        <w:rPr>
          <w:sz w:val="22"/>
          <w:szCs w:val="22"/>
          <w:lang w:val="sk-SK"/>
        </w:rPr>
        <w:t xml:space="preserve"> údaje</w:t>
      </w:r>
      <w:r w:rsidR="00575D9E" w:rsidRPr="00074698">
        <w:rPr>
          <w:sz w:val="22"/>
          <w:szCs w:val="22"/>
          <w:lang w:val="sk-SK"/>
        </w:rPr>
        <w:t xml:space="preserve">. </w:t>
      </w:r>
      <w:r w:rsidRPr="00074698">
        <w:rPr>
          <w:sz w:val="22"/>
          <w:szCs w:val="22"/>
          <w:lang w:val="sk-SK"/>
        </w:rPr>
        <w:t>P</w:t>
      </w:r>
      <w:r w:rsidR="00575D9E" w:rsidRPr="00074698">
        <w:rPr>
          <w:sz w:val="22"/>
          <w:szCs w:val="22"/>
          <w:lang w:val="sk-SK"/>
        </w:rPr>
        <w:t xml:space="preserve">o </w:t>
      </w:r>
      <w:r w:rsidRPr="00074698">
        <w:rPr>
          <w:sz w:val="22"/>
          <w:szCs w:val="22"/>
          <w:lang w:val="sk-SK"/>
        </w:rPr>
        <w:t xml:space="preserve">opakovanom </w:t>
      </w:r>
      <w:r w:rsidR="00575D9E" w:rsidRPr="00074698">
        <w:rPr>
          <w:sz w:val="22"/>
          <w:szCs w:val="22"/>
          <w:lang w:val="sk-SK"/>
        </w:rPr>
        <w:t>peroráln</w:t>
      </w:r>
      <w:r w:rsidRPr="00074698">
        <w:rPr>
          <w:sz w:val="22"/>
          <w:szCs w:val="22"/>
          <w:lang w:val="sk-SK"/>
        </w:rPr>
        <w:t>o</w:t>
      </w:r>
      <w:r w:rsidR="00575D9E" w:rsidRPr="00074698">
        <w:rPr>
          <w:sz w:val="22"/>
          <w:szCs w:val="22"/>
          <w:lang w:val="sk-SK"/>
        </w:rPr>
        <w:t>m podáv</w:t>
      </w:r>
      <w:r w:rsidRPr="00074698">
        <w:rPr>
          <w:sz w:val="22"/>
          <w:szCs w:val="22"/>
          <w:lang w:val="sk-SK"/>
        </w:rPr>
        <w:t>a</w:t>
      </w:r>
      <w:r w:rsidR="00575D9E" w:rsidRPr="00074698">
        <w:rPr>
          <w:sz w:val="22"/>
          <w:szCs w:val="22"/>
          <w:lang w:val="sk-SK"/>
        </w:rPr>
        <w:t>ní dávk</w:t>
      </w:r>
      <w:r w:rsidRPr="00074698">
        <w:rPr>
          <w:sz w:val="22"/>
          <w:szCs w:val="22"/>
          <w:lang w:val="sk-SK"/>
        </w:rPr>
        <w:t>y</w:t>
      </w:r>
      <w:r w:rsidR="00575D9E" w:rsidRPr="00074698">
        <w:rPr>
          <w:sz w:val="22"/>
          <w:szCs w:val="22"/>
          <w:lang w:val="sk-SK"/>
        </w:rPr>
        <w:t xml:space="preserve"> 30 mg </w:t>
      </w:r>
      <w:proofErr w:type="spellStart"/>
      <w:r w:rsidR="00575D9E" w:rsidRPr="00074698">
        <w:rPr>
          <w:sz w:val="22"/>
          <w:szCs w:val="22"/>
          <w:lang w:val="sk-SK"/>
        </w:rPr>
        <w:t>levocetiriz</w:t>
      </w:r>
      <w:r w:rsidRPr="00074698">
        <w:rPr>
          <w:sz w:val="22"/>
          <w:szCs w:val="22"/>
          <w:lang w:val="sk-SK"/>
        </w:rPr>
        <w:t>í</w:t>
      </w:r>
      <w:r w:rsidR="00575D9E" w:rsidRPr="00074698">
        <w:rPr>
          <w:sz w:val="22"/>
          <w:szCs w:val="22"/>
          <w:lang w:val="sk-SK"/>
        </w:rPr>
        <w:t>nu</w:t>
      </w:r>
      <w:proofErr w:type="spellEnd"/>
      <w:r w:rsidR="00575D9E" w:rsidRPr="00074698">
        <w:rPr>
          <w:sz w:val="22"/>
          <w:szCs w:val="22"/>
          <w:lang w:val="sk-SK"/>
        </w:rPr>
        <w:t xml:space="preserve"> jed</w:t>
      </w:r>
      <w:r w:rsidRPr="00074698">
        <w:rPr>
          <w:sz w:val="22"/>
          <w:szCs w:val="22"/>
          <w:lang w:val="sk-SK"/>
        </w:rPr>
        <w:t>e</w:t>
      </w:r>
      <w:r w:rsidR="00575D9E" w:rsidRPr="00074698">
        <w:rPr>
          <w:sz w:val="22"/>
          <w:szCs w:val="22"/>
          <w:lang w:val="sk-SK"/>
        </w:rPr>
        <w:t>n</w:t>
      </w:r>
      <w:r w:rsidRPr="00074698">
        <w:rPr>
          <w:sz w:val="22"/>
          <w:szCs w:val="22"/>
          <w:lang w:val="sk-SK"/>
        </w:rPr>
        <w:t>krát</w:t>
      </w:r>
      <w:r w:rsidR="00575D9E" w:rsidRPr="00074698">
        <w:rPr>
          <w:sz w:val="22"/>
          <w:szCs w:val="22"/>
          <w:lang w:val="sk-SK"/>
        </w:rPr>
        <w:t xml:space="preserve"> denn</w:t>
      </w:r>
      <w:r w:rsidRPr="00074698">
        <w:rPr>
          <w:sz w:val="22"/>
          <w:szCs w:val="22"/>
          <w:lang w:val="sk-SK"/>
        </w:rPr>
        <w:t xml:space="preserve">e </w:t>
      </w:r>
      <w:r w:rsidR="00575D9E" w:rsidRPr="00074698">
        <w:rPr>
          <w:sz w:val="22"/>
          <w:szCs w:val="22"/>
          <w:lang w:val="sk-SK"/>
        </w:rPr>
        <w:t>po dobu 6 dn</w:t>
      </w:r>
      <w:r w:rsidRPr="00074698">
        <w:rPr>
          <w:sz w:val="22"/>
          <w:szCs w:val="22"/>
          <w:lang w:val="sk-SK"/>
        </w:rPr>
        <w:t>í 9 starší</w:t>
      </w:r>
      <w:r w:rsidR="00AD4A51">
        <w:rPr>
          <w:sz w:val="22"/>
          <w:szCs w:val="22"/>
          <w:lang w:val="sk-SK"/>
        </w:rPr>
        <w:t>m</w:t>
      </w:r>
      <w:r w:rsidRPr="00074698">
        <w:rPr>
          <w:sz w:val="22"/>
          <w:szCs w:val="22"/>
          <w:lang w:val="sk-SK"/>
        </w:rPr>
        <w:t xml:space="preserve"> osobám (vo veku 65-74</w:t>
      </w:r>
      <w:r w:rsidR="00766D4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rokov) bol celkový telový </w:t>
      </w:r>
      <w:proofErr w:type="spellStart"/>
      <w:r w:rsidRPr="00074698">
        <w:rPr>
          <w:sz w:val="22"/>
          <w:szCs w:val="22"/>
          <w:lang w:val="sk-SK"/>
        </w:rPr>
        <w:t>klírens</w:t>
      </w:r>
      <w:proofErr w:type="spellEnd"/>
      <w:r w:rsidR="00575D9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približne</w:t>
      </w:r>
      <w:r w:rsidR="00575D9E" w:rsidRPr="00074698">
        <w:rPr>
          <w:sz w:val="22"/>
          <w:szCs w:val="22"/>
          <w:lang w:val="sk-SK"/>
        </w:rPr>
        <w:t xml:space="preserve"> o</w:t>
      </w:r>
      <w:r w:rsidRPr="00074698">
        <w:rPr>
          <w:sz w:val="22"/>
          <w:szCs w:val="22"/>
          <w:lang w:val="sk-SK"/>
        </w:rPr>
        <w:t> </w:t>
      </w:r>
      <w:r w:rsidR="00575D9E" w:rsidRPr="00074698">
        <w:rPr>
          <w:sz w:val="22"/>
          <w:szCs w:val="22"/>
          <w:lang w:val="sk-SK"/>
        </w:rPr>
        <w:t>33</w:t>
      </w:r>
      <w:r w:rsidRPr="00074698">
        <w:rPr>
          <w:sz w:val="22"/>
          <w:szCs w:val="22"/>
          <w:lang w:val="sk-SK"/>
        </w:rPr>
        <w:t> </w:t>
      </w:r>
      <w:r w:rsidR="00575D9E" w:rsidRPr="00074698">
        <w:rPr>
          <w:sz w:val="22"/>
          <w:szCs w:val="22"/>
          <w:lang w:val="sk-SK"/>
        </w:rPr>
        <w:t xml:space="preserve">% nižší </w:t>
      </w:r>
      <w:r w:rsidRPr="00074698">
        <w:rPr>
          <w:sz w:val="22"/>
          <w:szCs w:val="22"/>
          <w:lang w:val="sk-SK"/>
        </w:rPr>
        <w:t>v porovnaní</w:t>
      </w:r>
      <w:r w:rsidR="00575D9E" w:rsidRPr="00074698">
        <w:rPr>
          <w:sz w:val="22"/>
          <w:szCs w:val="22"/>
          <w:lang w:val="sk-SK"/>
        </w:rPr>
        <w:t xml:space="preserve"> s mladšími dosp</w:t>
      </w:r>
      <w:r w:rsidRPr="00074698">
        <w:rPr>
          <w:sz w:val="22"/>
          <w:szCs w:val="22"/>
          <w:lang w:val="sk-SK"/>
        </w:rPr>
        <w:t>elými</w:t>
      </w:r>
      <w:r w:rsidR="00575D9E" w:rsidRPr="00074698">
        <w:rPr>
          <w:sz w:val="22"/>
          <w:szCs w:val="22"/>
          <w:lang w:val="sk-SK"/>
        </w:rPr>
        <w:t>.</w:t>
      </w:r>
      <w:r w:rsidRPr="00074698">
        <w:rPr>
          <w:sz w:val="22"/>
          <w:szCs w:val="22"/>
          <w:lang w:val="sk-SK"/>
        </w:rPr>
        <w:t xml:space="preserve"> Preukázalo sa, že d</w:t>
      </w:r>
      <w:r w:rsidR="00575D9E" w:rsidRPr="00074698">
        <w:rPr>
          <w:sz w:val="22"/>
          <w:szCs w:val="22"/>
          <w:lang w:val="sk-SK"/>
        </w:rPr>
        <w:t>ispoz</w:t>
      </w:r>
      <w:r w:rsidRPr="00074698">
        <w:rPr>
          <w:sz w:val="22"/>
          <w:szCs w:val="22"/>
          <w:lang w:val="sk-SK"/>
        </w:rPr>
        <w:t>ícia</w:t>
      </w:r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racemátu</w:t>
      </w:r>
      <w:proofErr w:type="spellEnd"/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cetiriz</w:t>
      </w:r>
      <w:r w:rsidRPr="00074698">
        <w:rPr>
          <w:sz w:val="22"/>
          <w:szCs w:val="22"/>
          <w:lang w:val="sk-SK"/>
        </w:rPr>
        <w:t>í</w:t>
      </w:r>
      <w:r w:rsidR="00575D9E" w:rsidRPr="00074698">
        <w:rPr>
          <w:sz w:val="22"/>
          <w:szCs w:val="22"/>
          <w:lang w:val="sk-SK"/>
        </w:rPr>
        <w:t>nu</w:t>
      </w:r>
      <w:proofErr w:type="spellEnd"/>
      <w:r w:rsidRPr="00074698">
        <w:rPr>
          <w:sz w:val="22"/>
          <w:szCs w:val="22"/>
          <w:lang w:val="sk-SK"/>
        </w:rPr>
        <w:t xml:space="preserve"> je</w:t>
      </w:r>
      <w:r w:rsidR="00575D9E" w:rsidRPr="00074698">
        <w:rPr>
          <w:sz w:val="22"/>
          <w:szCs w:val="22"/>
          <w:lang w:val="sk-SK"/>
        </w:rPr>
        <w:t xml:space="preserve"> v</w:t>
      </w:r>
      <w:r w:rsidRPr="00074698">
        <w:rPr>
          <w:sz w:val="22"/>
          <w:szCs w:val="22"/>
          <w:lang w:val="sk-SK"/>
        </w:rPr>
        <w:t>iac</w:t>
      </w:r>
      <w:r w:rsidR="00575D9E" w:rsidRPr="00074698">
        <w:rPr>
          <w:sz w:val="22"/>
          <w:szCs w:val="22"/>
          <w:lang w:val="sk-SK"/>
        </w:rPr>
        <w:t xml:space="preserve"> závislá</w:t>
      </w:r>
      <w:r w:rsidRPr="00074698">
        <w:rPr>
          <w:sz w:val="22"/>
          <w:szCs w:val="22"/>
          <w:lang w:val="sk-SK"/>
        </w:rPr>
        <w:t xml:space="preserve"> od</w:t>
      </w:r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renáln</w:t>
      </w:r>
      <w:r w:rsidRPr="00074698">
        <w:rPr>
          <w:sz w:val="22"/>
          <w:szCs w:val="22"/>
          <w:lang w:val="sk-SK"/>
        </w:rPr>
        <w:t>ej</w:t>
      </w:r>
      <w:proofErr w:type="spellEnd"/>
      <w:r w:rsidRPr="00074698">
        <w:rPr>
          <w:sz w:val="22"/>
          <w:szCs w:val="22"/>
          <w:lang w:val="sk-SK"/>
        </w:rPr>
        <w:t xml:space="preserve"> funkcie ako od veku</w:t>
      </w:r>
      <w:r w:rsidR="00575D9E" w:rsidRPr="00074698">
        <w:rPr>
          <w:sz w:val="22"/>
          <w:szCs w:val="22"/>
          <w:lang w:val="sk-SK"/>
        </w:rPr>
        <w:t>.</w:t>
      </w:r>
      <w:r w:rsidRPr="00074698">
        <w:rPr>
          <w:sz w:val="22"/>
          <w:szCs w:val="22"/>
          <w:lang w:val="sk-SK"/>
        </w:rPr>
        <w:t xml:space="preserve"> </w:t>
      </w:r>
      <w:r w:rsidR="00575D9E" w:rsidRPr="00074698">
        <w:rPr>
          <w:sz w:val="22"/>
          <w:szCs w:val="22"/>
          <w:lang w:val="sk-SK"/>
        </w:rPr>
        <w:t>T</w:t>
      </w:r>
      <w:r w:rsidRPr="00074698">
        <w:rPr>
          <w:sz w:val="22"/>
          <w:szCs w:val="22"/>
          <w:lang w:val="sk-SK"/>
        </w:rPr>
        <w:t>o</w:t>
      </w:r>
      <w:r w:rsidR="00575D9E" w:rsidRPr="00074698">
        <w:rPr>
          <w:sz w:val="22"/>
          <w:szCs w:val="22"/>
          <w:lang w:val="sk-SK"/>
        </w:rPr>
        <w:t xml:space="preserve">to </w:t>
      </w:r>
      <w:r w:rsidRPr="00074698">
        <w:rPr>
          <w:sz w:val="22"/>
          <w:szCs w:val="22"/>
          <w:lang w:val="sk-SK"/>
        </w:rPr>
        <w:t>zistenie</w:t>
      </w:r>
      <w:r w:rsidR="00575D9E" w:rsidRPr="00074698">
        <w:rPr>
          <w:sz w:val="22"/>
          <w:szCs w:val="22"/>
          <w:lang w:val="sk-SK"/>
        </w:rPr>
        <w:t xml:space="preserve"> by m</w:t>
      </w:r>
      <w:r w:rsidRPr="00074698">
        <w:rPr>
          <w:sz w:val="22"/>
          <w:szCs w:val="22"/>
          <w:lang w:val="sk-SK"/>
        </w:rPr>
        <w:t xml:space="preserve">alo </w:t>
      </w:r>
      <w:r w:rsidR="00575D9E" w:rsidRPr="00074698">
        <w:rPr>
          <w:sz w:val="22"/>
          <w:szCs w:val="22"/>
          <w:lang w:val="sk-SK"/>
        </w:rPr>
        <w:t>plati</w:t>
      </w:r>
      <w:r w:rsidRPr="00074698">
        <w:rPr>
          <w:sz w:val="22"/>
          <w:szCs w:val="22"/>
          <w:lang w:val="sk-SK"/>
        </w:rPr>
        <w:t>ť aj</w:t>
      </w:r>
      <w:r w:rsidR="00575D9E" w:rsidRPr="00074698">
        <w:rPr>
          <w:sz w:val="22"/>
          <w:szCs w:val="22"/>
          <w:lang w:val="sk-SK"/>
        </w:rPr>
        <w:t xml:space="preserve"> pr</w:t>
      </w:r>
      <w:r w:rsidRPr="00074698">
        <w:rPr>
          <w:sz w:val="22"/>
          <w:szCs w:val="22"/>
          <w:lang w:val="sk-SK"/>
        </w:rPr>
        <w:t>e</w:t>
      </w:r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levocetiriz</w:t>
      </w:r>
      <w:r w:rsidRPr="00074698">
        <w:rPr>
          <w:sz w:val="22"/>
          <w:szCs w:val="22"/>
          <w:lang w:val="sk-SK"/>
        </w:rPr>
        <w:t>í</w:t>
      </w:r>
      <w:r w:rsidR="00575D9E" w:rsidRPr="00074698">
        <w:rPr>
          <w:sz w:val="22"/>
          <w:szCs w:val="22"/>
          <w:lang w:val="sk-SK"/>
        </w:rPr>
        <w:t>n</w:t>
      </w:r>
      <w:proofErr w:type="spellEnd"/>
      <w:r w:rsidR="00575D9E" w:rsidRPr="00074698">
        <w:rPr>
          <w:sz w:val="22"/>
          <w:szCs w:val="22"/>
          <w:lang w:val="sk-SK"/>
        </w:rPr>
        <w:t>, pr</w:t>
      </w:r>
      <w:r w:rsidRPr="00074698">
        <w:rPr>
          <w:sz w:val="22"/>
          <w:szCs w:val="22"/>
          <w:lang w:val="sk-SK"/>
        </w:rPr>
        <w:t>e</w:t>
      </w:r>
      <w:r w:rsidR="00575D9E" w:rsidRPr="00074698">
        <w:rPr>
          <w:sz w:val="22"/>
          <w:szCs w:val="22"/>
          <w:lang w:val="sk-SK"/>
        </w:rPr>
        <w:t xml:space="preserve">tože </w:t>
      </w:r>
      <w:proofErr w:type="spellStart"/>
      <w:r w:rsidR="00575D9E" w:rsidRPr="00074698">
        <w:rPr>
          <w:sz w:val="22"/>
          <w:szCs w:val="22"/>
          <w:lang w:val="sk-SK"/>
        </w:rPr>
        <w:t>levocetiriz</w:t>
      </w:r>
      <w:r w:rsidRPr="00074698">
        <w:rPr>
          <w:sz w:val="22"/>
          <w:szCs w:val="22"/>
          <w:lang w:val="sk-SK"/>
        </w:rPr>
        <w:t>í</w:t>
      </w:r>
      <w:r w:rsidR="00575D9E" w:rsidRPr="00074698">
        <w:rPr>
          <w:sz w:val="22"/>
          <w:szCs w:val="22"/>
          <w:lang w:val="sk-SK"/>
        </w:rPr>
        <w:t>n</w:t>
      </w:r>
      <w:proofErr w:type="spellEnd"/>
      <w:r w:rsidR="00575D9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aj</w:t>
      </w:r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cetiriz</w:t>
      </w:r>
      <w:r w:rsidRPr="00074698">
        <w:rPr>
          <w:sz w:val="22"/>
          <w:szCs w:val="22"/>
          <w:lang w:val="sk-SK"/>
        </w:rPr>
        <w:t>í</w:t>
      </w:r>
      <w:r w:rsidR="00575D9E" w:rsidRPr="00074698">
        <w:rPr>
          <w:sz w:val="22"/>
          <w:szCs w:val="22"/>
          <w:lang w:val="sk-SK"/>
        </w:rPr>
        <w:t>n</w:t>
      </w:r>
      <w:proofErr w:type="spellEnd"/>
      <w:r w:rsidR="00575D9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sú</w:t>
      </w:r>
      <w:r w:rsidR="00575D9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prednostne</w:t>
      </w:r>
      <w:r w:rsidR="00575D9E" w:rsidRPr="00074698">
        <w:rPr>
          <w:sz w:val="22"/>
          <w:szCs w:val="22"/>
          <w:lang w:val="sk-SK"/>
        </w:rPr>
        <w:t xml:space="preserve"> vylučov</w:t>
      </w:r>
      <w:r w:rsidRPr="00074698">
        <w:rPr>
          <w:sz w:val="22"/>
          <w:szCs w:val="22"/>
          <w:lang w:val="sk-SK"/>
        </w:rPr>
        <w:t xml:space="preserve">ané </w:t>
      </w:r>
      <w:r w:rsidR="00575D9E" w:rsidRPr="00074698">
        <w:rPr>
          <w:sz w:val="22"/>
          <w:szCs w:val="22"/>
          <w:lang w:val="sk-SK"/>
        </w:rPr>
        <w:t>moč</w:t>
      </w:r>
      <w:r w:rsidRPr="00074698">
        <w:rPr>
          <w:sz w:val="22"/>
          <w:szCs w:val="22"/>
          <w:lang w:val="sk-SK"/>
        </w:rPr>
        <w:t>om</w:t>
      </w:r>
      <w:r w:rsidR="00575D9E" w:rsidRPr="00074698">
        <w:rPr>
          <w:sz w:val="22"/>
          <w:szCs w:val="22"/>
          <w:lang w:val="sk-SK"/>
        </w:rPr>
        <w:t xml:space="preserve">. </w:t>
      </w:r>
      <w:r w:rsidRPr="00074698">
        <w:rPr>
          <w:sz w:val="22"/>
          <w:szCs w:val="22"/>
          <w:lang w:val="sk-SK"/>
        </w:rPr>
        <w:t xml:space="preserve">Preto sa má </w:t>
      </w:r>
      <w:r w:rsidR="00575D9E" w:rsidRPr="00074698">
        <w:rPr>
          <w:sz w:val="22"/>
          <w:szCs w:val="22"/>
          <w:lang w:val="sk-SK"/>
        </w:rPr>
        <w:t xml:space="preserve">dávka </w:t>
      </w:r>
      <w:proofErr w:type="spellStart"/>
      <w:r w:rsidR="00575D9E" w:rsidRPr="00074698">
        <w:rPr>
          <w:sz w:val="22"/>
          <w:szCs w:val="22"/>
          <w:lang w:val="sk-SK"/>
        </w:rPr>
        <w:t>levocetiriz</w:t>
      </w:r>
      <w:r w:rsidRPr="00074698">
        <w:rPr>
          <w:sz w:val="22"/>
          <w:szCs w:val="22"/>
          <w:lang w:val="sk-SK"/>
        </w:rPr>
        <w:t>í</w:t>
      </w:r>
      <w:r w:rsidR="00575D9E" w:rsidRPr="00074698">
        <w:rPr>
          <w:sz w:val="22"/>
          <w:szCs w:val="22"/>
          <w:lang w:val="sk-SK"/>
        </w:rPr>
        <w:t>nu</w:t>
      </w:r>
      <w:proofErr w:type="spellEnd"/>
      <w:r w:rsidR="00575D9E" w:rsidRPr="00074698">
        <w:rPr>
          <w:sz w:val="22"/>
          <w:szCs w:val="22"/>
          <w:lang w:val="sk-SK"/>
        </w:rPr>
        <w:t xml:space="preserve"> </w:t>
      </w:r>
      <w:r w:rsidR="00AD4A51">
        <w:rPr>
          <w:sz w:val="22"/>
          <w:szCs w:val="22"/>
          <w:lang w:val="sk-SK"/>
        </w:rPr>
        <w:t xml:space="preserve">u starších pacientov </w:t>
      </w:r>
      <w:r w:rsidRPr="00074698">
        <w:rPr>
          <w:sz w:val="22"/>
          <w:szCs w:val="22"/>
          <w:lang w:val="sk-SK"/>
        </w:rPr>
        <w:t>upraviť podľa</w:t>
      </w:r>
      <w:r w:rsidR="00575D9E" w:rsidRPr="00074698">
        <w:rPr>
          <w:sz w:val="22"/>
          <w:szCs w:val="22"/>
          <w:lang w:val="sk-SK"/>
        </w:rPr>
        <w:t xml:space="preserve"> </w:t>
      </w:r>
      <w:proofErr w:type="spellStart"/>
      <w:r w:rsidR="00575D9E" w:rsidRPr="00074698">
        <w:rPr>
          <w:sz w:val="22"/>
          <w:szCs w:val="22"/>
          <w:lang w:val="sk-SK"/>
        </w:rPr>
        <w:t>renáln</w:t>
      </w:r>
      <w:r w:rsidRPr="00074698">
        <w:rPr>
          <w:sz w:val="22"/>
          <w:szCs w:val="22"/>
          <w:lang w:val="sk-SK"/>
        </w:rPr>
        <w:t>ej</w:t>
      </w:r>
      <w:proofErr w:type="spellEnd"/>
      <w:r w:rsidR="00575D9E" w:rsidRPr="00074698">
        <w:rPr>
          <w:sz w:val="22"/>
          <w:szCs w:val="22"/>
          <w:lang w:val="sk-SK"/>
        </w:rPr>
        <w:t xml:space="preserve"> funkc</w:t>
      </w:r>
      <w:r w:rsidRPr="00074698">
        <w:rPr>
          <w:sz w:val="22"/>
          <w:szCs w:val="22"/>
          <w:lang w:val="sk-SK"/>
        </w:rPr>
        <w:t>ie</w:t>
      </w:r>
      <w:r w:rsidR="00575D9E" w:rsidRPr="00074698">
        <w:rPr>
          <w:sz w:val="22"/>
          <w:szCs w:val="22"/>
          <w:lang w:val="sk-SK"/>
        </w:rPr>
        <w:t>.</w:t>
      </w:r>
    </w:p>
    <w:p w:rsidR="00B907D7" w:rsidRPr="00074698" w:rsidRDefault="00B907D7" w:rsidP="00575D9E">
      <w:pPr>
        <w:rPr>
          <w:sz w:val="22"/>
          <w:szCs w:val="22"/>
          <w:lang w:val="sk-SK"/>
        </w:rPr>
      </w:pPr>
    </w:p>
    <w:p w:rsidR="00575D9E" w:rsidRPr="00764013" w:rsidRDefault="00575D9E" w:rsidP="00575D9E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>Pohlav</w:t>
      </w:r>
      <w:r w:rsidR="004A3544" w:rsidRPr="00764013">
        <w:rPr>
          <w:i/>
          <w:sz w:val="22"/>
          <w:szCs w:val="22"/>
          <w:lang w:val="sk-SK"/>
        </w:rPr>
        <w:t>ie</w:t>
      </w:r>
    </w:p>
    <w:p w:rsidR="00575D9E" w:rsidRPr="00074698" w:rsidRDefault="00575D9E" w:rsidP="00575D9E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Farmakokinetické</w:t>
      </w:r>
      <w:proofErr w:type="spellEnd"/>
      <w:r w:rsidRPr="00074698">
        <w:rPr>
          <w:sz w:val="22"/>
          <w:szCs w:val="22"/>
          <w:lang w:val="sk-SK"/>
        </w:rPr>
        <w:t xml:space="preserve"> výsledky u 77 pacient</w:t>
      </w:r>
      <w:r w:rsidR="004A3544" w:rsidRPr="00074698">
        <w:rPr>
          <w:sz w:val="22"/>
          <w:szCs w:val="22"/>
          <w:lang w:val="sk-SK"/>
        </w:rPr>
        <w:t>ov</w:t>
      </w:r>
      <w:r w:rsidRPr="00074698">
        <w:rPr>
          <w:sz w:val="22"/>
          <w:szCs w:val="22"/>
          <w:lang w:val="sk-SK"/>
        </w:rPr>
        <w:t xml:space="preserve"> (40 muž</w:t>
      </w:r>
      <w:r w:rsidR="004A3544" w:rsidRPr="00074698">
        <w:rPr>
          <w:sz w:val="22"/>
          <w:szCs w:val="22"/>
          <w:lang w:val="sk-SK"/>
        </w:rPr>
        <w:t>ov</w:t>
      </w:r>
      <w:r w:rsidRPr="00074698">
        <w:rPr>
          <w:sz w:val="22"/>
          <w:szCs w:val="22"/>
          <w:lang w:val="sk-SK"/>
        </w:rPr>
        <w:t>, 37 ž</w:t>
      </w:r>
      <w:r w:rsidR="004A3544" w:rsidRPr="00074698">
        <w:rPr>
          <w:sz w:val="22"/>
          <w:szCs w:val="22"/>
          <w:lang w:val="sk-SK"/>
        </w:rPr>
        <w:t>i</w:t>
      </w:r>
      <w:r w:rsidRPr="00074698">
        <w:rPr>
          <w:sz w:val="22"/>
          <w:szCs w:val="22"/>
          <w:lang w:val="sk-SK"/>
        </w:rPr>
        <w:t>en) b</w:t>
      </w:r>
      <w:r w:rsidR="004A3544" w:rsidRPr="00074698">
        <w:rPr>
          <w:sz w:val="22"/>
          <w:szCs w:val="22"/>
          <w:lang w:val="sk-SK"/>
        </w:rPr>
        <w:t>oli hodnotené pre</w:t>
      </w:r>
      <w:r w:rsidRPr="00074698">
        <w:rPr>
          <w:sz w:val="22"/>
          <w:szCs w:val="22"/>
          <w:lang w:val="sk-SK"/>
        </w:rPr>
        <w:t xml:space="preserve"> potenciáln</w:t>
      </w:r>
      <w:r w:rsidR="004A3544" w:rsidRPr="00074698">
        <w:rPr>
          <w:sz w:val="22"/>
          <w:szCs w:val="22"/>
          <w:lang w:val="sk-SK"/>
        </w:rPr>
        <w:t>y</w:t>
      </w:r>
      <w:r w:rsidRPr="00074698">
        <w:rPr>
          <w:sz w:val="22"/>
          <w:szCs w:val="22"/>
          <w:lang w:val="sk-SK"/>
        </w:rPr>
        <w:t xml:space="preserve"> v</w:t>
      </w:r>
      <w:r w:rsidR="004A3544" w:rsidRPr="00074698">
        <w:rPr>
          <w:sz w:val="22"/>
          <w:szCs w:val="22"/>
          <w:lang w:val="sk-SK"/>
        </w:rPr>
        <w:t>p</w:t>
      </w:r>
      <w:r w:rsidRPr="00074698">
        <w:rPr>
          <w:sz w:val="22"/>
          <w:szCs w:val="22"/>
          <w:lang w:val="sk-SK"/>
        </w:rPr>
        <w:t>l</w:t>
      </w:r>
      <w:r w:rsidR="004A3544" w:rsidRPr="00074698">
        <w:rPr>
          <w:sz w:val="22"/>
          <w:szCs w:val="22"/>
          <w:lang w:val="sk-SK"/>
        </w:rPr>
        <w:t>y</w:t>
      </w:r>
      <w:r w:rsidRPr="00074698">
        <w:rPr>
          <w:sz w:val="22"/>
          <w:szCs w:val="22"/>
          <w:lang w:val="sk-SK"/>
        </w:rPr>
        <w:t>v pohlav</w:t>
      </w:r>
      <w:r w:rsidR="004A3544" w:rsidRPr="00074698">
        <w:rPr>
          <w:sz w:val="22"/>
          <w:szCs w:val="22"/>
          <w:lang w:val="sk-SK"/>
        </w:rPr>
        <w:t>ia</w:t>
      </w:r>
      <w:r w:rsidRPr="00074698">
        <w:rPr>
          <w:sz w:val="22"/>
          <w:szCs w:val="22"/>
          <w:lang w:val="sk-SK"/>
        </w:rPr>
        <w:t>. Polčas elimin</w:t>
      </w:r>
      <w:r w:rsidR="004A3544" w:rsidRPr="00074698">
        <w:rPr>
          <w:sz w:val="22"/>
          <w:szCs w:val="22"/>
          <w:lang w:val="sk-SK"/>
        </w:rPr>
        <w:t>á</w:t>
      </w:r>
      <w:r w:rsidRPr="00074698">
        <w:rPr>
          <w:sz w:val="22"/>
          <w:szCs w:val="22"/>
          <w:lang w:val="sk-SK"/>
        </w:rPr>
        <w:t>c</w:t>
      </w:r>
      <w:r w:rsidR="004A3544" w:rsidRPr="00074698">
        <w:rPr>
          <w:sz w:val="22"/>
          <w:szCs w:val="22"/>
          <w:lang w:val="sk-SK"/>
        </w:rPr>
        <w:t>i</w:t>
      </w:r>
      <w:r w:rsidRPr="00074698">
        <w:rPr>
          <w:sz w:val="22"/>
          <w:szCs w:val="22"/>
          <w:lang w:val="sk-SK"/>
        </w:rPr>
        <w:t>e b</w:t>
      </w:r>
      <w:r w:rsidR="004A3544" w:rsidRPr="00074698">
        <w:rPr>
          <w:sz w:val="22"/>
          <w:szCs w:val="22"/>
          <w:lang w:val="sk-SK"/>
        </w:rPr>
        <w:t>o</w:t>
      </w:r>
      <w:r w:rsidRPr="00074698">
        <w:rPr>
          <w:sz w:val="22"/>
          <w:szCs w:val="22"/>
          <w:lang w:val="sk-SK"/>
        </w:rPr>
        <w:t>l trochu kratší u ž</w:t>
      </w:r>
      <w:r w:rsidR="004A3544" w:rsidRPr="00074698">
        <w:rPr>
          <w:sz w:val="22"/>
          <w:szCs w:val="22"/>
          <w:lang w:val="sk-SK"/>
        </w:rPr>
        <w:t>i</w:t>
      </w:r>
      <w:r w:rsidRPr="00074698">
        <w:rPr>
          <w:sz w:val="22"/>
          <w:szCs w:val="22"/>
          <w:lang w:val="sk-SK"/>
        </w:rPr>
        <w:t>en (7,08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±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1,</w:t>
      </w:r>
      <w:r w:rsidR="00766D48">
        <w:rPr>
          <w:sz w:val="22"/>
          <w:szCs w:val="22"/>
          <w:lang w:val="sk-SK"/>
        </w:rPr>
        <w:t>72</w:t>
      </w:r>
      <w:r w:rsidR="00766D48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h</w:t>
      </w:r>
      <w:r w:rsidR="00766D48">
        <w:rPr>
          <w:sz w:val="22"/>
          <w:szCs w:val="22"/>
          <w:lang w:val="sk-SK"/>
        </w:rPr>
        <w:t>odín</w:t>
      </w:r>
      <w:r w:rsidRPr="00074698">
        <w:rPr>
          <w:sz w:val="22"/>
          <w:szCs w:val="22"/>
          <w:lang w:val="sk-SK"/>
        </w:rPr>
        <w:t xml:space="preserve">) </w:t>
      </w:r>
      <w:r w:rsidR="004A3544" w:rsidRPr="00074698">
        <w:rPr>
          <w:sz w:val="22"/>
          <w:szCs w:val="22"/>
          <w:lang w:val="sk-SK"/>
        </w:rPr>
        <w:t>ako</w:t>
      </w:r>
      <w:r w:rsidRPr="00074698">
        <w:rPr>
          <w:sz w:val="22"/>
          <w:szCs w:val="22"/>
          <w:lang w:val="sk-SK"/>
        </w:rPr>
        <w:t xml:space="preserve"> u muž</w:t>
      </w:r>
      <w:r w:rsidR="004A3544" w:rsidRPr="00074698">
        <w:rPr>
          <w:sz w:val="22"/>
          <w:szCs w:val="22"/>
          <w:lang w:val="sk-SK"/>
        </w:rPr>
        <w:t>ov</w:t>
      </w:r>
      <w:r w:rsidRPr="00074698">
        <w:rPr>
          <w:sz w:val="22"/>
          <w:szCs w:val="22"/>
          <w:lang w:val="sk-SK"/>
        </w:rPr>
        <w:t xml:space="preserve"> (8,62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±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1,84 h</w:t>
      </w:r>
      <w:r w:rsidR="00766D48">
        <w:rPr>
          <w:sz w:val="22"/>
          <w:szCs w:val="22"/>
          <w:lang w:val="sk-SK"/>
        </w:rPr>
        <w:t>odín</w:t>
      </w:r>
      <w:r w:rsidRPr="00074698">
        <w:rPr>
          <w:sz w:val="22"/>
          <w:szCs w:val="22"/>
          <w:lang w:val="sk-SK"/>
        </w:rPr>
        <w:t>)</w:t>
      </w:r>
      <w:r w:rsidR="004A3544" w:rsidRPr="00074698">
        <w:rPr>
          <w:sz w:val="22"/>
          <w:szCs w:val="22"/>
          <w:lang w:val="sk-SK"/>
        </w:rPr>
        <w:t>;</w:t>
      </w:r>
      <w:r w:rsidRPr="00074698">
        <w:rPr>
          <w:sz w:val="22"/>
          <w:szCs w:val="22"/>
          <w:lang w:val="sk-SK"/>
        </w:rPr>
        <w:t xml:space="preserve"> </w:t>
      </w:r>
      <w:r w:rsidR="004A3544" w:rsidRPr="00074698">
        <w:rPr>
          <w:sz w:val="22"/>
          <w:szCs w:val="22"/>
          <w:lang w:val="sk-SK"/>
        </w:rPr>
        <w:t xml:space="preserve">zdá sa však, že </w:t>
      </w:r>
      <w:proofErr w:type="spellStart"/>
      <w:r w:rsidR="004A3544" w:rsidRPr="00074698">
        <w:rPr>
          <w:sz w:val="22"/>
          <w:szCs w:val="22"/>
          <w:lang w:val="sk-SK"/>
        </w:rPr>
        <w:t>klírens</w:t>
      </w:r>
      <w:proofErr w:type="spellEnd"/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po </w:t>
      </w:r>
      <w:r w:rsidR="004A3544" w:rsidRPr="00074698">
        <w:rPr>
          <w:sz w:val="22"/>
          <w:szCs w:val="22"/>
          <w:lang w:val="sk-SK"/>
        </w:rPr>
        <w:t>per</w:t>
      </w:r>
      <w:r w:rsidRPr="00074698">
        <w:rPr>
          <w:sz w:val="22"/>
          <w:szCs w:val="22"/>
          <w:lang w:val="sk-SK"/>
        </w:rPr>
        <w:t>oráln</w:t>
      </w:r>
      <w:r w:rsidR="004A3544" w:rsidRPr="00074698">
        <w:rPr>
          <w:sz w:val="22"/>
          <w:szCs w:val="22"/>
          <w:lang w:val="sk-SK"/>
        </w:rPr>
        <w:t>o</w:t>
      </w:r>
      <w:r w:rsidRPr="00074698">
        <w:rPr>
          <w:sz w:val="22"/>
          <w:szCs w:val="22"/>
          <w:lang w:val="sk-SK"/>
        </w:rPr>
        <w:t>m pod</w:t>
      </w:r>
      <w:r w:rsidR="004A3544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ní</w:t>
      </w:r>
      <w:r w:rsidR="00AD4A51">
        <w:rPr>
          <w:sz w:val="22"/>
          <w:szCs w:val="22"/>
          <w:lang w:val="sk-SK"/>
        </w:rPr>
        <w:t>,</w:t>
      </w:r>
      <w:r w:rsidRPr="00074698">
        <w:rPr>
          <w:sz w:val="22"/>
          <w:szCs w:val="22"/>
          <w:lang w:val="sk-SK"/>
        </w:rPr>
        <w:t xml:space="preserve"> </w:t>
      </w:r>
      <w:r w:rsidR="00AD4A51">
        <w:rPr>
          <w:sz w:val="22"/>
          <w:szCs w:val="22"/>
          <w:lang w:val="sk-SK"/>
        </w:rPr>
        <w:t>s ohľadom</w:t>
      </w:r>
      <w:r w:rsidR="00AD4A51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na t</w:t>
      </w:r>
      <w:r w:rsidR="004A3544" w:rsidRPr="00074698">
        <w:rPr>
          <w:sz w:val="22"/>
          <w:szCs w:val="22"/>
          <w:lang w:val="sk-SK"/>
        </w:rPr>
        <w:t>e</w:t>
      </w:r>
      <w:r w:rsidRPr="00074698">
        <w:rPr>
          <w:sz w:val="22"/>
          <w:szCs w:val="22"/>
          <w:lang w:val="sk-SK"/>
        </w:rPr>
        <w:t>lesn</w:t>
      </w:r>
      <w:r w:rsidR="004A3544" w:rsidRPr="00074698">
        <w:rPr>
          <w:sz w:val="22"/>
          <w:szCs w:val="22"/>
          <w:lang w:val="sk-SK"/>
        </w:rPr>
        <w:t>ú</w:t>
      </w:r>
      <w:r w:rsidRPr="00074698">
        <w:rPr>
          <w:sz w:val="22"/>
          <w:szCs w:val="22"/>
          <w:lang w:val="sk-SK"/>
        </w:rPr>
        <w:t xml:space="preserve"> hmotnos</w:t>
      </w:r>
      <w:r w:rsidR="004A3544" w:rsidRPr="00074698">
        <w:rPr>
          <w:sz w:val="22"/>
          <w:szCs w:val="22"/>
          <w:lang w:val="sk-SK"/>
        </w:rPr>
        <w:t>ť</w:t>
      </w:r>
      <w:r w:rsidRPr="00074698">
        <w:rPr>
          <w:sz w:val="22"/>
          <w:szCs w:val="22"/>
          <w:lang w:val="sk-SK"/>
        </w:rPr>
        <w:t xml:space="preserve"> u ž</w:t>
      </w:r>
      <w:r w:rsidR="004A3544" w:rsidRPr="00074698">
        <w:rPr>
          <w:sz w:val="22"/>
          <w:szCs w:val="22"/>
          <w:lang w:val="sk-SK"/>
        </w:rPr>
        <w:t>i</w:t>
      </w:r>
      <w:r w:rsidRPr="00074698">
        <w:rPr>
          <w:sz w:val="22"/>
          <w:szCs w:val="22"/>
          <w:lang w:val="sk-SK"/>
        </w:rPr>
        <w:t>en (0,67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±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0,16 ml/min/kg)</w:t>
      </w:r>
      <w:r w:rsidR="00AD4A51">
        <w:rPr>
          <w:sz w:val="22"/>
          <w:szCs w:val="22"/>
          <w:lang w:val="sk-SK"/>
        </w:rPr>
        <w:t>,</w:t>
      </w:r>
      <w:r w:rsidRPr="00074698">
        <w:rPr>
          <w:sz w:val="22"/>
          <w:szCs w:val="22"/>
          <w:lang w:val="sk-SK"/>
        </w:rPr>
        <w:t xml:space="preserve"> </w:t>
      </w:r>
      <w:r w:rsidR="004A3544" w:rsidRPr="00074698">
        <w:rPr>
          <w:sz w:val="22"/>
          <w:szCs w:val="22"/>
          <w:lang w:val="sk-SK"/>
        </w:rPr>
        <w:t>je po</w:t>
      </w:r>
      <w:r w:rsidRPr="00074698">
        <w:rPr>
          <w:sz w:val="22"/>
          <w:szCs w:val="22"/>
          <w:lang w:val="sk-SK"/>
        </w:rPr>
        <w:t>rovnate</w:t>
      </w:r>
      <w:r w:rsidR="004A3544" w:rsidRPr="00074698">
        <w:rPr>
          <w:sz w:val="22"/>
          <w:szCs w:val="22"/>
          <w:lang w:val="sk-SK"/>
        </w:rPr>
        <w:t>ľ</w:t>
      </w:r>
      <w:r w:rsidRPr="00074698">
        <w:rPr>
          <w:sz w:val="22"/>
          <w:szCs w:val="22"/>
          <w:lang w:val="sk-SK"/>
        </w:rPr>
        <w:t>n</w:t>
      </w:r>
      <w:r w:rsidR="004A3544" w:rsidRPr="00074698">
        <w:rPr>
          <w:sz w:val="22"/>
          <w:szCs w:val="22"/>
          <w:lang w:val="sk-SK"/>
        </w:rPr>
        <w:t>ý</w:t>
      </w:r>
      <w:r w:rsidRPr="00074698">
        <w:rPr>
          <w:sz w:val="22"/>
          <w:szCs w:val="22"/>
          <w:lang w:val="sk-SK"/>
        </w:rPr>
        <w:t xml:space="preserve"> </w:t>
      </w:r>
      <w:r w:rsidR="00AD4A51">
        <w:rPr>
          <w:sz w:val="22"/>
          <w:szCs w:val="22"/>
          <w:lang w:val="sk-SK"/>
        </w:rPr>
        <w:t>s</w:t>
      </w:r>
      <w:r w:rsidR="00AD4A51" w:rsidRPr="00074698">
        <w:rPr>
          <w:sz w:val="22"/>
          <w:szCs w:val="22"/>
          <w:lang w:val="sk-SK"/>
        </w:rPr>
        <w:t xml:space="preserve"> </w:t>
      </w:r>
      <w:proofErr w:type="spellStart"/>
      <w:r w:rsidR="004A3544" w:rsidRPr="00074698">
        <w:rPr>
          <w:sz w:val="22"/>
          <w:szCs w:val="22"/>
          <w:lang w:val="sk-SK"/>
        </w:rPr>
        <w:t>klírens</w:t>
      </w:r>
      <w:r w:rsidR="00AD4A51">
        <w:rPr>
          <w:sz w:val="22"/>
          <w:szCs w:val="22"/>
          <w:lang w:val="sk-SK"/>
        </w:rPr>
        <w:t>om</w:t>
      </w:r>
      <w:proofErr w:type="spellEnd"/>
      <w:r w:rsidRPr="00074698">
        <w:rPr>
          <w:sz w:val="22"/>
          <w:szCs w:val="22"/>
          <w:lang w:val="sk-SK"/>
        </w:rPr>
        <w:t xml:space="preserve"> u muž</w:t>
      </w:r>
      <w:r w:rsidR="004A3544" w:rsidRPr="00074698">
        <w:rPr>
          <w:sz w:val="22"/>
          <w:szCs w:val="22"/>
          <w:lang w:val="sk-SK"/>
        </w:rPr>
        <w:t>ov</w:t>
      </w:r>
      <w:r w:rsidRPr="00074698">
        <w:rPr>
          <w:sz w:val="22"/>
          <w:szCs w:val="22"/>
          <w:lang w:val="sk-SK"/>
        </w:rPr>
        <w:t xml:space="preserve"> (0,59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±</w:t>
      </w:r>
      <w:r w:rsidR="004A3544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0,12 ml/min/kg). </w:t>
      </w:r>
      <w:r w:rsidR="00EE574E" w:rsidRPr="00074698">
        <w:rPr>
          <w:sz w:val="22"/>
          <w:szCs w:val="22"/>
          <w:lang w:val="sk-SK"/>
        </w:rPr>
        <w:t xml:space="preserve">Pre mužov aj pre ženy s normálnou </w:t>
      </w:r>
      <w:proofErr w:type="spellStart"/>
      <w:r w:rsidR="00EE574E" w:rsidRPr="00074698">
        <w:rPr>
          <w:sz w:val="22"/>
          <w:szCs w:val="22"/>
          <w:lang w:val="sk-SK"/>
        </w:rPr>
        <w:t>renálnou</w:t>
      </w:r>
      <w:proofErr w:type="spellEnd"/>
      <w:r w:rsidR="00EE574E" w:rsidRPr="00074698">
        <w:rPr>
          <w:sz w:val="22"/>
          <w:szCs w:val="22"/>
          <w:lang w:val="sk-SK"/>
        </w:rPr>
        <w:t xml:space="preserve"> funkciou platia r</w:t>
      </w:r>
      <w:r w:rsidR="004A3544" w:rsidRPr="00074698">
        <w:rPr>
          <w:sz w:val="22"/>
          <w:szCs w:val="22"/>
          <w:lang w:val="sk-SK"/>
        </w:rPr>
        <w:t>ovnak</w:t>
      </w:r>
      <w:r w:rsidRPr="00074698">
        <w:rPr>
          <w:sz w:val="22"/>
          <w:szCs w:val="22"/>
          <w:lang w:val="sk-SK"/>
        </w:rPr>
        <w:t>é denn</w:t>
      </w:r>
      <w:r w:rsidR="004A3544" w:rsidRPr="00074698">
        <w:rPr>
          <w:sz w:val="22"/>
          <w:szCs w:val="22"/>
          <w:lang w:val="sk-SK"/>
        </w:rPr>
        <w:t>é</w:t>
      </w:r>
      <w:r w:rsidRPr="00074698">
        <w:rPr>
          <w:sz w:val="22"/>
          <w:szCs w:val="22"/>
          <w:lang w:val="sk-SK"/>
        </w:rPr>
        <w:t xml:space="preserve"> dávky a dávkovac</w:t>
      </w:r>
      <w:r w:rsidR="004A3544" w:rsidRPr="00074698">
        <w:rPr>
          <w:sz w:val="22"/>
          <w:szCs w:val="22"/>
          <w:lang w:val="sk-SK"/>
        </w:rPr>
        <w:t>ie</w:t>
      </w:r>
      <w:r w:rsidRPr="00074698">
        <w:rPr>
          <w:sz w:val="22"/>
          <w:szCs w:val="22"/>
          <w:lang w:val="sk-SK"/>
        </w:rPr>
        <w:t xml:space="preserve"> intervaly.</w:t>
      </w:r>
    </w:p>
    <w:p w:rsidR="001B16EB" w:rsidRDefault="001B16EB" w:rsidP="00575D9E">
      <w:pPr>
        <w:rPr>
          <w:i/>
          <w:sz w:val="22"/>
          <w:szCs w:val="22"/>
          <w:lang w:val="sk-SK"/>
        </w:rPr>
      </w:pPr>
    </w:p>
    <w:p w:rsidR="00575D9E" w:rsidRPr="00764013" w:rsidRDefault="00575D9E" w:rsidP="00575D9E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>Rasa</w:t>
      </w:r>
    </w:p>
    <w:p w:rsidR="00575D9E" w:rsidRPr="00074698" w:rsidRDefault="00575D9E" w:rsidP="00575D9E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V</w:t>
      </w:r>
      <w:r w:rsidR="00EE574E" w:rsidRPr="00074698">
        <w:rPr>
          <w:sz w:val="22"/>
          <w:szCs w:val="22"/>
          <w:lang w:val="sk-SK"/>
        </w:rPr>
        <w:t>ply</w:t>
      </w:r>
      <w:r w:rsidRPr="00074698">
        <w:rPr>
          <w:sz w:val="22"/>
          <w:szCs w:val="22"/>
          <w:lang w:val="sk-SK"/>
        </w:rPr>
        <w:t xml:space="preserve">v rasy na </w:t>
      </w:r>
      <w:proofErr w:type="spellStart"/>
      <w:r w:rsidRPr="00074698">
        <w:rPr>
          <w:sz w:val="22"/>
          <w:szCs w:val="22"/>
          <w:lang w:val="sk-SK"/>
        </w:rPr>
        <w:t>levocetiriz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 w:rsidR="00EE574E" w:rsidRPr="00074698">
        <w:rPr>
          <w:sz w:val="22"/>
          <w:szCs w:val="22"/>
          <w:lang w:val="sk-SK"/>
        </w:rPr>
        <w:t>sa neskúmal</w:t>
      </w:r>
      <w:r w:rsidRPr="00074698">
        <w:rPr>
          <w:sz w:val="22"/>
          <w:szCs w:val="22"/>
          <w:lang w:val="sk-SK"/>
        </w:rPr>
        <w:t>. Pr</w:t>
      </w:r>
      <w:r w:rsidR="00EE574E" w:rsidRPr="00074698">
        <w:rPr>
          <w:sz w:val="22"/>
          <w:szCs w:val="22"/>
          <w:lang w:val="sk-SK"/>
        </w:rPr>
        <w:t>e</w:t>
      </w:r>
      <w:r w:rsidRPr="00074698">
        <w:rPr>
          <w:sz w:val="22"/>
          <w:szCs w:val="22"/>
          <w:lang w:val="sk-SK"/>
        </w:rPr>
        <w:t xml:space="preserve">tože </w:t>
      </w:r>
      <w:proofErr w:type="spellStart"/>
      <w:r w:rsidRPr="00074698">
        <w:rPr>
          <w:sz w:val="22"/>
          <w:szCs w:val="22"/>
          <w:lang w:val="sk-SK"/>
        </w:rPr>
        <w:t>levocetiriz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</w:t>
      </w:r>
      <w:proofErr w:type="spellEnd"/>
      <w:r w:rsidRPr="00074698">
        <w:rPr>
          <w:sz w:val="22"/>
          <w:szCs w:val="22"/>
          <w:lang w:val="sk-SK"/>
        </w:rPr>
        <w:t xml:space="preserve"> je vylučov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n</w:t>
      </w:r>
      <w:r w:rsidR="00EE574E" w:rsidRPr="00074698">
        <w:rPr>
          <w:sz w:val="22"/>
          <w:szCs w:val="22"/>
          <w:lang w:val="sk-SK"/>
        </w:rPr>
        <w:t>ý predovšetkým obličkami</w:t>
      </w:r>
      <w:r w:rsidRPr="00074698">
        <w:rPr>
          <w:sz w:val="22"/>
          <w:szCs w:val="22"/>
          <w:lang w:val="sk-SK"/>
        </w:rPr>
        <w:t xml:space="preserve"> a</w:t>
      </w:r>
      <w:r w:rsidR="00EE574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neexistuj</w:t>
      </w:r>
      <w:r w:rsidR="00EE574E" w:rsidRPr="00074698">
        <w:rPr>
          <w:sz w:val="22"/>
          <w:szCs w:val="22"/>
          <w:lang w:val="sk-SK"/>
        </w:rPr>
        <w:t>ú žiadne</w:t>
      </w:r>
      <w:r w:rsidRPr="00074698">
        <w:rPr>
          <w:sz w:val="22"/>
          <w:szCs w:val="22"/>
          <w:lang w:val="sk-SK"/>
        </w:rPr>
        <w:t xml:space="preserve"> významné</w:t>
      </w:r>
      <w:r w:rsidR="00EE574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rasové rozd</w:t>
      </w:r>
      <w:r w:rsidR="00EE574E" w:rsidRPr="00074698">
        <w:rPr>
          <w:sz w:val="22"/>
          <w:szCs w:val="22"/>
          <w:lang w:val="sk-SK"/>
        </w:rPr>
        <w:t>ie</w:t>
      </w:r>
      <w:r w:rsidRPr="00074698">
        <w:rPr>
          <w:sz w:val="22"/>
          <w:szCs w:val="22"/>
          <w:lang w:val="sk-SK"/>
        </w:rPr>
        <w:t>ly v </w:t>
      </w:r>
      <w:proofErr w:type="spellStart"/>
      <w:r w:rsidR="00EE574E" w:rsidRPr="00074698">
        <w:rPr>
          <w:sz w:val="22"/>
          <w:szCs w:val="22"/>
          <w:lang w:val="sk-SK"/>
        </w:rPr>
        <w:t>klírense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kreatin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nu</w:t>
      </w:r>
      <w:proofErr w:type="spellEnd"/>
      <w:r w:rsidRPr="00074698">
        <w:rPr>
          <w:sz w:val="22"/>
          <w:szCs w:val="22"/>
          <w:lang w:val="sk-SK"/>
        </w:rPr>
        <w:t>, nep</w:t>
      </w:r>
      <w:r w:rsidR="00EE574E" w:rsidRPr="00074698">
        <w:rPr>
          <w:sz w:val="22"/>
          <w:szCs w:val="22"/>
          <w:lang w:val="sk-SK"/>
        </w:rPr>
        <w:t>r</w:t>
      </w:r>
      <w:r w:rsidRPr="00074698">
        <w:rPr>
          <w:sz w:val="22"/>
          <w:szCs w:val="22"/>
          <w:lang w:val="sk-SK"/>
        </w:rPr>
        <w:t>edpokl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dá s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, že b</w:t>
      </w:r>
      <w:r w:rsidR="00EE574E" w:rsidRPr="00074698">
        <w:rPr>
          <w:sz w:val="22"/>
          <w:szCs w:val="22"/>
          <w:lang w:val="sk-SK"/>
        </w:rPr>
        <w:t>y</w:t>
      </w:r>
      <w:r w:rsidRPr="00074698">
        <w:rPr>
          <w:sz w:val="22"/>
          <w:szCs w:val="22"/>
          <w:lang w:val="sk-SK"/>
        </w:rPr>
        <w:t xml:space="preserve"> </w:t>
      </w:r>
      <w:r w:rsidR="00EE574E" w:rsidRPr="00074698">
        <w:rPr>
          <w:sz w:val="22"/>
          <w:szCs w:val="22"/>
          <w:lang w:val="sk-SK"/>
        </w:rPr>
        <w:t>medzi</w:t>
      </w:r>
      <w:r w:rsidRPr="00074698">
        <w:rPr>
          <w:sz w:val="22"/>
          <w:szCs w:val="22"/>
          <w:lang w:val="sk-SK"/>
        </w:rPr>
        <w:t xml:space="preserve"> rasami</w:t>
      </w:r>
      <w:r w:rsidR="00EE574E" w:rsidRPr="00074698">
        <w:rPr>
          <w:sz w:val="22"/>
          <w:szCs w:val="22"/>
          <w:lang w:val="sk-SK"/>
        </w:rPr>
        <w:t xml:space="preserve"> boli</w:t>
      </w:r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farmakokinetické</w:t>
      </w:r>
      <w:proofErr w:type="spellEnd"/>
      <w:r w:rsidR="00EE574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charakteristiky</w:t>
      </w:r>
      <w:r w:rsidR="00EE574E"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levocetiriz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nu</w:t>
      </w:r>
      <w:proofErr w:type="spellEnd"/>
      <w:r w:rsidRPr="00074698">
        <w:rPr>
          <w:sz w:val="22"/>
          <w:szCs w:val="22"/>
          <w:lang w:val="sk-SK"/>
        </w:rPr>
        <w:t xml:space="preserve"> rozd</w:t>
      </w:r>
      <w:r w:rsidR="00EE574E" w:rsidRPr="00074698">
        <w:rPr>
          <w:sz w:val="22"/>
          <w:szCs w:val="22"/>
          <w:lang w:val="sk-SK"/>
        </w:rPr>
        <w:t>ie</w:t>
      </w:r>
      <w:r w:rsidRPr="00074698">
        <w:rPr>
          <w:sz w:val="22"/>
          <w:szCs w:val="22"/>
          <w:lang w:val="sk-SK"/>
        </w:rPr>
        <w:t>ln</w:t>
      </w:r>
      <w:r w:rsidR="00EE574E" w:rsidRPr="00074698">
        <w:rPr>
          <w:sz w:val="22"/>
          <w:szCs w:val="22"/>
          <w:lang w:val="sk-SK"/>
        </w:rPr>
        <w:t>e</w:t>
      </w:r>
      <w:r w:rsidR="00AD4A51">
        <w:rPr>
          <w:sz w:val="22"/>
          <w:szCs w:val="22"/>
          <w:lang w:val="sk-SK"/>
        </w:rPr>
        <w:t xml:space="preserve"> na základe rasy</w:t>
      </w:r>
      <w:r w:rsidRPr="00074698">
        <w:rPr>
          <w:sz w:val="22"/>
          <w:szCs w:val="22"/>
          <w:lang w:val="sk-SK"/>
        </w:rPr>
        <w:t xml:space="preserve">. </w:t>
      </w:r>
      <w:r w:rsidR="00EE574E" w:rsidRPr="00074698">
        <w:rPr>
          <w:sz w:val="22"/>
          <w:szCs w:val="22"/>
          <w:lang w:val="sk-SK"/>
        </w:rPr>
        <w:t xml:space="preserve">Nepozorovali sa žiadne </w:t>
      </w:r>
      <w:r w:rsidRPr="00074698">
        <w:rPr>
          <w:sz w:val="22"/>
          <w:szCs w:val="22"/>
          <w:lang w:val="sk-SK"/>
        </w:rPr>
        <w:t>rozd</w:t>
      </w:r>
      <w:r w:rsidR="00EE574E" w:rsidRPr="00074698">
        <w:rPr>
          <w:sz w:val="22"/>
          <w:szCs w:val="22"/>
          <w:lang w:val="sk-SK"/>
        </w:rPr>
        <w:t>ie</w:t>
      </w:r>
      <w:r w:rsidRPr="00074698">
        <w:rPr>
          <w:sz w:val="22"/>
          <w:szCs w:val="22"/>
          <w:lang w:val="sk-SK"/>
        </w:rPr>
        <w:t>ly v</w:t>
      </w:r>
      <w:r w:rsidR="00EE574E" w:rsidRPr="00074698">
        <w:rPr>
          <w:sz w:val="22"/>
          <w:szCs w:val="22"/>
          <w:lang w:val="sk-SK"/>
        </w:rPr>
        <w:t>o</w:t>
      </w:r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farmakokineti</w:t>
      </w:r>
      <w:r w:rsidR="00EE574E" w:rsidRPr="00074698">
        <w:rPr>
          <w:sz w:val="22"/>
          <w:szCs w:val="22"/>
          <w:lang w:val="sk-SK"/>
        </w:rPr>
        <w:t>k</w:t>
      </w:r>
      <w:r w:rsidRPr="00074698">
        <w:rPr>
          <w:sz w:val="22"/>
          <w:szCs w:val="22"/>
          <w:lang w:val="sk-SK"/>
        </w:rPr>
        <w:t>e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racemického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cetiriz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nu</w:t>
      </w:r>
      <w:proofErr w:type="spellEnd"/>
      <w:r w:rsidR="00EE574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s</w:t>
      </w:r>
      <w:r w:rsidR="00EE574E" w:rsidRPr="00074698">
        <w:rPr>
          <w:sz w:val="22"/>
          <w:szCs w:val="22"/>
          <w:lang w:val="sk-SK"/>
        </w:rPr>
        <w:t>úvis</w:t>
      </w:r>
      <w:r w:rsidR="007F1A12">
        <w:rPr>
          <w:sz w:val="22"/>
          <w:szCs w:val="22"/>
          <w:lang w:val="sk-SK"/>
        </w:rPr>
        <w:t>iace</w:t>
      </w:r>
      <w:r w:rsidR="00EE574E" w:rsidRPr="0007469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>s ras</w:t>
      </w:r>
      <w:r w:rsidR="00EE574E" w:rsidRPr="00074698">
        <w:rPr>
          <w:sz w:val="22"/>
          <w:szCs w:val="22"/>
          <w:lang w:val="sk-SK"/>
        </w:rPr>
        <w:t>ou</w:t>
      </w:r>
      <w:r w:rsidRPr="00074698">
        <w:rPr>
          <w:sz w:val="22"/>
          <w:szCs w:val="22"/>
          <w:lang w:val="sk-SK"/>
        </w:rPr>
        <w:t>.</w:t>
      </w:r>
    </w:p>
    <w:p w:rsidR="00575D9E" w:rsidRPr="00074698" w:rsidRDefault="00575D9E" w:rsidP="00575D9E">
      <w:pPr>
        <w:rPr>
          <w:sz w:val="22"/>
          <w:szCs w:val="22"/>
          <w:lang w:val="sk-SK"/>
        </w:rPr>
      </w:pPr>
    </w:p>
    <w:p w:rsidR="00575D9E" w:rsidRPr="00764013" w:rsidRDefault="00EE574E" w:rsidP="00575D9E">
      <w:pPr>
        <w:rPr>
          <w:i/>
          <w:sz w:val="22"/>
          <w:szCs w:val="22"/>
          <w:lang w:val="sk-SK"/>
        </w:rPr>
      </w:pPr>
      <w:r w:rsidRPr="00764013">
        <w:rPr>
          <w:i/>
          <w:sz w:val="22"/>
          <w:szCs w:val="22"/>
          <w:lang w:val="sk-SK"/>
        </w:rPr>
        <w:t>Po</w:t>
      </w:r>
      <w:r w:rsidR="00110B28">
        <w:rPr>
          <w:i/>
          <w:sz w:val="22"/>
          <w:szCs w:val="22"/>
          <w:lang w:val="sk-SK"/>
        </w:rPr>
        <w:t>rucha</w:t>
      </w:r>
      <w:r w:rsidRPr="00764013">
        <w:rPr>
          <w:i/>
          <w:sz w:val="22"/>
          <w:szCs w:val="22"/>
          <w:lang w:val="sk-SK"/>
        </w:rPr>
        <w:t xml:space="preserve"> funkcie pečene</w:t>
      </w:r>
    </w:p>
    <w:p w:rsidR="00575D9E" w:rsidRPr="00074698" w:rsidRDefault="00575D9E" w:rsidP="00575D9E">
      <w:pPr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Farmakokinetika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levocetiriz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nu</w:t>
      </w:r>
      <w:proofErr w:type="spellEnd"/>
      <w:r w:rsidRPr="00074698">
        <w:rPr>
          <w:sz w:val="22"/>
          <w:szCs w:val="22"/>
          <w:lang w:val="sk-SK"/>
        </w:rPr>
        <w:t xml:space="preserve"> u </w:t>
      </w:r>
      <w:r w:rsidR="00EE574E" w:rsidRPr="00074698">
        <w:rPr>
          <w:sz w:val="22"/>
          <w:szCs w:val="22"/>
          <w:lang w:val="sk-SK"/>
        </w:rPr>
        <w:t>osôb</w:t>
      </w:r>
      <w:r w:rsidRPr="00074698">
        <w:rPr>
          <w:sz w:val="22"/>
          <w:szCs w:val="22"/>
          <w:lang w:val="sk-SK"/>
        </w:rPr>
        <w:t xml:space="preserve"> s po</w:t>
      </w:r>
      <w:r w:rsidR="00110B28">
        <w:rPr>
          <w:sz w:val="22"/>
          <w:szCs w:val="22"/>
          <w:lang w:val="sk-SK"/>
        </w:rPr>
        <w:t>ruchou</w:t>
      </w:r>
      <w:r w:rsidRPr="00074698">
        <w:rPr>
          <w:sz w:val="22"/>
          <w:szCs w:val="22"/>
          <w:lang w:val="sk-SK"/>
        </w:rPr>
        <w:t xml:space="preserve"> </w:t>
      </w:r>
      <w:r w:rsidR="00EE574E" w:rsidRPr="00074698">
        <w:rPr>
          <w:sz w:val="22"/>
          <w:szCs w:val="22"/>
          <w:lang w:val="sk-SK"/>
        </w:rPr>
        <w:t>funkcie pečene sa neskúmala</w:t>
      </w:r>
      <w:r w:rsidRPr="00074698">
        <w:rPr>
          <w:sz w:val="22"/>
          <w:szCs w:val="22"/>
          <w:lang w:val="sk-SK"/>
        </w:rPr>
        <w:t xml:space="preserve">. Pacienti s chronickými </w:t>
      </w:r>
      <w:r w:rsidR="00EE574E" w:rsidRPr="00074698">
        <w:rPr>
          <w:sz w:val="22"/>
          <w:szCs w:val="22"/>
          <w:lang w:val="sk-SK"/>
        </w:rPr>
        <w:t xml:space="preserve">ochoreniami pečene </w:t>
      </w:r>
      <w:r w:rsidRPr="00074698">
        <w:rPr>
          <w:sz w:val="22"/>
          <w:szCs w:val="22"/>
          <w:lang w:val="sk-SK"/>
        </w:rPr>
        <w:t>(</w:t>
      </w:r>
      <w:proofErr w:type="spellStart"/>
      <w:r w:rsidRPr="00074698">
        <w:rPr>
          <w:sz w:val="22"/>
          <w:szCs w:val="22"/>
          <w:lang w:val="sk-SK"/>
        </w:rPr>
        <w:t>hepatocelulárn</w:t>
      </w:r>
      <w:r w:rsidR="0094619A">
        <w:rPr>
          <w:sz w:val="22"/>
          <w:szCs w:val="22"/>
          <w:lang w:val="sk-SK"/>
        </w:rPr>
        <w:t>a</w:t>
      </w:r>
      <w:proofErr w:type="spellEnd"/>
      <w:r w:rsidRPr="00074698">
        <w:rPr>
          <w:sz w:val="22"/>
          <w:szCs w:val="22"/>
          <w:lang w:val="sk-SK"/>
        </w:rPr>
        <w:t xml:space="preserve">, </w:t>
      </w:r>
      <w:proofErr w:type="spellStart"/>
      <w:r w:rsidRPr="00074698">
        <w:rPr>
          <w:sz w:val="22"/>
          <w:szCs w:val="22"/>
          <w:lang w:val="sk-SK"/>
        </w:rPr>
        <w:t>cholestatická</w:t>
      </w:r>
      <w:proofErr w:type="spellEnd"/>
      <w:r w:rsidRPr="00074698">
        <w:rPr>
          <w:sz w:val="22"/>
          <w:szCs w:val="22"/>
          <w:lang w:val="sk-SK"/>
        </w:rPr>
        <w:t xml:space="preserve"> a biliárn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 xml:space="preserve"> cirhóza), kt</w:t>
      </w:r>
      <w:r w:rsidR="00EE574E" w:rsidRPr="00074698">
        <w:rPr>
          <w:sz w:val="22"/>
          <w:szCs w:val="22"/>
          <w:lang w:val="sk-SK"/>
        </w:rPr>
        <w:t>o</w:t>
      </w:r>
      <w:r w:rsidRPr="00074698">
        <w:rPr>
          <w:sz w:val="22"/>
          <w:szCs w:val="22"/>
          <w:lang w:val="sk-SK"/>
        </w:rPr>
        <w:t>rým b</w:t>
      </w:r>
      <w:r w:rsidR="00EE574E" w:rsidRPr="00074698">
        <w:rPr>
          <w:sz w:val="22"/>
          <w:szCs w:val="22"/>
          <w:lang w:val="sk-SK"/>
        </w:rPr>
        <w:t>o</w:t>
      </w:r>
      <w:r w:rsidRPr="00074698">
        <w:rPr>
          <w:sz w:val="22"/>
          <w:szCs w:val="22"/>
          <w:lang w:val="sk-SK"/>
        </w:rPr>
        <w:t>lo podáv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n</w:t>
      </w:r>
      <w:r w:rsidR="00EE574E" w:rsidRPr="00074698">
        <w:rPr>
          <w:sz w:val="22"/>
          <w:szCs w:val="22"/>
          <w:lang w:val="sk-SK"/>
        </w:rPr>
        <w:t>ých</w:t>
      </w:r>
      <w:r w:rsidRPr="00074698">
        <w:rPr>
          <w:sz w:val="22"/>
          <w:szCs w:val="22"/>
          <w:lang w:val="sk-SK"/>
        </w:rPr>
        <w:t xml:space="preserve"> 10 </w:t>
      </w:r>
      <w:r w:rsidR="00EE574E" w:rsidRPr="00074698">
        <w:rPr>
          <w:sz w:val="22"/>
          <w:szCs w:val="22"/>
          <w:lang w:val="sk-SK"/>
        </w:rPr>
        <w:t>al</w:t>
      </w:r>
      <w:r w:rsidRPr="00074698">
        <w:rPr>
          <w:sz w:val="22"/>
          <w:szCs w:val="22"/>
          <w:lang w:val="sk-SK"/>
        </w:rPr>
        <w:t xml:space="preserve">ebo 20 mg </w:t>
      </w:r>
      <w:proofErr w:type="spellStart"/>
      <w:r w:rsidRPr="00074698">
        <w:rPr>
          <w:sz w:val="22"/>
          <w:szCs w:val="22"/>
          <w:lang w:val="sk-SK"/>
        </w:rPr>
        <w:t>racemick</w:t>
      </w:r>
      <w:r w:rsidR="00EE574E" w:rsidRPr="00074698">
        <w:rPr>
          <w:sz w:val="22"/>
          <w:szCs w:val="22"/>
          <w:lang w:val="sk-SK"/>
        </w:rPr>
        <w:t>ej</w:t>
      </w:r>
      <w:proofErr w:type="spellEnd"/>
      <w:r w:rsidRPr="00074698">
        <w:rPr>
          <w:sz w:val="22"/>
          <w:szCs w:val="22"/>
          <w:lang w:val="sk-SK"/>
        </w:rPr>
        <w:t xml:space="preserve"> </w:t>
      </w:r>
      <w:r w:rsidR="00EE574E" w:rsidRPr="00074698">
        <w:rPr>
          <w:sz w:val="22"/>
          <w:szCs w:val="22"/>
          <w:lang w:val="sk-SK"/>
        </w:rPr>
        <w:t>z</w:t>
      </w:r>
      <w:r w:rsidRPr="00074698">
        <w:rPr>
          <w:sz w:val="22"/>
          <w:szCs w:val="22"/>
          <w:lang w:val="sk-SK"/>
        </w:rPr>
        <w:t>l</w:t>
      </w:r>
      <w:r w:rsidR="00EE574E" w:rsidRPr="00074698">
        <w:rPr>
          <w:sz w:val="22"/>
          <w:szCs w:val="22"/>
          <w:lang w:val="sk-SK"/>
        </w:rPr>
        <w:t>ú</w:t>
      </w:r>
      <w:r w:rsidRPr="00074698">
        <w:rPr>
          <w:sz w:val="22"/>
          <w:szCs w:val="22"/>
          <w:lang w:val="sk-SK"/>
        </w:rPr>
        <w:t xml:space="preserve">čeniny </w:t>
      </w:r>
      <w:proofErr w:type="spellStart"/>
      <w:r w:rsidRPr="00074698">
        <w:rPr>
          <w:sz w:val="22"/>
          <w:szCs w:val="22"/>
          <w:lang w:val="sk-SK"/>
        </w:rPr>
        <w:t>cetiriz</w:t>
      </w:r>
      <w:r w:rsidR="00EE574E" w:rsidRPr="00074698">
        <w:rPr>
          <w:sz w:val="22"/>
          <w:szCs w:val="22"/>
          <w:lang w:val="sk-SK"/>
        </w:rPr>
        <w:t>í</w:t>
      </w:r>
      <w:r w:rsidRPr="00074698">
        <w:rPr>
          <w:sz w:val="22"/>
          <w:szCs w:val="22"/>
          <w:lang w:val="sk-SK"/>
        </w:rPr>
        <w:t>nu</w:t>
      </w:r>
      <w:proofErr w:type="spellEnd"/>
      <w:r w:rsidR="00EE574E" w:rsidRPr="00074698">
        <w:rPr>
          <w:sz w:val="22"/>
          <w:szCs w:val="22"/>
          <w:lang w:val="sk-SK"/>
        </w:rPr>
        <w:t xml:space="preserve"> vo forme</w:t>
      </w:r>
      <w:r w:rsidRPr="00074698">
        <w:rPr>
          <w:sz w:val="22"/>
          <w:szCs w:val="22"/>
          <w:lang w:val="sk-SK"/>
        </w:rPr>
        <w:t xml:space="preserve"> jednor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zov</w:t>
      </w:r>
      <w:r w:rsidR="00EE574E" w:rsidRPr="00074698">
        <w:rPr>
          <w:sz w:val="22"/>
          <w:szCs w:val="22"/>
          <w:lang w:val="sk-SK"/>
        </w:rPr>
        <w:t>ej</w:t>
      </w:r>
      <w:r w:rsidRPr="00074698">
        <w:rPr>
          <w:sz w:val="22"/>
          <w:szCs w:val="22"/>
          <w:lang w:val="sk-SK"/>
        </w:rPr>
        <w:t xml:space="preserve"> dávk</w:t>
      </w:r>
      <w:r w:rsidR="00EE574E" w:rsidRPr="00074698">
        <w:rPr>
          <w:sz w:val="22"/>
          <w:szCs w:val="22"/>
          <w:lang w:val="sk-SK"/>
        </w:rPr>
        <w:t>y</w:t>
      </w:r>
      <w:r w:rsidRPr="00074698">
        <w:rPr>
          <w:sz w:val="22"/>
          <w:szCs w:val="22"/>
          <w:lang w:val="sk-SK"/>
        </w:rPr>
        <w:t>, m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li 50</w:t>
      </w:r>
      <w:r w:rsidR="00EE574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% zvýšen</w:t>
      </w:r>
      <w:r w:rsidR="00EE574E" w:rsidRPr="00074698">
        <w:rPr>
          <w:sz w:val="22"/>
          <w:szCs w:val="22"/>
          <w:lang w:val="sk-SK"/>
        </w:rPr>
        <w:t>ie</w:t>
      </w:r>
      <w:r w:rsidRPr="00074698">
        <w:rPr>
          <w:sz w:val="22"/>
          <w:szCs w:val="22"/>
          <w:lang w:val="sk-SK"/>
        </w:rPr>
        <w:t xml:space="preserve"> polčasu spol</w:t>
      </w:r>
      <w:r w:rsidR="00EE574E" w:rsidRPr="00074698">
        <w:rPr>
          <w:sz w:val="22"/>
          <w:szCs w:val="22"/>
          <w:lang w:val="sk-SK"/>
        </w:rPr>
        <w:t>u</w:t>
      </w:r>
      <w:r w:rsidRPr="00074698">
        <w:rPr>
          <w:sz w:val="22"/>
          <w:szCs w:val="22"/>
          <w:lang w:val="sk-SK"/>
        </w:rPr>
        <w:t xml:space="preserve"> s</w:t>
      </w:r>
      <w:r w:rsidR="00EE574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40</w:t>
      </w:r>
      <w:r w:rsidR="00EE574E" w:rsidRPr="0007469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% </w:t>
      </w:r>
      <w:r w:rsidR="00EE574E" w:rsidRPr="00074698">
        <w:rPr>
          <w:sz w:val="22"/>
          <w:szCs w:val="22"/>
          <w:lang w:val="sk-SK"/>
        </w:rPr>
        <w:t>z</w:t>
      </w:r>
      <w:r w:rsidRPr="00074698">
        <w:rPr>
          <w:sz w:val="22"/>
          <w:szCs w:val="22"/>
          <w:lang w:val="sk-SK"/>
        </w:rPr>
        <w:t xml:space="preserve">nížením </w:t>
      </w:r>
      <w:proofErr w:type="spellStart"/>
      <w:r w:rsidR="00EE574E" w:rsidRPr="00074698">
        <w:rPr>
          <w:sz w:val="22"/>
          <w:szCs w:val="22"/>
          <w:lang w:val="sk-SK"/>
        </w:rPr>
        <w:t>klírensu</w:t>
      </w:r>
      <w:proofErr w:type="spellEnd"/>
      <w:r w:rsidRPr="00074698">
        <w:rPr>
          <w:sz w:val="22"/>
          <w:szCs w:val="22"/>
          <w:lang w:val="sk-SK"/>
        </w:rPr>
        <w:t xml:space="preserve"> v </w:t>
      </w:r>
      <w:r w:rsidR="00EE574E" w:rsidRPr="00074698">
        <w:rPr>
          <w:sz w:val="22"/>
          <w:szCs w:val="22"/>
          <w:lang w:val="sk-SK"/>
        </w:rPr>
        <w:t>po</w:t>
      </w:r>
      <w:r w:rsidRPr="00074698">
        <w:rPr>
          <w:sz w:val="22"/>
          <w:szCs w:val="22"/>
          <w:lang w:val="sk-SK"/>
        </w:rPr>
        <w:t>rovn</w:t>
      </w:r>
      <w:r w:rsidR="00EE574E" w:rsidRPr="00074698">
        <w:rPr>
          <w:sz w:val="22"/>
          <w:szCs w:val="22"/>
          <w:lang w:val="sk-SK"/>
        </w:rPr>
        <w:t>a</w:t>
      </w:r>
      <w:r w:rsidRPr="00074698">
        <w:rPr>
          <w:sz w:val="22"/>
          <w:szCs w:val="22"/>
          <w:lang w:val="sk-SK"/>
        </w:rPr>
        <w:t>ní s</w:t>
      </w:r>
      <w:r w:rsidR="00EE574E" w:rsidRPr="00074698">
        <w:rPr>
          <w:sz w:val="22"/>
          <w:szCs w:val="22"/>
          <w:lang w:val="sk-SK"/>
        </w:rPr>
        <w:t>o</w:t>
      </w:r>
      <w:r w:rsidRPr="00074698">
        <w:rPr>
          <w:sz w:val="22"/>
          <w:szCs w:val="22"/>
          <w:lang w:val="sk-SK"/>
        </w:rPr>
        <w:t xml:space="preserve"> zdravými </w:t>
      </w:r>
      <w:r w:rsidR="00EE574E" w:rsidRPr="00074698">
        <w:rPr>
          <w:sz w:val="22"/>
          <w:szCs w:val="22"/>
          <w:lang w:val="sk-SK"/>
        </w:rPr>
        <w:t>osobami</w:t>
      </w:r>
      <w:r w:rsidRPr="00074698">
        <w:rPr>
          <w:sz w:val="22"/>
          <w:szCs w:val="22"/>
          <w:lang w:val="sk-SK"/>
        </w:rPr>
        <w:t>.</w:t>
      </w:r>
    </w:p>
    <w:p w:rsidR="00766D48" w:rsidRPr="00074698" w:rsidRDefault="00766D48" w:rsidP="00766D48">
      <w:pPr>
        <w:rPr>
          <w:sz w:val="22"/>
          <w:szCs w:val="22"/>
          <w:lang w:val="sk-SK"/>
        </w:rPr>
      </w:pPr>
    </w:p>
    <w:p w:rsidR="00766D48" w:rsidRPr="00764013" w:rsidRDefault="00766D48" w:rsidP="00766D48">
      <w:pPr>
        <w:rPr>
          <w:sz w:val="22"/>
          <w:szCs w:val="22"/>
          <w:u w:val="single"/>
          <w:lang w:val="sk-SK"/>
        </w:rPr>
      </w:pPr>
      <w:proofErr w:type="spellStart"/>
      <w:r w:rsidRPr="00BA0B50">
        <w:rPr>
          <w:sz w:val="22"/>
          <w:szCs w:val="22"/>
          <w:u w:val="single"/>
          <w:lang w:val="sk-SK"/>
        </w:rPr>
        <w:t>Farmakokinetický</w:t>
      </w:r>
      <w:proofErr w:type="spellEnd"/>
      <w:r w:rsidRPr="00BA0B50">
        <w:rPr>
          <w:sz w:val="22"/>
          <w:szCs w:val="22"/>
          <w:u w:val="single"/>
          <w:lang w:val="sk-SK"/>
        </w:rPr>
        <w:t>/</w:t>
      </w:r>
      <w:proofErr w:type="spellStart"/>
      <w:r w:rsidRPr="00BA0B50">
        <w:rPr>
          <w:sz w:val="22"/>
          <w:szCs w:val="22"/>
          <w:u w:val="single"/>
          <w:lang w:val="sk-SK"/>
        </w:rPr>
        <w:t>farmakodynamický</w:t>
      </w:r>
      <w:proofErr w:type="spellEnd"/>
      <w:r w:rsidRPr="00BA0B50">
        <w:rPr>
          <w:sz w:val="22"/>
          <w:szCs w:val="22"/>
          <w:u w:val="single"/>
          <w:lang w:val="sk-SK"/>
        </w:rPr>
        <w:t xml:space="preserve"> vzťah</w:t>
      </w:r>
    </w:p>
    <w:p w:rsidR="00766D48" w:rsidRPr="00074698" w:rsidRDefault="00766D48" w:rsidP="00766D48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Účinok na histamínom indukovan</w:t>
      </w:r>
      <w:r w:rsidR="00AD4A51">
        <w:rPr>
          <w:sz w:val="22"/>
          <w:szCs w:val="22"/>
          <w:lang w:val="sk-SK"/>
        </w:rPr>
        <w:t>é</w:t>
      </w:r>
      <w:r w:rsidRPr="00074698">
        <w:rPr>
          <w:sz w:val="22"/>
          <w:szCs w:val="22"/>
          <w:lang w:val="sk-SK"/>
        </w:rPr>
        <w:t xml:space="preserve"> kožn</w:t>
      </w:r>
      <w:r w:rsidR="00AD4A51">
        <w:rPr>
          <w:sz w:val="22"/>
          <w:szCs w:val="22"/>
          <w:lang w:val="sk-SK"/>
        </w:rPr>
        <w:t>é</w:t>
      </w:r>
      <w:r w:rsidRPr="00074698">
        <w:rPr>
          <w:sz w:val="22"/>
          <w:szCs w:val="22"/>
          <w:lang w:val="sk-SK"/>
        </w:rPr>
        <w:t xml:space="preserve"> reakci</w:t>
      </w:r>
      <w:r w:rsidR="00AD4A51">
        <w:rPr>
          <w:sz w:val="22"/>
          <w:szCs w:val="22"/>
          <w:lang w:val="sk-SK"/>
        </w:rPr>
        <w:t>e</w:t>
      </w:r>
      <w:r w:rsidRPr="00074698">
        <w:rPr>
          <w:sz w:val="22"/>
          <w:szCs w:val="22"/>
          <w:lang w:val="sk-SK"/>
        </w:rPr>
        <w:t xml:space="preserve"> nie je priamou funkciou plazmatických koncentrácií.</w:t>
      </w:r>
    </w:p>
    <w:p w:rsidR="003D723B" w:rsidRPr="00074698" w:rsidRDefault="003D723B" w:rsidP="009542D3">
      <w:pPr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numPr>
          <w:ilvl w:val="1"/>
          <w:numId w:val="2"/>
        </w:numPr>
        <w:tabs>
          <w:tab w:val="clear" w:pos="705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Predklinické údaje o bezpečnosti</w:t>
      </w:r>
    </w:p>
    <w:p w:rsidR="003D723B" w:rsidRPr="00074698" w:rsidRDefault="003D723B" w:rsidP="009542D3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Predklinické údaje </w:t>
      </w:r>
      <w:r w:rsidR="00766D48" w:rsidRPr="00766D48">
        <w:rPr>
          <w:sz w:val="22"/>
          <w:szCs w:val="22"/>
          <w:lang w:val="sk-SK"/>
        </w:rPr>
        <w:t xml:space="preserve">získané </w:t>
      </w:r>
      <w:r w:rsidRPr="00074698">
        <w:rPr>
          <w:sz w:val="22"/>
          <w:szCs w:val="22"/>
          <w:lang w:val="sk-SK"/>
        </w:rPr>
        <w:t xml:space="preserve">na základe </w:t>
      </w:r>
      <w:r w:rsidR="007F1A12">
        <w:rPr>
          <w:sz w:val="22"/>
          <w:szCs w:val="22"/>
          <w:lang w:val="sk-SK"/>
        </w:rPr>
        <w:t>konvenčných</w:t>
      </w:r>
      <w:r w:rsidR="007F1A12" w:rsidRPr="00074698">
        <w:rPr>
          <w:sz w:val="22"/>
          <w:szCs w:val="22"/>
          <w:lang w:val="sk-SK"/>
        </w:rPr>
        <w:t xml:space="preserve"> </w:t>
      </w:r>
      <w:r w:rsidR="00766D48" w:rsidRPr="00766D48">
        <w:rPr>
          <w:sz w:val="22"/>
          <w:szCs w:val="22"/>
          <w:lang w:val="sk-SK"/>
        </w:rPr>
        <w:t xml:space="preserve">farmakologických </w:t>
      </w:r>
      <w:r w:rsidRPr="00074698">
        <w:rPr>
          <w:sz w:val="22"/>
          <w:szCs w:val="22"/>
          <w:lang w:val="sk-SK"/>
        </w:rPr>
        <w:t>štúdií bezpečnosti, toxicity po opakovanom pod</w:t>
      </w:r>
      <w:r w:rsidR="00766D48">
        <w:rPr>
          <w:sz w:val="22"/>
          <w:szCs w:val="22"/>
          <w:lang w:val="sk-SK"/>
        </w:rPr>
        <w:t>áv</w:t>
      </w:r>
      <w:r w:rsidRPr="00074698">
        <w:rPr>
          <w:sz w:val="22"/>
          <w:szCs w:val="22"/>
          <w:lang w:val="sk-SK"/>
        </w:rPr>
        <w:t>aní</w:t>
      </w:r>
      <w:r w:rsidR="007F1A12">
        <w:rPr>
          <w:sz w:val="22"/>
          <w:szCs w:val="22"/>
          <w:lang w:val="sk-SK"/>
        </w:rPr>
        <w:t>,</w:t>
      </w:r>
      <w:r w:rsidR="007F1A12" w:rsidRPr="00074698">
        <w:rPr>
          <w:sz w:val="22"/>
          <w:szCs w:val="22"/>
          <w:lang w:val="sk-SK"/>
        </w:rPr>
        <w:t xml:space="preserve"> </w:t>
      </w:r>
      <w:proofErr w:type="spellStart"/>
      <w:r w:rsidRPr="00074698">
        <w:rPr>
          <w:sz w:val="22"/>
          <w:szCs w:val="22"/>
          <w:lang w:val="sk-SK"/>
        </w:rPr>
        <w:t>genotoxicity</w:t>
      </w:r>
      <w:proofErr w:type="spellEnd"/>
      <w:r w:rsidR="00051759">
        <w:rPr>
          <w:sz w:val="22"/>
          <w:szCs w:val="22"/>
          <w:lang w:val="sk-SK"/>
        </w:rPr>
        <w:t>,</w:t>
      </w:r>
      <w:r w:rsidR="007F1A12">
        <w:rPr>
          <w:sz w:val="22"/>
          <w:szCs w:val="22"/>
          <w:lang w:val="sk-SK"/>
        </w:rPr>
        <w:t xml:space="preserve"> </w:t>
      </w:r>
      <w:r w:rsidR="00423879">
        <w:rPr>
          <w:sz w:val="22"/>
          <w:szCs w:val="22"/>
          <w:lang w:val="sk-SK"/>
        </w:rPr>
        <w:t>karcinogénneho potenciálu</w:t>
      </w:r>
      <w:r w:rsidR="00723791" w:rsidRPr="00074698">
        <w:rPr>
          <w:sz w:val="22"/>
          <w:szCs w:val="22"/>
          <w:lang w:val="sk-SK"/>
        </w:rPr>
        <w:t>, reprodukčnej toxicity</w:t>
      </w:r>
      <w:r w:rsidRPr="00074698">
        <w:rPr>
          <w:sz w:val="22"/>
          <w:szCs w:val="22"/>
          <w:lang w:val="sk-SK"/>
        </w:rPr>
        <w:t xml:space="preserve"> neodhalili žiadne osobitné riziko pre ľudí.</w:t>
      </w:r>
    </w:p>
    <w:p w:rsidR="000E6301" w:rsidRPr="00074698" w:rsidRDefault="000E6301" w:rsidP="003D723B">
      <w:pPr>
        <w:rPr>
          <w:sz w:val="22"/>
          <w:szCs w:val="22"/>
          <w:lang w:val="sk-SK"/>
        </w:rPr>
      </w:pPr>
    </w:p>
    <w:p w:rsidR="000E6301" w:rsidRPr="00074698" w:rsidRDefault="000E6301" w:rsidP="003D723B">
      <w:pPr>
        <w:rPr>
          <w:sz w:val="22"/>
          <w:szCs w:val="22"/>
          <w:lang w:val="sk-SK"/>
        </w:rPr>
      </w:pP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6.</w:t>
      </w:r>
      <w:r w:rsidRPr="00074698">
        <w:rPr>
          <w:b/>
          <w:sz w:val="22"/>
          <w:szCs w:val="22"/>
          <w:lang w:val="sk-SK"/>
        </w:rPr>
        <w:tab/>
      </w:r>
      <w:r w:rsidRPr="00074698">
        <w:rPr>
          <w:b/>
          <w:caps/>
          <w:sz w:val="22"/>
          <w:szCs w:val="22"/>
          <w:lang w:val="sk-SK"/>
        </w:rPr>
        <w:t>Farmaceutické informácie</w:t>
      </w: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numPr>
          <w:ilvl w:val="1"/>
          <w:numId w:val="5"/>
        </w:numPr>
        <w:tabs>
          <w:tab w:val="clear" w:pos="360"/>
          <w:tab w:val="left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Zoznam pomocných látok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94619A" w:rsidP="003D723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</w:t>
      </w:r>
      <w:r w:rsidR="003D723B" w:rsidRPr="00074698">
        <w:rPr>
          <w:sz w:val="22"/>
          <w:szCs w:val="22"/>
          <w:lang w:val="sk-SK"/>
        </w:rPr>
        <w:t>rihydrát</w:t>
      </w:r>
      <w:proofErr w:type="spellEnd"/>
      <w:r w:rsidR="003D723B" w:rsidRPr="00074698">
        <w:rPr>
          <w:sz w:val="22"/>
          <w:szCs w:val="22"/>
          <w:lang w:val="sk-SK"/>
        </w:rPr>
        <w:t xml:space="preserve"> octanu sodného (na úpravu pH)</w:t>
      </w:r>
    </w:p>
    <w:p w:rsidR="003D723B" w:rsidRPr="00074698" w:rsidRDefault="0094619A" w:rsidP="003D723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3D723B" w:rsidRPr="00074698">
        <w:rPr>
          <w:sz w:val="22"/>
          <w:szCs w:val="22"/>
          <w:lang w:val="sk-SK"/>
        </w:rPr>
        <w:t>yselina octová 98 % (na úpravu pH)</w:t>
      </w:r>
    </w:p>
    <w:p w:rsidR="003D723B" w:rsidRPr="00074698" w:rsidRDefault="0094619A" w:rsidP="003D723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3D723B" w:rsidRPr="00074698">
        <w:rPr>
          <w:sz w:val="22"/>
          <w:szCs w:val="22"/>
          <w:lang w:val="sk-SK"/>
        </w:rPr>
        <w:t>etylparabén</w:t>
      </w:r>
      <w:proofErr w:type="spellEnd"/>
      <w:r w:rsidR="003D723B" w:rsidRPr="00074698">
        <w:rPr>
          <w:sz w:val="22"/>
          <w:szCs w:val="22"/>
          <w:lang w:val="sk-SK"/>
        </w:rPr>
        <w:t xml:space="preserve"> (E218)</w:t>
      </w:r>
      <w:r w:rsidR="003D723B" w:rsidRPr="00074698">
        <w:rPr>
          <w:sz w:val="22"/>
          <w:szCs w:val="22"/>
          <w:lang w:val="sk-SK"/>
        </w:rPr>
        <w:tab/>
      </w:r>
    </w:p>
    <w:p w:rsidR="003D723B" w:rsidRPr="00074698" w:rsidRDefault="0094619A" w:rsidP="003D723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3D723B" w:rsidRPr="00074698">
        <w:rPr>
          <w:sz w:val="22"/>
          <w:szCs w:val="22"/>
          <w:lang w:val="sk-SK"/>
        </w:rPr>
        <w:t>ropylparabén</w:t>
      </w:r>
      <w:proofErr w:type="spellEnd"/>
      <w:r w:rsidR="003D723B" w:rsidRPr="00074698">
        <w:rPr>
          <w:sz w:val="22"/>
          <w:szCs w:val="22"/>
          <w:lang w:val="sk-SK"/>
        </w:rPr>
        <w:t xml:space="preserve"> (E216)</w:t>
      </w:r>
    </w:p>
    <w:p w:rsidR="003D723B" w:rsidRPr="00074698" w:rsidRDefault="0094619A" w:rsidP="003D723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</w:t>
      </w:r>
      <w:r w:rsidR="003D723B" w:rsidRPr="00074698">
        <w:rPr>
          <w:sz w:val="22"/>
          <w:szCs w:val="22"/>
          <w:lang w:val="sk-SK"/>
        </w:rPr>
        <w:t>lycerol</w:t>
      </w:r>
      <w:proofErr w:type="spellEnd"/>
      <w:r w:rsidR="003D723B" w:rsidRPr="00074698">
        <w:rPr>
          <w:sz w:val="22"/>
          <w:szCs w:val="22"/>
          <w:lang w:val="sk-SK"/>
        </w:rPr>
        <w:t xml:space="preserve"> 85 %</w:t>
      </w:r>
    </w:p>
    <w:p w:rsidR="003D723B" w:rsidRPr="00074698" w:rsidRDefault="0094619A" w:rsidP="003D723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766D48">
        <w:rPr>
          <w:sz w:val="22"/>
          <w:szCs w:val="22"/>
          <w:lang w:val="sk-SK"/>
        </w:rPr>
        <w:t xml:space="preserve">ekutý </w:t>
      </w:r>
      <w:proofErr w:type="spellStart"/>
      <w:r w:rsidR="00766D48">
        <w:rPr>
          <w:sz w:val="22"/>
          <w:szCs w:val="22"/>
          <w:lang w:val="sk-SK"/>
        </w:rPr>
        <w:t>m</w:t>
      </w:r>
      <w:r w:rsidR="003D723B" w:rsidRPr="00074698">
        <w:rPr>
          <w:sz w:val="22"/>
          <w:szCs w:val="22"/>
          <w:lang w:val="sk-SK"/>
        </w:rPr>
        <w:t>altitol</w:t>
      </w:r>
      <w:proofErr w:type="spellEnd"/>
      <w:r w:rsidR="003D723B" w:rsidRPr="00074698">
        <w:rPr>
          <w:sz w:val="22"/>
          <w:szCs w:val="22"/>
          <w:lang w:val="sk-SK"/>
        </w:rPr>
        <w:t xml:space="preserve"> (E965)</w:t>
      </w:r>
    </w:p>
    <w:p w:rsidR="003D723B" w:rsidRPr="00074698" w:rsidRDefault="0094619A" w:rsidP="003D723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3D723B" w:rsidRPr="00074698">
        <w:rPr>
          <w:sz w:val="22"/>
          <w:szCs w:val="22"/>
          <w:lang w:val="sk-SK"/>
        </w:rPr>
        <w:t>ihydrát</w:t>
      </w:r>
      <w:proofErr w:type="spellEnd"/>
      <w:r w:rsidR="003D723B" w:rsidRPr="00074698">
        <w:rPr>
          <w:sz w:val="22"/>
          <w:szCs w:val="22"/>
          <w:lang w:val="sk-SK"/>
        </w:rPr>
        <w:t xml:space="preserve"> sodnej soli sacharínu</w:t>
      </w:r>
    </w:p>
    <w:p w:rsidR="003D723B" w:rsidRPr="00074698" w:rsidRDefault="0094619A" w:rsidP="003D723B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3D723B" w:rsidRPr="00074698">
        <w:rPr>
          <w:sz w:val="22"/>
          <w:szCs w:val="22"/>
          <w:lang w:val="sk-SK"/>
        </w:rPr>
        <w:t>vocná aróma</w:t>
      </w:r>
      <w:r w:rsidR="00766D48">
        <w:rPr>
          <w:sz w:val="22"/>
          <w:szCs w:val="22"/>
          <w:lang w:val="sk-SK"/>
        </w:rPr>
        <w:t xml:space="preserve"> obsahuje</w:t>
      </w:r>
      <w:r w:rsidR="003D723B" w:rsidRPr="00074698">
        <w:rPr>
          <w:sz w:val="22"/>
          <w:szCs w:val="22"/>
          <w:lang w:val="sk-SK"/>
        </w:rPr>
        <w:t>: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triacetín</w:t>
      </w:r>
      <w:proofErr w:type="spellEnd"/>
      <w:r w:rsidRPr="00074698">
        <w:rPr>
          <w:sz w:val="22"/>
          <w:szCs w:val="22"/>
          <w:lang w:val="sk-SK"/>
        </w:rPr>
        <w:t xml:space="preserve"> (E1518)</w:t>
      </w:r>
      <w:r w:rsidRPr="00074698">
        <w:rPr>
          <w:sz w:val="22"/>
          <w:szCs w:val="22"/>
          <w:lang w:val="sk-SK"/>
        </w:rPr>
        <w:tab/>
      </w:r>
    </w:p>
    <w:p w:rsidR="003D723B" w:rsidRPr="00764013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benzaldehyd</w:t>
      </w:r>
      <w:proofErr w:type="spellEnd"/>
      <w:r w:rsidRPr="00074698">
        <w:rPr>
          <w:color w:val="FF0000"/>
          <w:sz w:val="22"/>
          <w:szCs w:val="22"/>
          <w:lang w:val="sk-SK"/>
        </w:rPr>
        <w:t xml:space="preserve"> 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  <w:t>silica oplodia sladkého pomaranča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  <w:t>vanilín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etylbutyrát</w:t>
      </w:r>
      <w:proofErr w:type="spellEnd"/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  <w:t>koncentrovaná silica oplodia sladkého pomaranča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="00DC3EC6" w:rsidRPr="00074698">
        <w:rPr>
          <w:sz w:val="22"/>
          <w:szCs w:val="22"/>
          <w:lang w:val="sk-SK"/>
        </w:rPr>
        <w:t>izoamylacetát</w:t>
      </w:r>
      <w:proofErr w:type="spellEnd"/>
      <w:r w:rsidR="00DC3EC6" w:rsidRPr="00074698">
        <w:rPr>
          <w:sz w:val="22"/>
          <w:szCs w:val="22"/>
          <w:lang w:val="sk-SK"/>
        </w:rPr>
        <w:t xml:space="preserve"> 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alylhexanoát</w:t>
      </w:r>
      <w:proofErr w:type="spellEnd"/>
      <w:r w:rsidRPr="00074698">
        <w:rPr>
          <w:sz w:val="22"/>
          <w:szCs w:val="22"/>
          <w:lang w:val="sk-SK"/>
        </w:rPr>
        <w:t xml:space="preserve"> 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gamma-undekalaktón</w:t>
      </w:r>
      <w:proofErr w:type="spellEnd"/>
      <w:r w:rsidRPr="00074698">
        <w:rPr>
          <w:sz w:val="22"/>
          <w:szCs w:val="22"/>
          <w:lang w:val="sk-SK"/>
        </w:rPr>
        <w:t xml:space="preserve"> 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lastRenderedPageBreak/>
        <w:tab/>
      </w:r>
      <w:proofErr w:type="spellStart"/>
      <w:r w:rsidRPr="00074698">
        <w:rPr>
          <w:sz w:val="22"/>
          <w:szCs w:val="22"/>
          <w:lang w:val="sk-SK"/>
        </w:rPr>
        <w:t>citral</w:t>
      </w:r>
      <w:proofErr w:type="spellEnd"/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geraniol</w:t>
      </w:r>
      <w:proofErr w:type="spellEnd"/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citronelová</w:t>
      </w:r>
      <w:proofErr w:type="spellEnd"/>
      <w:r w:rsidRPr="00074698">
        <w:rPr>
          <w:sz w:val="22"/>
          <w:szCs w:val="22"/>
          <w:lang w:val="sk-SK"/>
        </w:rPr>
        <w:t xml:space="preserve"> silica</w:t>
      </w:r>
    </w:p>
    <w:p w:rsidR="003D723B" w:rsidRPr="00074698" w:rsidRDefault="003D723B" w:rsidP="003D723B">
      <w:pPr>
        <w:tabs>
          <w:tab w:val="left" w:pos="567"/>
        </w:tabs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ab/>
      </w:r>
      <w:proofErr w:type="spellStart"/>
      <w:r w:rsidRPr="00074698">
        <w:rPr>
          <w:sz w:val="22"/>
          <w:szCs w:val="22"/>
          <w:lang w:val="sk-SK"/>
        </w:rPr>
        <w:t>tokoferol</w:t>
      </w:r>
      <w:proofErr w:type="spellEnd"/>
      <w:r w:rsidRPr="00074698">
        <w:rPr>
          <w:sz w:val="22"/>
          <w:szCs w:val="22"/>
          <w:lang w:val="sk-SK"/>
        </w:rPr>
        <w:t xml:space="preserve"> alfa (E307)</w:t>
      </w:r>
    </w:p>
    <w:p w:rsidR="003D723B" w:rsidRPr="00074698" w:rsidRDefault="0094619A" w:rsidP="006E46C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9542D3" w:rsidRPr="00074698">
        <w:rPr>
          <w:sz w:val="22"/>
          <w:szCs w:val="22"/>
          <w:lang w:val="sk-SK"/>
        </w:rPr>
        <w:t>istená voda</w:t>
      </w: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6.2</w:t>
      </w:r>
      <w:r w:rsidRPr="00074698">
        <w:rPr>
          <w:b/>
          <w:sz w:val="22"/>
          <w:szCs w:val="22"/>
          <w:lang w:val="sk-SK"/>
        </w:rPr>
        <w:tab/>
        <w:t>Inkompatibility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pStyle w:val="Zarkazkladnhotextu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74698">
        <w:rPr>
          <w:rFonts w:ascii="Times New Roman" w:hAnsi="Times New Roman" w:cs="Times New Roman"/>
          <w:sz w:val="22"/>
          <w:szCs w:val="22"/>
          <w:lang w:val="sk-SK"/>
        </w:rPr>
        <w:t>Neaplikovateľné.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6.3</w:t>
      </w:r>
      <w:r w:rsidRPr="00074698">
        <w:rPr>
          <w:b/>
          <w:sz w:val="22"/>
          <w:szCs w:val="22"/>
          <w:lang w:val="sk-SK"/>
        </w:rPr>
        <w:tab/>
        <w:t>Čas použiteľnosti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2</w:t>
      </w:r>
      <w:r w:rsidR="00766D48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 xml:space="preserve">roky </w:t>
      </w:r>
    </w:p>
    <w:p w:rsidR="003D723B" w:rsidRPr="00074698" w:rsidRDefault="00766D48" w:rsidP="009542D3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 prvom otvorení: </w:t>
      </w:r>
      <w:r w:rsidR="003D723B" w:rsidRPr="00074698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 </w:t>
      </w:r>
      <w:r w:rsidR="003D723B" w:rsidRPr="00074698">
        <w:rPr>
          <w:sz w:val="22"/>
          <w:szCs w:val="22"/>
          <w:lang w:val="sk-SK"/>
        </w:rPr>
        <w:t xml:space="preserve">mesiace. </w:t>
      </w:r>
    </w:p>
    <w:p w:rsidR="003D723B" w:rsidRPr="00074698" w:rsidRDefault="003D723B" w:rsidP="009542D3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6.4</w:t>
      </w:r>
      <w:r w:rsidRPr="00074698">
        <w:rPr>
          <w:b/>
          <w:sz w:val="22"/>
          <w:szCs w:val="22"/>
          <w:lang w:val="sk-SK"/>
        </w:rPr>
        <w:tab/>
        <w:t>Špeciálne upozornenia na uchovávanie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Tento liek nevyžaduje žiadne zvláštne podmienky na uchovávanie.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6.5</w:t>
      </w:r>
      <w:r w:rsidRPr="00074698">
        <w:rPr>
          <w:b/>
          <w:sz w:val="22"/>
          <w:szCs w:val="22"/>
          <w:lang w:val="sk-SK"/>
        </w:rPr>
        <w:tab/>
        <w:t>Druh obalu a obsah balenia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7F1A12" w:rsidRDefault="0073679E" w:rsidP="009542D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3D723B" w:rsidRPr="00074698">
        <w:rPr>
          <w:sz w:val="22"/>
          <w:szCs w:val="22"/>
          <w:lang w:val="sk-SK"/>
        </w:rPr>
        <w:t xml:space="preserve">ľaša (sklo typu III) jantárovej farby, uzavretá bielym polypropylénovým uzáverom bezpečným </w:t>
      </w:r>
    </w:p>
    <w:p w:rsidR="007F1A12" w:rsidRDefault="003D723B" w:rsidP="009D2E48">
      <w:pPr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pre deti v papierovej </w:t>
      </w:r>
      <w:r w:rsidR="0094619A">
        <w:rPr>
          <w:sz w:val="22"/>
          <w:szCs w:val="22"/>
          <w:lang w:val="sk-SK"/>
        </w:rPr>
        <w:t>škatuľke,</w:t>
      </w:r>
      <w:r w:rsidRPr="00074698">
        <w:rPr>
          <w:sz w:val="22"/>
          <w:szCs w:val="22"/>
          <w:lang w:val="sk-SK"/>
        </w:rPr>
        <w:t xml:space="preserve"> ktorá tiež obsahuje 10</w:t>
      </w:r>
      <w:r w:rsidR="0073679E">
        <w:rPr>
          <w:sz w:val="22"/>
          <w:szCs w:val="22"/>
          <w:lang w:val="sk-SK"/>
        </w:rPr>
        <w:t> </w:t>
      </w:r>
      <w:r w:rsidRPr="00074698">
        <w:rPr>
          <w:sz w:val="22"/>
          <w:szCs w:val="22"/>
          <w:lang w:val="sk-SK"/>
        </w:rPr>
        <w:t>ml perorálnu striekačku</w:t>
      </w:r>
      <w:r w:rsidR="009D2E48">
        <w:rPr>
          <w:sz w:val="22"/>
          <w:szCs w:val="22"/>
          <w:lang w:val="sk-SK"/>
        </w:rPr>
        <w:t xml:space="preserve"> </w:t>
      </w:r>
      <w:r w:rsidRPr="00074698">
        <w:rPr>
          <w:sz w:val="22"/>
          <w:szCs w:val="22"/>
          <w:lang w:val="sk-SK"/>
        </w:rPr>
        <w:t xml:space="preserve"> </w:t>
      </w:r>
      <w:r w:rsidR="0073679E">
        <w:rPr>
          <w:sz w:val="22"/>
          <w:szCs w:val="22"/>
          <w:lang w:val="sk-SK"/>
        </w:rPr>
        <w:t xml:space="preserve">kalibrovanú </w:t>
      </w:r>
    </w:p>
    <w:p w:rsidR="003D723B" w:rsidRDefault="0073679E" w:rsidP="009D2E4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 0,25 ml </w:t>
      </w:r>
      <w:r w:rsidR="003D723B" w:rsidRPr="00074698">
        <w:rPr>
          <w:sz w:val="22"/>
          <w:szCs w:val="22"/>
          <w:lang w:val="sk-SK"/>
        </w:rPr>
        <w:t xml:space="preserve">(polyetylén, polystyrén).  </w:t>
      </w:r>
    </w:p>
    <w:p w:rsidR="0073679E" w:rsidRDefault="0073679E" w:rsidP="009542D3">
      <w:pPr>
        <w:rPr>
          <w:sz w:val="22"/>
          <w:szCs w:val="22"/>
          <w:lang w:val="sk-SK"/>
        </w:rPr>
      </w:pPr>
    </w:p>
    <w:p w:rsidR="0073679E" w:rsidRDefault="0073679E" w:rsidP="009542D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Veľkos</w:t>
      </w:r>
      <w:r w:rsidR="004C7CD0">
        <w:rPr>
          <w:sz w:val="22"/>
          <w:szCs w:val="22"/>
          <w:lang w:val="sk-SK"/>
        </w:rPr>
        <w:t>ti</w:t>
      </w:r>
      <w:r>
        <w:rPr>
          <w:sz w:val="22"/>
          <w:szCs w:val="22"/>
          <w:lang w:val="sk-SK"/>
        </w:rPr>
        <w:t xml:space="preserve"> balenia: </w:t>
      </w:r>
      <w:r w:rsidR="00110B28">
        <w:rPr>
          <w:sz w:val="22"/>
          <w:szCs w:val="22"/>
          <w:lang w:val="sk-SK"/>
        </w:rPr>
        <w:t>75 ml, 150 ml</w:t>
      </w:r>
      <w:r w:rsidR="001B16EB">
        <w:rPr>
          <w:sz w:val="22"/>
          <w:szCs w:val="22"/>
          <w:lang w:val="sk-SK"/>
        </w:rPr>
        <w:t xml:space="preserve"> a</w:t>
      </w:r>
      <w:r w:rsidR="00110B2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200 ml.</w:t>
      </w:r>
    </w:p>
    <w:p w:rsidR="00110B28" w:rsidRDefault="00110B28" w:rsidP="009542D3">
      <w:pPr>
        <w:rPr>
          <w:sz w:val="22"/>
          <w:szCs w:val="22"/>
          <w:lang w:val="sk-SK"/>
        </w:rPr>
      </w:pPr>
    </w:p>
    <w:p w:rsidR="00110B28" w:rsidRPr="00074698" w:rsidRDefault="00110B28" w:rsidP="009542D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balenia.</w:t>
      </w:r>
    </w:p>
    <w:p w:rsidR="003D723B" w:rsidRPr="00074698" w:rsidRDefault="003D723B" w:rsidP="009542D3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9542D3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>6.6</w:t>
      </w:r>
      <w:r w:rsidRPr="00074698">
        <w:rPr>
          <w:b/>
          <w:sz w:val="22"/>
          <w:szCs w:val="22"/>
          <w:lang w:val="sk-SK"/>
        </w:rPr>
        <w:tab/>
      </w:r>
      <w:r w:rsidRPr="00074698">
        <w:rPr>
          <w:b/>
          <w:bCs/>
          <w:sz w:val="22"/>
          <w:szCs w:val="22"/>
          <w:lang w:val="sk-SK"/>
        </w:rPr>
        <w:t>Špeciálne opatrenia na likvidáciu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Žiadne zvláštne požiadavky.</w:t>
      </w:r>
    </w:p>
    <w:p w:rsidR="003D723B" w:rsidRDefault="003D723B" w:rsidP="003D723B">
      <w:pPr>
        <w:jc w:val="both"/>
        <w:rPr>
          <w:sz w:val="22"/>
          <w:szCs w:val="22"/>
          <w:lang w:val="sk-SK"/>
        </w:rPr>
      </w:pPr>
    </w:p>
    <w:p w:rsidR="007F1A12" w:rsidRPr="00074698" w:rsidRDefault="007F1A12" w:rsidP="00B13124">
      <w:pPr>
        <w:rPr>
          <w:sz w:val="22"/>
          <w:szCs w:val="22"/>
          <w:lang w:val="sk-SK"/>
        </w:rPr>
      </w:pPr>
      <w:r w:rsidRPr="00183976">
        <w:rPr>
          <w:sz w:val="22"/>
          <w:lang w:val="sk-SK"/>
        </w:rPr>
        <w:t>Vše</w:t>
      </w:r>
      <w:r>
        <w:rPr>
          <w:sz w:val="22"/>
          <w:lang w:val="sk-SK"/>
        </w:rPr>
        <w:t>tok n</w:t>
      </w:r>
      <w:r w:rsidRPr="00D31737">
        <w:rPr>
          <w:sz w:val="22"/>
          <w:lang w:val="sk-SK"/>
        </w:rPr>
        <w:t xml:space="preserve">epoužitý liek alebo odpad vzniknutý z lieku </w:t>
      </w:r>
      <w:r>
        <w:rPr>
          <w:sz w:val="22"/>
          <w:lang w:val="sk-SK"/>
        </w:rPr>
        <w:t xml:space="preserve">sa </w:t>
      </w:r>
      <w:r w:rsidRPr="00D31737">
        <w:rPr>
          <w:sz w:val="22"/>
          <w:lang w:val="sk-SK"/>
        </w:rPr>
        <w:t>má zlikvidova</w:t>
      </w:r>
      <w:r>
        <w:rPr>
          <w:sz w:val="22"/>
          <w:lang w:val="sk-SK"/>
        </w:rPr>
        <w:t>ť</w:t>
      </w:r>
      <w:r w:rsidRPr="00D31737">
        <w:rPr>
          <w:sz w:val="22"/>
          <w:lang w:val="sk-SK"/>
        </w:rPr>
        <w:t xml:space="preserve"> v súlade s národnými požiadavkami</w:t>
      </w:r>
      <w:r>
        <w:rPr>
          <w:sz w:val="22"/>
          <w:lang w:val="sk-SK"/>
        </w:rPr>
        <w:t>.</w:t>
      </w:r>
    </w:p>
    <w:p w:rsidR="007F1A12" w:rsidRPr="00074698" w:rsidRDefault="007F1A12" w:rsidP="003D723B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 xml:space="preserve">7. </w:t>
      </w:r>
      <w:r w:rsidRPr="00074698">
        <w:rPr>
          <w:b/>
          <w:sz w:val="22"/>
          <w:szCs w:val="22"/>
          <w:lang w:val="sk-SK"/>
        </w:rPr>
        <w:tab/>
        <w:t>DRŽITEĽ ROZHODNUTIA O REGISTRÁCII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UCB s.r.o.</w:t>
      </w:r>
    </w:p>
    <w:p w:rsidR="00F9185B" w:rsidRPr="00074698" w:rsidRDefault="00F9185B" w:rsidP="00F9185B">
      <w:pPr>
        <w:jc w:val="both"/>
        <w:rPr>
          <w:sz w:val="22"/>
          <w:szCs w:val="22"/>
          <w:lang w:val="sk-SK"/>
        </w:rPr>
      </w:pPr>
      <w:proofErr w:type="spellStart"/>
      <w:r w:rsidRPr="00074698">
        <w:rPr>
          <w:sz w:val="22"/>
          <w:szCs w:val="22"/>
          <w:lang w:val="sk-SK"/>
        </w:rPr>
        <w:t>Thámova</w:t>
      </w:r>
      <w:proofErr w:type="spellEnd"/>
      <w:r w:rsidRPr="00074698">
        <w:rPr>
          <w:sz w:val="22"/>
          <w:szCs w:val="22"/>
          <w:lang w:val="sk-SK"/>
        </w:rPr>
        <w:t xml:space="preserve"> 11-13</w:t>
      </w:r>
    </w:p>
    <w:p w:rsidR="003D723B" w:rsidRPr="00074698" w:rsidRDefault="00F9185B" w:rsidP="00F9185B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 xml:space="preserve">186 00 </w:t>
      </w:r>
      <w:r w:rsidR="003D723B" w:rsidRPr="00074698">
        <w:rPr>
          <w:sz w:val="22"/>
          <w:szCs w:val="22"/>
          <w:lang w:val="sk-SK"/>
        </w:rPr>
        <w:t xml:space="preserve">Praha </w:t>
      </w:r>
      <w:r w:rsidRPr="00074698">
        <w:rPr>
          <w:sz w:val="22"/>
          <w:szCs w:val="22"/>
          <w:lang w:val="sk-SK"/>
        </w:rPr>
        <w:t>8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Česká republika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5C1FBE" w:rsidRDefault="005C1FBE">
      <w:pPr>
        <w:rPr>
          <w:b/>
          <w:caps/>
          <w:sz w:val="22"/>
          <w:szCs w:val="22"/>
          <w:lang w:val="sk-SK"/>
        </w:rPr>
      </w:pPr>
      <w:r>
        <w:rPr>
          <w:b/>
          <w:caps/>
          <w:sz w:val="22"/>
          <w:szCs w:val="22"/>
          <w:lang w:val="sk-SK"/>
        </w:rPr>
        <w:br w:type="page"/>
      </w:r>
    </w:p>
    <w:p w:rsidR="003D723B" w:rsidRPr="00074698" w:rsidRDefault="003D723B" w:rsidP="003D723B">
      <w:pPr>
        <w:tabs>
          <w:tab w:val="left" w:pos="567"/>
        </w:tabs>
        <w:jc w:val="both"/>
        <w:rPr>
          <w:b/>
          <w:caps/>
          <w:sz w:val="22"/>
          <w:szCs w:val="22"/>
          <w:lang w:val="sk-SK"/>
        </w:rPr>
      </w:pPr>
      <w:r w:rsidRPr="00074698">
        <w:rPr>
          <w:b/>
          <w:caps/>
          <w:sz w:val="22"/>
          <w:szCs w:val="22"/>
          <w:lang w:val="sk-SK"/>
        </w:rPr>
        <w:lastRenderedPageBreak/>
        <w:t xml:space="preserve">8. </w:t>
      </w:r>
      <w:r w:rsidRPr="00074698">
        <w:rPr>
          <w:b/>
          <w:caps/>
          <w:sz w:val="22"/>
          <w:szCs w:val="22"/>
          <w:lang w:val="sk-SK"/>
        </w:rPr>
        <w:tab/>
        <w:t>Registračné číslo</w:t>
      </w:r>
    </w:p>
    <w:p w:rsidR="003D723B" w:rsidRPr="00074698" w:rsidRDefault="003D723B" w:rsidP="003D723B">
      <w:pPr>
        <w:jc w:val="both"/>
        <w:rPr>
          <w:bCs/>
          <w:caps/>
          <w:sz w:val="22"/>
          <w:szCs w:val="22"/>
          <w:lang w:val="sk-SK"/>
        </w:rPr>
      </w:pPr>
    </w:p>
    <w:p w:rsidR="003D723B" w:rsidRPr="00074698" w:rsidRDefault="003D723B" w:rsidP="003D723B">
      <w:pPr>
        <w:jc w:val="both"/>
        <w:rPr>
          <w:sz w:val="22"/>
          <w:szCs w:val="22"/>
          <w:lang w:val="sk-SK"/>
        </w:rPr>
      </w:pPr>
      <w:r w:rsidRPr="00074698">
        <w:rPr>
          <w:sz w:val="22"/>
          <w:szCs w:val="22"/>
          <w:lang w:val="sk-SK"/>
        </w:rPr>
        <w:t>24/0261/06-S</w:t>
      </w: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 xml:space="preserve">9. </w:t>
      </w:r>
      <w:r w:rsidRPr="00074698">
        <w:rPr>
          <w:b/>
          <w:sz w:val="22"/>
          <w:szCs w:val="22"/>
          <w:lang w:val="sk-SK"/>
        </w:rPr>
        <w:tab/>
        <w:t>DÁTUM PRVEJ REGISTRÁCIE/ PREDĹŽENI</w:t>
      </w:r>
      <w:r w:rsidR="0073679E">
        <w:rPr>
          <w:b/>
          <w:sz w:val="22"/>
          <w:szCs w:val="22"/>
          <w:lang w:val="sk-SK"/>
        </w:rPr>
        <w:t>A</w:t>
      </w:r>
      <w:r w:rsidRPr="00074698">
        <w:rPr>
          <w:b/>
          <w:sz w:val="22"/>
          <w:szCs w:val="22"/>
          <w:lang w:val="sk-SK"/>
        </w:rPr>
        <w:t xml:space="preserve"> REGISTRÁCIE</w:t>
      </w:r>
    </w:p>
    <w:p w:rsidR="003D723B" w:rsidRPr="00074698" w:rsidRDefault="003D723B" w:rsidP="003D723B">
      <w:pPr>
        <w:jc w:val="both"/>
        <w:rPr>
          <w:bCs/>
          <w:sz w:val="22"/>
          <w:szCs w:val="22"/>
          <w:lang w:val="sk-SK"/>
        </w:rPr>
      </w:pPr>
    </w:p>
    <w:p w:rsidR="003D723B" w:rsidRPr="00074698" w:rsidRDefault="0073679E" w:rsidP="003D723B">
      <w:pPr>
        <w:jc w:val="both"/>
        <w:rPr>
          <w:bCs/>
          <w:sz w:val="22"/>
          <w:szCs w:val="22"/>
          <w:lang w:val="sk-SK"/>
        </w:rPr>
      </w:pPr>
      <w:r w:rsidRPr="0073679E">
        <w:rPr>
          <w:bCs/>
          <w:sz w:val="22"/>
          <w:szCs w:val="22"/>
          <w:lang w:val="sk-SK"/>
        </w:rPr>
        <w:t>Dátum prvej registrácie:</w:t>
      </w:r>
      <w:r>
        <w:rPr>
          <w:bCs/>
          <w:sz w:val="22"/>
          <w:szCs w:val="22"/>
          <w:lang w:val="sk-SK"/>
        </w:rPr>
        <w:t xml:space="preserve"> </w:t>
      </w:r>
      <w:r w:rsidR="003D723B" w:rsidRPr="00074698">
        <w:rPr>
          <w:bCs/>
          <w:sz w:val="22"/>
          <w:szCs w:val="22"/>
          <w:lang w:val="sk-SK"/>
        </w:rPr>
        <w:t>21.6.2006</w:t>
      </w:r>
    </w:p>
    <w:p w:rsidR="003D723B" w:rsidRPr="00764013" w:rsidRDefault="0073679E" w:rsidP="003D723B">
      <w:pPr>
        <w:jc w:val="both"/>
        <w:rPr>
          <w:sz w:val="22"/>
          <w:szCs w:val="22"/>
          <w:lang w:val="sk-SK"/>
        </w:rPr>
      </w:pPr>
      <w:r w:rsidRPr="00C57917">
        <w:rPr>
          <w:sz w:val="22"/>
          <w:szCs w:val="22"/>
          <w:lang w:val="sk-SK"/>
        </w:rPr>
        <w:t>Dátum posledného predĺženia registrácie:</w:t>
      </w:r>
      <w:r w:rsidR="007F1A12">
        <w:rPr>
          <w:sz w:val="22"/>
          <w:szCs w:val="22"/>
          <w:lang w:val="sk-SK"/>
        </w:rPr>
        <w:t xml:space="preserve"> 26.3.2015</w:t>
      </w:r>
    </w:p>
    <w:p w:rsidR="0073679E" w:rsidRPr="00074698" w:rsidRDefault="0073679E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jc w:val="both"/>
        <w:rPr>
          <w:b/>
          <w:sz w:val="22"/>
          <w:szCs w:val="22"/>
          <w:lang w:val="sk-SK"/>
        </w:rPr>
      </w:pPr>
    </w:p>
    <w:p w:rsidR="003D723B" w:rsidRPr="00074698" w:rsidRDefault="003D723B" w:rsidP="003D723B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74698">
        <w:rPr>
          <w:b/>
          <w:sz w:val="22"/>
          <w:szCs w:val="22"/>
          <w:lang w:val="sk-SK"/>
        </w:rPr>
        <w:t xml:space="preserve">10. </w:t>
      </w:r>
      <w:r w:rsidRPr="00074698">
        <w:rPr>
          <w:b/>
          <w:sz w:val="22"/>
          <w:szCs w:val="22"/>
          <w:lang w:val="sk-SK"/>
        </w:rPr>
        <w:tab/>
        <w:t>DÁTUM REVÍZIE TEXTU</w:t>
      </w:r>
    </w:p>
    <w:p w:rsidR="003D723B" w:rsidRPr="00074698" w:rsidRDefault="003D723B" w:rsidP="009542D3">
      <w:pPr>
        <w:jc w:val="both"/>
        <w:rPr>
          <w:sz w:val="22"/>
          <w:szCs w:val="22"/>
          <w:lang w:val="sk-SK"/>
        </w:rPr>
      </w:pPr>
    </w:p>
    <w:p w:rsidR="003A5ABD" w:rsidRPr="00DE56DC" w:rsidRDefault="0086118C" w:rsidP="003A5AB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Október</w:t>
      </w:r>
      <w:bookmarkStart w:id="1" w:name="_GoBack"/>
      <w:bookmarkEnd w:id="1"/>
      <w:r w:rsidR="00EC79AE">
        <w:rPr>
          <w:sz w:val="22"/>
          <w:szCs w:val="22"/>
          <w:lang w:val="sk-SK"/>
        </w:rPr>
        <w:t xml:space="preserve"> </w:t>
      </w:r>
      <w:r w:rsidR="003A5ABD">
        <w:rPr>
          <w:sz w:val="22"/>
          <w:szCs w:val="22"/>
          <w:lang w:val="sk-SK"/>
        </w:rPr>
        <w:t>2018</w:t>
      </w:r>
    </w:p>
    <w:p w:rsidR="004F71F4" w:rsidRPr="00074698" w:rsidRDefault="004F71F4">
      <w:pPr>
        <w:rPr>
          <w:sz w:val="22"/>
          <w:szCs w:val="22"/>
          <w:lang w:val="sk-SK"/>
        </w:rPr>
      </w:pPr>
    </w:p>
    <w:sectPr w:rsidR="004F71F4" w:rsidRPr="00074698" w:rsidSect="00764013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37" w:footer="737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84" w:rsidRDefault="00640284" w:rsidP="000E5A13">
      <w:r>
        <w:separator/>
      </w:r>
    </w:p>
  </w:endnote>
  <w:endnote w:type="continuationSeparator" w:id="0">
    <w:p w:rsidR="00640284" w:rsidRDefault="00640284" w:rsidP="000E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D6" w:rsidRDefault="00515AD6" w:rsidP="00E50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15AD6" w:rsidRDefault="00515A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D6" w:rsidRPr="00E43F54" w:rsidRDefault="00515AD6" w:rsidP="00E50FE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43F54">
      <w:rPr>
        <w:rStyle w:val="slostrany"/>
        <w:sz w:val="18"/>
        <w:szCs w:val="18"/>
      </w:rPr>
      <w:fldChar w:fldCharType="begin"/>
    </w:r>
    <w:r w:rsidRPr="00E43F54">
      <w:rPr>
        <w:rStyle w:val="slostrany"/>
        <w:sz w:val="18"/>
        <w:szCs w:val="18"/>
      </w:rPr>
      <w:instrText xml:space="preserve">PAGE  </w:instrText>
    </w:r>
    <w:r w:rsidRPr="00E43F54">
      <w:rPr>
        <w:rStyle w:val="slostrany"/>
        <w:sz w:val="18"/>
        <w:szCs w:val="18"/>
      </w:rPr>
      <w:fldChar w:fldCharType="separate"/>
    </w:r>
    <w:r w:rsidR="0086118C">
      <w:rPr>
        <w:rStyle w:val="slostrany"/>
        <w:noProof/>
        <w:sz w:val="18"/>
        <w:szCs w:val="18"/>
      </w:rPr>
      <w:t>11</w:t>
    </w:r>
    <w:r w:rsidRPr="00E43F54">
      <w:rPr>
        <w:rStyle w:val="slostrany"/>
        <w:sz w:val="18"/>
        <w:szCs w:val="18"/>
      </w:rPr>
      <w:fldChar w:fldCharType="end"/>
    </w:r>
  </w:p>
  <w:p w:rsidR="00515AD6" w:rsidRDefault="00515A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84" w:rsidRDefault="00640284" w:rsidP="000E5A13">
      <w:r>
        <w:separator/>
      </w:r>
    </w:p>
  </w:footnote>
  <w:footnote w:type="continuationSeparator" w:id="0">
    <w:p w:rsidR="00640284" w:rsidRDefault="00640284" w:rsidP="000E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09F" w:rsidRPr="00DE709F" w:rsidRDefault="00DE709F" w:rsidP="00DE709F">
    <w:pPr>
      <w:rPr>
        <w:lang w:val="sk-SK"/>
      </w:rPr>
    </w:pPr>
    <w:proofErr w:type="spellStart"/>
    <w:r w:rsidRPr="00DE709F">
      <w:rPr>
        <w:sz w:val="18"/>
        <w:szCs w:val="18"/>
      </w:rPr>
      <w:t>Príloha</w:t>
    </w:r>
    <w:proofErr w:type="spellEnd"/>
    <w:r w:rsidRPr="00DE709F">
      <w:rPr>
        <w:sz w:val="18"/>
        <w:szCs w:val="18"/>
      </w:rPr>
      <w:t xml:space="preserve"> č. 1 k </w:t>
    </w:r>
    <w:proofErr w:type="spellStart"/>
    <w:r w:rsidRPr="00DE709F">
      <w:rPr>
        <w:sz w:val="18"/>
        <w:szCs w:val="18"/>
      </w:rPr>
      <w:t>notifikácii</w:t>
    </w:r>
    <w:proofErr w:type="spellEnd"/>
    <w:r w:rsidRPr="00DE709F">
      <w:rPr>
        <w:sz w:val="18"/>
        <w:szCs w:val="18"/>
      </w:rPr>
      <w:t xml:space="preserve"> o </w:t>
    </w:r>
    <w:proofErr w:type="spellStart"/>
    <w:r w:rsidRPr="00DE709F">
      <w:rPr>
        <w:sz w:val="18"/>
        <w:szCs w:val="18"/>
      </w:rPr>
      <w:t>zmene</w:t>
    </w:r>
    <w:proofErr w:type="spellEnd"/>
    <w:r w:rsidRPr="00DE709F">
      <w:rPr>
        <w:sz w:val="18"/>
        <w:szCs w:val="18"/>
      </w:rPr>
      <w:t>, ev. č.: 2018/04333-ZIA</w:t>
    </w:r>
  </w:p>
  <w:p w:rsidR="00924DFF" w:rsidRPr="0086118C" w:rsidRDefault="00924DFF" w:rsidP="003A5ABD">
    <w:pPr>
      <w:pStyle w:val="Normlnywebov"/>
      <w:spacing w:before="0" w:beforeAutospacing="0" w:after="0" w:afterAutospacing="0"/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D32"/>
    <w:multiLevelType w:val="hybridMultilevel"/>
    <w:tmpl w:val="F064B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45F7E"/>
    <w:multiLevelType w:val="hybridMultilevel"/>
    <w:tmpl w:val="464E76E2"/>
    <w:lvl w:ilvl="0" w:tplc="041B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">
    <w:nsid w:val="2B5A64AD"/>
    <w:multiLevelType w:val="multilevel"/>
    <w:tmpl w:val="079AED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CC2D78"/>
    <w:multiLevelType w:val="multilevel"/>
    <w:tmpl w:val="0388C268"/>
    <w:lvl w:ilvl="0">
      <w:start w:val="4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BE341C8"/>
    <w:multiLevelType w:val="multilevel"/>
    <w:tmpl w:val="23C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4E267BD"/>
    <w:multiLevelType w:val="hybridMultilevel"/>
    <w:tmpl w:val="63F66540"/>
    <w:lvl w:ilvl="0" w:tplc="EC98195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B4C1982"/>
    <w:multiLevelType w:val="hybridMultilevel"/>
    <w:tmpl w:val="6DFCF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464CD"/>
    <w:multiLevelType w:val="hybridMultilevel"/>
    <w:tmpl w:val="60AC2756"/>
    <w:lvl w:ilvl="0" w:tplc="F9DE5F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B76DE"/>
    <w:multiLevelType w:val="multilevel"/>
    <w:tmpl w:val="E91217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PC">
    <w15:presenceInfo w15:providerId="None" w15:userId="User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NDczNTMyNTc0MDFQ0lEKTi0uzszPAykwNK4FAFjS7rktAAAA"/>
  </w:docVars>
  <w:rsids>
    <w:rsidRoot w:val="003D723B"/>
    <w:rsid w:val="00000462"/>
    <w:rsid w:val="00000B93"/>
    <w:rsid w:val="00001856"/>
    <w:rsid w:val="00002400"/>
    <w:rsid w:val="000075AA"/>
    <w:rsid w:val="00007B41"/>
    <w:rsid w:val="0001046C"/>
    <w:rsid w:val="000146D7"/>
    <w:rsid w:val="00016686"/>
    <w:rsid w:val="000248B3"/>
    <w:rsid w:val="000252BA"/>
    <w:rsid w:val="00025F2E"/>
    <w:rsid w:val="00026C85"/>
    <w:rsid w:val="00026C90"/>
    <w:rsid w:val="00027E08"/>
    <w:rsid w:val="00030DC2"/>
    <w:rsid w:val="00031778"/>
    <w:rsid w:val="00032B53"/>
    <w:rsid w:val="00033EE6"/>
    <w:rsid w:val="00035160"/>
    <w:rsid w:val="00035944"/>
    <w:rsid w:val="000379EF"/>
    <w:rsid w:val="00040232"/>
    <w:rsid w:val="00043C83"/>
    <w:rsid w:val="000446CD"/>
    <w:rsid w:val="00045C02"/>
    <w:rsid w:val="00046884"/>
    <w:rsid w:val="00050266"/>
    <w:rsid w:val="00050B01"/>
    <w:rsid w:val="00051759"/>
    <w:rsid w:val="00052D7C"/>
    <w:rsid w:val="00054D85"/>
    <w:rsid w:val="0005571F"/>
    <w:rsid w:val="00055DD6"/>
    <w:rsid w:val="00061D20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4698"/>
    <w:rsid w:val="00075BF7"/>
    <w:rsid w:val="00075C2A"/>
    <w:rsid w:val="00075F23"/>
    <w:rsid w:val="00077C95"/>
    <w:rsid w:val="00080C3A"/>
    <w:rsid w:val="00081D20"/>
    <w:rsid w:val="0008664C"/>
    <w:rsid w:val="00087401"/>
    <w:rsid w:val="000910F5"/>
    <w:rsid w:val="00092B92"/>
    <w:rsid w:val="00093129"/>
    <w:rsid w:val="00094357"/>
    <w:rsid w:val="0009661A"/>
    <w:rsid w:val="0009678A"/>
    <w:rsid w:val="00096AD6"/>
    <w:rsid w:val="00096B70"/>
    <w:rsid w:val="00097BC7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1C82"/>
    <w:rsid w:val="000C5290"/>
    <w:rsid w:val="000C6748"/>
    <w:rsid w:val="000C6B19"/>
    <w:rsid w:val="000C7527"/>
    <w:rsid w:val="000C781B"/>
    <w:rsid w:val="000D2646"/>
    <w:rsid w:val="000D2883"/>
    <w:rsid w:val="000D38CF"/>
    <w:rsid w:val="000D4D6B"/>
    <w:rsid w:val="000E0F80"/>
    <w:rsid w:val="000E3BF5"/>
    <w:rsid w:val="000E5A13"/>
    <w:rsid w:val="000E6301"/>
    <w:rsid w:val="000E7FC7"/>
    <w:rsid w:val="000F0A2B"/>
    <w:rsid w:val="000F2291"/>
    <w:rsid w:val="000F3DAD"/>
    <w:rsid w:val="000F40A1"/>
    <w:rsid w:val="000F46F0"/>
    <w:rsid w:val="000F5432"/>
    <w:rsid w:val="000F79F4"/>
    <w:rsid w:val="00102FCE"/>
    <w:rsid w:val="00104FAC"/>
    <w:rsid w:val="00105C0D"/>
    <w:rsid w:val="001065FD"/>
    <w:rsid w:val="00107736"/>
    <w:rsid w:val="001078ED"/>
    <w:rsid w:val="00110B28"/>
    <w:rsid w:val="00110CCE"/>
    <w:rsid w:val="00111030"/>
    <w:rsid w:val="00112FD2"/>
    <w:rsid w:val="001153E8"/>
    <w:rsid w:val="00115A36"/>
    <w:rsid w:val="0011664B"/>
    <w:rsid w:val="00117205"/>
    <w:rsid w:val="00117694"/>
    <w:rsid w:val="00117EFB"/>
    <w:rsid w:val="001205E7"/>
    <w:rsid w:val="00121323"/>
    <w:rsid w:val="00121828"/>
    <w:rsid w:val="00126419"/>
    <w:rsid w:val="00127842"/>
    <w:rsid w:val="001364DE"/>
    <w:rsid w:val="00137B06"/>
    <w:rsid w:val="00137EBB"/>
    <w:rsid w:val="0014124F"/>
    <w:rsid w:val="0014444B"/>
    <w:rsid w:val="001458AD"/>
    <w:rsid w:val="00151731"/>
    <w:rsid w:val="0015202F"/>
    <w:rsid w:val="00152BB9"/>
    <w:rsid w:val="00152E3D"/>
    <w:rsid w:val="0015365A"/>
    <w:rsid w:val="001543DA"/>
    <w:rsid w:val="00154A5B"/>
    <w:rsid w:val="0015511A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4AA4"/>
    <w:rsid w:val="00176686"/>
    <w:rsid w:val="00177D78"/>
    <w:rsid w:val="00184C97"/>
    <w:rsid w:val="00190D1A"/>
    <w:rsid w:val="00193780"/>
    <w:rsid w:val="0019788F"/>
    <w:rsid w:val="001A1BE8"/>
    <w:rsid w:val="001A2141"/>
    <w:rsid w:val="001A2F51"/>
    <w:rsid w:val="001A3541"/>
    <w:rsid w:val="001A3630"/>
    <w:rsid w:val="001A6B3C"/>
    <w:rsid w:val="001B16EB"/>
    <w:rsid w:val="001B445C"/>
    <w:rsid w:val="001B4812"/>
    <w:rsid w:val="001B5CFC"/>
    <w:rsid w:val="001B660B"/>
    <w:rsid w:val="001C142F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4DDB"/>
    <w:rsid w:val="001E6516"/>
    <w:rsid w:val="001E75C2"/>
    <w:rsid w:val="001F403C"/>
    <w:rsid w:val="001F5181"/>
    <w:rsid w:val="001F7C30"/>
    <w:rsid w:val="00201F3C"/>
    <w:rsid w:val="00202A7D"/>
    <w:rsid w:val="002037DC"/>
    <w:rsid w:val="00204705"/>
    <w:rsid w:val="00206153"/>
    <w:rsid w:val="00207552"/>
    <w:rsid w:val="0021062F"/>
    <w:rsid w:val="00210A45"/>
    <w:rsid w:val="00211916"/>
    <w:rsid w:val="00212196"/>
    <w:rsid w:val="00213A4E"/>
    <w:rsid w:val="00213AEE"/>
    <w:rsid w:val="002142C6"/>
    <w:rsid w:val="00215432"/>
    <w:rsid w:val="002156B5"/>
    <w:rsid w:val="00221A84"/>
    <w:rsid w:val="00222E3A"/>
    <w:rsid w:val="002259D2"/>
    <w:rsid w:val="00225CE4"/>
    <w:rsid w:val="00230200"/>
    <w:rsid w:val="00230238"/>
    <w:rsid w:val="00231579"/>
    <w:rsid w:val="00231F22"/>
    <w:rsid w:val="002338A6"/>
    <w:rsid w:val="002339D7"/>
    <w:rsid w:val="002346E1"/>
    <w:rsid w:val="00234849"/>
    <w:rsid w:val="002349E6"/>
    <w:rsid w:val="00241FA3"/>
    <w:rsid w:val="00242327"/>
    <w:rsid w:val="00242E26"/>
    <w:rsid w:val="0024560B"/>
    <w:rsid w:val="00247854"/>
    <w:rsid w:val="002478FA"/>
    <w:rsid w:val="00247D67"/>
    <w:rsid w:val="002500CD"/>
    <w:rsid w:val="0025154D"/>
    <w:rsid w:val="00252F3E"/>
    <w:rsid w:val="00253301"/>
    <w:rsid w:val="0025381C"/>
    <w:rsid w:val="0025503A"/>
    <w:rsid w:val="002554FF"/>
    <w:rsid w:val="0025797C"/>
    <w:rsid w:val="00261A35"/>
    <w:rsid w:val="00261E6D"/>
    <w:rsid w:val="00262EF9"/>
    <w:rsid w:val="00263F31"/>
    <w:rsid w:val="00264D54"/>
    <w:rsid w:val="00264FE7"/>
    <w:rsid w:val="00265803"/>
    <w:rsid w:val="00265CF4"/>
    <w:rsid w:val="002663A9"/>
    <w:rsid w:val="00266A2F"/>
    <w:rsid w:val="00266C1B"/>
    <w:rsid w:val="002674F6"/>
    <w:rsid w:val="00267613"/>
    <w:rsid w:val="0027117F"/>
    <w:rsid w:val="00271704"/>
    <w:rsid w:val="00272474"/>
    <w:rsid w:val="00274151"/>
    <w:rsid w:val="00275958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79C5"/>
    <w:rsid w:val="002A6A1A"/>
    <w:rsid w:val="002B1D39"/>
    <w:rsid w:val="002B360E"/>
    <w:rsid w:val="002B4803"/>
    <w:rsid w:val="002B65D5"/>
    <w:rsid w:val="002C32D9"/>
    <w:rsid w:val="002C4180"/>
    <w:rsid w:val="002C5714"/>
    <w:rsid w:val="002C632F"/>
    <w:rsid w:val="002D0D21"/>
    <w:rsid w:val="002D7EEA"/>
    <w:rsid w:val="002E5D85"/>
    <w:rsid w:val="002E5FC8"/>
    <w:rsid w:val="002E6A18"/>
    <w:rsid w:val="002E732C"/>
    <w:rsid w:val="002E7782"/>
    <w:rsid w:val="002E77B7"/>
    <w:rsid w:val="002E7EC9"/>
    <w:rsid w:val="002F02DC"/>
    <w:rsid w:val="002F1CBF"/>
    <w:rsid w:val="002F1F79"/>
    <w:rsid w:val="002F3622"/>
    <w:rsid w:val="002F3D84"/>
    <w:rsid w:val="002F5335"/>
    <w:rsid w:val="002F5E45"/>
    <w:rsid w:val="002F5F96"/>
    <w:rsid w:val="002F69EA"/>
    <w:rsid w:val="002F6A9B"/>
    <w:rsid w:val="002F718D"/>
    <w:rsid w:val="003002F7"/>
    <w:rsid w:val="003026FC"/>
    <w:rsid w:val="00303569"/>
    <w:rsid w:val="0030523E"/>
    <w:rsid w:val="00305C48"/>
    <w:rsid w:val="00305C4B"/>
    <w:rsid w:val="00306D54"/>
    <w:rsid w:val="00312096"/>
    <w:rsid w:val="00312535"/>
    <w:rsid w:val="00312D71"/>
    <w:rsid w:val="00315146"/>
    <w:rsid w:val="00317759"/>
    <w:rsid w:val="003218E5"/>
    <w:rsid w:val="0032245D"/>
    <w:rsid w:val="0032264B"/>
    <w:rsid w:val="00322D93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2309"/>
    <w:rsid w:val="00332578"/>
    <w:rsid w:val="00335F98"/>
    <w:rsid w:val="00336ECF"/>
    <w:rsid w:val="00340EB1"/>
    <w:rsid w:val="00341B45"/>
    <w:rsid w:val="00343816"/>
    <w:rsid w:val="0034672F"/>
    <w:rsid w:val="0035127E"/>
    <w:rsid w:val="00352012"/>
    <w:rsid w:val="0035264C"/>
    <w:rsid w:val="00357AAE"/>
    <w:rsid w:val="00357ACE"/>
    <w:rsid w:val="00360506"/>
    <w:rsid w:val="003609EA"/>
    <w:rsid w:val="0036349A"/>
    <w:rsid w:val="00363639"/>
    <w:rsid w:val="00363C97"/>
    <w:rsid w:val="003673BF"/>
    <w:rsid w:val="003705B4"/>
    <w:rsid w:val="00373D03"/>
    <w:rsid w:val="003800FA"/>
    <w:rsid w:val="00380270"/>
    <w:rsid w:val="0038112D"/>
    <w:rsid w:val="00381252"/>
    <w:rsid w:val="003812D6"/>
    <w:rsid w:val="00381BDF"/>
    <w:rsid w:val="00383C52"/>
    <w:rsid w:val="00384EEE"/>
    <w:rsid w:val="00392CE2"/>
    <w:rsid w:val="00394580"/>
    <w:rsid w:val="00395052"/>
    <w:rsid w:val="003956E9"/>
    <w:rsid w:val="003A0B65"/>
    <w:rsid w:val="003A1F00"/>
    <w:rsid w:val="003A2687"/>
    <w:rsid w:val="003A371D"/>
    <w:rsid w:val="003A3A11"/>
    <w:rsid w:val="003A3AEA"/>
    <w:rsid w:val="003A3B1B"/>
    <w:rsid w:val="003A421C"/>
    <w:rsid w:val="003A5975"/>
    <w:rsid w:val="003A5ABD"/>
    <w:rsid w:val="003B4B4B"/>
    <w:rsid w:val="003B732D"/>
    <w:rsid w:val="003C05A6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23B"/>
    <w:rsid w:val="003D7FE9"/>
    <w:rsid w:val="003E047F"/>
    <w:rsid w:val="003E076E"/>
    <w:rsid w:val="003E2882"/>
    <w:rsid w:val="003E2B12"/>
    <w:rsid w:val="003E4B24"/>
    <w:rsid w:val="003E4EB2"/>
    <w:rsid w:val="003E7D98"/>
    <w:rsid w:val="003F06AA"/>
    <w:rsid w:val="003F0E19"/>
    <w:rsid w:val="003F102B"/>
    <w:rsid w:val="003F12FF"/>
    <w:rsid w:val="003F1904"/>
    <w:rsid w:val="003F2EF2"/>
    <w:rsid w:val="003F6EF4"/>
    <w:rsid w:val="00400C72"/>
    <w:rsid w:val="00400DCA"/>
    <w:rsid w:val="00403C24"/>
    <w:rsid w:val="004069B1"/>
    <w:rsid w:val="0041327F"/>
    <w:rsid w:val="004137C4"/>
    <w:rsid w:val="00413835"/>
    <w:rsid w:val="004142E0"/>
    <w:rsid w:val="0041607A"/>
    <w:rsid w:val="00420593"/>
    <w:rsid w:val="004234C6"/>
    <w:rsid w:val="00423879"/>
    <w:rsid w:val="00424044"/>
    <w:rsid w:val="004249D3"/>
    <w:rsid w:val="00425ACD"/>
    <w:rsid w:val="0043768F"/>
    <w:rsid w:val="00440168"/>
    <w:rsid w:val="00441DCC"/>
    <w:rsid w:val="00442D53"/>
    <w:rsid w:val="00443B2C"/>
    <w:rsid w:val="00444815"/>
    <w:rsid w:val="004452A1"/>
    <w:rsid w:val="00457E64"/>
    <w:rsid w:val="00460FEC"/>
    <w:rsid w:val="004613A1"/>
    <w:rsid w:val="00461464"/>
    <w:rsid w:val="0046499C"/>
    <w:rsid w:val="00465CA8"/>
    <w:rsid w:val="00466501"/>
    <w:rsid w:val="00470F43"/>
    <w:rsid w:val="00473518"/>
    <w:rsid w:val="00473587"/>
    <w:rsid w:val="00476047"/>
    <w:rsid w:val="0047610E"/>
    <w:rsid w:val="00477BA6"/>
    <w:rsid w:val="00480F55"/>
    <w:rsid w:val="00483CB5"/>
    <w:rsid w:val="0048466B"/>
    <w:rsid w:val="00492466"/>
    <w:rsid w:val="00493409"/>
    <w:rsid w:val="004937D7"/>
    <w:rsid w:val="0049398F"/>
    <w:rsid w:val="004953AA"/>
    <w:rsid w:val="00497706"/>
    <w:rsid w:val="004A0929"/>
    <w:rsid w:val="004A11AD"/>
    <w:rsid w:val="004A2524"/>
    <w:rsid w:val="004A2533"/>
    <w:rsid w:val="004A2E20"/>
    <w:rsid w:val="004A3544"/>
    <w:rsid w:val="004A4CC1"/>
    <w:rsid w:val="004A77D8"/>
    <w:rsid w:val="004B0223"/>
    <w:rsid w:val="004B0E14"/>
    <w:rsid w:val="004B1533"/>
    <w:rsid w:val="004B1596"/>
    <w:rsid w:val="004B1DB4"/>
    <w:rsid w:val="004B511C"/>
    <w:rsid w:val="004B51A2"/>
    <w:rsid w:val="004B7DA3"/>
    <w:rsid w:val="004C0C34"/>
    <w:rsid w:val="004C49F1"/>
    <w:rsid w:val="004C4BA7"/>
    <w:rsid w:val="004C6F48"/>
    <w:rsid w:val="004C70BB"/>
    <w:rsid w:val="004C776F"/>
    <w:rsid w:val="004C7CD0"/>
    <w:rsid w:val="004D175C"/>
    <w:rsid w:val="004D23D8"/>
    <w:rsid w:val="004D48B8"/>
    <w:rsid w:val="004D49FE"/>
    <w:rsid w:val="004D5232"/>
    <w:rsid w:val="004D74C1"/>
    <w:rsid w:val="004E094C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3E54"/>
    <w:rsid w:val="005046D8"/>
    <w:rsid w:val="005073E0"/>
    <w:rsid w:val="00511433"/>
    <w:rsid w:val="005125C2"/>
    <w:rsid w:val="005130DC"/>
    <w:rsid w:val="005140C1"/>
    <w:rsid w:val="0051490B"/>
    <w:rsid w:val="0051591C"/>
    <w:rsid w:val="00515AD6"/>
    <w:rsid w:val="00515F1A"/>
    <w:rsid w:val="005171F1"/>
    <w:rsid w:val="00521EB7"/>
    <w:rsid w:val="0052315D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5546F"/>
    <w:rsid w:val="00563158"/>
    <w:rsid w:val="005646FA"/>
    <w:rsid w:val="0057064B"/>
    <w:rsid w:val="005725A0"/>
    <w:rsid w:val="005742CD"/>
    <w:rsid w:val="00575D9E"/>
    <w:rsid w:val="00575DF3"/>
    <w:rsid w:val="0057755F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A0A6A"/>
    <w:rsid w:val="005A2ABC"/>
    <w:rsid w:val="005A2F3A"/>
    <w:rsid w:val="005A5966"/>
    <w:rsid w:val="005A5EB6"/>
    <w:rsid w:val="005A6486"/>
    <w:rsid w:val="005A6D85"/>
    <w:rsid w:val="005B15CB"/>
    <w:rsid w:val="005B27A9"/>
    <w:rsid w:val="005B45A8"/>
    <w:rsid w:val="005B63BC"/>
    <w:rsid w:val="005B75AD"/>
    <w:rsid w:val="005C1FBE"/>
    <w:rsid w:val="005C3ABA"/>
    <w:rsid w:val="005C47B5"/>
    <w:rsid w:val="005C48CC"/>
    <w:rsid w:val="005C52C8"/>
    <w:rsid w:val="005C5B24"/>
    <w:rsid w:val="005C68F4"/>
    <w:rsid w:val="005D0486"/>
    <w:rsid w:val="005D245E"/>
    <w:rsid w:val="005D2550"/>
    <w:rsid w:val="005D31D7"/>
    <w:rsid w:val="005D34B2"/>
    <w:rsid w:val="005D4F1F"/>
    <w:rsid w:val="005D6257"/>
    <w:rsid w:val="005D6953"/>
    <w:rsid w:val="005D718F"/>
    <w:rsid w:val="005E08FD"/>
    <w:rsid w:val="005E5526"/>
    <w:rsid w:val="005E66E2"/>
    <w:rsid w:val="005F1432"/>
    <w:rsid w:val="005F1AA0"/>
    <w:rsid w:val="005F1F9E"/>
    <w:rsid w:val="005F482D"/>
    <w:rsid w:val="005F611C"/>
    <w:rsid w:val="00600081"/>
    <w:rsid w:val="006029B6"/>
    <w:rsid w:val="00603B15"/>
    <w:rsid w:val="00605343"/>
    <w:rsid w:val="00611200"/>
    <w:rsid w:val="00611AED"/>
    <w:rsid w:val="00613065"/>
    <w:rsid w:val="006130B7"/>
    <w:rsid w:val="0062441D"/>
    <w:rsid w:val="00624917"/>
    <w:rsid w:val="00624AC6"/>
    <w:rsid w:val="00624C88"/>
    <w:rsid w:val="00624E6E"/>
    <w:rsid w:val="00625B24"/>
    <w:rsid w:val="00626A28"/>
    <w:rsid w:val="00636E13"/>
    <w:rsid w:val="00637D38"/>
    <w:rsid w:val="00640284"/>
    <w:rsid w:val="00641384"/>
    <w:rsid w:val="0064221F"/>
    <w:rsid w:val="00642221"/>
    <w:rsid w:val="006430A8"/>
    <w:rsid w:val="00643D0D"/>
    <w:rsid w:val="00646E6C"/>
    <w:rsid w:val="0064725D"/>
    <w:rsid w:val="00650BA4"/>
    <w:rsid w:val="00654277"/>
    <w:rsid w:val="00655C05"/>
    <w:rsid w:val="00656B56"/>
    <w:rsid w:val="00657B3A"/>
    <w:rsid w:val="006618F4"/>
    <w:rsid w:val="00663348"/>
    <w:rsid w:val="0066376A"/>
    <w:rsid w:val="006639DA"/>
    <w:rsid w:val="00663D83"/>
    <w:rsid w:val="00664BA8"/>
    <w:rsid w:val="00664EB8"/>
    <w:rsid w:val="00665691"/>
    <w:rsid w:val="0066656C"/>
    <w:rsid w:val="00667083"/>
    <w:rsid w:val="00667098"/>
    <w:rsid w:val="0067031C"/>
    <w:rsid w:val="00672A0B"/>
    <w:rsid w:val="006750FD"/>
    <w:rsid w:val="00676C1C"/>
    <w:rsid w:val="00677A8D"/>
    <w:rsid w:val="00683843"/>
    <w:rsid w:val="00692D35"/>
    <w:rsid w:val="00694B31"/>
    <w:rsid w:val="00694C82"/>
    <w:rsid w:val="006953C8"/>
    <w:rsid w:val="006977FA"/>
    <w:rsid w:val="00697D7E"/>
    <w:rsid w:val="006A1656"/>
    <w:rsid w:val="006A3A3A"/>
    <w:rsid w:val="006A4184"/>
    <w:rsid w:val="006A4283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06C"/>
    <w:rsid w:val="006E2442"/>
    <w:rsid w:val="006E2DD0"/>
    <w:rsid w:val="006E46CB"/>
    <w:rsid w:val="006E7422"/>
    <w:rsid w:val="006F0215"/>
    <w:rsid w:val="006F210F"/>
    <w:rsid w:val="006F27D3"/>
    <w:rsid w:val="006F48FB"/>
    <w:rsid w:val="006F5C59"/>
    <w:rsid w:val="006F5EF9"/>
    <w:rsid w:val="006F6DBE"/>
    <w:rsid w:val="006F7150"/>
    <w:rsid w:val="006F79B0"/>
    <w:rsid w:val="00700C79"/>
    <w:rsid w:val="00700F79"/>
    <w:rsid w:val="00701901"/>
    <w:rsid w:val="00702239"/>
    <w:rsid w:val="007042E0"/>
    <w:rsid w:val="00704B2A"/>
    <w:rsid w:val="00705F66"/>
    <w:rsid w:val="00706548"/>
    <w:rsid w:val="00706E13"/>
    <w:rsid w:val="0071140D"/>
    <w:rsid w:val="00711E47"/>
    <w:rsid w:val="00713B8C"/>
    <w:rsid w:val="00714028"/>
    <w:rsid w:val="007177F1"/>
    <w:rsid w:val="00717AB8"/>
    <w:rsid w:val="00720C0B"/>
    <w:rsid w:val="00720CF0"/>
    <w:rsid w:val="0072351B"/>
    <w:rsid w:val="00723791"/>
    <w:rsid w:val="00723C23"/>
    <w:rsid w:val="00726CB4"/>
    <w:rsid w:val="00726CED"/>
    <w:rsid w:val="007315B7"/>
    <w:rsid w:val="007331C7"/>
    <w:rsid w:val="0073679E"/>
    <w:rsid w:val="00736E95"/>
    <w:rsid w:val="00737F90"/>
    <w:rsid w:val="00741CAE"/>
    <w:rsid w:val="007421DD"/>
    <w:rsid w:val="00742318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8E5"/>
    <w:rsid w:val="00750ECA"/>
    <w:rsid w:val="00752670"/>
    <w:rsid w:val="00754525"/>
    <w:rsid w:val="007555A4"/>
    <w:rsid w:val="00760218"/>
    <w:rsid w:val="007614CD"/>
    <w:rsid w:val="007615D5"/>
    <w:rsid w:val="00764013"/>
    <w:rsid w:val="00764FD6"/>
    <w:rsid w:val="00765044"/>
    <w:rsid w:val="00766390"/>
    <w:rsid w:val="00766D48"/>
    <w:rsid w:val="00766E18"/>
    <w:rsid w:val="007676CC"/>
    <w:rsid w:val="00767899"/>
    <w:rsid w:val="00775235"/>
    <w:rsid w:val="00776F42"/>
    <w:rsid w:val="00783DFA"/>
    <w:rsid w:val="00786291"/>
    <w:rsid w:val="00786B01"/>
    <w:rsid w:val="00790A7D"/>
    <w:rsid w:val="0079123A"/>
    <w:rsid w:val="00793728"/>
    <w:rsid w:val="007A10FA"/>
    <w:rsid w:val="007A1FA2"/>
    <w:rsid w:val="007A53F0"/>
    <w:rsid w:val="007A6A88"/>
    <w:rsid w:val="007B0529"/>
    <w:rsid w:val="007B18F4"/>
    <w:rsid w:val="007B45A3"/>
    <w:rsid w:val="007B4F7C"/>
    <w:rsid w:val="007C04FB"/>
    <w:rsid w:val="007C0EE2"/>
    <w:rsid w:val="007C316B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4D9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E7B65"/>
    <w:rsid w:val="007F01E3"/>
    <w:rsid w:val="007F03C6"/>
    <w:rsid w:val="007F0DE5"/>
    <w:rsid w:val="007F1A12"/>
    <w:rsid w:val="007F2614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550F"/>
    <w:rsid w:val="00815CA5"/>
    <w:rsid w:val="00817AFE"/>
    <w:rsid w:val="00817CAD"/>
    <w:rsid w:val="008203F1"/>
    <w:rsid w:val="008208C8"/>
    <w:rsid w:val="008214E0"/>
    <w:rsid w:val="0082532F"/>
    <w:rsid w:val="008257C6"/>
    <w:rsid w:val="00825932"/>
    <w:rsid w:val="0082593D"/>
    <w:rsid w:val="00827DCD"/>
    <w:rsid w:val="008313AF"/>
    <w:rsid w:val="00833FF8"/>
    <w:rsid w:val="008344F4"/>
    <w:rsid w:val="00840661"/>
    <w:rsid w:val="008446FB"/>
    <w:rsid w:val="008509BC"/>
    <w:rsid w:val="0085145E"/>
    <w:rsid w:val="0085765A"/>
    <w:rsid w:val="0086118C"/>
    <w:rsid w:val="008629F5"/>
    <w:rsid w:val="00867083"/>
    <w:rsid w:val="008673B5"/>
    <w:rsid w:val="008744B7"/>
    <w:rsid w:val="00874518"/>
    <w:rsid w:val="00874CAE"/>
    <w:rsid w:val="008759FE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4290"/>
    <w:rsid w:val="00896B7B"/>
    <w:rsid w:val="00897629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9BF"/>
    <w:rsid w:val="008C2B2C"/>
    <w:rsid w:val="008C4C68"/>
    <w:rsid w:val="008C71AC"/>
    <w:rsid w:val="008C7D58"/>
    <w:rsid w:val="008D03C9"/>
    <w:rsid w:val="008D7A21"/>
    <w:rsid w:val="008E38DC"/>
    <w:rsid w:val="008E3FAA"/>
    <w:rsid w:val="008F0689"/>
    <w:rsid w:val="008F137D"/>
    <w:rsid w:val="008F3E8E"/>
    <w:rsid w:val="008F406B"/>
    <w:rsid w:val="008F4D13"/>
    <w:rsid w:val="008F7A6D"/>
    <w:rsid w:val="009005D8"/>
    <w:rsid w:val="009025F6"/>
    <w:rsid w:val="009047C2"/>
    <w:rsid w:val="00906947"/>
    <w:rsid w:val="0091041B"/>
    <w:rsid w:val="00913440"/>
    <w:rsid w:val="00914642"/>
    <w:rsid w:val="00915643"/>
    <w:rsid w:val="00917CC6"/>
    <w:rsid w:val="009207EC"/>
    <w:rsid w:val="009209A9"/>
    <w:rsid w:val="00920F77"/>
    <w:rsid w:val="00923BFD"/>
    <w:rsid w:val="00924DFF"/>
    <w:rsid w:val="00925A62"/>
    <w:rsid w:val="00925C97"/>
    <w:rsid w:val="0092640A"/>
    <w:rsid w:val="0093050F"/>
    <w:rsid w:val="009351BF"/>
    <w:rsid w:val="00936D4E"/>
    <w:rsid w:val="00940C34"/>
    <w:rsid w:val="009426DD"/>
    <w:rsid w:val="009443E0"/>
    <w:rsid w:val="009444FA"/>
    <w:rsid w:val="00944AD6"/>
    <w:rsid w:val="00945F31"/>
    <w:rsid w:val="0094619A"/>
    <w:rsid w:val="009466FB"/>
    <w:rsid w:val="00950524"/>
    <w:rsid w:val="00950A71"/>
    <w:rsid w:val="00951499"/>
    <w:rsid w:val="009526A5"/>
    <w:rsid w:val="009542D3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90F84"/>
    <w:rsid w:val="0099118A"/>
    <w:rsid w:val="0099402A"/>
    <w:rsid w:val="00994C84"/>
    <w:rsid w:val="00996C75"/>
    <w:rsid w:val="00997254"/>
    <w:rsid w:val="009A16E3"/>
    <w:rsid w:val="009A1A9C"/>
    <w:rsid w:val="009A5246"/>
    <w:rsid w:val="009A6BDE"/>
    <w:rsid w:val="009B1292"/>
    <w:rsid w:val="009B1355"/>
    <w:rsid w:val="009B140D"/>
    <w:rsid w:val="009B45A9"/>
    <w:rsid w:val="009B65D3"/>
    <w:rsid w:val="009B6F48"/>
    <w:rsid w:val="009C1CA3"/>
    <w:rsid w:val="009D2E48"/>
    <w:rsid w:val="009D3C83"/>
    <w:rsid w:val="009D4804"/>
    <w:rsid w:val="009D4FA4"/>
    <w:rsid w:val="009D5791"/>
    <w:rsid w:val="009D5F87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9F7266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2579"/>
    <w:rsid w:val="00A12EBA"/>
    <w:rsid w:val="00A20F4B"/>
    <w:rsid w:val="00A23453"/>
    <w:rsid w:val="00A24CD2"/>
    <w:rsid w:val="00A24E03"/>
    <w:rsid w:val="00A25C73"/>
    <w:rsid w:val="00A27C42"/>
    <w:rsid w:val="00A30DBE"/>
    <w:rsid w:val="00A36878"/>
    <w:rsid w:val="00A37B7C"/>
    <w:rsid w:val="00A428D0"/>
    <w:rsid w:val="00A42FD4"/>
    <w:rsid w:val="00A44F7A"/>
    <w:rsid w:val="00A505D5"/>
    <w:rsid w:val="00A5452F"/>
    <w:rsid w:val="00A54F48"/>
    <w:rsid w:val="00A553E2"/>
    <w:rsid w:val="00A56973"/>
    <w:rsid w:val="00A5725A"/>
    <w:rsid w:val="00A57946"/>
    <w:rsid w:val="00A57C6E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F50"/>
    <w:rsid w:val="00A81E91"/>
    <w:rsid w:val="00A83592"/>
    <w:rsid w:val="00A84546"/>
    <w:rsid w:val="00A850F2"/>
    <w:rsid w:val="00A85292"/>
    <w:rsid w:val="00A90124"/>
    <w:rsid w:val="00A903EC"/>
    <w:rsid w:val="00A90B45"/>
    <w:rsid w:val="00A91A8D"/>
    <w:rsid w:val="00A92A0B"/>
    <w:rsid w:val="00A957F0"/>
    <w:rsid w:val="00AA0760"/>
    <w:rsid w:val="00AA181F"/>
    <w:rsid w:val="00AA1E28"/>
    <w:rsid w:val="00AA21C1"/>
    <w:rsid w:val="00AA397A"/>
    <w:rsid w:val="00AA4B03"/>
    <w:rsid w:val="00AA55ED"/>
    <w:rsid w:val="00AA5F1D"/>
    <w:rsid w:val="00AA66C3"/>
    <w:rsid w:val="00AA7C71"/>
    <w:rsid w:val="00AB12D7"/>
    <w:rsid w:val="00AB178B"/>
    <w:rsid w:val="00AB54EE"/>
    <w:rsid w:val="00AB5752"/>
    <w:rsid w:val="00AB63A7"/>
    <w:rsid w:val="00AB764D"/>
    <w:rsid w:val="00AC0B0E"/>
    <w:rsid w:val="00AC1C82"/>
    <w:rsid w:val="00AC28ED"/>
    <w:rsid w:val="00AC3726"/>
    <w:rsid w:val="00AC5BCF"/>
    <w:rsid w:val="00AC61D7"/>
    <w:rsid w:val="00AD0DBA"/>
    <w:rsid w:val="00AD1E28"/>
    <w:rsid w:val="00AD4A51"/>
    <w:rsid w:val="00AE08B2"/>
    <w:rsid w:val="00AE17D7"/>
    <w:rsid w:val="00AE236C"/>
    <w:rsid w:val="00AE39EA"/>
    <w:rsid w:val="00AE4466"/>
    <w:rsid w:val="00AE49FC"/>
    <w:rsid w:val="00AE63D1"/>
    <w:rsid w:val="00AE76AE"/>
    <w:rsid w:val="00AF0E57"/>
    <w:rsid w:val="00AF3BE2"/>
    <w:rsid w:val="00AF4D21"/>
    <w:rsid w:val="00AF74E4"/>
    <w:rsid w:val="00B01422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3124"/>
    <w:rsid w:val="00B1580D"/>
    <w:rsid w:val="00B1792D"/>
    <w:rsid w:val="00B2119C"/>
    <w:rsid w:val="00B215B1"/>
    <w:rsid w:val="00B2183D"/>
    <w:rsid w:val="00B245D0"/>
    <w:rsid w:val="00B24733"/>
    <w:rsid w:val="00B27ECA"/>
    <w:rsid w:val="00B30C65"/>
    <w:rsid w:val="00B32185"/>
    <w:rsid w:val="00B35473"/>
    <w:rsid w:val="00B35D4C"/>
    <w:rsid w:val="00B37750"/>
    <w:rsid w:val="00B40CF7"/>
    <w:rsid w:val="00B40DF1"/>
    <w:rsid w:val="00B413E2"/>
    <w:rsid w:val="00B43248"/>
    <w:rsid w:val="00B43634"/>
    <w:rsid w:val="00B50870"/>
    <w:rsid w:val="00B509AE"/>
    <w:rsid w:val="00B547EE"/>
    <w:rsid w:val="00B56D2A"/>
    <w:rsid w:val="00B605B9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2218"/>
    <w:rsid w:val="00B83A52"/>
    <w:rsid w:val="00B84275"/>
    <w:rsid w:val="00B860DC"/>
    <w:rsid w:val="00B907D7"/>
    <w:rsid w:val="00B90A80"/>
    <w:rsid w:val="00B93D2A"/>
    <w:rsid w:val="00B940B5"/>
    <w:rsid w:val="00B94874"/>
    <w:rsid w:val="00B94919"/>
    <w:rsid w:val="00B97780"/>
    <w:rsid w:val="00BA0B50"/>
    <w:rsid w:val="00BA0BA3"/>
    <w:rsid w:val="00BA13F2"/>
    <w:rsid w:val="00BA220A"/>
    <w:rsid w:val="00BA405C"/>
    <w:rsid w:val="00BA4682"/>
    <w:rsid w:val="00BA4B17"/>
    <w:rsid w:val="00BA7816"/>
    <w:rsid w:val="00BB6531"/>
    <w:rsid w:val="00BC407B"/>
    <w:rsid w:val="00BC49DC"/>
    <w:rsid w:val="00BC508A"/>
    <w:rsid w:val="00BD10BA"/>
    <w:rsid w:val="00BD14A3"/>
    <w:rsid w:val="00BD20D5"/>
    <w:rsid w:val="00BD2F0F"/>
    <w:rsid w:val="00BD5546"/>
    <w:rsid w:val="00BD728B"/>
    <w:rsid w:val="00BD72D5"/>
    <w:rsid w:val="00BE2FA3"/>
    <w:rsid w:val="00BE3550"/>
    <w:rsid w:val="00BE3D27"/>
    <w:rsid w:val="00BE7ED3"/>
    <w:rsid w:val="00BF202C"/>
    <w:rsid w:val="00BF2259"/>
    <w:rsid w:val="00BF4298"/>
    <w:rsid w:val="00BF4E86"/>
    <w:rsid w:val="00BF55E9"/>
    <w:rsid w:val="00BF57D1"/>
    <w:rsid w:val="00BF5AA0"/>
    <w:rsid w:val="00BF6E8D"/>
    <w:rsid w:val="00C01279"/>
    <w:rsid w:val="00C065F2"/>
    <w:rsid w:val="00C0690A"/>
    <w:rsid w:val="00C06C3D"/>
    <w:rsid w:val="00C07191"/>
    <w:rsid w:val="00C108A7"/>
    <w:rsid w:val="00C11329"/>
    <w:rsid w:val="00C14886"/>
    <w:rsid w:val="00C1525E"/>
    <w:rsid w:val="00C176A4"/>
    <w:rsid w:val="00C20523"/>
    <w:rsid w:val="00C20A13"/>
    <w:rsid w:val="00C2152D"/>
    <w:rsid w:val="00C26991"/>
    <w:rsid w:val="00C26F41"/>
    <w:rsid w:val="00C27882"/>
    <w:rsid w:val="00C3143C"/>
    <w:rsid w:val="00C333CE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3EA1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57917"/>
    <w:rsid w:val="00C61894"/>
    <w:rsid w:val="00C638FF"/>
    <w:rsid w:val="00C67F17"/>
    <w:rsid w:val="00C67FB3"/>
    <w:rsid w:val="00C703E4"/>
    <w:rsid w:val="00C715A0"/>
    <w:rsid w:val="00C72340"/>
    <w:rsid w:val="00C7630A"/>
    <w:rsid w:val="00C813EB"/>
    <w:rsid w:val="00C81CC2"/>
    <w:rsid w:val="00C82428"/>
    <w:rsid w:val="00C8301A"/>
    <w:rsid w:val="00C83884"/>
    <w:rsid w:val="00C85BCB"/>
    <w:rsid w:val="00C86722"/>
    <w:rsid w:val="00C9293F"/>
    <w:rsid w:val="00C930B0"/>
    <w:rsid w:val="00C93BE3"/>
    <w:rsid w:val="00C96767"/>
    <w:rsid w:val="00C96B9A"/>
    <w:rsid w:val="00CA636D"/>
    <w:rsid w:val="00CB10F0"/>
    <w:rsid w:val="00CB1F3B"/>
    <w:rsid w:val="00CB296F"/>
    <w:rsid w:val="00CB48CE"/>
    <w:rsid w:val="00CB498C"/>
    <w:rsid w:val="00CB5596"/>
    <w:rsid w:val="00CB767F"/>
    <w:rsid w:val="00CC1124"/>
    <w:rsid w:val="00CC468B"/>
    <w:rsid w:val="00CC5139"/>
    <w:rsid w:val="00CC7A78"/>
    <w:rsid w:val="00CD3547"/>
    <w:rsid w:val="00CD3E70"/>
    <w:rsid w:val="00CE0EC6"/>
    <w:rsid w:val="00CE2B08"/>
    <w:rsid w:val="00CE3408"/>
    <w:rsid w:val="00CE5DB4"/>
    <w:rsid w:val="00CE7761"/>
    <w:rsid w:val="00CF257F"/>
    <w:rsid w:val="00CF5934"/>
    <w:rsid w:val="00D005C3"/>
    <w:rsid w:val="00D01A7F"/>
    <w:rsid w:val="00D03C9C"/>
    <w:rsid w:val="00D05076"/>
    <w:rsid w:val="00D067BC"/>
    <w:rsid w:val="00D07C46"/>
    <w:rsid w:val="00D10357"/>
    <w:rsid w:val="00D1077F"/>
    <w:rsid w:val="00D11789"/>
    <w:rsid w:val="00D12B54"/>
    <w:rsid w:val="00D13CD8"/>
    <w:rsid w:val="00D15F74"/>
    <w:rsid w:val="00D21D52"/>
    <w:rsid w:val="00D22F48"/>
    <w:rsid w:val="00D252CB"/>
    <w:rsid w:val="00D26B6F"/>
    <w:rsid w:val="00D32A2D"/>
    <w:rsid w:val="00D32FB4"/>
    <w:rsid w:val="00D33291"/>
    <w:rsid w:val="00D37F23"/>
    <w:rsid w:val="00D37F3D"/>
    <w:rsid w:val="00D411A3"/>
    <w:rsid w:val="00D4158F"/>
    <w:rsid w:val="00D43EAA"/>
    <w:rsid w:val="00D44ABA"/>
    <w:rsid w:val="00D46DFB"/>
    <w:rsid w:val="00D47045"/>
    <w:rsid w:val="00D5003F"/>
    <w:rsid w:val="00D50D3E"/>
    <w:rsid w:val="00D53D74"/>
    <w:rsid w:val="00D5456B"/>
    <w:rsid w:val="00D54907"/>
    <w:rsid w:val="00D54C85"/>
    <w:rsid w:val="00D5584D"/>
    <w:rsid w:val="00D564ED"/>
    <w:rsid w:val="00D6040E"/>
    <w:rsid w:val="00D60F3B"/>
    <w:rsid w:val="00D61423"/>
    <w:rsid w:val="00D6184A"/>
    <w:rsid w:val="00D7110B"/>
    <w:rsid w:val="00D73FDD"/>
    <w:rsid w:val="00D7556E"/>
    <w:rsid w:val="00D76035"/>
    <w:rsid w:val="00D767F0"/>
    <w:rsid w:val="00D771B6"/>
    <w:rsid w:val="00D77864"/>
    <w:rsid w:val="00D80A47"/>
    <w:rsid w:val="00D81B80"/>
    <w:rsid w:val="00D836B8"/>
    <w:rsid w:val="00D83759"/>
    <w:rsid w:val="00D839DA"/>
    <w:rsid w:val="00D850BA"/>
    <w:rsid w:val="00D851C0"/>
    <w:rsid w:val="00D856C6"/>
    <w:rsid w:val="00D86511"/>
    <w:rsid w:val="00D874F8"/>
    <w:rsid w:val="00D875C0"/>
    <w:rsid w:val="00D90017"/>
    <w:rsid w:val="00D91357"/>
    <w:rsid w:val="00D915A4"/>
    <w:rsid w:val="00D9170C"/>
    <w:rsid w:val="00D92009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7ACE"/>
    <w:rsid w:val="00DB103C"/>
    <w:rsid w:val="00DB2A6B"/>
    <w:rsid w:val="00DB646D"/>
    <w:rsid w:val="00DB696C"/>
    <w:rsid w:val="00DC08F0"/>
    <w:rsid w:val="00DC1258"/>
    <w:rsid w:val="00DC175D"/>
    <w:rsid w:val="00DC3EC6"/>
    <w:rsid w:val="00DC4D52"/>
    <w:rsid w:val="00DC52B3"/>
    <w:rsid w:val="00DC59E3"/>
    <w:rsid w:val="00DC5DB1"/>
    <w:rsid w:val="00DC64E4"/>
    <w:rsid w:val="00DD0068"/>
    <w:rsid w:val="00DD1922"/>
    <w:rsid w:val="00DD25F6"/>
    <w:rsid w:val="00DD3A95"/>
    <w:rsid w:val="00DD5D1E"/>
    <w:rsid w:val="00DD7B47"/>
    <w:rsid w:val="00DE0911"/>
    <w:rsid w:val="00DE1363"/>
    <w:rsid w:val="00DE17C7"/>
    <w:rsid w:val="00DE4571"/>
    <w:rsid w:val="00DE6AB0"/>
    <w:rsid w:val="00DE709F"/>
    <w:rsid w:val="00DE7576"/>
    <w:rsid w:val="00DF1185"/>
    <w:rsid w:val="00DF1785"/>
    <w:rsid w:val="00DF1A1A"/>
    <w:rsid w:val="00DF2C04"/>
    <w:rsid w:val="00DF6104"/>
    <w:rsid w:val="00DF6C81"/>
    <w:rsid w:val="00DF7E45"/>
    <w:rsid w:val="00E01FA7"/>
    <w:rsid w:val="00E032D2"/>
    <w:rsid w:val="00E03D11"/>
    <w:rsid w:val="00E0518E"/>
    <w:rsid w:val="00E1123F"/>
    <w:rsid w:val="00E1204F"/>
    <w:rsid w:val="00E13CA5"/>
    <w:rsid w:val="00E154E6"/>
    <w:rsid w:val="00E162E2"/>
    <w:rsid w:val="00E16C0E"/>
    <w:rsid w:val="00E2263E"/>
    <w:rsid w:val="00E2448B"/>
    <w:rsid w:val="00E25439"/>
    <w:rsid w:val="00E27737"/>
    <w:rsid w:val="00E312D1"/>
    <w:rsid w:val="00E3196A"/>
    <w:rsid w:val="00E35FCB"/>
    <w:rsid w:val="00E363F5"/>
    <w:rsid w:val="00E36BC8"/>
    <w:rsid w:val="00E40BD3"/>
    <w:rsid w:val="00E41EBF"/>
    <w:rsid w:val="00E422C6"/>
    <w:rsid w:val="00E42D0A"/>
    <w:rsid w:val="00E43403"/>
    <w:rsid w:val="00E43BEF"/>
    <w:rsid w:val="00E43F54"/>
    <w:rsid w:val="00E50FE8"/>
    <w:rsid w:val="00E51884"/>
    <w:rsid w:val="00E563A9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5E7F"/>
    <w:rsid w:val="00E7740D"/>
    <w:rsid w:val="00E77500"/>
    <w:rsid w:val="00E80722"/>
    <w:rsid w:val="00E855B6"/>
    <w:rsid w:val="00E869E7"/>
    <w:rsid w:val="00E8789E"/>
    <w:rsid w:val="00E91F47"/>
    <w:rsid w:val="00E920E0"/>
    <w:rsid w:val="00E94596"/>
    <w:rsid w:val="00E952F9"/>
    <w:rsid w:val="00EA114C"/>
    <w:rsid w:val="00EA11F0"/>
    <w:rsid w:val="00EA3943"/>
    <w:rsid w:val="00EA39BB"/>
    <w:rsid w:val="00EA464E"/>
    <w:rsid w:val="00EA57E7"/>
    <w:rsid w:val="00EA5D6C"/>
    <w:rsid w:val="00EA70BD"/>
    <w:rsid w:val="00EA76E7"/>
    <w:rsid w:val="00EB0595"/>
    <w:rsid w:val="00EB1607"/>
    <w:rsid w:val="00EB1DC3"/>
    <w:rsid w:val="00EB4C4F"/>
    <w:rsid w:val="00EB564A"/>
    <w:rsid w:val="00EB5831"/>
    <w:rsid w:val="00EB615E"/>
    <w:rsid w:val="00EC08E7"/>
    <w:rsid w:val="00EC3917"/>
    <w:rsid w:val="00EC42EB"/>
    <w:rsid w:val="00EC5159"/>
    <w:rsid w:val="00EC5425"/>
    <w:rsid w:val="00EC6AEE"/>
    <w:rsid w:val="00EC6D7F"/>
    <w:rsid w:val="00EC79AE"/>
    <w:rsid w:val="00EC7FB1"/>
    <w:rsid w:val="00ED097F"/>
    <w:rsid w:val="00ED2155"/>
    <w:rsid w:val="00ED2457"/>
    <w:rsid w:val="00ED6B03"/>
    <w:rsid w:val="00EE0F3F"/>
    <w:rsid w:val="00EE1B5D"/>
    <w:rsid w:val="00EE2CD2"/>
    <w:rsid w:val="00EE2DCE"/>
    <w:rsid w:val="00EE3E97"/>
    <w:rsid w:val="00EE4645"/>
    <w:rsid w:val="00EE51C4"/>
    <w:rsid w:val="00EE574E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2755"/>
    <w:rsid w:val="00F03AAD"/>
    <w:rsid w:val="00F049B4"/>
    <w:rsid w:val="00F06EAC"/>
    <w:rsid w:val="00F1059E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26ED7"/>
    <w:rsid w:val="00F34A66"/>
    <w:rsid w:val="00F372B9"/>
    <w:rsid w:val="00F3741F"/>
    <w:rsid w:val="00F403A5"/>
    <w:rsid w:val="00F42454"/>
    <w:rsid w:val="00F4267C"/>
    <w:rsid w:val="00F54540"/>
    <w:rsid w:val="00F55180"/>
    <w:rsid w:val="00F55DD9"/>
    <w:rsid w:val="00F56EAA"/>
    <w:rsid w:val="00F574AF"/>
    <w:rsid w:val="00F578C9"/>
    <w:rsid w:val="00F60970"/>
    <w:rsid w:val="00F62F53"/>
    <w:rsid w:val="00F637AE"/>
    <w:rsid w:val="00F63819"/>
    <w:rsid w:val="00F6667B"/>
    <w:rsid w:val="00F70824"/>
    <w:rsid w:val="00F70B61"/>
    <w:rsid w:val="00F7228F"/>
    <w:rsid w:val="00F768C8"/>
    <w:rsid w:val="00F77194"/>
    <w:rsid w:val="00F810FC"/>
    <w:rsid w:val="00F827B3"/>
    <w:rsid w:val="00F85843"/>
    <w:rsid w:val="00F8621E"/>
    <w:rsid w:val="00F90C1E"/>
    <w:rsid w:val="00F90D3C"/>
    <w:rsid w:val="00F9185B"/>
    <w:rsid w:val="00F91EC6"/>
    <w:rsid w:val="00F9214D"/>
    <w:rsid w:val="00F93D9F"/>
    <w:rsid w:val="00F943D8"/>
    <w:rsid w:val="00F94E71"/>
    <w:rsid w:val="00F97D7E"/>
    <w:rsid w:val="00FA019B"/>
    <w:rsid w:val="00FA0D2B"/>
    <w:rsid w:val="00FA1973"/>
    <w:rsid w:val="00FA2ED3"/>
    <w:rsid w:val="00FA562E"/>
    <w:rsid w:val="00FA5D1B"/>
    <w:rsid w:val="00FA5D2E"/>
    <w:rsid w:val="00FA6F49"/>
    <w:rsid w:val="00FA7007"/>
    <w:rsid w:val="00FB0E8D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25BC"/>
    <w:rsid w:val="00FE318D"/>
    <w:rsid w:val="00FE4122"/>
    <w:rsid w:val="00FE52A2"/>
    <w:rsid w:val="00FE58BC"/>
    <w:rsid w:val="00FE5C43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723B"/>
    <w:rPr>
      <w:lang w:val="cs-CZ" w:eastAsia="en-US"/>
    </w:rPr>
  </w:style>
  <w:style w:type="paragraph" w:styleId="Nadpis1">
    <w:name w:val="heading 1"/>
    <w:basedOn w:val="Normlny"/>
    <w:next w:val="Normlny"/>
    <w:qFormat/>
    <w:rsid w:val="003D723B"/>
    <w:pPr>
      <w:keepNext/>
      <w:outlineLvl w:val="0"/>
    </w:pPr>
    <w:rPr>
      <w:rFonts w:ascii="Arial" w:hAnsi="Arial"/>
      <w:b/>
      <w:caps/>
      <w:sz w:val="16"/>
      <w:lang w:val="sk-SK"/>
    </w:rPr>
  </w:style>
  <w:style w:type="paragraph" w:styleId="Nadpis2">
    <w:name w:val="heading 2"/>
    <w:basedOn w:val="Normlny"/>
    <w:next w:val="Normlny"/>
    <w:qFormat/>
    <w:rsid w:val="003D723B"/>
    <w:pPr>
      <w:keepNext/>
      <w:ind w:left="720"/>
      <w:jc w:val="both"/>
      <w:outlineLvl w:val="1"/>
    </w:pPr>
    <w:rPr>
      <w:rFonts w:ascii="Arial" w:hAnsi="Arial"/>
      <w:u w:val="single"/>
      <w:lang w:val="sk-SK"/>
    </w:rPr>
  </w:style>
  <w:style w:type="paragraph" w:styleId="Nadpis3">
    <w:name w:val="heading 3"/>
    <w:basedOn w:val="Normlny"/>
    <w:next w:val="Normlny"/>
    <w:qFormat/>
    <w:rsid w:val="003D723B"/>
    <w:pPr>
      <w:keepNext/>
      <w:ind w:left="720"/>
      <w:jc w:val="both"/>
      <w:outlineLvl w:val="2"/>
    </w:pPr>
    <w:rPr>
      <w:rFonts w:ascii="Arial" w:hAnsi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D723B"/>
    <w:pPr>
      <w:jc w:val="both"/>
    </w:pPr>
    <w:rPr>
      <w:sz w:val="18"/>
      <w:szCs w:val="24"/>
      <w:lang w:val="sk-SK"/>
    </w:rPr>
  </w:style>
  <w:style w:type="paragraph" w:styleId="Zarkazkladnhotextu2">
    <w:name w:val="Body Text Indent 2"/>
    <w:basedOn w:val="Normlny"/>
    <w:rsid w:val="003D723B"/>
    <w:pPr>
      <w:ind w:left="705"/>
      <w:jc w:val="both"/>
    </w:pPr>
    <w:rPr>
      <w:rFonts w:ascii="Arial" w:hAnsi="Arial" w:cs="Arial"/>
    </w:rPr>
  </w:style>
  <w:style w:type="paragraph" w:styleId="Zarkazkladnhotextu3">
    <w:name w:val="Body Text Indent 3"/>
    <w:basedOn w:val="Normlny"/>
    <w:rsid w:val="003D723B"/>
    <w:pPr>
      <w:ind w:left="709"/>
      <w:jc w:val="both"/>
    </w:pPr>
    <w:rPr>
      <w:rFonts w:ascii="Arial" w:hAnsi="Arial"/>
      <w:lang w:val="sk-SK"/>
    </w:rPr>
  </w:style>
  <w:style w:type="paragraph" w:customStyle="1" w:styleId="EMEAEnBodyText">
    <w:name w:val="EMEA En Body Text"/>
    <w:basedOn w:val="Normlny"/>
    <w:rsid w:val="003D723B"/>
    <w:pPr>
      <w:spacing w:before="120" w:after="120"/>
      <w:jc w:val="both"/>
    </w:pPr>
    <w:rPr>
      <w:sz w:val="22"/>
      <w:lang w:val="en-US"/>
    </w:rPr>
  </w:style>
  <w:style w:type="character" w:customStyle="1" w:styleId="ZkladntextChar">
    <w:name w:val="Základný text Char"/>
    <w:link w:val="Zkladntext"/>
    <w:rsid w:val="003D723B"/>
    <w:rPr>
      <w:sz w:val="18"/>
      <w:szCs w:val="24"/>
      <w:lang w:val="sk-SK" w:eastAsia="en-US" w:bidi="ar-SA"/>
    </w:rPr>
  </w:style>
  <w:style w:type="paragraph" w:styleId="Nzov">
    <w:name w:val="Title"/>
    <w:basedOn w:val="Normlny"/>
    <w:qFormat/>
    <w:rsid w:val="003D723B"/>
    <w:pPr>
      <w:tabs>
        <w:tab w:val="left" w:pos="8505"/>
      </w:tabs>
      <w:ind w:right="566"/>
      <w:jc w:val="center"/>
    </w:pPr>
    <w:rPr>
      <w:b/>
      <w:bCs/>
      <w:sz w:val="24"/>
      <w:lang w:val="sk-SK"/>
    </w:rPr>
  </w:style>
  <w:style w:type="paragraph" w:styleId="Textbubliny">
    <w:name w:val="Balloon Text"/>
    <w:basedOn w:val="Normlny"/>
    <w:link w:val="TextbublinyChar"/>
    <w:rsid w:val="00D067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67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rsid w:val="000E5A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E5A13"/>
    <w:rPr>
      <w:lang w:val="cs-CZ" w:eastAsia="en-US"/>
    </w:rPr>
  </w:style>
  <w:style w:type="paragraph" w:styleId="Pta">
    <w:name w:val="footer"/>
    <w:basedOn w:val="Normlny"/>
    <w:link w:val="PtaChar"/>
    <w:rsid w:val="000E5A1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E5A13"/>
    <w:rPr>
      <w:lang w:val="cs-CZ" w:eastAsia="en-US"/>
    </w:rPr>
  </w:style>
  <w:style w:type="table" w:styleId="Mriekatabuky">
    <w:name w:val="Table Grid"/>
    <w:basedOn w:val="Normlnatabuka"/>
    <w:rsid w:val="00261A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A35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styleId="Odkaznakomentr">
    <w:name w:val="annotation reference"/>
    <w:rsid w:val="00575D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575D9E"/>
    <w:pPr>
      <w:ind w:left="567" w:hanging="567"/>
    </w:pPr>
  </w:style>
  <w:style w:type="character" w:customStyle="1" w:styleId="TextkomentraChar">
    <w:name w:val="Text komentára Char"/>
    <w:link w:val="Textkomentra"/>
    <w:rsid w:val="00575D9E"/>
    <w:rPr>
      <w:lang w:val="cs-CZ" w:eastAsia="en-US"/>
    </w:rPr>
  </w:style>
  <w:style w:type="paragraph" w:styleId="Revzia">
    <w:name w:val="Revision"/>
    <w:hidden/>
    <w:uiPriority w:val="99"/>
    <w:semiHidden/>
    <w:rsid w:val="004A3544"/>
    <w:rPr>
      <w:lang w:val="cs-CZ" w:eastAsia="en-US"/>
    </w:rPr>
  </w:style>
  <w:style w:type="character" w:styleId="Hypertextovprepojenie">
    <w:name w:val="Hyperlink"/>
    <w:rsid w:val="0085765A"/>
    <w:rPr>
      <w:color w:val="0000FF"/>
      <w:u w:val="single"/>
    </w:rPr>
  </w:style>
  <w:style w:type="character" w:styleId="slostrany">
    <w:name w:val="page number"/>
    <w:basedOn w:val="Predvolenpsmoodseku"/>
    <w:rsid w:val="00515AD6"/>
  </w:style>
  <w:style w:type="paragraph" w:styleId="Predmetkomentra">
    <w:name w:val="annotation subject"/>
    <w:basedOn w:val="Textkomentra"/>
    <w:next w:val="Textkomentra"/>
    <w:link w:val="PredmetkomentraChar"/>
    <w:rsid w:val="00F26ED7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rsid w:val="00F26ED7"/>
    <w:rPr>
      <w:b/>
      <w:bCs/>
      <w:lang w:val="cs-CZ" w:eastAsia="en-US"/>
    </w:rPr>
  </w:style>
  <w:style w:type="paragraph" w:styleId="Normlnywebov">
    <w:name w:val="Normal (Web)"/>
    <w:basedOn w:val="Normlny"/>
    <w:uiPriority w:val="99"/>
    <w:unhideWhenUsed/>
    <w:rsid w:val="002E77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723B"/>
    <w:rPr>
      <w:lang w:val="cs-CZ" w:eastAsia="en-US"/>
    </w:rPr>
  </w:style>
  <w:style w:type="paragraph" w:styleId="Nadpis1">
    <w:name w:val="heading 1"/>
    <w:basedOn w:val="Normlny"/>
    <w:next w:val="Normlny"/>
    <w:qFormat/>
    <w:rsid w:val="003D723B"/>
    <w:pPr>
      <w:keepNext/>
      <w:outlineLvl w:val="0"/>
    </w:pPr>
    <w:rPr>
      <w:rFonts w:ascii="Arial" w:hAnsi="Arial"/>
      <w:b/>
      <w:caps/>
      <w:sz w:val="16"/>
      <w:lang w:val="sk-SK"/>
    </w:rPr>
  </w:style>
  <w:style w:type="paragraph" w:styleId="Nadpis2">
    <w:name w:val="heading 2"/>
    <w:basedOn w:val="Normlny"/>
    <w:next w:val="Normlny"/>
    <w:qFormat/>
    <w:rsid w:val="003D723B"/>
    <w:pPr>
      <w:keepNext/>
      <w:ind w:left="720"/>
      <w:jc w:val="both"/>
      <w:outlineLvl w:val="1"/>
    </w:pPr>
    <w:rPr>
      <w:rFonts w:ascii="Arial" w:hAnsi="Arial"/>
      <w:u w:val="single"/>
      <w:lang w:val="sk-SK"/>
    </w:rPr>
  </w:style>
  <w:style w:type="paragraph" w:styleId="Nadpis3">
    <w:name w:val="heading 3"/>
    <w:basedOn w:val="Normlny"/>
    <w:next w:val="Normlny"/>
    <w:qFormat/>
    <w:rsid w:val="003D723B"/>
    <w:pPr>
      <w:keepNext/>
      <w:ind w:left="720"/>
      <w:jc w:val="both"/>
      <w:outlineLvl w:val="2"/>
    </w:pPr>
    <w:rPr>
      <w:rFonts w:ascii="Arial" w:hAnsi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D723B"/>
    <w:pPr>
      <w:jc w:val="both"/>
    </w:pPr>
    <w:rPr>
      <w:sz w:val="18"/>
      <w:szCs w:val="24"/>
      <w:lang w:val="sk-SK"/>
    </w:rPr>
  </w:style>
  <w:style w:type="paragraph" w:styleId="Zarkazkladnhotextu2">
    <w:name w:val="Body Text Indent 2"/>
    <w:basedOn w:val="Normlny"/>
    <w:rsid w:val="003D723B"/>
    <w:pPr>
      <w:ind w:left="705"/>
      <w:jc w:val="both"/>
    </w:pPr>
    <w:rPr>
      <w:rFonts w:ascii="Arial" w:hAnsi="Arial" w:cs="Arial"/>
    </w:rPr>
  </w:style>
  <w:style w:type="paragraph" w:styleId="Zarkazkladnhotextu3">
    <w:name w:val="Body Text Indent 3"/>
    <w:basedOn w:val="Normlny"/>
    <w:rsid w:val="003D723B"/>
    <w:pPr>
      <w:ind w:left="709"/>
      <w:jc w:val="both"/>
    </w:pPr>
    <w:rPr>
      <w:rFonts w:ascii="Arial" w:hAnsi="Arial"/>
      <w:lang w:val="sk-SK"/>
    </w:rPr>
  </w:style>
  <w:style w:type="paragraph" w:customStyle="1" w:styleId="EMEAEnBodyText">
    <w:name w:val="EMEA En Body Text"/>
    <w:basedOn w:val="Normlny"/>
    <w:rsid w:val="003D723B"/>
    <w:pPr>
      <w:spacing w:before="120" w:after="120"/>
      <w:jc w:val="both"/>
    </w:pPr>
    <w:rPr>
      <w:sz w:val="22"/>
      <w:lang w:val="en-US"/>
    </w:rPr>
  </w:style>
  <w:style w:type="character" w:customStyle="1" w:styleId="ZkladntextChar">
    <w:name w:val="Základný text Char"/>
    <w:link w:val="Zkladntext"/>
    <w:rsid w:val="003D723B"/>
    <w:rPr>
      <w:sz w:val="18"/>
      <w:szCs w:val="24"/>
      <w:lang w:val="sk-SK" w:eastAsia="en-US" w:bidi="ar-SA"/>
    </w:rPr>
  </w:style>
  <w:style w:type="paragraph" w:styleId="Nzov">
    <w:name w:val="Title"/>
    <w:basedOn w:val="Normlny"/>
    <w:qFormat/>
    <w:rsid w:val="003D723B"/>
    <w:pPr>
      <w:tabs>
        <w:tab w:val="left" w:pos="8505"/>
      </w:tabs>
      <w:ind w:right="566"/>
      <w:jc w:val="center"/>
    </w:pPr>
    <w:rPr>
      <w:b/>
      <w:bCs/>
      <w:sz w:val="24"/>
      <w:lang w:val="sk-SK"/>
    </w:rPr>
  </w:style>
  <w:style w:type="paragraph" w:styleId="Textbubliny">
    <w:name w:val="Balloon Text"/>
    <w:basedOn w:val="Normlny"/>
    <w:link w:val="TextbublinyChar"/>
    <w:rsid w:val="00D067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67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rsid w:val="000E5A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E5A13"/>
    <w:rPr>
      <w:lang w:val="cs-CZ" w:eastAsia="en-US"/>
    </w:rPr>
  </w:style>
  <w:style w:type="paragraph" w:styleId="Pta">
    <w:name w:val="footer"/>
    <w:basedOn w:val="Normlny"/>
    <w:link w:val="PtaChar"/>
    <w:rsid w:val="000E5A1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E5A13"/>
    <w:rPr>
      <w:lang w:val="cs-CZ" w:eastAsia="en-US"/>
    </w:rPr>
  </w:style>
  <w:style w:type="table" w:styleId="Mriekatabuky">
    <w:name w:val="Table Grid"/>
    <w:basedOn w:val="Normlnatabuka"/>
    <w:rsid w:val="00261A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A35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styleId="Odkaznakomentr">
    <w:name w:val="annotation reference"/>
    <w:rsid w:val="00575D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575D9E"/>
    <w:pPr>
      <w:ind w:left="567" w:hanging="567"/>
    </w:pPr>
  </w:style>
  <w:style w:type="character" w:customStyle="1" w:styleId="TextkomentraChar">
    <w:name w:val="Text komentára Char"/>
    <w:link w:val="Textkomentra"/>
    <w:rsid w:val="00575D9E"/>
    <w:rPr>
      <w:lang w:val="cs-CZ" w:eastAsia="en-US"/>
    </w:rPr>
  </w:style>
  <w:style w:type="paragraph" w:styleId="Revzia">
    <w:name w:val="Revision"/>
    <w:hidden/>
    <w:uiPriority w:val="99"/>
    <w:semiHidden/>
    <w:rsid w:val="004A3544"/>
    <w:rPr>
      <w:lang w:val="cs-CZ" w:eastAsia="en-US"/>
    </w:rPr>
  </w:style>
  <w:style w:type="character" w:styleId="Hypertextovprepojenie">
    <w:name w:val="Hyperlink"/>
    <w:rsid w:val="0085765A"/>
    <w:rPr>
      <w:color w:val="0000FF"/>
      <w:u w:val="single"/>
    </w:rPr>
  </w:style>
  <w:style w:type="character" w:styleId="slostrany">
    <w:name w:val="page number"/>
    <w:basedOn w:val="Predvolenpsmoodseku"/>
    <w:rsid w:val="00515AD6"/>
  </w:style>
  <w:style w:type="paragraph" w:styleId="Predmetkomentra">
    <w:name w:val="annotation subject"/>
    <w:basedOn w:val="Textkomentra"/>
    <w:next w:val="Textkomentra"/>
    <w:link w:val="PredmetkomentraChar"/>
    <w:rsid w:val="00F26ED7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rsid w:val="00F26ED7"/>
    <w:rPr>
      <w:b/>
      <w:bCs/>
      <w:lang w:val="cs-CZ" w:eastAsia="en-US"/>
    </w:rPr>
  </w:style>
  <w:style w:type="paragraph" w:styleId="Normlnywebov">
    <w:name w:val="Normal (Web)"/>
    <w:basedOn w:val="Normlny"/>
    <w:uiPriority w:val="99"/>
    <w:unhideWhenUsed/>
    <w:rsid w:val="002E77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F524-53AA-4F2E-9C12-9993E958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3994</Words>
  <Characters>22772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26713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marosz</dc:creator>
  <cp:lastModifiedBy>EM</cp:lastModifiedBy>
  <cp:revision>3</cp:revision>
  <cp:lastPrinted>2016-07-12T06:08:00Z</cp:lastPrinted>
  <dcterms:created xsi:type="dcterms:W3CDTF">2018-09-27T08:42:00Z</dcterms:created>
  <dcterms:modified xsi:type="dcterms:W3CDTF">2018-09-27T11:11:00Z</dcterms:modified>
</cp:coreProperties>
</file>