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CB" w:rsidRPr="001561C9" w:rsidRDefault="004363CB" w:rsidP="004363CB"/>
    <w:p w:rsidR="004363CB" w:rsidRPr="00EE2FCE" w:rsidRDefault="004363CB" w:rsidP="004363CB">
      <w:pPr>
        <w:pStyle w:val="SPCaPILhlavika"/>
      </w:pPr>
      <w:r w:rsidRPr="00EE2FCE">
        <w:t>SÚHRN CHARAKTERISTICKÝCH VLASTNOSTÍ LIEKU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1.</w:t>
      </w:r>
      <w:r w:rsidRPr="00C347EF">
        <w:rPr>
          <w:lang w:val="sk-SK"/>
        </w:rPr>
        <w:tab/>
        <w:t>NÁZOV LIEKU</w:t>
      </w:r>
    </w:p>
    <w:p w:rsidR="004363CB" w:rsidRPr="00EE2FCE" w:rsidRDefault="004363CB" w:rsidP="0007627F">
      <w:pPr>
        <w:pStyle w:val="Normlndobloku"/>
      </w:pPr>
      <w:r w:rsidRPr="00EE2FCE">
        <w:t>MEDOFLOXINE 200 mg</w:t>
      </w:r>
    </w:p>
    <w:p w:rsidR="004363CB" w:rsidRPr="001561C9" w:rsidRDefault="004363CB" w:rsidP="0007627F">
      <w:pPr>
        <w:pStyle w:val="Normlndobloku"/>
      </w:pPr>
      <w:r w:rsidRPr="001561C9">
        <w:t>filmom obalené tablety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2.</w:t>
      </w:r>
      <w:r w:rsidRPr="00C347EF">
        <w:rPr>
          <w:lang w:val="sk-SK"/>
        </w:rPr>
        <w:tab/>
        <w:t>KVALITATÍVNE A KVANTITATÍVNE ZLOŽENIE</w:t>
      </w:r>
    </w:p>
    <w:p w:rsidR="004363CB" w:rsidRPr="00EE2FCE" w:rsidRDefault="004363CB" w:rsidP="0007627F">
      <w:pPr>
        <w:pStyle w:val="Normlndobloku"/>
      </w:pPr>
      <w:r w:rsidRPr="00EE2FCE">
        <w:t xml:space="preserve">Jedna filmom obalená tableta obsahuje 200 mg </w:t>
      </w:r>
      <w:proofErr w:type="spellStart"/>
      <w:r w:rsidRPr="00EE2FCE">
        <w:t>ofloxacínu</w:t>
      </w:r>
      <w:proofErr w:type="spellEnd"/>
      <w:r w:rsidRPr="00EE2FCE">
        <w:t>.</w:t>
      </w:r>
    </w:p>
    <w:p w:rsidR="00000000" w:rsidRDefault="002F2605">
      <w:pPr>
        <w:pStyle w:val="Styl3"/>
      </w:pPr>
      <w:r w:rsidRPr="00EE2FCE">
        <w:t>Pomocná látka so známym účinkom</w:t>
      </w:r>
    </w:p>
    <w:p w:rsidR="004363CB" w:rsidRPr="001561C9" w:rsidRDefault="004363CB" w:rsidP="0007627F">
      <w:pPr>
        <w:pStyle w:val="Normlndobloku"/>
      </w:pPr>
      <w:r w:rsidRPr="001561C9">
        <w:t xml:space="preserve">Jedna filmom obalená tableta obsahuje 74 mg </w:t>
      </w:r>
      <w:proofErr w:type="spellStart"/>
      <w:r w:rsidRPr="001561C9">
        <w:t>monohydrátu</w:t>
      </w:r>
      <w:proofErr w:type="spellEnd"/>
      <w:r w:rsidRPr="001561C9">
        <w:t xml:space="preserve"> laktózy.</w:t>
      </w:r>
    </w:p>
    <w:p w:rsidR="004363CB" w:rsidRPr="001561C9" w:rsidRDefault="004363CB" w:rsidP="0007627F">
      <w:pPr>
        <w:pStyle w:val="Normlndobloku"/>
      </w:pPr>
      <w:r w:rsidRPr="001561C9">
        <w:t>Úplný zoznam pomocných látok, pozri časť 6.1.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3.</w:t>
      </w:r>
      <w:r w:rsidRPr="00C347EF">
        <w:rPr>
          <w:lang w:val="sk-SK"/>
        </w:rPr>
        <w:tab/>
        <w:t>LIEKOVÁ FORMA</w:t>
      </w:r>
    </w:p>
    <w:p w:rsidR="004363CB" w:rsidRPr="00EE2FCE" w:rsidRDefault="004363CB" w:rsidP="0007627F">
      <w:pPr>
        <w:pStyle w:val="Normlndobloku"/>
      </w:pPr>
      <w:r w:rsidRPr="00EE2FCE">
        <w:t>Filmom obalená tableta</w:t>
      </w:r>
    </w:p>
    <w:p w:rsidR="004363CB" w:rsidRPr="001561C9" w:rsidRDefault="004363CB" w:rsidP="0007627F">
      <w:pPr>
        <w:pStyle w:val="Normlndobloku"/>
      </w:pPr>
      <w:r w:rsidRPr="001561C9">
        <w:t>Biele, guľaté, konvexné, filmom obalené tablety s priemerom jadra 9,5 mm.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4.</w:t>
      </w:r>
      <w:r w:rsidRPr="00C347EF">
        <w:rPr>
          <w:lang w:val="sk-SK"/>
        </w:rPr>
        <w:tab/>
        <w:t>KLINICKÉ ÚDAJE</w:t>
      </w:r>
    </w:p>
    <w:p w:rsidR="004363CB" w:rsidRPr="003F6B1B" w:rsidRDefault="0001707E" w:rsidP="0007627F">
      <w:pPr>
        <w:pStyle w:val="Styl2"/>
      </w:pPr>
      <w:r w:rsidRPr="00EE2FCE">
        <w:t>4.1</w:t>
      </w:r>
      <w:r w:rsidRPr="00EE2FCE">
        <w:tab/>
      </w:r>
      <w:r w:rsidR="004363CB" w:rsidRPr="00EE2FCE">
        <w:t>Terapeuti</w:t>
      </w:r>
      <w:r w:rsidR="004363CB" w:rsidRPr="003F6B1B">
        <w:t>cké indikácie</w:t>
      </w:r>
    </w:p>
    <w:p w:rsidR="004363CB" w:rsidRPr="00215F5D" w:rsidRDefault="004363CB" w:rsidP="0007627F">
      <w:pPr>
        <w:pStyle w:val="Normlndobloku"/>
      </w:pPr>
      <w:proofErr w:type="spellStart"/>
      <w:r w:rsidRPr="00215F5D">
        <w:t>Ofloxacín</w:t>
      </w:r>
      <w:proofErr w:type="spellEnd"/>
      <w:r w:rsidRPr="00215F5D">
        <w:t xml:space="preserve"> je syntetický 4-</w:t>
      </w:r>
      <w:r w:rsidR="00376D62">
        <w:t>fluó</w:t>
      </w:r>
      <w:r w:rsidRPr="00215F5D">
        <w:t xml:space="preserve">rochinolón, antibakteriálna látka s baktericídnou aktivitu proti širokému spektru </w:t>
      </w:r>
      <w:proofErr w:type="spellStart"/>
      <w:r w:rsidRPr="00215F5D">
        <w:t>grampozitívnych</w:t>
      </w:r>
      <w:proofErr w:type="spellEnd"/>
      <w:r w:rsidRPr="00215F5D">
        <w:t xml:space="preserve"> a </w:t>
      </w:r>
      <w:proofErr w:type="spellStart"/>
      <w:r w:rsidRPr="00215F5D">
        <w:t>gramnegatívnych</w:t>
      </w:r>
      <w:proofErr w:type="spellEnd"/>
      <w:r w:rsidRPr="00215F5D">
        <w:t xml:space="preserve"> mikroorganizmov.</w:t>
      </w:r>
    </w:p>
    <w:p w:rsidR="004363CB" w:rsidRPr="001561C9" w:rsidRDefault="004363CB" w:rsidP="0007627F">
      <w:pPr>
        <w:pStyle w:val="Normlndobloku"/>
      </w:pPr>
      <w:r w:rsidRPr="001561C9">
        <w:t>Je indikovaný na liečbu nasledujúcich infekcií, ak sú spôsobené citlivými organizmami: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Infekcie horných a dolných močových ciest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Infekcie dolného respiračného traktu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 xml:space="preserve">Nekomplikovaná </w:t>
      </w:r>
      <w:proofErr w:type="spellStart"/>
      <w:r>
        <w:rPr>
          <w:noProof w:val="0"/>
        </w:rPr>
        <w:t>cervikálna</w:t>
      </w:r>
      <w:proofErr w:type="spellEnd"/>
      <w:r>
        <w:rPr>
          <w:noProof w:val="0"/>
        </w:rPr>
        <w:t xml:space="preserve"> a </w:t>
      </w:r>
      <w:proofErr w:type="spellStart"/>
      <w:r>
        <w:rPr>
          <w:noProof w:val="0"/>
        </w:rPr>
        <w:t>uretrálna</w:t>
      </w:r>
      <w:proofErr w:type="spellEnd"/>
      <w:r>
        <w:rPr>
          <w:noProof w:val="0"/>
        </w:rPr>
        <w:t xml:space="preserve"> kvapavka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proofErr w:type="spellStart"/>
      <w:r>
        <w:rPr>
          <w:noProof w:val="0"/>
        </w:rPr>
        <w:t>Negonokoková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cervicitída</w:t>
      </w:r>
      <w:proofErr w:type="spellEnd"/>
      <w:r>
        <w:rPr>
          <w:noProof w:val="0"/>
        </w:rPr>
        <w:t xml:space="preserve"> a </w:t>
      </w:r>
      <w:proofErr w:type="spellStart"/>
      <w:r>
        <w:rPr>
          <w:noProof w:val="0"/>
        </w:rPr>
        <w:t>uretritída</w:t>
      </w:r>
      <w:proofErr w:type="spellEnd"/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Kožné infekcie a infekcie mäkkých tkanív</w:t>
      </w:r>
    </w:p>
    <w:p w:rsidR="004363CB" w:rsidRPr="001561C9" w:rsidRDefault="004363CB" w:rsidP="0007627F">
      <w:pPr>
        <w:pStyle w:val="Normlndobloku"/>
      </w:pPr>
      <w:r w:rsidRPr="001561C9">
        <w:t>Do úvahy sa musia vziať oficiálne odporúčania o použití antibakteriálnych látok.</w:t>
      </w:r>
    </w:p>
    <w:p w:rsidR="004363CB" w:rsidRPr="001561C9" w:rsidRDefault="00EF211A" w:rsidP="0007627F">
      <w:pPr>
        <w:pStyle w:val="Styl2"/>
      </w:pPr>
      <w:r w:rsidRPr="001561C9">
        <w:t>4.2</w:t>
      </w:r>
      <w:r w:rsidRPr="001561C9">
        <w:tab/>
      </w:r>
      <w:r w:rsidR="004363CB" w:rsidRPr="001561C9">
        <w:t>Dávkovanie a spôsob podávania</w:t>
      </w:r>
    </w:p>
    <w:p w:rsidR="004363CB" w:rsidRPr="001561C9" w:rsidRDefault="00C347EF" w:rsidP="0007627F">
      <w:pPr>
        <w:pStyle w:val="Styl2-2"/>
        <w:rPr>
          <w:lang w:val="sk-SK"/>
        </w:rPr>
      </w:pPr>
      <w:r w:rsidRPr="00C347EF">
        <w:rPr>
          <w:lang w:val="sk-SK"/>
        </w:rPr>
        <w:t>Dávkovanie</w:t>
      </w:r>
    </w:p>
    <w:p w:rsidR="004363CB" w:rsidRPr="00EE2FCE" w:rsidRDefault="004363CB" w:rsidP="003F12F2">
      <w:pPr>
        <w:pStyle w:val="Styl3"/>
      </w:pPr>
      <w:r w:rsidRPr="00EE2FCE">
        <w:t>Všeobecné princípy dávkovania</w:t>
      </w:r>
    </w:p>
    <w:p w:rsidR="004363CB" w:rsidRPr="001561C9" w:rsidRDefault="004363CB" w:rsidP="0007627F">
      <w:pPr>
        <w:pStyle w:val="Normlndobloku"/>
      </w:pPr>
      <w:r w:rsidRPr="001561C9">
        <w:t xml:space="preserve">Dávku </w:t>
      </w:r>
      <w:proofErr w:type="spellStart"/>
      <w:r w:rsidRPr="001561C9">
        <w:t>ofloxacínu</w:t>
      </w:r>
      <w:proofErr w:type="spellEnd"/>
      <w:r w:rsidRPr="001561C9">
        <w:t xml:space="preserve"> určuje typ a závažnosť infekcie. Zvyčajné dávkovacie rozpätie je medzi 200 až 800 mg denne. </w:t>
      </w:r>
    </w:p>
    <w:p w:rsidR="004363CB" w:rsidRPr="001561C9" w:rsidRDefault="004363CB" w:rsidP="003F12F2">
      <w:pPr>
        <w:pStyle w:val="Styl3"/>
      </w:pPr>
      <w:r w:rsidRPr="001561C9">
        <w:t>Dospelí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Infekcia dolných močových ciest: 200 mg až 400 mg denne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Infekcia horných močových ciest: 200 mg až 400 mg denne, ak je to potrebné, môže byť dávka zvýšená na 400 mg dvakrát denne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Infekcia dolných respiračných ciest: 400 mg denne ako jedna dávka alebo rozdelená dávka, ak je to potrebné, môže byť dávka zvýšená na 400 mg dvakrát denne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lastRenderedPageBreak/>
        <w:t xml:space="preserve">Nekomplikovaná </w:t>
      </w:r>
      <w:proofErr w:type="spellStart"/>
      <w:r>
        <w:rPr>
          <w:noProof w:val="0"/>
        </w:rPr>
        <w:t>cervikálna</w:t>
      </w:r>
      <w:proofErr w:type="spellEnd"/>
      <w:r>
        <w:rPr>
          <w:noProof w:val="0"/>
        </w:rPr>
        <w:t xml:space="preserve"> a </w:t>
      </w:r>
      <w:proofErr w:type="spellStart"/>
      <w:r>
        <w:rPr>
          <w:noProof w:val="0"/>
        </w:rPr>
        <w:t>uretrálna</w:t>
      </w:r>
      <w:proofErr w:type="spellEnd"/>
      <w:r>
        <w:rPr>
          <w:noProof w:val="0"/>
        </w:rPr>
        <w:t xml:space="preserve"> kvapavka: jednotlivá dávka 400 mg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proofErr w:type="spellStart"/>
      <w:r>
        <w:rPr>
          <w:noProof w:val="0"/>
        </w:rPr>
        <w:t>Negonokoková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cervicitída</w:t>
      </w:r>
      <w:proofErr w:type="spellEnd"/>
      <w:r>
        <w:rPr>
          <w:noProof w:val="0"/>
        </w:rPr>
        <w:t xml:space="preserve"> alebo </w:t>
      </w:r>
      <w:proofErr w:type="spellStart"/>
      <w:r>
        <w:rPr>
          <w:noProof w:val="0"/>
        </w:rPr>
        <w:t>uretritída</w:t>
      </w:r>
      <w:proofErr w:type="spellEnd"/>
      <w:r>
        <w:rPr>
          <w:noProof w:val="0"/>
        </w:rPr>
        <w:t>: 400 mg ako jedna dávka alebo rozdelená do dvoch dávok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Infekcie kože a mäkkých tkanív: 400 mg dvakrát denne</w:t>
      </w:r>
    </w:p>
    <w:p w:rsidR="004363CB" w:rsidRPr="001561C9" w:rsidRDefault="002F2605" w:rsidP="003F12F2">
      <w:pPr>
        <w:pStyle w:val="Styl3"/>
      </w:pPr>
      <w:r w:rsidRPr="001561C9">
        <w:t>Porucha funkcie obličiek</w:t>
      </w:r>
    </w:p>
    <w:p w:rsidR="00000000" w:rsidRPr="0089783D" w:rsidRDefault="00C347EF">
      <w:pPr>
        <w:pStyle w:val="Normlndobloku"/>
      </w:pPr>
      <w:r w:rsidRPr="0089783D">
        <w:t>U pacientov s poruchou funkcie obličiek sa odporúčajú nasledujúce perorálne dávky: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096"/>
        <w:gridCol w:w="1842"/>
        <w:gridCol w:w="1946"/>
      </w:tblGrid>
      <w:tr w:rsidR="000B0A3B" w:rsidRPr="0089783D" w:rsidTr="000B0A3B">
        <w:tc>
          <w:tcPr>
            <w:tcW w:w="3085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KLÍRENS</w:t>
            </w: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KREATINÍNU</w:t>
            </w:r>
          </w:p>
        </w:tc>
        <w:tc>
          <w:tcPr>
            <w:tcW w:w="2096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JEDNOTLIVÁ</w:t>
            </w:r>
            <w:r w:rsidR="00343335" w:rsidRPr="0089783D">
              <w:rPr>
                <w:szCs w:val="22"/>
              </w:rPr>
              <w:t xml:space="preserve"> </w:t>
            </w:r>
            <w:r w:rsidRPr="0089783D">
              <w:rPr>
                <w:szCs w:val="22"/>
              </w:rPr>
              <w:t>DÁVKA</w:t>
            </w: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mg*</w:t>
            </w:r>
          </w:p>
        </w:tc>
        <w:tc>
          <w:tcPr>
            <w:tcW w:w="1842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POČET / 24 hod</w:t>
            </w:r>
          </w:p>
        </w:tc>
        <w:tc>
          <w:tcPr>
            <w:tcW w:w="1946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INTERVALY</w:t>
            </w: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hod</w:t>
            </w:r>
          </w:p>
        </w:tc>
      </w:tr>
      <w:tr w:rsidR="000B0A3B" w:rsidRPr="0089783D" w:rsidTr="000B0A3B">
        <w:tc>
          <w:tcPr>
            <w:tcW w:w="3085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50 – 20 ml/min</w:t>
            </w:r>
          </w:p>
        </w:tc>
        <w:tc>
          <w:tcPr>
            <w:tcW w:w="2096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100 – 200</w:t>
            </w:r>
          </w:p>
        </w:tc>
        <w:tc>
          <w:tcPr>
            <w:tcW w:w="1842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1</w:t>
            </w:r>
          </w:p>
        </w:tc>
        <w:tc>
          <w:tcPr>
            <w:tcW w:w="1946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24</w:t>
            </w:r>
          </w:p>
        </w:tc>
      </w:tr>
      <w:tr w:rsidR="000B0A3B" w:rsidRPr="0089783D" w:rsidTr="000B0A3B">
        <w:tc>
          <w:tcPr>
            <w:tcW w:w="3085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&lt; 20 ml/min**</w:t>
            </w: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alebo hemodialýza</w:t>
            </w: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 xml:space="preserve">alebo </w:t>
            </w:r>
            <w:proofErr w:type="spellStart"/>
            <w:r w:rsidRPr="0089783D">
              <w:rPr>
                <w:szCs w:val="22"/>
              </w:rPr>
              <w:t>peritoneálna</w:t>
            </w:r>
            <w:proofErr w:type="spellEnd"/>
            <w:r w:rsidRPr="0089783D">
              <w:rPr>
                <w:szCs w:val="22"/>
              </w:rPr>
              <w:t xml:space="preserve"> dialýza</w:t>
            </w:r>
          </w:p>
        </w:tc>
        <w:tc>
          <w:tcPr>
            <w:tcW w:w="2096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100</w:t>
            </w: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alebo</w:t>
            </w: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200</w:t>
            </w:r>
          </w:p>
        </w:tc>
        <w:tc>
          <w:tcPr>
            <w:tcW w:w="1842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1</w:t>
            </w:r>
          </w:p>
          <w:p w:rsidR="000B0A3B" w:rsidRPr="0089783D" w:rsidRDefault="000B0A3B" w:rsidP="000B0A3B">
            <w:pPr>
              <w:textAlignment w:val="top"/>
              <w:rPr>
                <w:szCs w:val="22"/>
              </w:rPr>
            </w:pP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1</w:t>
            </w:r>
          </w:p>
        </w:tc>
        <w:tc>
          <w:tcPr>
            <w:tcW w:w="1946" w:type="dxa"/>
          </w:tcPr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24</w:t>
            </w:r>
          </w:p>
          <w:p w:rsidR="000B0A3B" w:rsidRPr="0089783D" w:rsidRDefault="000B0A3B" w:rsidP="000B0A3B">
            <w:pPr>
              <w:textAlignment w:val="top"/>
              <w:rPr>
                <w:szCs w:val="22"/>
              </w:rPr>
            </w:pPr>
          </w:p>
          <w:p w:rsidR="000B0A3B" w:rsidRPr="0089783D" w:rsidRDefault="00C347EF" w:rsidP="000B0A3B">
            <w:pPr>
              <w:textAlignment w:val="top"/>
              <w:rPr>
                <w:szCs w:val="22"/>
              </w:rPr>
            </w:pPr>
            <w:r w:rsidRPr="0089783D">
              <w:rPr>
                <w:szCs w:val="22"/>
              </w:rPr>
              <w:t>48</w:t>
            </w:r>
          </w:p>
        </w:tc>
      </w:tr>
    </w:tbl>
    <w:p w:rsidR="00000000" w:rsidRPr="0089783D" w:rsidRDefault="00C347EF">
      <w:pPr>
        <w:pStyle w:val="Normlndobloku"/>
      </w:pPr>
      <w:r w:rsidRPr="0089783D">
        <w:t xml:space="preserve">* </w:t>
      </w:r>
      <w:r w:rsidRPr="0089783D">
        <w:tab/>
        <w:t>Podľa indikácie alebo intervalu dávky.</w:t>
      </w:r>
    </w:p>
    <w:p w:rsidR="00000000" w:rsidRPr="0089783D" w:rsidRDefault="00C347EF">
      <w:pPr>
        <w:pStyle w:val="Normlndobloku"/>
      </w:pPr>
      <w:r w:rsidRPr="0089783D">
        <w:t>**</w:t>
      </w:r>
      <w:r w:rsidRPr="0089783D">
        <w:tab/>
        <w:t xml:space="preserve">U pacientov so závažnou poruchou funkcie obličiek a pacientov podstupujúcich dialýzu sa majú sledovať sérové koncentrácie </w:t>
      </w:r>
      <w:proofErr w:type="spellStart"/>
      <w:r w:rsidRPr="0089783D">
        <w:t>ofloxacínu</w:t>
      </w:r>
      <w:proofErr w:type="spellEnd"/>
      <w:r w:rsidRPr="0089783D">
        <w:t>.</w:t>
      </w:r>
    </w:p>
    <w:p w:rsidR="00000000" w:rsidRPr="0089783D" w:rsidRDefault="00C347EF">
      <w:pPr>
        <w:pStyle w:val="Normlndobloku"/>
      </w:pPr>
      <w:r w:rsidRPr="0089783D">
        <w:rPr>
          <w:color w:val="000000"/>
        </w:rPr>
        <w:t xml:space="preserve">Ak nie je možné stanoviť </w:t>
      </w:r>
      <w:proofErr w:type="spellStart"/>
      <w:r w:rsidRPr="0089783D">
        <w:rPr>
          <w:color w:val="000000"/>
        </w:rPr>
        <w:t>k</w:t>
      </w:r>
      <w:r w:rsidRPr="0089783D">
        <w:t>lírens</w:t>
      </w:r>
      <w:proofErr w:type="spellEnd"/>
      <w:r w:rsidRPr="0089783D">
        <w:t xml:space="preserve"> </w:t>
      </w:r>
      <w:proofErr w:type="spellStart"/>
      <w:r w:rsidRPr="0089783D">
        <w:t>kreatinínu</w:t>
      </w:r>
      <w:proofErr w:type="spellEnd"/>
      <w:r w:rsidRPr="0089783D">
        <w:t xml:space="preserve">, môže sa odhadnúť z hladiny sérového </w:t>
      </w:r>
      <w:proofErr w:type="spellStart"/>
      <w:r w:rsidRPr="0089783D">
        <w:t>kreatinínu</w:t>
      </w:r>
      <w:proofErr w:type="spellEnd"/>
      <w:r w:rsidRPr="0089783D">
        <w:t xml:space="preserve"> použitím nasledujúceho </w:t>
      </w:r>
      <w:proofErr w:type="spellStart"/>
      <w:r w:rsidRPr="0089783D">
        <w:t>Cockcroftovho</w:t>
      </w:r>
      <w:proofErr w:type="spellEnd"/>
      <w:r w:rsidRPr="0089783D">
        <w:t xml:space="preserve"> vzorca pre dospelých:</w:t>
      </w:r>
    </w:p>
    <w:p w:rsidR="00000000" w:rsidRPr="0089783D" w:rsidRDefault="00C07E4B">
      <w:pPr>
        <w:pStyle w:val="Normlndobloku"/>
      </w:pPr>
    </w:p>
    <w:tbl>
      <w:tblPr>
        <w:tblW w:w="0" w:type="auto"/>
        <w:tblLook w:val="00A0"/>
      </w:tblPr>
      <w:tblGrid>
        <w:gridCol w:w="3070"/>
        <w:gridCol w:w="1716"/>
        <w:gridCol w:w="3544"/>
      </w:tblGrid>
      <w:tr w:rsidR="000B0A3B" w:rsidRPr="0089783D" w:rsidTr="000B0A3B">
        <w:tc>
          <w:tcPr>
            <w:tcW w:w="3070" w:type="dxa"/>
          </w:tcPr>
          <w:p w:rsidR="00000000" w:rsidRPr="0089783D" w:rsidRDefault="00C347EF">
            <w:pPr>
              <w:pStyle w:val="Normlndobloku"/>
              <w:rPr>
                <w:szCs w:val="22"/>
              </w:rPr>
            </w:pPr>
            <w:r w:rsidRPr="0089783D">
              <w:t>Muži:</w:t>
            </w:r>
          </w:p>
        </w:tc>
        <w:tc>
          <w:tcPr>
            <w:tcW w:w="1716" w:type="dxa"/>
          </w:tcPr>
          <w:p w:rsidR="00000000" w:rsidRPr="0089783D" w:rsidRDefault="00C347EF">
            <w:pPr>
              <w:pStyle w:val="Normlndobloku"/>
              <w:rPr>
                <w:szCs w:val="22"/>
              </w:rPr>
            </w:pPr>
            <w:proofErr w:type="spellStart"/>
            <w:r w:rsidRPr="0089783D">
              <w:t>ClCr</w:t>
            </w:r>
            <w:proofErr w:type="spellEnd"/>
            <w:r w:rsidRPr="0089783D">
              <w:t xml:space="preserve"> (ml/min) = </w:t>
            </w:r>
          </w:p>
        </w:tc>
        <w:tc>
          <w:tcPr>
            <w:tcW w:w="3544" w:type="dxa"/>
          </w:tcPr>
          <w:p w:rsidR="00000000" w:rsidRPr="0089783D" w:rsidRDefault="00C347EF">
            <w:pPr>
              <w:pStyle w:val="Normlndobloku"/>
              <w:spacing w:after="0"/>
              <w:rPr>
                <w:szCs w:val="22"/>
              </w:rPr>
            </w:pPr>
            <w:r w:rsidRPr="0089783D">
              <w:rPr>
                <w:u w:val="single"/>
              </w:rPr>
              <w:t xml:space="preserve">hmotnosť (kg) x (140 </w:t>
            </w:r>
            <w:r w:rsidR="00283D14" w:rsidRPr="0089783D">
              <w:rPr>
                <w:u w:val="single"/>
              </w:rPr>
              <w:t xml:space="preserve">- </w:t>
            </w:r>
            <w:r w:rsidRPr="0089783D">
              <w:rPr>
                <w:u w:val="single"/>
              </w:rPr>
              <w:t>vek v rokoch)</w:t>
            </w:r>
          </w:p>
          <w:p w:rsidR="00000000" w:rsidRPr="0089783D" w:rsidRDefault="00C347EF">
            <w:pPr>
              <w:pStyle w:val="Normlndobloku"/>
              <w:rPr>
                <w:szCs w:val="22"/>
              </w:rPr>
            </w:pPr>
            <w:r w:rsidRPr="0089783D">
              <w:t xml:space="preserve">72 x sérový </w:t>
            </w:r>
            <w:proofErr w:type="spellStart"/>
            <w:r w:rsidRPr="0089783D">
              <w:t>kreatinín</w:t>
            </w:r>
            <w:proofErr w:type="spellEnd"/>
            <w:r w:rsidRPr="0089783D">
              <w:t xml:space="preserve"> (mg/dl)</w:t>
            </w:r>
          </w:p>
        </w:tc>
      </w:tr>
      <w:tr w:rsidR="000B0A3B" w:rsidRPr="0089783D" w:rsidTr="000B0A3B">
        <w:tc>
          <w:tcPr>
            <w:tcW w:w="3070" w:type="dxa"/>
          </w:tcPr>
          <w:p w:rsidR="00000000" w:rsidRPr="0089783D" w:rsidRDefault="00C347EF">
            <w:pPr>
              <w:pStyle w:val="Normlndobloku"/>
              <w:rPr>
                <w:szCs w:val="22"/>
              </w:rPr>
            </w:pPr>
            <w:r w:rsidRPr="0089783D">
              <w:t>alebo</w:t>
            </w:r>
          </w:p>
        </w:tc>
        <w:tc>
          <w:tcPr>
            <w:tcW w:w="1716" w:type="dxa"/>
          </w:tcPr>
          <w:p w:rsidR="00000000" w:rsidRPr="0089783D" w:rsidRDefault="00C07E4B">
            <w:pPr>
              <w:pStyle w:val="Normlndobloku"/>
              <w:rPr>
                <w:szCs w:val="22"/>
              </w:rPr>
            </w:pPr>
          </w:p>
        </w:tc>
        <w:tc>
          <w:tcPr>
            <w:tcW w:w="3544" w:type="dxa"/>
          </w:tcPr>
          <w:p w:rsidR="00000000" w:rsidRPr="0089783D" w:rsidRDefault="00C07E4B">
            <w:pPr>
              <w:pStyle w:val="Normlndobloku"/>
              <w:rPr>
                <w:szCs w:val="22"/>
              </w:rPr>
            </w:pPr>
          </w:p>
        </w:tc>
      </w:tr>
      <w:tr w:rsidR="000B0A3B" w:rsidRPr="0089783D" w:rsidTr="000B0A3B">
        <w:tc>
          <w:tcPr>
            <w:tcW w:w="3070" w:type="dxa"/>
          </w:tcPr>
          <w:p w:rsidR="00000000" w:rsidRPr="0089783D" w:rsidRDefault="00C07E4B">
            <w:pPr>
              <w:pStyle w:val="Normlndobloku"/>
              <w:rPr>
                <w:szCs w:val="22"/>
              </w:rPr>
            </w:pPr>
          </w:p>
        </w:tc>
        <w:tc>
          <w:tcPr>
            <w:tcW w:w="1716" w:type="dxa"/>
          </w:tcPr>
          <w:p w:rsidR="00000000" w:rsidRPr="0089783D" w:rsidRDefault="00C347EF">
            <w:pPr>
              <w:pStyle w:val="Normlndobloku"/>
              <w:rPr>
                <w:szCs w:val="22"/>
              </w:rPr>
            </w:pPr>
            <w:proofErr w:type="spellStart"/>
            <w:r w:rsidRPr="0089783D">
              <w:t>ClCr</w:t>
            </w:r>
            <w:proofErr w:type="spellEnd"/>
            <w:r w:rsidRPr="0089783D">
              <w:t xml:space="preserve"> (ml/min) = </w:t>
            </w:r>
          </w:p>
        </w:tc>
        <w:tc>
          <w:tcPr>
            <w:tcW w:w="3544" w:type="dxa"/>
          </w:tcPr>
          <w:p w:rsidR="00000000" w:rsidRPr="0089783D" w:rsidRDefault="00C347EF">
            <w:pPr>
              <w:pStyle w:val="Normlndobloku"/>
              <w:spacing w:after="0"/>
              <w:rPr>
                <w:szCs w:val="22"/>
              </w:rPr>
            </w:pPr>
            <w:r w:rsidRPr="0089783D">
              <w:rPr>
                <w:u w:val="single"/>
              </w:rPr>
              <w:t>hmotnosť (kg) x (140</w:t>
            </w:r>
            <w:r w:rsidR="00283D14" w:rsidRPr="0089783D">
              <w:rPr>
                <w:u w:val="single"/>
              </w:rPr>
              <w:t xml:space="preserve"> -</w:t>
            </w:r>
            <w:r w:rsidRPr="0089783D">
              <w:rPr>
                <w:u w:val="single"/>
              </w:rPr>
              <w:t xml:space="preserve"> vek v rokoch)</w:t>
            </w:r>
          </w:p>
          <w:p w:rsidR="00000000" w:rsidRPr="0089783D" w:rsidRDefault="00C347EF">
            <w:pPr>
              <w:pStyle w:val="Normlndobloku"/>
              <w:rPr>
                <w:szCs w:val="22"/>
              </w:rPr>
            </w:pPr>
            <w:r w:rsidRPr="0089783D">
              <w:t xml:space="preserve">0,814 x sérový </w:t>
            </w:r>
            <w:proofErr w:type="spellStart"/>
            <w:r w:rsidRPr="0089783D">
              <w:t>kreatinín</w:t>
            </w:r>
            <w:proofErr w:type="spellEnd"/>
            <w:r w:rsidRPr="0089783D">
              <w:t xml:space="preserve"> (µmol/l)</w:t>
            </w:r>
          </w:p>
        </w:tc>
      </w:tr>
      <w:tr w:rsidR="000B0A3B" w:rsidRPr="0089783D" w:rsidTr="000B0A3B">
        <w:tc>
          <w:tcPr>
            <w:tcW w:w="3070" w:type="dxa"/>
          </w:tcPr>
          <w:p w:rsidR="00000000" w:rsidRPr="0089783D" w:rsidRDefault="00C347EF">
            <w:pPr>
              <w:pStyle w:val="Normlndobloku"/>
              <w:rPr>
                <w:szCs w:val="22"/>
              </w:rPr>
            </w:pPr>
            <w:r w:rsidRPr="0089783D">
              <w:t>Ženy:</w:t>
            </w:r>
          </w:p>
        </w:tc>
        <w:tc>
          <w:tcPr>
            <w:tcW w:w="1716" w:type="dxa"/>
          </w:tcPr>
          <w:p w:rsidR="00000000" w:rsidRPr="0089783D" w:rsidRDefault="00C347EF">
            <w:pPr>
              <w:pStyle w:val="Normlndobloku"/>
              <w:rPr>
                <w:szCs w:val="22"/>
              </w:rPr>
            </w:pPr>
            <w:proofErr w:type="spellStart"/>
            <w:r w:rsidRPr="0089783D">
              <w:t>ClCr</w:t>
            </w:r>
            <w:proofErr w:type="spellEnd"/>
            <w:r w:rsidRPr="0089783D">
              <w:t xml:space="preserve"> (ml/min) =</w:t>
            </w:r>
          </w:p>
        </w:tc>
        <w:tc>
          <w:tcPr>
            <w:tcW w:w="3544" w:type="dxa"/>
          </w:tcPr>
          <w:p w:rsidR="00000000" w:rsidRPr="0089783D" w:rsidRDefault="00C347EF">
            <w:pPr>
              <w:pStyle w:val="Normlndobloku"/>
            </w:pPr>
            <w:r w:rsidRPr="0089783D">
              <w:t>0,85 x (hodnoty vyššie)</w:t>
            </w:r>
          </w:p>
        </w:tc>
      </w:tr>
    </w:tbl>
    <w:p w:rsidR="00FE6F28" w:rsidRPr="0089783D" w:rsidRDefault="00FE6F28" w:rsidP="0007627F">
      <w:pPr>
        <w:pStyle w:val="Normlndobloku"/>
      </w:pPr>
    </w:p>
    <w:p w:rsidR="004363CB" w:rsidRPr="0089783D" w:rsidRDefault="005506C5" w:rsidP="003F12F2">
      <w:pPr>
        <w:pStyle w:val="Styl3"/>
      </w:pPr>
      <w:r w:rsidRPr="0089783D">
        <w:t>Dávkovanie pri p</w:t>
      </w:r>
      <w:r w:rsidR="002F2605" w:rsidRPr="0089783D">
        <w:t>oruch</w:t>
      </w:r>
      <w:r w:rsidRPr="0089783D">
        <w:t>e</w:t>
      </w:r>
      <w:r w:rsidR="002F2605" w:rsidRPr="0089783D">
        <w:t xml:space="preserve"> funkcie pečene</w:t>
      </w:r>
      <w:r w:rsidRPr="0089783D">
        <w:t xml:space="preserve"> </w:t>
      </w:r>
      <w:r w:rsidR="00C347EF" w:rsidRPr="0089783D">
        <w:t xml:space="preserve">(napr. pri cirhóze s </w:t>
      </w:r>
      <w:proofErr w:type="spellStart"/>
      <w:r w:rsidR="00C347EF" w:rsidRPr="0089783D">
        <w:t>ascitom</w:t>
      </w:r>
      <w:proofErr w:type="spellEnd"/>
      <w:r w:rsidR="00C347EF" w:rsidRPr="0089783D">
        <w:t>)</w:t>
      </w:r>
    </w:p>
    <w:p w:rsidR="00000000" w:rsidRDefault="00C347EF">
      <w:pPr>
        <w:pStyle w:val="Normlndobloku"/>
      </w:pPr>
      <w:r w:rsidRPr="0089783D">
        <w:t xml:space="preserve">Nemá sa prekročiť maximálna denná dávka 400 mg </w:t>
      </w:r>
      <w:proofErr w:type="spellStart"/>
      <w:r w:rsidRPr="0089783D">
        <w:t>ofloxacínu</w:t>
      </w:r>
      <w:proofErr w:type="spellEnd"/>
      <w:r w:rsidR="005506C5" w:rsidRPr="0089783D">
        <w:t xml:space="preserve"> keďže </w:t>
      </w:r>
      <w:r w:rsidR="00F750B8" w:rsidRPr="0089783D">
        <w:t>v</w:t>
      </w:r>
      <w:r w:rsidR="005506C5" w:rsidRPr="0089783D">
        <w:t>ylučovanie môže byť znížené.</w:t>
      </w:r>
    </w:p>
    <w:p w:rsidR="004363CB" w:rsidRPr="001561C9" w:rsidRDefault="004363CB" w:rsidP="003F12F2">
      <w:pPr>
        <w:pStyle w:val="Styl3"/>
      </w:pPr>
      <w:r w:rsidRPr="001561C9">
        <w:t>Starší pacienti</w:t>
      </w:r>
    </w:p>
    <w:p w:rsidR="004363CB" w:rsidRPr="001561C9" w:rsidRDefault="002F2605" w:rsidP="0007627F">
      <w:pPr>
        <w:pStyle w:val="Normlndobloku"/>
      </w:pPr>
      <w:r w:rsidRPr="001561C9">
        <w:t>U starších pacientov nie je potrebná iná úprava dávkovania len vzhľadom na vek. Avšak pozornosť treba u tejto populácie špeciálne venovať posúdeniu funkcie obličiek (pozri časť 4.4 - Predĺženie QT intervalu).</w:t>
      </w:r>
    </w:p>
    <w:p w:rsidR="004363CB" w:rsidRPr="001561C9" w:rsidRDefault="004363CB" w:rsidP="003F12F2">
      <w:pPr>
        <w:pStyle w:val="Styl3"/>
      </w:pPr>
      <w:r w:rsidRPr="001561C9">
        <w:t>Pediatrická populácia</w:t>
      </w:r>
    </w:p>
    <w:p w:rsidR="004363CB" w:rsidRPr="001561C9" w:rsidRDefault="004363CB" w:rsidP="0007627F">
      <w:pPr>
        <w:pStyle w:val="Normlndobloku"/>
      </w:pPr>
      <w:proofErr w:type="spellStart"/>
      <w:r w:rsidRPr="001561C9">
        <w:t>Ofloxacín</w:t>
      </w:r>
      <w:proofErr w:type="spellEnd"/>
      <w:r w:rsidRPr="001561C9">
        <w:t xml:space="preserve"> nie je indikovaný u detí a rastúcich dospievajúcich.</w:t>
      </w:r>
    </w:p>
    <w:p w:rsidR="004363CB" w:rsidRPr="001561C9" w:rsidRDefault="00C347EF" w:rsidP="0007627F">
      <w:pPr>
        <w:pStyle w:val="Styl2-2"/>
        <w:rPr>
          <w:lang w:val="sk-SK"/>
        </w:rPr>
      </w:pPr>
      <w:r w:rsidRPr="00C347EF">
        <w:rPr>
          <w:lang w:val="sk-SK"/>
        </w:rPr>
        <w:t>Spôsob podávania</w:t>
      </w:r>
    </w:p>
    <w:p w:rsidR="008B4945" w:rsidRPr="003F6B1B" w:rsidRDefault="008B4945" w:rsidP="0007627F">
      <w:pPr>
        <w:pStyle w:val="Normlndobloku"/>
      </w:pPr>
      <w:r w:rsidRPr="00EE2FCE">
        <w:t xml:space="preserve">Do 400 mg sa môže </w:t>
      </w:r>
      <w:proofErr w:type="spellStart"/>
      <w:r w:rsidRPr="00EE2FCE">
        <w:t>ofloxacín</w:t>
      </w:r>
      <w:proofErr w:type="spellEnd"/>
      <w:r w:rsidRPr="00EE2FCE">
        <w:t xml:space="preserve"> podávať ako jednotlivá dávka, prednostne ráno. Vyššie dávky sa majú podávať rozdelené do dvoch dávok v odstupe dvanásť hodín.</w:t>
      </w:r>
    </w:p>
    <w:p w:rsidR="004363CB" w:rsidRPr="00A31390" w:rsidRDefault="004363CB" w:rsidP="00F750B8">
      <w:pPr>
        <w:pStyle w:val="Normlndobloku"/>
      </w:pPr>
      <w:r w:rsidRPr="001561C9">
        <w:t xml:space="preserve">MEDOFLOXINE tablety sa majú prehĺtať celé a zapiť </w:t>
      </w:r>
      <w:r w:rsidR="00814AE4" w:rsidRPr="001561C9">
        <w:t xml:space="preserve">dostatočným množstvom </w:t>
      </w:r>
      <w:r w:rsidRPr="001561C9">
        <w:t>tekutin</w:t>
      </w:r>
      <w:r w:rsidR="00814AE4" w:rsidRPr="001561C9">
        <w:t>y</w:t>
      </w:r>
      <w:r w:rsidR="001D5D7C" w:rsidRPr="001561C9">
        <w:t xml:space="preserve">, </w:t>
      </w:r>
      <w:r w:rsidR="002F2605" w:rsidRPr="001561C9">
        <w:t xml:space="preserve">môžu sa užiť nalačno alebo s jedlom. Dávka sa má užiť do dvoch hodín od užitia </w:t>
      </w:r>
      <w:proofErr w:type="spellStart"/>
      <w:r w:rsidR="002F2605" w:rsidRPr="001561C9">
        <w:t>antacida</w:t>
      </w:r>
      <w:proofErr w:type="spellEnd"/>
      <w:r w:rsidR="002F2605" w:rsidRPr="001561C9">
        <w:t xml:space="preserve"> obsahujúceho alumínium alebo</w:t>
      </w:r>
      <w:r w:rsidRPr="001561C9">
        <w:t xml:space="preserve"> magnézium, </w:t>
      </w:r>
      <w:proofErr w:type="spellStart"/>
      <w:r w:rsidRPr="001561C9">
        <w:t>sukralfátové</w:t>
      </w:r>
      <w:proofErr w:type="spellEnd"/>
      <w:r w:rsidRPr="001561C9">
        <w:t xml:space="preserve"> preparáty a lieky obsahujúce železo, pretože môžu spôsobiť zníženie množstva absorbovaného </w:t>
      </w:r>
      <w:proofErr w:type="spellStart"/>
      <w:r w:rsidRPr="001561C9">
        <w:t>ofloxacínu</w:t>
      </w:r>
      <w:proofErr w:type="spellEnd"/>
      <w:r w:rsidRPr="001561C9">
        <w:t>.</w:t>
      </w:r>
      <w:r w:rsidR="00C347EF" w:rsidRPr="00C347EF">
        <w:t xml:space="preserve"> Súčasné</w:t>
      </w:r>
      <w:r w:rsidR="00A65C67" w:rsidRPr="00EE2FCE">
        <w:t>mu</w:t>
      </w:r>
      <w:r w:rsidR="00C347EF" w:rsidRPr="00C347EF">
        <w:t xml:space="preserve"> podani</w:t>
      </w:r>
      <w:r w:rsidR="00A65C67" w:rsidRPr="00EE2FCE">
        <w:t>u</w:t>
      </w:r>
      <w:r w:rsidR="00C347EF" w:rsidRPr="00C347EF">
        <w:t xml:space="preserve"> s </w:t>
      </w:r>
      <w:proofErr w:type="spellStart"/>
      <w:r w:rsidR="00C347EF" w:rsidRPr="00C347EF">
        <w:t>antacidami</w:t>
      </w:r>
      <w:proofErr w:type="spellEnd"/>
      <w:r w:rsidR="00C347EF" w:rsidRPr="00C347EF">
        <w:t xml:space="preserve"> sa </w:t>
      </w:r>
      <w:r w:rsidR="00A65C67" w:rsidRPr="00EE2FCE">
        <w:t>treba v</w:t>
      </w:r>
      <w:r w:rsidR="00C347EF" w:rsidRPr="00C347EF">
        <w:t>yhnúť (pozri časť 4.5 Interakcie).</w:t>
      </w:r>
      <w:r w:rsidR="006C5856" w:rsidRPr="00EE2FCE">
        <w:t xml:space="preserve"> </w:t>
      </w:r>
      <w:proofErr w:type="spellStart"/>
      <w:r w:rsidR="00814AE4" w:rsidRPr="00EE2FCE">
        <w:t>Sukralfátové</w:t>
      </w:r>
      <w:proofErr w:type="spellEnd"/>
      <w:r w:rsidR="00814AE4" w:rsidRPr="00EE2FCE">
        <w:t xml:space="preserve"> preparáty a lieky obsahujúce železo</w:t>
      </w:r>
      <w:r w:rsidR="00814AE4" w:rsidRPr="00215F5D">
        <w:t xml:space="preserve"> </w:t>
      </w:r>
      <w:r w:rsidR="00814AE4" w:rsidRPr="00A31390">
        <w:t xml:space="preserve">môžu tiež spôsobiť zníženie množstva absorbovaného </w:t>
      </w:r>
      <w:proofErr w:type="spellStart"/>
      <w:r w:rsidR="00814AE4" w:rsidRPr="00A31390">
        <w:t>ofloxacínu</w:t>
      </w:r>
      <w:proofErr w:type="spellEnd"/>
      <w:r w:rsidR="00814AE4" w:rsidRPr="00A31390">
        <w:t>.</w:t>
      </w:r>
    </w:p>
    <w:p w:rsidR="004363CB" w:rsidRPr="00A31390" w:rsidRDefault="004363CB" w:rsidP="0007627F">
      <w:pPr>
        <w:pStyle w:val="Normlndobloku"/>
      </w:pPr>
      <w:r w:rsidRPr="00A31390">
        <w:lastRenderedPageBreak/>
        <w:t>Dĺžka liečby závisí od odpovede na liečbu a závažnosti infekcie. Pre nekomplikovanú kvapavku sa odporúča jednotlivá dávka. Pre iné infekcie je zvyčajná dĺžka liečby 5 až 10 dní.</w:t>
      </w:r>
    </w:p>
    <w:p w:rsidR="004363CB" w:rsidRPr="001561C9" w:rsidRDefault="004363CB" w:rsidP="0007627F">
      <w:pPr>
        <w:pStyle w:val="Normlndobloku"/>
      </w:pPr>
      <w:r w:rsidRPr="001561C9">
        <w:t>Liečba sa nemá predlžovať na viac ako dva mesiace.</w:t>
      </w:r>
    </w:p>
    <w:p w:rsidR="004363CB" w:rsidRPr="001561C9" w:rsidRDefault="00EF211A" w:rsidP="0007627F">
      <w:pPr>
        <w:pStyle w:val="Styl2"/>
      </w:pPr>
      <w:bookmarkStart w:id="0" w:name="_Ref197143119"/>
      <w:r w:rsidRPr="001561C9">
        <w:t>4.3</w:t>
      </w:r>
      <w:r w:rsidR="00BD01C7" w:rsidRPr="001561C9">
        <w:tab/>
      </w:r>
      <w:r w:rsidR="004363CB" w:rsidRPr="001561C9">
        <w:t>Kontraindikácie</w:t>
      </w:r>
      <w:bookmarkEnd w:id="0"/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 xml:space="preserve">precitlivenosť na liečivo, </w:t>
      </w:r>
      <w:proofErr w:type="spellStart"/>
      <w:r>
        <w:rPr>
          <w:noProof w:val="0"/>
        </w:rPr>
        <w:t>chinolónové</w:t>
      </w:r>
      <w:proofErr w:type="spellEnd"/>
      <w:r>
        <w:rPr>
          <w:noProof w:val="0"/>
        </w:rPr>
        <w:t xml:space="preserve"> antibiotiká alebo na ktorúkoľvek z pomocných látok uvedených v časti 6.1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 xml:space="preserve">u pacientov s anamnézou </w:t>
      </w:r>
      <w:r>
        <w:rPr>
          <w:rStyle w:val="hps"/>
          <w:noProof w:val="0"/>
          <w:color w:val="000000"/>
          <w:szCs w:val="22"/>
        </w:rPr>
        <w:t>poškodenia</w:t>
      </w:r>
      <w:r>
        <w:rPr>
          <w:noProof w:val="0"/>
          <w:color w:val="000000"/>
          <w:szCs w:val="22"/>
        </w:rPr>
        <w:t xml:space="preserve"> </w:t>
      </w:r>
      <w:r>
        <w:rPr>
          <w:rStyle w:val="hps"/>
          <w:noProof w:val="0"/>
          <w:color w:val="000000"/>
          <w:szCs w:val="22"/>
        </w:rPr>
        <w:t>šliach</w:t>
      </w:r>
      <w:r>
        <w:rPr>
          <w:noProof w:val="0"/>
          <w:color w:val="000000"/>
          <w:szCs w:val="22"/>
        </w:rPr>
        <w:t xml:space="preserve"> </w:t>
      </w:r>
      <w:r>
        <w:rPr>
          <w:rStyle w:val="hps"/>
          <w:noProof w:val="0"/>
          <w:color w:val="000000"/>
          <w:szCs w:val="22"/>
        </w:rPr>
        <w:t>v</w:t>
      </w:r>
      <w:r>
        <w:rPr>
          <w:noProof w:val="0"/>
          <w:color w:val="000000"/>
          <w:szCs w:val="22"/>
        </w:rPr>
        <w:t xml:space="preserve"> </w:t>
      </w:r>
      <w:r>
        <w:rPr>
          <w:rStyle w:val="hps"/>
          <w:noProof w:val="0"/>
          <w:color w:val="000000"/>
          <w:szCs w:val="22"/>
        </w:rPr>
        <w:t>súvislosti</w:t>
      </w:r>
      <w:r>
        <w:rPr>
          <w:noProof w:val="0"/>
          <w:color w:val="000000"/>
          <w:szCs w:val="22"/>
        </w:rPr>
        <w:t xml:space="preserve"> </w:t>
      </w:r>
      <w:r>
        <w:rPr>
          <w:rStyle w:val="hps"/>
          <w:noProof w:val="0"/>
          <w:color w:val="000000"/>
          <w:szCs w:val="22"/>
        </w:rPr>
        <w:t>s</w:t>
      </w:r>
      <w:r>
        <w:rPr>
          <w:noProof w:val="0"/>
          <w:color w:val="000000"/>
          <w:szCs w:val="22"/>
        </w:rPr>
        <w:t xml:space="preserve"> </w:t>
      </w:r>
      <w:r>
        <w:rPr>
          <w:rStyle w:val="hps"/>
          <w:noProof w:val="0"/>
          <w:color w:val="000000"/>
          <w:szCs w:val="22"/>
        </w:rPr>
        <w:t>podávaním</w:t>
      </w:r>
      <w:r>
        <w:rPr>
          <w:noProof w:val="0"/>
          <w:color w:val="000000"/>
          <w:szCs w:val="22"/>
        </w:rPr>
        <w:t xml:space="preserve"> </w:t>
      </w:r>
      <w:proofErr w:type="spellStart"/>
      <w:r w:rsidR="00A31390">
        <w:rPr>
          <w:rStyle w:val="hps"/>
          <w:noProof w:val="0"/>
          <w:color w:val="000000"/>
          <w:szCs w:val="22"/>
        </w:rPr>
        <w:t>fluóroc</w:t>
      </w:r>
      <w:r>
        <w:rPr>
          <w:rStyle w:val="hps"/>
          <w:noProof w:val="0"/>
          <w:color w:val="000000"/>
          <w:szCs w:val="22"/>
        </w:rPr>
        <w:t>hinolónov</w:t>
      </w:r>
      <w:proofErr w:type="spellEnd"/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u pacientov s epilepsiou u detí a rastúcich dospievajúcich a u tehotných alebo dojčiacich žien, pretože pokusy na zvieratách úplne nevylúčili riziko poškodenia kĺbových chrupaviek rastúcich jedincov.</w:t>
      </w:r>
    </w:p>
    <w:p w:rsidR="004363CB" w:rsidRPr="001561C9" w:rsidRDefault="00EF211A" w:rsidP="0007627F">
      <w:pPr>
        <w:pStyle w:val="Styl2"/>
      </w:pPr>
      <w:r w:rsidRPr="001561C9">
        <w:t>4.4</w:t>
      </w:r>
      <w:r w:rsidR="00BD01C7" w:rsidRPr="001561C9">
        <w:tab/>
      </w:r>
      <w:r w:rsidR="004363CB" w:rsidRPr="001561C9">
        <w:t>Osobitné upozornenia a opatrenia pri používaní</w:t>
      </w:r>
    </w:p>
    <w:p w:rsidR="004363CB" w:rsidRPr="001561C9" w:rsidRDefault="004363CB" w:rsidP="0007627F">
      <w:pPr>
        <w:pStyle w:val="Normlndobloku"/>
      </w:pPr>
      <w:proofErr w:type="spellStart"/>
      <w:r w:rsidRPr="001561C9">
        <w:t>Ofloxacín</w:t>
      </w:r>
      <w:proofErr w:type="spellEnd"/>
      <w:r w:rsidRPr="001561C9">
        <w:t xml:space="preserve"> nie je liek prvej voľby pri pneumónii spôsobenej </w:t>
      </w:r>
      <w:proofErr w:type="spellStart"/>
      <w:r w:rsidRPr="001561C9">
        <w:t>pneumokokmi</w:t>
      </w:r>
      <w:proofErr w:type="spellEnd"/>
      <w:r w:rsidRPr="001561C9">
        <w:t xml:space="preserve"> </w:t>
      </w:r>
      <w:r w:rsidRPr="00215F5D">
        <w:t>a </w:t>
      </w:r>
      <w:proofErr w:type="spellStart"/>
      <w:r w:rsidRPr="00215F5D">
        <w:t>mykoplazmami</w:t>
      </w:r>
      <w:proofErr w:type="spellEnd"/>
      <w:r w:rsidRPr="00215F5D">
        <w:t xml:space="preserve"> alebo pri </w:t>
      </w:r>
      <w:proofErr w:type="spellStart"/>
      <w:r w:rsidRPr="00215F5D">
        <w:t>tonzilitíde</w:t>
      </w:r>
      <w:proofErr w:type="spellEnd"/>
      <w:r w:rsidRPr="00215F5D">
        <w:t xml:space="preserve"> spôsobenej </w:t>
      </w:r>
      <w:proofErr w:type="spellStart"/>
      <w:r w:rsidRPr="00215F5D">
        <w:t>beta-hemolytickými</w:t>
      </w:r>
      <w:proofErr w:type="spellEnd"/>
      <w:r w:rsidRPr="00215F5D">
        <w:t xml:space="preserve"> streptokokmi.</w:t>
      </w:r>
    </w:p>
    <w:p w:rsidR="00000000" w:rsidRPr="005A1C63" w:rsidRDefault="00C347EF">
      <w:pPr>
        <w:pStyle w:val="Normlndobloku"/>
      </w:pPr>
      <w:r w:rsidRPr="005A1C63">
        <w:t xml:space="preserve">Je veľmi pravdepodobné, že </w:t>
      </w:r>
      <w:r w:rsidRPr="005A1C63">
        <w:rPr>
          <w:i/>
        </w:rPr>
        <w:t xml:space="preserve">S. </w:t>
      </w:r>
      <w:proofErr w:type="spellStart"/>
      <w:r w:rsidRPr="005A1C63">
        <w:rPr>
          <w:i/>
        </w:rPr>
        <w:t>aureus</w:t>
      </w:r>
      <w:proofErr w:type="spellEnd"/>
      <w:r w:rsidRPr="005A1C63">
        <w:t xml:space="preserve"> rezistentný na </w:t>
      </w:r>
      <w:proofErr w:type="spellStart"/>
      <w:r w:rsidRPr="005A1C63">
        <w:t>meticilín</w:t>
      </w:r>
      <w:proofErr w:type="spellEnd"/>
      <w:r w:rsidRPr="005A1C63">
        <w:t xml:space="preserve"> je rezistentný aj voči </w:t>
      </w:r>
      <w:proofErr w:type="spellStart"/>
      <w:r w:rsidR="00A31390" w:rsidRPr="005A1C63">
        <w:t>fluóroc</w:t>
      </w:r>
      <w:r w:rsidRPr="005A1C63">
        <w:t>hinolónom</w:t>
      </w:r>
      <w:proofErr w:type="spellEnd"/>
      <w:r w:rsidRPr="005A1C63">
        <w:t xml:space="preserve"> vrátane </w:t>
      </w:r>
      <w:proofErr w:type="spellStart"/>
      <w:r w:rsidRPr="005A1C63">
        <w:t>ofloxacínu</w:t>
      </w:r>
      <w:proofErr w:type="spellEnd"/>
      <w:r w:rsidRPr="005A1C63">
        <w:t xml:space="preserve">. Preto sa </w:t>
      </w:r>
      <w:proofErr w:type="spellStart"/>
      <w:r w:rsidRPr="005A1C63">
        <w:t>ofloxacín</w:t>
      </w:r>
      <w:proofErr w:type="spellEnd"/>
      <w:r w:rsidRPr="005A1C63">
        <w:t xml:space="preserve"> neodporúča na liečbu známych alebo podozrivých infekcií MRSA, pokiaľ laboratórne výsledky nepotvrdili citlivosť </w:t>
      </w:r>
      <w:r w:rsidR="008C3B8B" w:rsidRPr="005A1C63">
        <w:t>mikro</w:t>
      </w:r>
      <w:r w:rsidRPr="005A1C63">
        <w:t xml:space="preserve">organizmu na </w:t>
      </w:r>
      <w:proofErr w:type="spellStart"/>
      <w:r w:rsidRPr="005A1C63">
        <w:t>ofloxacín</w:t>
      </w:r>
      <w:proofErr w:type="spellEnd"/>
      <w:r w:rsidRPr="005A1C63">
        <w:t xml:space="preserve"> (a zvyčajne odporúčané antibakteriálne lieky na liečbu MRSA infekcií sú považované za nevhodné).</w:t>
      </w:r>
    </w:p>
    <w:p w:rsidR="00000000" w:rsidRPr="005A1C63" w:rsidRDefault="00C347EF">
      <w:pPr>
        <w:pStyle w:val="Normlndobloku"/>
        <w:tabs>
          <w:tab w:val="left" w:pos="3261"/>
        </w:tabs>
      </w:pPr>
      <w:r w:rsidRPr="005A1C63">
        <w:t>Rezistencia</w:t>
      </w:r>
      <w:r w:rsidR="00F91CAD" w:rsidRPr="005A1C63">
        <w:t xml:space="preserve"> </w:t>
      </w:r>
      <w:r w:rsidR="00F91CAD" w:rsidRPr="005A1C63">
        <w:rPr>
          <w:i/>
        </w:rPr>
        <w:t xml:space="preserve">E. </w:t>
      </w:r>
      <w:proofErr w:type="spellStart"/>
      <w:r w:rsidR="00F91CAD" w:rsidRPr="005A1C63">
        <w:rPr>
          <w:i/>
        </w:rPr>
        <w:t>coli</w:t>
      </w:r>
      <w:proofErr w:type="spellEnd"/>
      <w:r w:rsidR="00F91CAD" w:rsidRPr="005A1C63">
        <w:rPr>
          <w:i/>
        </w:rPr>
        <w:t xml:space="preserve">, </w:t>
      </w:r>
      <w:r w:rsidR="00F91CAD" w:rsidRPr="005A1C63">
        <w:t xml:space="preserve">najčastejšieho </w:t>
      </w:r>
      <w:proofErr w:type="spellStart"/>
      <w:r w:rsidR="00F91CAD" w:rsidRPr="005A1C63">
        <w:t>patogéna</w:t>
      </w:r>
      <w:proofErr w:type="spellEnd"/>
      <w:r w:rsidR="00F91CAD" w:rsidRPr="005A1C63">
        <w:t xml:space="preserve"> ktorý sa podieľa na infekcii močových ciest, </w:t>
      </w:r>
      <w:r w:rsidRPr="005A1C63">
        <w:t xml:space="preserve">na </w:t>
      </w:r>
      <w:proofErr w:type="spellStart"/>
      <w:r w:rsidR="00A31390" w:rsidRPr="005A1C63">
        <w:t>fluóroc</w:t>
      </w:r>
      <w:r w:rsidRPr="005A1C63">
        <w:t>hinolóny</w:t>
      </w:r>
      <w:proofErr w:type="spellEnd"/>
      <w:r w:rsidRPr="005A1C63">
        <w:t>, sa v Európskej únii</w:t>
      </w:r>
      <w:r w:rsidR="00F91CAD" w:rsidRPr="005A1C63">
        <w:t xml:space="preserve"> líši</w:t>
      </w:r>
      <w:r w:rsidRPr="005A1C63">
        <w:t xml:space="preserve">. Lekárom sa odporúča vziať do úvahy miestny výskyt rezistencie </w:t>
      </w:r>
      <w:r w:rsidRPr="005A1C63">
        <w:rPr>
          <w:i/>
        </w:rPr>
        <w:t xml:space="preserve">E. </w:t>
      </w:r>
      <w:proofErr w:type="spellStart"/>
      <w:r w:rsidRPr="005A1C63">
        <w:rPr>
          <w:i/>
        </w:rPr>
        <w:t>coli</w:t>
      </w:r>
      <w:proofErr w:type="spellEnd"/>
      <w:r w:rsidRPr="005A1C63">
        <w:t xml:space="preserve"> na </w:t>
      </w:r>
      <w:proofErr w:type="spellStart"/>
      <w:r w:rsidR="00A31390" w:rsidRPr="005A1C63">
        <w:t>fluóroc</w:t>
      </w:r>
      <w:r w:rsidRPr="005A1C63">
        <w:t>hinolóny</w:t>
      </w:r>
      <w:proofErr w:type="spellEnd"/>
      <w:r w:rsidRPr="005A1C63">
        <w:t>.</w:t>
      </w:r>
    </w:p>
    <w:p w:rsidR="00000000" w:rsidRPr="005A1C63" w:rsidRDefault="00C347EF">
      <w:pPr>
        <w:pStyle w:val="Normlndobloku"/>
      </w:pPr>
      <w:r w:rsidRPr="005A1C63">
        <w:t>V súvislosti s </w:t>
      </w:r>
      <w:proofErr w:type="spellStart"/>
      <w:r w:rsidRPr="005A1C63">
        <w:t>ofloxacínom</w:t>
      </w:r>
      <w:proofErr w:type="spellEnd"/>
      <w:r w:rsidRPr="005A1C63">
        <w:t xml:space="preserve"> boli hlásené prípady závažných kožných </w:t>
      </w:r>
      <w:proofErr w:type="spellStart"/>
      <w:r w:rsidR="004B0DEC" w:rsidRPr="005A1C63">
        <w:t>bulóznych</w:t>
      </w:r>
      <w:proofErr w:type="spellEnd"/>
      <w:r w:rsidRPr="005A1C63">
        <w:t xml:space="preserve"> reakcií, ako je </w:t>
      </w:r>
      <w:proofErr w:type="spellStart"/>
      <w:r w:rsidRPr="005A1C63">
        <w:t>Stevensov-Johnsonov</w:t>
      </w:r>
      <w:proofErr w:type="spellEnd"/>
      <w:r w:rsidRPr="005A1C63">
        <w:t xml:space="preserve"> syndróm alebo toxická </w:t>
      </w:r>
      <w:proofErr w:type="spellStart"/>
      <w:r w:rsidRPr="005A1C63">
        <w:t>epidermálna</w:t>
      </w:r>
      <w:proofErr w:type="spellEnd"/>
      <w:r w:rsidRPr="005A1C63">
        <w:t xml:space="preserve"> </w:t>
      </w:r>
      <w:proofErr w:type="spellStart"/>
      <w:r w:rsidRPr="005A1C63">
        <w:t>nekrolýza</w:t>
      </w:r>
      <w:proofErr w:type="spellEnd"/>
      <w:r w:rsidRPr="005A1C63">
        <w:t xml:space="preserve"> (pozri časť 4.8). Pacientov je potrebné poučiť, aby ihneď vyhľadali svojho lekára pred pokračovaním v liečbe, ak sa u nich objavia kožné a/alebo slizničné reakcie.</w:t>
      </w:r>
    </w:p>
    <w:p w:rsidR="004363CB" w:rsidRPr="005A1C63" w:rsidRDefault="004363CB" w:rsidP="0007627F">
      <w:pPr>
        <w:pStyle w:val="Normlndobloku"/>
      </w:pPr>
      <w:r w:rsidRPr="005A1C63">
        <w:t>Precitlivenosť a alergické reakcie boli hlásené u </w:t>
      </w:r>
      <w:proofErr w:type="spellStart"/>
      <w:r w:rsidR="00376D62" w:rsidRPr="005A1C63">
        <w:t>fluó</w:t>
      </w:r>
      <w:r w:rsidRPr="005A1C63">
        <w:t>rochinolónov</w:t>
      </w:r>
      <w:proofErr w:type="spellEnd"/>
      <w:r w:rsidRPr="005A1C63">
        <w:t xml:space="preserve"> po prvom podaní. </w:t>
      </w:r>
      <w:proofErr w:type="spellStart"/>
      <w:r w:rsidRPr="005A1C63">
        <w:t>Anafylaktické</w:t>
      </w:r>
      <w:proofErr w:type="spellEnd"/>
      <w:r w:rsidRPr="005A1C63">
        <w:t xml:space="preserve"> a </w:t>
      </w:r>
      <w:proofErr w:type="spellStart"/>
      <w:r w:rsidRPr="005A1C63">
        <w:t>anafylaktoidné</w:t>
      </w:r>
      <w:proofErr w:type="spellEnd"/>
      <w:r w:rsidRPr="005A1C63">
        <w:t xml:space="preserve"> reakcie môžu prerásť až k život ohrozujúcemu šoku, a to aj po prvom podaní. V týchto prípadoch má byť podávanie </w:t>
      </w:r>
      <w:proofErr w:type="spellStart"/>
      <w:r w:rsidRPr="005A1C63">
        <w:t>ofloxacínu</w:t>
      </w:r>
      <w:proofErr w:type="spellEnd"/>
      <w:r w:rsidRPr="005A1C63">
        <w:t xml:space="preserve"> </w:t>
      </w:r>
      <w:r w:rsidR="00FE6F28" w:rsidRPr="005A1C63">
        <w:t xml:space="preserve">ukončené </w:t>
      </w:r>
      <w:r w:rsidRPr="005A1C63">
        <w:t>a má sa začať adekvátna liečba (napr. liečba šoku).</w:t>
      </w:r>
    </w:p>
    <w:p w:rsidR="004363CB" w:rsidRPr="005A1C63" w:rsidRDefault="004363CB" w:rsidP="003F12F2">
      <w:pPr>
        <w:pStyle w:val="Styl3"/>
      </w:pPr>
      <w:r w:rsidRPr="005A1C63">
        <w:t>Ochorenie spojené s </w:t>
      </w:r>
      <w:proofErr w:type="spellStart"/>
      <w:r w:rsidR="00C347EF" w:rsidRPr="005A1C63">
        <w:rPr>
          <w:rStyle w:val="Bacil"/>
        </w:rPr>
        <w:t>Clostridium</w:t>
      </w:r>
      <w:proofErr w:type="spellEnd"/>
      <w:r w:rsidR="00C347EF" w:rsidRPr="005A1C63">
        <w:rPr>
          <w:rStyle w:val="Bacil"/>
        </w:rPr>
        <w:t xml:space="preserve"> </w:t>
      </w:r>
      <w:proofErr w:type="spellStart"/>
      <w:r w:rsidR="00C347EF" w:rsidRPr="005A1C63">
        <w:rPr>
          <w:rStyle w:val="Bacil"/>
        </w:rPr>
        <w:t>difficile</w:t>
      </w:r>
      <w:proofErr w:type="spellEnd"/>
    </w:p>
    <w:p w:rsidR="00FE6F28" w:rsidRPr="005A1C63" w:rsidRDefault="004363CB" w:rsidP="0007627F">
      <w:pPr>
        <w:pStyle w:val="Normlndobloku"/>
      </w:pPr>
      <w:r w:rsidRPr="005A1C63">
        <w:t xml:space="preserve">Hnačka, najmä </w:t>
      </w:r>
      <w:r w:rsidR="00EC5CB8" w:rsidRPr="005A1C63">
        <w:t>závažná</w:t>
      </w:r>
      <w:r w:rsidRPr="005A1C63">
        <w:t xml:space="preserve">, pretrvávajúca a/alebo s prímesou krvi v priebehu alebo po ukončení liečby </w:t>
      </w:r>
      <w:proofErr w:type="spellStart"/>
      <w:r w:rsidRPr="005A1C63">
        <w:t>ofloxacínom</w:t>
      </w:r>
      <w:proofErr w:type="spellEnd"/>
      <w:r w:rsidRPr="005A1C63">
        <w:t xml:space="preserve"> môže byť príznakom </w:t>
      </w:r>
      <w:proofErr w:type="spellStart"/>
      <w:r w:rsidRPr="005A1C63">
        <w:t>pseudomembranóznej</w:t>
      </w:r>
      <w:proofErr w:type="spellEnd"/>
      <w:r w:rsidRPr="005A1C63">
        <w:t xml:space="preserve"> </w:t>
      </w:r>
      <w:proofErr w:type="spellStart"/>
      <w:r w:rsidRPr="005A1C63">
        <w:t>kolitídy</w:t>
      </w:r>
      <w:proofErr w:type="spellEnd"/>
      <w:r w:rsidRPr="005A1C63">
        <w:t xml:space="preserve">. </w:t>
      </w:r>
      <w:r w:rsidR="00C347EF" w:rsidRPr="005A1C63">
        <w:t>Ochorenie spojené s </w:t>
      </w:r>
      <w:proofErr w:type="spellStart"/>
      <w:r w:rsidR="00C347EF" w:rsidRPr="005A1C63">
        <w:rPr>
          <w:rStyle w:val="Bacil"/>
        </w:rPr>
        <w:t>Clostridium</w:t>
      </w:r>
      <w:proofErr w:type="spellEnd"/>
      <w:r w:rsidR="00C347EF" w:rsidRPr="005A1C63">
        <w:rPr>
          <w:rStyle w:val="Bacil"/>
        </w:rPr>
        <w:t xml:space="preserve"> </w:t>
      </w:r>
      <w:proofErr w:type="spellStart"/>
      <w:r w:rsidR="00C347EF" w:rsidRPr="005A1C63">
        <w:rPr>
          <w:rStyle w:val="Bacil"/>
        </w:rPr>
        <w:t>difficile</w:t>
      </w:r>
      <w:proofErr w:type="spellEnd"/>
      <w:r w:rsidR="00C347EF" w:rsidRPr="005A1C63">
        <w:t xml:space="preserve"> (CDAD) môže byť </w:t>
      </w:r>
      <w:r w:rsidR="00EC5CB8" w:rsidRPr="005A1C63">
        <w:t xml:space="preserve">rôznej závažnosti od </w:t>
      </w:r>
      <w:r w:rsidR="00C347EF" w:rsidRPr="005A1C63">
        <w:t>mierne</w:t>
      </w:r>
      <w:r w:rsidR="00EC5CB8" w:rsidRPr="005A1C63">
        <w:t>j</w:t>
      </w:r>
      <w:r w:rsidR="00C347EF" w:rsidRPr="005A1C63">
        <w:t xml:space="preserve"> až po život ohrozujúcu, najzávažnejšiu formu, ktorou je </w:t>
      </w:r>
      <w:proofErr w:type="spellStart"/>
      <w:r w:rsidR="00C347EF" w:rsidRPr="005A1C63">
        <w:t>pseudomembranózna</w:t>
      </w:r>
      <w:proofErr w:type="spellEnd"/>
      <w:r w:rsidR="00C347EF" w:rsidRPr="005A1C63">
        <w:t xml:space="preserve"> </w:t>
      </w:r>
      <w:proofErr w:type="spellStart"/>
      <w:r w:rsidR="00C347EF" w:rsidRPr="005A1C63">
        <w:t>kolitída</w:t>
      </w:r>
      <w:proofErr w:type="spellEnd"/>
      <w:r w:rsidR="00C347EF" w:rsidRPr="005A1C63">
        <w:t xml:space="preserve"> (pozri časť 4.8). Preto je dôležité zvážiť túto diagnózu u pacientov, u</w:t>
      </w:r>
      <w:r w:rsidR="002B66BA" w:rsidRPr="005A1C63">
        <w:t> </w:t>
      </w:r>
      <w:r w:rsidR="00C347EF" w:rsidRPr="005A1C63">
        <w:t xml:space="preserve">ktorých sa rozvinie závažná hnačka v priebehu alebo po ukončení liečby </w:t>
      </w:r>
      <w:proofErr w:type="spellStart"/>
      <w:r w:rsidR="00C347EF" w:rsidRPr="005A1C63">
        <w:t>ofloxacínom</w:t>
      </w:r>
      <w:proofErr w:type="spellEnd"/>
      <w:r w:rsidR="00C347EF" w:rsidRPr="005A1C63">
        <w:t>.</w:t>
      </w:r>
      <w:r w:rsidR="00DD2B85" w:rsidRPr="005A1C63">
        <w:t xml:space="preserve"> </w:t>
      </w:r>
      <w:r w:rsidRPr="005A1C63">
        <w:t xml:space="preserve">Ak je podozrenie na </w:t>
      </w:r>
      <w:proofErr w:type="spellStart"/>
      <w:r w:rsidRPr="005A1C63">
        <w:t>pseudomembranóznu</w:t>
      </w:r>
      <w:proofErr w:type="spellEnd"/>
      <w:r w:rsidRPr="005A1C63">
        <w:t xml:space="preserve"> </w:t>
      </w:r>
      <w:proofErr w:type="spellStart"/>
      <w:r w:rsidRPr="005A1C63">
        <w:t>kolitídu</w:t>
      </w:r>
      <w:proofErr w:type="spellEnd"/>
      <w:r w:rsidRPr="005A1C63">
        <w:t xml:space="preserve">, podávanie </w:t>
      </w:r>
      <w:proofErr w:type="spellStart"/>
      <w:r w:rsidRPr="005A1C63">
        <w:t>ofloxacínu</w:t>
      </w:r>
      <w:proofErr w:type="spellEnd"/>
      <w:r w:rsidRPr="005A1C63">
        <w:t xml:space="preserve"> sa musí okamžite zastaviť.</w:t>
      </w:r>
    </w:p>
    <w:p w:rsidR="004363CB" w:rsidRPr="005A1C63" w:rsidRDefault="004363CB" w:rsidP="0007627F">
      <w:pPr>
        <w:pStyle w:val="Normlndobloku"/>
      </w:pPr>
      <w:r w:rsidRPr="005A1C63">
        <w:t xml:space="preserve">Okamžite musí byť zahájená vhodná špecifická antibiotická liečba (napr. orálny </w:t>
      </w:r>
      <w:proofErr w:type="spellStart"/>
      <w:r w:rsidRPr="005A1C63">
        <w:t>vankomycín</w:t>
      </w:r>
      <w:proofErr w:type="spellEnd"/>
      <w:r w:rsidRPr="005A1C63">
        <w:t xml:space="preserve">, orálny </w:t>
      </w:r>
      <w:proofErr w:type="spellStart"/>
      <w:r w:rsidRPr="005A1C63">
        <w:t>teikoplanín</w:t>
      </w:r>
      <w:proofErr w:type="spellEnd"/>
      <w:r w:rsidRPr="005A1C63">
        <w:t xml:space="preserve"> alebo </w:t>
      </w:r>
      <w:proofErr w:type="spellStart"/>
      <w:r w:rsidRPr="005A1C63">
        <w:t>metronidazol</w:t>
      </w:r>
      <w:proofErr w:type="spellEnd"/>
      <w:r w:rsidRPr="005A1C63">
        <w:t xml:space="preserve">). Prípravky </w:t>
      </w:r>
      <w:proofErr w:type="spellStart"/>
      <w:r w:rsidRPr="005A1C63">
        <w:t>inhibujúce</w:t>
      </w:r>
      <w:proofErr w:type="spellEnd"/>
      <w:r w:rsidRPr="005A1C63">
        <w:t xml:space="preserve"> </w:t>
      </w:r>
      <w:proofErr w:type="spellStart"/>
      <w:r w:rsidRPr="005A1C63">
        <w:t>peristaltiku</w:t>
      </w:r>
      <w:proofErr w:type="spellEnd"/>
      <w:r w:rsidRPr="005A1C63">
        <w:t xml:space="preserve"> sú v tejto klinickej situácii kontraindikované.</w:t>
      </w:r>
    </w:p>
    <w:p w:rsidR="004363CB" w:rsidRPr="005A1C63" w:rsidRDefault="004363CB" w:rsidP="003F12F2">
      <w:pPr>
        <w:pStyle w:val="Styl3"/>
      </w:pPr>
      <w:r w:rsidRPr="005A1C63">
        <w:t>Pacienti s </w:t>
      </w:r>
      <w:proofErr w:type="spellStart"/>
      <w:r w:rsidRPr="005A1C63">
        <w:t>predispozíciou</w:t>
      </w:r>
      <w:proofErr w:type="spellEnd"/>
      <w:r w:rsidRPr="005A1C63">
        <w:t xml:space="preserve"> k záchvatom</w:t>
      </w:r>
    </w:p>
    <w:p w:rsidR="001E2C34" w:rsidRPr="005A1C63" w:rsidRDefault="00C347EF" w:rsidP="0007627F">
      <w:pPr>
        <w:pStyle w:val="Normlndobloku"/>
      </w:pPr>
      <w:proofErr w:type="spellStart"/>
      <w:r w:rsidRPr="005A1C63">
        <w:t>Chinolóny</w:t>
      </w:r>
      <w:proofErr w:type="spellEnd"/>
      <w:r w:rsidRPr="005A1C63">
        <w:t xml:space="preserve"> môžu znižovať prah vzniku kŕčov a môžu vyvolať kŕče. </w:t>
      </w:r>
      <w:proofErr w:type="spellStart"/>
      <w:r w:rsidRPr="005A1C63">
        <w:t>Ofloxacín</w:t>
      </w:r>
      <w:proofErr w:type="spellEnd"/>
      <w:r w:rsidRPr="005A1C63">
        <w:t xml:space="preserve"> je kontraindikovaný u pacientov s epilepsiou v anamnéze (pozri časť 4.3) a, ako aj iné </w:t>
      </w:r>
      <w:proofErr w:type="spellStart"/>
      <w:r w:rsidRPr="005A1C63">
        <w:t>chinolóny</w:t>
      </w:r>
      <w:proofErr w:type="spellEnd"/>
      <w:r w:rsidRPr="005A1C63">
        <w:t xml:space="preserve">, musí sa </w:t>
      </w:r>
      <w:proofErr w:type="spellStart"/>
      <w:r w:rsidRPr="005A1C63">
        <w:t>ofloxacín</w:t>
      </w:r>
      <w:proofErr w:type="spellEnd"/>
      <w:r w:rsidRPr="005A1C63">
        <w:t xml:space="preserve"> u pacientov s </w:t>
      </w:r>
      <w:proofErr w:type="spellStart"/>
      <w:r w:rsidRPr="005A1C63">
        <w:t>predispozíciou</w:t>
      </w:r>
      <w:proofErr w:type="spellEnd"/>
      <w:r w:rsidRPr="005A1C63">
        <w:t xml:space="preserve"> ku kŕčom používať so zvýšenou opatrnosťou. </w:t>
      </w:r>
    </w:p>
    <w:p w:rsidR="004363CB" w:rsidRPr="005A1C63" w:rsidRDefault="00C347EF" w:rsidP="0007627F">
      <w:pPr>
        <w:pStyle w:val="Normlndobloku"/>
      </w:pPr>
      <w:r w:rsidRPr="005A1C63">
        <w:t xml:space="preserve">Patria sem pacienti s léziami CNS, pacienti </w:t>
      </w:r>
      <w:r w:rsidR="001E2C34" w:rsidRPr="005A1C63">
        <w:t xml:space="preserve">súbežne </w:t>
      </w:r>
      <w:r w:rsidRPr="005A1C63">
        <w:t xml:space="preserve">liečení </w:t>
      </w:r>
      <w:proofErr w:type="spellStart"/>
      <w:r w:rsidRPr="005A1C63">
        <w:t>fenbufénom</w:t>
      </w:r>
      <w:proofErr w:type="spellEnd"/>
      <w:r w:rsidRPr="005A1C63">
        <w:t xml:space="preserve"> a </w:t>
      </w:r>
      <w:r w:rsidR="001E2C34" w:rsidRPr="005A1C63">
        <w:t>podob</w:t>
      </w:r>
      <w:r w:rsidRPr="005A1C63">
        <w:t xml:space="preserve">nými </w:t>
      </w:r>
      <w:proofErr w:type="spellStart"/>
      <w:r w:rsidRPr="005A1C63">
        <w:t>nesteroid</w:t>
      </w:r>
      <w:r w:rsidR="00FC49CE" w:rsidRPr="005A1C63">
        <w:t>ový</w:t>
      </w:r>
      <w:r w:rsidRPr="005A1C63">
        <w:t>mi</w:t>
      </w:r>
      <w:proofErr w:type="spellEnd"/>
      <w:r w:rsidRPr="005A1C63">
        <w:t xml:space="preserve"> protizápalovými liekmi (NSAID) a liekmi, ktoré znižujú prah vzniku cerebrálnych záchvatov, ako napr. </w:t>
      </w:r>
      <w:bookmarkStart w:id="1" w:name="_GoBack"/>
      <w:proofErr w:type="spellStart"/>
      <w:r w:rsidRPr="005A1C63">
        <w:t>teof</w:t>
      </w:r>
      <w:bookmarkEnd w:id="1"/>
      <w:r w:rsidRPr="005A1C63">
        <w:t>ylín</w:t>
      </w:r>
      <w:proofErr w:type="spellEnd"/>
      <w:r w:rsidRPr="005A1C63">
        <w:t xml:space="preserve"> (pozri časť 4.5).</w:t>
      </w:r>
      <w:r w:rsidR="002B66BA" w:rsidRPr="005A1C63">
        <w:t xml:space="preserve"> </w:t>
      </w:r>
      <w:r w:rsidR="004363CB" w:rsidRPr="005A1C63">
        <w:t xml:space="preserve">V prípade kŕčových záchvatov sa liečba </w:t>
      </w:r>
      <w:proofErr w:type="spellStart"/>
      <w:r w:rsidR="004363CB" w:rsidRPr="005A1C63">
        <w:t>ofloxacínom</w:t>
      </w:r>
      <w:proofErr w:type="spellEnd"/>
      <w:r w:rsidR="004363CB" w:rsidRPr="005A1C63">
        <w:t xml:space="preserve"> má </w:t>
      </w:r>
      <w:r w:rsidR="00FE6F28" w:rsidRPr="005A1C63">
        <w:t>ukončiť</w:t>
      </w:r>
      <w:r w:rsidR="002F2605" w:rsidRPr="005A1C63">
        <w:t>.</w:t>
      </w:r>
    </w:p>
    <w:p w:rsidR="00B91F5E" w:rsidRPr="005A1C63" w:rsidRDefault="00C347EF" w:rsidP="00B91F5E">
      <w:pPr>
        <w:rPr>
          <w:szCs w:val="22"/>
          <w:u w:val="single"/>
        </w:rPr>
      </w:pPr>
      <w:proofErr w:type="spellStart"/>
      <w:r w:rsidRPr="005A1C63">
        <w:rPr>
          <w:szCs w:val="22"/>
          <w:u w:val="single"/>
        </w:rPr>
        <w:t>Tendinitída</w:t>
      </w:r>
      <w:proofErr w:type="spellEnd"/>
    </w:p>
    <w:p w:rsidR="00000000" w:rsidRPr="005A1C63" w:rsidRDefault="00C347EF">
      <w:pPr>
        <w:pStyle w:val="Normlndobloku"/>
      </w:pPr>
      <w:proofErr w:type="spellStart"/>
      <w:r w:rsidRPr="005A1C63">
        <w:lastRenderedPageBreak/>
        <w:t>Tendinitída</w:t>
      </w:r>
      <w:proofErr w:type="spellEnd"/>
      <w:r w:rsidRPr="005A1C63">
        <w:t xml:space="preserve">, ktorá je zriedkavo pozorovaná, môže príležitostne viesť k ruptúre, najmä k ruptúre Achillovej šľachy. </w:t>
      </w:r>
      <w:proofErr w:type="spellStart"/>
      <w:r w:rsidRPr="005A1C63">
        <w:t>Tendinitída</w:t>
      </w:r>
      <w:proofErr w:type="spellEnd"/>
      <w:r w:rsidRPr="005A1C63">
        <w:t xml:space="preserve"> a ruptúra šľachy, niekedy bilaterálna, sa môže vyskytnúť aj v priebehu 48 hodín od začatia liečby </w:t>
      </w:r>
      <w:proofErr w:type="spellStart"/>
      <w:r w:rsidRPr="005A1C63">
        <w:t>ofloxacínom</w:t>
      </w:r>
      <w:proofErr w:type="spellEnd"/>
      <w:r w:rsidRPr="005A1C63">
        <w:t xml:space="preserve"> a bola hlásená do niekoľkých mesiacov po ukončení liečby. Riziko </w:t>
      </w:r>
      <w:proofErr w:type="spellStart"/>
      <w:r w:rsidRPr="005A1C63">
        <w:t>tendinitídy</w:t>
      </w:r>
      <w:proofErr w:type="spellEnd"/>
      <w:r w:rsidRPr="005A1C63">
        <w:t xml:space="preserve"> a ruptúry šľachy je zvýšené u pacientov vo veku nad 60 rokov a u pacientov užívajúcich </w:t>
      </w:r>
      <w:proofErr w:type="spellStart"/>
      <w:r w:rsidRPr="005A1C63">
        <w:t>kortikosteroidy</w:t>
      </w:r>
      <w:proofErr w:type="spellEnd"/>
      <w:r w:rsidRPr="005A1C63">
        <w:t xml:space="preserve">. U starších pacientov je potrebné upraviť dennú dávku podľa </w:t>
      </w:r>
      <w:proofErr w:type="spellStart"/>
      <w:r w:rsidRPr="005A1C63">
        <w:t>klírensu</w:t>
      </w:r>
      <w:proofErr w:type="spellEnd"/>
      <w:r w:rsidRPr="005A1C63">
        <w:t xml:space="preserve"> </w:t>
      </w:r>
      <w:proofErr w:type="spellStart"/>
      <w:r w:rsidRPr="005A1C63">
        <w:t>kreatinínu</w:t>
      </w:r>
      <w:proofErr w:type="spellEnd"/>
      <w:r w:rsidRPr="005A1C63">
        <w:t xml:space="preserve"> (pozri časť 4.2). Ak sa týmto pacientom predpíše </w:t>
      </w:r>
      <w:proofErr w:type="spellStart"/>
      <w:r w:rsidRPr="005A1C63">
        <w:t>ofloxacín</w:t>
      </w:r>
      <w:proofErr w:type="spellEnd"/>
      <w:r w:rsidRPr="005A1C63">
        <w:t xml:space="preserve">, je potrebné ich dôkladne monitorovať. Ak pacient spozoruje príznaky </w:t>
      </w:r>
      <w:proofErr w:type="spellStart"/>
      <w:r w:rsidRPr="005A1C63">
        <w:t>tendinitídy</w:t>
      </w:r>
      <w:proofErr w:type="spellEnd"/>
      <w:r w:rsidRPr="005A1C63">
        <w:t xml:space="preserve">, musí sa obrátiť na svojho lekára. Pri podozrení na </w:t>
      </w:r>
      <w:proofErr w:type="spellStart"/>
      <w:r w:rsidRPr="005A1C63">
        <w:t>tendinitídu</w:t>
      </w:r>
      <w:proofErr w:type="spellEnd"/>
      <w:r w:rsidRPr="005A1C63">
        <w:t xml:space="preserve"> sa musí liečba </w:t>
      </w:r>
      <w:proofErr w:type="spellStart"/>
      <w:r w:rsidRPr="005A1C63">
        <w:t>ofloxacínom</w:t>
      </w:r>
      <w:proofErr w:type="spellEnd"/>
      <w:r w:rsidRPr="005A1C63">
        <w:t xml:space="preserve"> okamžite ukončiť a je potrebné začať vhodnú liečbu (napr. </w:t>
      </w:r>
      <w:proofErr w:type="spellStart"/>
      <w:r w:rsidRPr="005A1C63">
        <w:t>imobilizáciu</w:t>
      </w:r>
      <w:proofErr w:type="spellEnd"/>
      <w:r w:rsidRPr="005A1C63">
        <w:t>) postihnutej šľachy (pozri časti 4.3 a 4.8).</w:t>
      </w:r>
    </w:p>
    <w:p w:rsidR="00B83B5C" w:rsidRPr="005A1C63" w:rsidRDefault="00C347EF" w:rsidP="003F12F2">
      <w:pPr>
        <w:pStyle w:val="Styl3"/>
      </w:pPr>
      <w:r w:rsidRPr="005A1C63">
        <w:t>Pacienti s poruchou funkcie obličiek</w:t>
      </w:r>
    </w:p>
    <w:p w:rsidR="00000000" w:rsidRDefault="00C347EF">
      <w:pPr>
        <w:pStyle w:val="Normlndobloku"/>
      </w:pPr>
      <w:r w:rsidRPr="005A1C63">
        <w:t xml:space="preserve">Vzhľadom k tomu, že </w:t>
      </w:r>
      <w:proofErr w:type="spellStart"/>
      <w:r w:rsidRPr="005A1C63">
        <w:t>ofloxacín</w:t>
      </w:r>
      <w:proofErr w:type="spellEnd"/>
      <w:r w:rsidRPr="005A1C63">
        <w:t xml:space="preserve"> sa prevažne vylučuje obličkami, pacientom s poruchou funkcie obličiek sa majú dávky </w:t>
      </w:r>
      <w:proofErr w:type="spellStart"/>
      <w:r w:rsidRPr="005A1C63">
        <w:t>ofloxacínu</w:t>
      </w:r>
      <w:proofErr w:type="spellEnd"/>
      <w:r w:rsidRPr="005A1C63">
        <w:t xml:space="preserve"> upraviť (pozri časť 4.2).</w:t>
      </w:r>
    </w:p>
    <w:p w:rsidR="004363CB" w:rsidRPr="003F6B1B" w:rsidRDefault="00FE6F28" w:rsidP="003F12F2">
      <w:pPr>
        <w:pStyle w:val="Styl3"/>
      </w:pPr>
      <w:r w:rsidRPr="00EE2FCE">
        <w:t>Predĺženie QT intervalu</w:t>
      </w:r>
    </w:p>
    <w:p w:rsidR="004363CB" w:rsidRPr="00215F5D" w:rsidRDefault="004363CB" w:rsidP="0007627F">
      <w:pPr>
        <w:pStyle w:val="Normlndobloku"/>
      </w:pPr>
      <w:r w:rsidRPr="00215F5D">
        <w:t xml:space="preserve">U pacientov užívajúcich </w:t>
      </w:r>
      <w:proofErr w:type="spellStart"/>
      <w:r w:rsidR="00376D62">
        <w:t>fluó</w:t>
      </w:r>
      <w:r w:rsidRPr="00215F5D">
        <w:t>rochinolóny</w:t>
      </w:r>
      <w:proofErr w:type="spellEnd"/>
      <w:r w:rsidRPr="00215F5D">
        <w:t xml:space="preserve"> boli hlásené veľmi zriedkavé prípady predĺženia QT intervalu. Opatrnosť je potrebná pri užívaní </w:t>
      </w:r>
      <w:proofErr w:type="spellStart"/>
      <w:r w:rsidR="00376D62">
        <w:t>fluó</w:t>
      </w:r>
      <w:r w:rsidRPr="00215F5D">
        <w:t>rochinolónov</w:t>
      </w:r>
      <w:proofErr w:type="spellEnd"/>
      <w:r w:rsidRPr="00215F5D">
        <w:t xml:space="preserve"> vrátane </w:t>
      </w:r>
      <w:proofErr w:type="spellStart"/>
      <w:r w:rsidRPr="00215F5D">
        <w:t>ofloxacínu</w:t>
      </w:r>
      <w:proofErr w:type="spellEnd"/>
      <w:r w:rsidRPr="00215F5D">
        <w:t xml:space="preserve"> u pacientov so známymi rizikovými faktormi pre predĺženie QT intervalu, ako sú napríklad:</w:t>
      </w:r>
    </w:p>
    <w:p w:rsidR="00420D32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 xml:space="preserve">Starší pacienti a ženy môžu byť citlivejší na lieky predlžujúce QT interval. Preto je u týchto populácií pri používaní </w:t>
      </w:r>
      <w:proofErr w:type="spellStart"/>
      <w:r w:rsidR="00376D62">
        <w:rPr>
          <w:noProof w:val="0"/>
        </w:rPr>
        <w:t>fluó</w:t>
      </w:r>
      <w:r>
        <w:rPr>
          <w:noProof w:val="0"/>
        </w:rPr>
        <w:t>rochinolónov</w:t>
      </w:r>
      <w:proofErr w:type="spellEnd"/>
      <w:r>
        <w:rPr>
          <w:noProof w:val="0"/>
        </w:rPr>
        <w:t xml:space="preserve"> vrátane </w:t>
      </w:r>
      <w:proofErr w:type="spellStart"/>
      <w:r>
        <w:rPr>
          <w:noProof w:val="0"/>
        </w:rPr>
        <w:t>ofloxacínu</w:t>
      </w:r>
      <w:proofErr w:type="spellEnd"/>
      <w:r>
        <w:rPr>
          <w:noProof w:val="0"/>
        </w:rPr>
        <w:t xml:space="preserve"> potrebná opatrnosť 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 xml:space="preserve"> vrodený syndróm dlhého QT intervalu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súčasné užívanie liekov, u ktorých je známe, že predlžujú QT interval (napr. </w:t>
      </w:r>
      <w:proofErr w:type="spellStart"/>
      <w:r>
        <w:rPr>
          <w:noProof w:val="0"/>
        </w:rPr>
        <w:t>antiarytmiká</w:t>
      </w:r>
      <w:proofErr w:type="spellEnd"/>
      <w:r>
        <w:rPr>
          <w:noProof w:val="0"/>
        </w:rPr>
        <w:t xml:space="preserve"> triedy IA a III, </w:t>
      </w:r>
      <w:proofErr w:type="spellStart"/>
      <w:r>
        <w:rPr>
          <w:noProof w:val="0"/>
        </w:rPr>
        <w:t>tricyklické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antidepresíva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makrolidy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antipsychotiká</w:t>
      </w:r>
      <w:proofErr w:type="spellEnd"/>
      <w:r>
        <w:rPr>
          <w:noProof w:val="0"/>
        </w:rPr>
        <w:t>)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nekorigovaná nerovnováha elektrolytov (napr. </w:t>
      </w:r>
      <w:proofErr w:type="spellStart"/>
      <w:r>
        <w:rPr>
          <w:noProof w:val="0"/>
        </w:rPr>
        <w:t>hypokaliémia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hypomagneziémia</w:t>
      </w:r>
      <w:proofErr w:type="spellEnd"/>
      <w:r>
        <w:rPr>
          <w:noProof w:val="0"/>
        </w:rPr>
        <w:t>)</w:t>
      </w:r>
    </w:p>
    <w:p w:rsidR="004363CB" w:rsidRPr="001561C9" w:rsidRDefault="00C347EF" w:rsidP="003F12F2">
      <w:pPr>
        <w:pStyle w:val="Styl3"/>
      </w:pPr>
      <w:r>
        <w:t>srdcové ochorenie (napr. srdcové zlyhanie, infarkt myokardu, bradykardia)</w:t>
      </w:r>
      <w:r w:rsidR="004363CB" w:rsidRPr="001561C9">
        <w:t>Pacienti s anamnézou psychotickej poruchy</w:t>
      </w:r>
    </w:p>
    <w:p w:rsidR="004363CB" w:rsidRPr="001561C9" w:rsidRDefault="004363CB" w:rsidP="0007627F">
      <w:pPr>
        <w:pStyle w:val="Normlndobloku"/>
      </w:pPr>
      <w:r w:rsidRPr="001561C9">
        <w:t xml:space="preserve">U pacientov liečených </w:t>
      </w:r>
      <w:proofErr w:type="spellStart"/>
      <w:r w:rsidR="00376D62">
        <w:t>fluó</w:t>
      </w:r>
      <w:r w:rsidRPr="00215F5D">
        <w:t>rochinolónmi</w:t>
      </w:r>
      <w:proofErr w:type="spellEnd"/>
      <w:r w:rsidR="00814AE4" w:rsidRPr="00215F5D">
        <w:t xml:space="preserve">, vrátane </w:t>
      </w:r>
      <w:proofErr w:type="spellStart"/>
      <w:r w:rsidR="00814AE4" w:rsidRPr="00215F5D">
        <w:t>ofloxacínu</w:t>
      </w:r>
      <w:proofErr w:type="spellEnd"/>
      <w:r w:rsidRPr="00A31390">
        <w:t xml:space="preserve"> boli hlásené psychotické reakcie. </w:t>
      </w:r>
      <w:r w:rsidR="00A14DFD" w:rsidRPr="001561C9">
        <w:t>V</w:t>
      </w:r>
      <w:r w:rsidR="00B83B5C" w:rsidRPr="001561C9">
        <w:t> </w:t>
      </w:r>
      <w:r w:rsidR="00A14DFD" w:rsidRPr="001561C9">
        <w:t>n</w:t>
      </w:r>
      <w:r w:rsidRPr="001561C9">
        <w:t>iektor</w:t>
      </w:r>
      <w:r w:rsidR="00A14DFD" w:rsidRPr="001561C9">
        <w:t>ých</w:t>
      </w:r>
      <w:r w:rsidRPr="001561C9">
        <w:t xml:space="preserve"> prípad</w:t>
      </w:r>
      <w:r w:rsidR="00A14DFD" w:rsidRPr="001561C9">
        <w:t>och</w:t>
      </w:r>
      <w:r w:rsidRPr="001561C9">
        <w:t xml:space="preserve"> </w:t>
      </w:r>
      <w:r w:rsidR="00A14DFD" w:rsidRPr="001561C9">
        <w:t xml:space="preserve">tieto reakcie </w:t>
      </w:r>
      <w:r w:rsidRPr="001561C9">
        <w:t>prechádzali do samovražedných myšlienok alebo seba ohrozujúceho správania, vrátane pokusu o samovraždu, niekedy iba po jednej dávke</w:t>
      </w:r>
      <w:r w:rsidR="00A14DFD" w:rsidRPr="001561C9">
        <w:t xml:space="preserve"> </w:t>
      </w:r>
      <w:proofErr w:type="spellStart"/>
      <w:r w:rsidR="00A14DFD" w:rsidRPr="001561C9">
        <w:t>ofloxacínu</w:t>
      </w:r>
      <w:proofErr w:type="spellEnd"/>
      <w:r w:rsidR="00A14DFD" w:rsidRPr="001561C9">
        <w:t xml:space="preserve"> (pozri časť 4.8)</w:t>
      </w:r>
      <w:r w:rsidRPr="001561C9">
        <w:t xml:space="preserve">. V prípade, že sa u pacienta objavia tieto reakcie, liečba </w:t>
      </w:r>
      <w:proofErr w:type="spellStart"/>
      <w:r w:rsidRPr="001561C9">
        <w:t>ofloxacínom</w:t>
      </w:r>
      <w:proofErr w:type="spellEnd"/>
      <w:r w:rsidRPr="001561C9">
        <w:t xml:space="preserve"> má byť </w:t>
      </w:r>
      <w:r w:rsidR="00A14DFD" w:rsidRPr="001561C9">
        <w:t xml:space="preserve">ukončená </w:t>
      </w:r>
      <w:r w:rsidRPr="001561C9">
        <w:t xml:space="preserve">a treba zaviesť vhodné opatrenia. </w:t>
      </w:r>
      <w:proofErr w:type="spellStart"/>
      <w:r w:rsidRPr="001561C9">
        <w:t>Ofloxacín</w:t>
      </w:r>
      <w:proofErr w:type="spellEnd"/>
      <w:r w:rsidRPr="001561C9">
        <w:t xml:space="preserve"> má byť používaný s opatrnosťou u pacientov s psychózami v anamnéze alebo u pacientov so psychiatrickým ochorením.</w:t>
      </w:r>
    </w:p>
    <w:p w:rsidR="004363CB" w:rsidRPr="001561C9" w:rsidRDefault="004363CB" w:rsidP="003F12F2">
      <w:pPr>
        <w:pStyle w:val="Styl3"/>
      </w:pPr>
      <w:r w:rsidRPr="001561C9">
        <w:t>Pacienti s poruchou funkcie pečene</w:t>
      </w:r>
    </w:p>
    <w:p w:rsidR="004363CB" w:rsidRPr="001561C9" w:rsidRDefault="004363CB" w:rsidP="0007627F">
      <w:pPr>
        <w:pStyle w:val="Normlndobloku"/>
      </w:pPr>
      <w:proofErr w:type="spellStart"/>
      <w:r w:rsidRPr="001561C9">
        <w:t>Ofloxacín</w:t>
      </w:r>
      <w:proofErr w:type="spellEnd"/>
      <w:r w:rsidRPr="001561C9">
        <w:t xml:space="preserve"> má byť používaný s opatrnosťou u pacientov s poruchou funkcie pečene, pretože môže dôjsť k poškodeniu pečene. U </w:t>
      </w:r>
      <w:proofErr w:type="spellStart"/>
      <w:r w:rsidR="00376D62">
        <w:t>fluó</w:t>
      </w:r>
      <w:r w:rsidRPr="00215F5D">
        <w:t>rochinolónov</w:t>
      </w:r>
      <w:proofErr w:type="spellEnd"/>
      <w:r w:rsidRPr="00215F5D">
        <w:t xml:space="preserve"> boli hlásené prípady fulminantnej hepatitídy potenciálne vedúce k zlyhaniu pečene (vrátane smrteľných prípadov). Pacienti majú byť poučení, aby ukončili liečbu a obrátili sa na svojho lekára, ak sa objavia </w:t>
      </w:r>
      <w:r w:rsidR="00A14DFD" w:rsidRPr="001561C9">
        <w:t xml:space="preserve">prejavy </w:t>
      </w:r>
      <w:r w:rsidRPr="001561C9">
        <w:t xml:space="preserve">a príznaky ochorenia pečene, ako sú </w:t>
      </w:r>
      <w:proofErr w:type="spellStart"/>
      <w:r w:rsidRPr="001561C9">
        <w:t>anorexia</w:t>
      </w:r>
      <w:proofErr w:type="spellEnd"/>
      <w:r w:rsidRPr="001561C9">
        <w:t>, žltačka, tmavý moč, svrbenie alebo citlivosť v </w:t>
      </w:r>
      <w:proofErr w:type="spellStart"/>
      <w:r w:rsidRPr="001561C9">
        <w:t>abdominálnej</w:t>
      </w:r>
      <w:proofErr w:type="spellEnd"/>
      <w:r w:rsidRPr="001561C9">
        <w:t xml:space="preserve"> oblasti (pozri časť 4.8).</w:t>
      </w:r>
    </w:p>
    <w:p w:rsidR="004363CB" w:rsidRPr="001561C9" w:rsidRDefault="004363CB" w:rsidP="003F12F2">
      <w:pPr>
        <w:pStyle w:val="Styl3"/>
      </w:pPr>
      <w:r w:rsidRPr="001561C9">
        <w:t>Pacienti liečení antagonistami vitamínu K</w:t>
      </w:r>
    </w:p>
    <w:p w:rsidR="004363CB" w:rsidRPr="00215F5D" w:rsidRDefault="004363CB" w:rsidP="0007627F">
      <w:pPr>
        <w:pStyle w:val="Normlndobloku"/>
      </w:pPr>
      <w:r w:rsidRPr="001561C9">
        <w:t xml:space="preserve">Vzhľadom na možné zvýšenie koagulačných testov (PT/INR) a/alebo krvácanie u pacientov liečených </w:t>
      </w:r>
      <w:proofErr w:type="spellStart"/>
      <w:r w:rsidR="00376D62">
        <w:t>fluó</w:t>
      </w:r>
      <w:r w:rsidRPr="00215F5D">
        <w:t>rochinolónmi</w:t>
      </w:r>
      <w:proofErr w:type="spellEnd"/>
      <w:r w:rsidRPr="00215F5D">
        <w:t xml:space="preserve"> (vrátane </w:t>
      </w:r>
      <w:proofErr w:type="spellStart"/>
      <w:r w:rsidRPr="00215F5D">
        <w:t>ofloxacínu</w:t>
      </w:r>
      <w:proofErr w:type="spellEnd"/>
      <w:r w:rsidRPr="00215F5D">
        <w:t>) v kombinácii s antagonistami vitamínu K (napr. </w:t>
      </w:r>
      <w:proofErr w:type="spellStart"/>
      <w:r w:rsidRPr="00215F5D">
        <w:t>warfarín</w:t>
      </w:r>
      <w:proofErr w:type="spellEnd"/>
      <w:r w:rsidRPr="00215F5D">
        <w:t>) sa majú, ak sú tieto lieky podávané súčasne, sledovať koagulačné testy (pozri časť 4.5).</w:t>
      </w:r>
    </w:p>
    <w:p w:rsidR="004363CB" w:rsidRPr="005A1C63" w:rsidRDefault="00C347EF" w:rsidP="003F12F2">
      <w:pPr>
        <w:pStyle w:val="Styl3"/>
      </w:pPr>
      <w:proofErr w:type="spellStart"/>
      <w:r w:rsidRPr="005A1C63">
        <w:t>Myasthenia</w:t>
      </w:r>
      <w:proofErr w:type="spellEnd"/>
      <w:r w:rsidRPr="005A1C63">
        <w:t xml:space="preserve"> </w:t>
      </w:r>
      <w:proofErr w:type="spellStart"/>
      <w:r w:rsidRPr="005A1C63">
        <w:t>gravis</w:t>
      </w:r>
      <w:proofErr w:type="spellEnd"/>
    </w:p>
    <w:p w:rsidR="00420D32" w:rsidRPr="005A1C63" w:rsidRDefault="00A31390" w:rsidP="0007627F">
      <w:pPr>
        <w:pStyle w:val="Normlndobloku"/>
      </w:pPr>
      <w:proofErr w:type="spellStart"/>
      <w:r w:rsidRPr="005A1C63">
        <w:t>Fluóroc</w:t>
      </w:r>
      <w:r w:rsidR="00C347EF" w:rsidRPr="005A1C63">
        <w:t>hinolóny</w:t>
      </w:r>
      <w:proofErr w:type="spellEnd"/>
      <w:r w:rsidR="00C347EF" w:rsidRPr="005A1C63">
        <w:t xml:space="preserve">, vrátane </w:t>
      </w:r>
      <w:proofErr w:type="spellStart"/>
      <w:r w:rsidR="00C347EF" w:rsidRPr="005A1C63">
        <w:t>ofloxacínu</w:t>
      </w:r>
      <w:proofErr w:type="spellEnd"/>
      <w:r w:rsidR="00C347EF" w:rsidRPr="005A1C63">
        <w:t xml:space="preserve">, majú </w:t>
      </w:r>
      <w:proofErr w:type="spellStart"/>
      <w:r w:rsidR="00C347EF" w:rsidRPr="005A1C63">
        <w:t>neuromuskulárnu</w:t>
      </w:r>
      <w:proofErr w:type="spellEnd"/>
      <w:r w:rsidR="00C347EF" w:rsidRPr="005A1C63">
        <w:t xml:space="preserve"> </w:t>
      </w:r>
      <w:proofErr w:type="spellStart"/>
      <w:r w:rsidR="00C347EF" w:rsidRPr="005A1C63">
        <w:t>blokačnú</w:t>
      </w:r>
      <w:proofErr w:type="spellEnd"/>
      <w:r w:rsidR="00C347EF" w:rsidRPr="005A1C63">
        <w:t xml:space="preserve"> aktivitu a môžu </w:t>
      </w:r>
      <w:r w:rsidR="00A16B7F" w:rsidRPr="005A1C63">
        <w:t>zvýšiť</w:t>
      </w:r>
      <w:r w:rsidR="00C347EF" w:rsidRPr="005A1C63">
        <w:t xml:space="preserve"> svalovú slabosť u pacientov s </w:t>
      </w:r>
      <w:proofErr w:type="spellStart"/>
      <w:r w:rsidR="00C347EF" w:rsidRPr="005A1C63">
        <w:t>myasténiou</w:t>
      </w:r>
      <w:proofErr w:type="spellEnd"/>
      <w:r w:rsidR="00C347EF" w:rsidRPr="005A1C63">
        <w:t xml:space="preserve"> </w:t>
      </w:r>
      <w:proofErr w:type="spellStart"/>
      <w:r w:rsidR="00C347EF" w:rsidRPr="005A1C63">
        <w:t>gravis</w:t>
      </w:r>
      <w:proofErr w:type="spellEnd"/>
      <w:r w:rsidR="00C347EF" w:rsidRPr="005A1C63">
        <w:t xml:space="preserve">. Po uvedení lieku na trh sa zaznamenali závažné nežiaduce reakcie vrátane smrti a potreby podporného dýchania, ktoré boli spojené s používaním </w:t>
      </w:r>
      <w:proofErr w:type="spellStart"/>
      <w:r w:rsidRPr="005A1C63">
        <w:t>fluóroc</w:t>
      </w:r>
      <w:r w:rsidR="00C347EF" w:rsidRPr="005A1C63">
        <w:t>hinolónov</w:t>
      </w:r>
      <w:proofErr w:type="spellEnd"/>
      <w:r w:rsidR="00C347EF" w:rsidRPr="005A1C63">
        <w:t xml:space="preserve"> u pacientov s </w:t>
      </w:r>
      <w:proofErr w:type="spellStart"/>
      <w:r w:rsidR="00C347EF" w:rsidRPr="005A1C63">
        <w:t>myasténiou</w:t>
      </w:r>
      <w:proofErr w:type="spellEnd"/>
      <w:r w:rsidR="00C347EF" w:rsidRPr="005A1C63">
        <w:t xml:space="preserve"> </w:t>
      </w:r>
      <w:proofErr w:type="spellStart"/>
      <w:r w:rsidR="00C347EF" w:rsidRPr="005A1C63">
        <w:t>gravis</w:t>
      </w:r>
      <w:proofErr w:type="spellEnd"/>
      <w:r w:rsidR="00C347EF" w:rsidRPr="005A1C63">
        <w:t xml:space="preserve">. U pacientov, ktorí majú v anamnéze </w:t>
      </w:r>
      <w:proofErr w:type="spellStart"/>
      <w:r w:rsidR="00C347EF" w:rsidRPr="005A1C63">
        <w:t>myasténiu</w:t>
      </w:r>
      <w:proofErr w:type="spellEnd"/>
      <w:r w:rsidR="00C347EF" w:rsidRPr="005A1C63">
        <w:t xml:space="preserve"> </w:t>
      </w:r>
      <w:proofErr w:type="spellStart"/>
      <w:r w:rsidR="00C347EF" w:rsidRPr="005A1C63">
        <w:t>gravis</w:t>
      </w:r>
      <w:proofErr w:type="spellEnd"/>
      <w:r w:rsidR="00C347EF" w:rsidRPr="005A1C63">
        <w:t xml:space="preserve">, sa používanie </w:t>
      </w:r>
      <w:proofErr w:type="spellStart"/>
      <w:r w:rsidR="00C347EF" w:rsidRPr="005A1C63">
        <w:t>ofloxacínu</w:t>
      </w:r>
      <w:proofErr w:type="spellEnd"/>
      <w:r w:rsidR="00C347EF" w:rsidRPr="005A1C63">
        <w:t xml:space="preserve"> neodporúča. </w:t>
      </w:r>
    </w:p>
    <w:p w:rsidR="00000000" w:rsidRPr="005A1C63" w:rsidRDefault="00C347EF">
      <w:pPr>
        <w:pStyle w:val="Styl3"/>
      </w:pPr>
      <w:r w:rsidRPr="005A1C63">
        <w:t xml:space="preserve">Prevencia </w:t>
      </w:r>
      <w:proofErr w:type="spellStart"/>
      <w:r w:rsidRPr="005A1C63">
        <w:t>fotosenzitivity</w:t>
      </w:r>
      <w:proofErr w:type="spellEnd"/>
    </w:p>
    <w:p w:rsidR="00420D32" w:rsidRPr="005A1C63" w:rsidRDefault="00C347EF" w:rsidP="0007627F">
      <w:pPr>
        <w:pStyle w:val="Normlndobloku"/>
      </w:pPr>
      <w:r w:rsidRPr="005A1C63">
        <w:lastRenderedPageBreak/>
        <w:t xml:space="preserve">V súvislosti s používaním </w:t>
      </w:r>
      <w:proofErr w:type="spellStart"/>
      <w:r w:rsidRPr="005A1C63">
        <w:t>ofloxacínu</w:t>
      </w:r>
      <w:proofErr w:type="spellEnd"/>
      <w:r w:rsidRPr="005A1C63">
        <w:t xml:space="preserve"> bola hlásená </w:t>
      </w:r>
      <w:proofErr w:type="spellStart"/>
      <w:r w:rsidRPr="005A1C63">
        <w:t>fotosenzitivita</w:t>
      </w:r>
      <w:proofErr w:type="spellEnd"/>
      <w:r w:rsidRPr="005A1C63">
        <w:t xml:space="preserve"> (pozri časť 4.8). </w:t>
      </w:r>
      <w:r w:rsidRPr="005A1C63">
        <w:t xml:space="preserve">Pacienti liečení </w:t>
      </w:r>
      <w:proofErr w:type="spellStart"/>
      <w:r w:rsidRPr="005A1C63">
        <w:t>ofloxacínom</w:t>
      </w:r>
      <w:proofErr w:type="spellEnd"/>
      <w:r w:rsidRPr="005A1C63">
        <w:t xml:space="preserve"> sa nemajú zbytočne vystavovať silnému slnečnému žiareniu a majú sa vyhnúť UV žiareniu (slnečné lampy, soláriá) počas liečby a </w:t>
      </w:r>
      <w:r w:rsidR="003C1034" w:rsidRPr="005A1C63">
        <w:t>počas</w:t>
      </w:r>
      <w:r w:rsidRPr="005A1C63">
        <w:t xml:space="preserve"> 48 hodín po nej, aby sa predišlo </w:t>
      </w:r>
      <w:proofErr w:type="spellStart"/>
      <w:r w:rsidRPr="005A1C63">
        <w:t>fotosenzitivite</w:t>
      </w:r>
      <w:proofErr w:type="spellEnd"/>
      <w:r w:rsidRPr="005A1C63">
        <w:t>.</w:t>
      </w:r>
    </w:p>
    <w:p w:rsidR="00000000" w:rsidRPr="005A1C63" w:rsidRDefault="00420D32">
      <w:pPr>
        <w:pStyle w:val="Styl3"/>
      </w:pPr>
      <w:proofErr w:type="spellStart"/>
      <w:r w:rsidRPr="005A1C63">
        <w:t>Superinfekcia</w:t>
      </w:r>
      <w:proofErr w:type="spellEnd"/>
    </w:p>
    <w:p w:rsidR="004363CB" w:rsidRPr="005A1C63" w:rsidRDefault="00A14DFD" w:rsidP="0007627F">
      <w:pPr>
        <w:pStyle w:val="Normlndobloku"/>
      </w:pPr>
      <w:r w:rsidRPr="005A1C63">
        <w:t xml:space="preserve">Tak ako v prípade iných </w:t>
      </w:r>
      <w:r w:rsidR="004363CB" w:rsidRPr="005A1C63">
        <w:t xml:space="preserve">antibiotík, </w:t>
      </w:r>
      <w:r w:rsidRPr="005A1C63">
        <w:t xml:space="preserve">užívanie </w:t>
      </w:r>
      <w:proofErr w:type="spellStart"/>
      <w:r w:rsidRPr="005A1C63">
        <w:t>ofloxacínu</w:t>
      </w:r>
      <w:proofErr w:type="spellEnd"/>
      <w:r w:rsidRPr="005A1C63">
        <w:t xml:space="preserve">, </w:t>
      </w:r>
      <w:r w:rsidR="004363CB" w:rsidRPr="005A1C63">
        <w:t xml:space="preserve">najmä dlhodobé, môže viesť </w:t>
      </w:r>
      <w:r w:rsidRPr="005A1C63">
        <w:t>pomnoženiu</w:t>
      </w:r>
      <w:r w:rsidR="004363CB" w:rsidRPr="005A1C63">
        <w:t xml:space="preserve"> rezistentných mikroorganizmov. Stav pacienta sa preto musí v pravidelných intervaloch kontrolovať. Ak dôjde k sekundárnej infekcii, musia sa prijať vhodné opatrenia.</w:t>
      </w:r>
    </w:p>
    <w:p w:rsidR="004363CB" w:rsidRPr="005A1C63" w:rsidRDefault="004363CB" w:rsidP="003F12F2">
      <w:pPr>
        <w:pStyle w:val="Styl3"/>
      </w:pPr>
      <w:r w:rsidRPr="005A1C63">
        <w:t xml:space="preserve">Periférna </w:t>
      </w:r>
      <w:proofErr w:type="spellStart"/>
      <w:r w:rsidRPr="005A1C63">
        <w:t>neuropatia</w:t>
      </w:r>
      <w:proofErr w:type="spellEnd"/>
    </w:p>
    <w:p w:rsidR="004363CB" w:rsidRPr="005A1C63" w:rsidRDefault="004363CB" w:rsidP="0007627F">
      <w:pPr>
        <w:pStyle w:val="Normlndobloku"/>
      </w:pPr>
      <w:r w:rsidRPr="005A1C63">
        <w:t xml:space="preserve">U pacientov liečených </w:t>
      </w:r>
      <w:proofErr w:type="spellStart"/>
      <w:r w:rsidR="00376D62" w:rsidRPr="005A1C63">
        <w:t>fluó</w:t>
      </w:r>
      <w:r w:rsidRPr="005A1C63">
        <w:t>rochinolónmi</w:t>
      </w:r>
      <w:proofErr w:type="spellEnd"/>
      <w:r w:rsidRPr="005A1C63">
        <w:t xml:space="preserve"> vrátane </w:t>
      </w:r>
      <w:proofErr w:type="spellStart"/>
      <w:r w:rsidRPr="005A1C63">
        <w:t>ofloxacínu</w:t>
      </w:r>
      <w:proofErr w:type="spellEnd"/>
      <w:r w:rsidRPr="005A1C63">
        <w:t xml:space="preserve"> bola hlásená zmyslová alebo </w:t>
      </w:r>
      <w:proofErr w:type="spellStart"/>
      <w:r w:rsidRPr="005A1C63">
        <w:t>senzomotorická</w:t>
      </w:r>
      <w:proofErr w:type="spellEnd"/>
      <w:r w:rsidRPr="005A1C63">
        <w:t xml:space="preserve"> periférna </w:t>
      </w:r>
      <w:proofErr w:type="spellStart"/>
      <w:r w:rsidRPr="005A1C63">
        <w:t>neuropatia</w:t>
      </w:r>
      <w:proofErr w:type="spellEnd"/>
      <w:r w:rsidR="00C347EF" w:rsidRPr="005A1C63">
        <w:t>,</w:t>
      </w:r>
      <w:r w:rsidR="00C347EF" w:rsidRPr="005A1C63">
        <w:rPr>
          <w:color w:val="000000"/>
        </w:rPr>
        <w:t xml:space="preserve"> ktorej nástup môže byť rýchly</w:t>
      </w:r>
      <w:r w:rsidRPr="005A1C63">
        <w:t xml:space="preserve">. Ak sa u pacienta objavia príznaky </w:t>
      </w:r>
      <w:proofErr w:type="spellStart"/>
      <w:r w:rsidRPr="005A1C63">
        <w:t>neuropatie</w:t>
      </w:r>
      <w:proofErr w:type="spellEnd"/>
      <w:r w:rsidRPr="005A1C63">
        <w:t xml:space="preserve">, podávanie </w:t>
      </w:r>
      <w:proofErr w:type="spellStart"/>
      <w:r w:rsidRPr="005A1C63">
        <w:t>ofloxacínu</w:t>
      </w:r>
      <w:proofErr w:type="spellEnd"/>
      <w:r w:rsidRPr="005A1C63">
        <w:t xml:space="preserve"> </w:t>
      </w:r>
      <w:r w:rsidR="005A467E" w:rsidRPr="005A1C63">
        <w:t xml:space="preserve">sa </w:t>
      </w:r>
      <w:r w:rsidRPr="005A1C63">
        <w:t xml:space="preserve">má </w:t>
      </w:r>
      <w:r w:rsidR="005A467E" w:rsidRPr="005A1C63">
        <w:t>ukončiť</w:t>
      </w:r>
      <w:r w:rsidRPr="005A1C63">
        <w:t xml:space="preserve">, aby sa </w:t>
      </w:r>
      <w:r w:rsidR="005A467E" w:rsidRPr="005A1C63">
        <w:t>minimalizovalo riziko vzniku</w:t>
      </w:r>
      <w:r w:rsidRPr="005A1C63">
        <w:t xml:space="preserve"> nezvratného stavu.</w:t>
      </w:r>
    </w:p>
    <w:p w:rsidR="004974B9" w:rsidRPr="005A1C63" w:rsidRDefault="00C347EF" w:rsidP="004974B9">
      <w:pPr>
        <w:pStyle w:val="Styl3"/>
      </w:pPr>
      <w:proofErr w:type="spellStart"/>
      <w:r w:rsidRPr="005A1C63">
        <w:t>Dysglykémia</w:t>
      </w:r>
      <w:proofErr w:type="spellEnd"/>
    </w:p>
    <w:p w:rsidR="00000000" w:rsidRPr="005A1C63" w:rsidRDefault="00C347EF">
      <w:pPr>
        <w:pStyle w:val="Normlndobloku"/>
      </w:pPr>
      <w:proofErr w:type="spellStart"/>
      <w:r w:rsidRPr="005A1C63">
        <w:t>Hypoglykémia</w:t>
      </w:r>
      <w:proofErr w:type="spellEnd"/>
      <w:r w:rsidRPr="005A1C63">
        <w:t xml:space="preserve"> aj hyperglykémia, boli hlásené rovnako ako pri všetkých </w:t>
      </w:r>
      <w:proofErr w:type="spellStart"/>
      <w:r w:rsidR="00A31390" w:rsidRPr="005A1C63">
        <w:t>fluóroc</w:t>
      </w:r>
      <w:r w:rsidRPr="005A1C63">
        <w:t>hinolónoch</w:t>
      </w:r>
      <w:proofErr w:type="spellEnd"/>
      <w:r w:rsidRPr="005A1C63">
        <w:t xml:space="preserve">, a to obvykle u diabetických pacientov, ktorí sa súčasne liečili perorálnymi </w:t>
      </w:r>
      <w:proofErr w:type="spellStart"/>
      <w:r w:rsidRPr="005A1C63">
        <w:t>hypoglykemi</w:t>
      </w:r>
      <w:r w:rsidR="003C1034" w:rsidRPr="005A1C63">
        <w:t>kami</w:t>
      </w:r>
      <w:proofErr w:type="spellEnd"/>
      <w:r w:rsidRPr="005A1C63">
        <w:t xml:space="preserve"> (napr. </w:t>
      </w:r>
      <w:proofErr w:type="spellStart"/>
      <w:r w:rsidRPr="005A1C63">
        <w:t>glibenklamid</w:t>
      </w:r>
      <w:proofErr w:type="spellEnd"/>
      <w:r w:rsidRPr="005A1C63">
        <w:t xml:space="preserve">) alebo inzulínom. Zaznamenali sa prípady </w:t>
      </w:r>
      <w:proofErr w:type="spellStart"/>
      <w:r w:rsidRPr="005A1C63">
        <w:t>hypoglykemickej</w:t>
      </w:r>
      <w:proofErr w:type="spellEnd"/>
      <w:r w:rsidRPr="005A1C63">
        <w:t xml:space="preserve"> kómy. U pacientov s diabetom sa odporúča dôkladné sledovanie hladiny glukózy v krvi (pozri časť 4.8).</w:t>
      </w:r>
    </w:p>
    <w:p w:rsidR="004363CB" w:rsidRPr="005A1C63" w:rsidRDefault="004363CB" w:rsidP="003F12F2">
      <w:pPr>
        <w:pStyle w:val="Styl3"/>
      </w:pPr>
      <w:r w:rsidRPr="005A1C63">
        <w:t>Pacienti s deficitom glukózo-6-fosfát-dehydrogenázy</w:t>
      </w:r>
    </w:p>
    <w:p w:rsidR="00000000" w:rsidRPr="005A1C63" w:rsidRDefault="004363CB">
      <w:pPr>
        <w:pStyle w:val="Normlndobloku"/>
      </w:pPr>
      <w:r w:rsidRPr="005A1C63">
        <w:t xml:space="preserve">Pacienti s latentnou alebo diagnostikovanou poruchou glukóza-6-fosfát-dehydrogenázy môžu byť, ak sú liečení </w:t>
      </w:r>
      <w:proofErr w:type="spellStart"/>
      <w:r w:rsidRPr="005A1C63">
        <w:t>chinolónmi</w:t>
      </w:r>
      <w:proofErr w:type="spellEnd"/>
      <w:r w:rsidRPr="005A1C63">
        <w:t xml:space="preserve">, náchylní na </w:t>
      </w:r>
      <w:proofErr w:type="spellStart"/>
      <w:r w:rsidRPr="005A1C63">
        <w:t>hemolytické</w:t>
      </w:r>
      <w:proofErr w:type="spellEnd"/>
      <w:r w:rsidRPr="005A1C63">
        <w:t xml:space="preserve"> reakcie</w:t>
      </w:r>
      <w:r w:rsidR="00C347EF" w:rsidRPr="005A1C63">
        <w:t xml:space="preserve">. Preto, ak sa má u týchto pacientov používať </w:t>
      </w:r>
      <w:proofErr w:type="spellStart"/>
      <w:r w:rsidR="00C347EF" w:rsidRPr="005A1C63">
        <w:t>ofloxacín</w:t>
      </w:r>
      <w:proofErr w:type="spellEnd"/>
      <w:r w:rsidR="00C347EF" w:rsidRPr="005A1C63">
        <w:t xml:space="preserve">, má sa monitorovať potenciálny výskyt </w:t>
      </w:r>
      <w:proofErr w:type="spellStart"/>
      <w:r w:rsidR="00C347EF" w:rsidRPr="005A1C63">
        <w:t>hemolýzy</w:t>
      </w:r>
      <w:proofErr w:type="spellEnd"/>
      <w:r w:rsidR="00FC2DE9" w:rsidRPr="005A1C63">
        <w:t>.</w:t>
      </w:r>
    </w:p>
    <w:p w:rsidR="00000000" w:rsidRPr="005A1C63" w:rsidRDefault="004363CB">
      <w:pPr>
        <w:pStyle w:val="Styl3"/>
      </w:pPr>
      <w:r w:rsidRPr="005A1C63">
        <w:t>Interakcie s laboratórnymi testami</w:t>
      </w:r>
    </w:p>
    <w:p w:rsidR="004363CB" w:rsidRPr="005A1C63" w:rsidRDefault="004363CB" w:rsidP="0007627F">
      <w:pPr>
        <w:pStyle w:val="Normlndobloku"/>
      </w:pPr>
      <w:r w:rsidRPr="005A1C63">
        <w:t xml:space="preserve">Stanovenie opiátov alebo </w:t>
      </w:r>
      <w:proofErr w:type="spellStart"/>
      <w:r w:rsidRPr="005A1C63">
        <w:t>porfyrínov</w:t>
      </w:r>
      <w:proofErr w:type="spellEnd"/>
      <w:r w:rsidRPr="005A1C63">
        <w:t xml:space="preserve"> v moči môže dať pri liečbe </w:t>
      </w:r>
      <w:proofErr w:type="spellStart"/>
      <w:r w:rsidRPr="005A1C63">
        <w:t>ofloxacínom</w:t>
      </w:r>
      <w:proofErr w:type="spellEnd"/>
      <w:r w:rsidRPr="005A1C63">
        <w:t xml:space="preserve"> falošne pozitívne výsledky. Môže byť nevyhnutné potvrdiť pozitívny výsledok testu na opiáty alebo </w:t>
      </w:r>
      <w:proofErr w:type="spellStart"/>
      <w:r w:rsidRPr="005A1C63">
        <w:t>porfyríny</w:t>
      </w:r>
      <w:proofErr w:type="spellEnd"/>
      <w:r w:rsidRPr="005A1C63">
        <w:t xml:space="preserve"> viac špecifickou metódou.</w:t>
      </w:r>
    </w:p>
    <w:p w:rsidR="004363CB" w:rsidRPr="005A1C63" w:rsidRDefault="00C347EF" w:rsidP="003F12F2">
      <w:pPr>
        <w:pStyle w:val="Styl3"/>
      </w:pPr>
      <w:r w:rsidRPr="005A1C63">
        <w:t>Poruchy zraku</w:t>
      </w:r>
    </w:p>
    <w:p w:rsidR="004363CB" w:rsidRPr="005A1C63" w:rsidRDefault="00C347EF" w:rsidP="0007627F">
      <w:pPr>
        <w:pStyle w:val="Normlndobloku"/>
      </w:pPr>
      <w:r w:rsidRPr="005A1C63">
        <w:t>Pokiaľ dôjde k zhoršeniu zraku alebo akémukoľvek vplyvu na oči, je nevyhnutné to okamžite konzultovať s očným lekárom (pozri časť 4.7 a 4.8).</w:t>
      </w:r>
    </w:p>
    <w:p w:rsidR="004363CB" w:rsidRPr="005A1C63" w:rsidRDefault="004363CB" w:rsidP="003F12F2">
      <w:pPr>
        <w:pStyle w:val="Styl3"/>
      </w:pPr>
      <w:r w:rsidRPr="005A1C63">
        <w:t>Laktóza</w:t>
      </w:r>
    </w:p>
    <w:p w:rsidR="004363CB" w:rsidRPr="005A1C63" w:rsidRDefault="004363CB" w:rsidP="0007627F">
      <w:pPr>
        <w:pStyle w:val="Normlndobloku"/>
      </w:pPr>
      <w:r w:rsidRPr="005A1C63">
        <w:t xml:space="preserve">Tento liek obsahuje </w:t>
      </w:r>
      <w:proofErr w:type="spellStart"/>
      <w:r w:rsidRPr="005A1C63">
        <w:t>monohydrát</w:t>
      </w:r>
      <w:proofErr w:type="spellEnd"/>
      <w:r w:rsidRPr="005A1C63">
        <w:t xml:space="preserve"> laktózy. Pacienti so zriedkavými dedičnými problémami </w:t>
      </w:r>
      <w:proofErr w:type="spellStart"/>
      <w:r w:rsidRPr="005A1C63">
        <w:t>galaktózovej</w:t>
      </w:r>
      <w:proofErr w:type="spellEnd"/>
      <w:r w:rsidRPr="005A1C63">
        <w:t xml:space="preserve"> intolerancie, deficitu </w:t>
      </w:r>
      <w:proofErr w:type="spellStart"/>
      <w:r w:rsidRPr="005A1C63">
        <w:t>lakt</w:t>
      </w:r>
      <w:r w:rsidR="00420D32" w:rsidRPr="005A1C63">
        <w:t>á</w:t>
      </w:r>
      <w:r w:rsidRPr="005A1C63">
        <w:t>zy</w:t>
      </w:r>
      <w:proofErr w:type="spellEnd"/>
      <w:r w:rsidRPr="005A1C63">
        <w:t xml:space="preserve"> alebo </w:t>
      </w:r>
      <w:proofErr w:type="spellStart"/>
      <w:r w:rsidRPr="005A1C63">
        <w:t>glukózo-galaktózovej</w:t>
      </w:r>
      <w:proofErr w:type="spellEnd"/>
      <w:r w:rsidRPr="005A1C63">
        <w:t xml:space="preserve"> </w:t>
      </w:r>
      <w:proofErr w:type="spellStart"/>
      <w:r w:rsidRPr="005A1C63">
        <w:t>malabsorpcie</w:t>
      </w:r>
      <w:proofErr w:type="spellEnd"/>
      <w:r w:rsidRPr="005A1C63">
        <w:t xml:space="preserve"> nesmú užívať tento liek.</w:t>
      </w:r>
    </w:p>
    <w:p w:rsidR="004363CB" w:rsidRPr="005A1C63" w:rsidRDefault="00EF211A" w:rsidP="0007627F">
      <w:pPr>
        <w:pStyle w:val="Styl2"/>
      </w:pPr>
      <w:r w:rsidRPr="005A1C63">
        <w:t>4.5</w:t>
      </w:r>
      <w:r w:rsidR="00BD01C7" w:rsidRPr="005A1C63">
        <w:tab/>
      </w:r>
      <w:r w:rsidR="004363CB" w:rsidRPr="005A1C63">
        <w:t>Liekové a iné interakcie</w:t>
      </w:r>
    </w:p>
    <w:p w:rsidR="004363CB" w:rsidRPr="005A1C63" w:rsidRDefault="004363CB" w:rsidP="003F12F2">
      <w:pPr>
        <w:pStyle w:val="Styl3"/>
      </w:pPr>
      <w:r w:rsidRPr="005A1C63">
        <w:t>Lieky, ktoré predlžujú QT interval</w:t>
      </w:r>
    </w:p>
    <w:p w:rsidR="004363CB" w:rsidRPr="005A1C63" w:rsidRDefault="004363CB" w:rsidP="0007627F">
      <w:pPr>
        <w:pStyle w:val="Normlndobloku"/>
      </w:pPr>
      <w:proofErr w:type="spellStart"/>
      <w:r w:rsidRPr="005A1C63">
        <w:t>Ofloxacín</w:t>
      </w:r>
      <w:proofErr w:type="spellEnd"/>
      <w:r w:rsidRPr="005A1C63">
        <w:t xml:space="preserve">, rovnako ako ostatné </w:t>
      </w:r>
      <w:proofErr w:type="spellStart"/>
      <w:r w:rsidR="00376D62" w:rsidRPr="005A1C63">
        <w:t>fluó</w:t>
      </w:r>
      <w:r w:rsidRPr="005A1C63">
        <w:t>rochinolóny</w:t>
      </w:r>
      <w:proofErr w:type="spellEnd"/>
      <w:r w:rsidRPr="005A1C63">
        <w:t>, má byť používaný s opatrnosťou u pacientov, ktorí užívajú lieky, ktoré predlžujú QT interval (napr. </w:t>
      </w:r>
      <w:proofErr w:type="spellStart"/>
      <w:r w:rsidRPr="005A1C63">
        <w:t>antiarytmiká</w:t>
      </w:r>
      <w:proofErr w:type="spellEnd"/>
      <w:r w:rsidRPr="005A1C63">
        <w:t xml:space="preserve"> triedy IA a III, </w:t>
      </w:r>
      <w:proofErr w:type="spellStart"/>
      <w:r w:rsidRPr="005A1C63">
        <w:t>tricyklické</w:t>
      </w:r>
      <w:proofErr w:type="spellEnd"/>
      <w:r w:rsidRPr="005A1C63">
        <w:t xml:space="preserve"> </w:t>
      </w:r>
      <w:proofErr w:type="spellStart"/>
      <w:r w:rsidRPr="005A1C63">
        <w:t>antidepresíva</w:t>
      </w:r>
      <w:proofErr w:type="spellEnd"/>
      <w:r w:rsidRPr="005A1C63">
        <w:t xml:space="preserve">, </w:t>
      </w:r>
      <w:proofErr w:type="spellStart"/>
      <w:r w:rsidRPr="005A1C63">
        <w:t>makrolidy</w:t>
      </w:r>
      <w:proofErr w:type="spellEnd"/>
      <w:r w:rsidRPr="005A1C63">
        <w:t xml:space="preserve">, </w:t>
      </w:r>
      <w:proofErr w:type="spellStart"/>
      <w:r w:rsidRPr="005A1C63">
        <w:t>antipsychotiká</w:t>
      </w:r>
      <w:proofErr w:type="spellEnd"/>
      <w:r w:rsidRPr="005A1C63">
        <w:t>) (pozri časť 4.4).</w:t>
      </w:r>
    </w:p>
    <w:p w:rsidR="004363CB" w:rsidRPr="005A1C63" w:rsidRDefault="004363CB" w:rsidP="003F12F2">
      <w:pPr>
        <w:pStyle w:val="Styl3"/>
      </w:pPr>
      <w:proofErr w:type="spellStart"/>
      <w:r w:rsidRPr="005A1C63">
        <w:t>Antacidá</w:t>
      </w:r>
      <w:proofErr w:type="spellEnd"/>
      <w:r w:rsidRPr="005A1C63">
        <w:t xml:space="preserve">, </w:t>
      </w:r>
      <w:proofErr w:type="spellStart"/>
      <w:r w:rsidRPr="005A1C63">
        <w:t>sukralfát</w:t>
      </w:r>
      <w:proofErr w:type="spellEnd"/>
      <w:r w:rsidRPr="005A1C63">
        <w:t>, katión</w:t>
      </w:r>
      <w:r w:rsidR="00B9444D" w:rsidRPr="005A1C63">
        <w:t>y</w:t>
      </w:r>
      <w:r w:rsidRPr="005A1C63">
        <w:t xml:space="preserve"> kovov</w:t>
      </w:r>
    </w:p>
    <w:p w:rsidR="004363CB" w:rsidRPr="005A1C63" w:rsidRDefault="004363CB" w:rsidP="0007627F">
      <w:pPr>
        <w:pStyle w:val="Normlndobloku"/>
      </w:pPr>
      <w:r w:rsidRPr="005A1C63">
        <w:t xml:space="preserve">Súčasne podávanie </w:t>
      </w:r>
      <w:proofErr w:type="spellStart"/>
      <w:r w:rsidRPr="005A1C63">
        <w:t>antacíd</w:t>
      </w:r>
      <w:proofErr w:type="spellEnd"/>
      <w:r w:rsidRPr="005A1C63">
        <w:t xml:space="preserve"> s obsahom horčíka/hliníka, </w:t>
      </w:r>
      <w:proofErr w:type="spellStart"/>
      <w:r w:rsidRPr="005A1C63">
        <w:t>sukralfátu</w:t>
      </w:r>
      <w:proofErr w:type="spellEnd"/>
      <w:r w:rsidRPr="005A1C63">
        <w:t xml:space="preserve"> alebo prípravkov obsahujúcich zinok alebo železo môže znižovať absorpciu</w:t>
      </w:r>
      <w:r w:rsidR="00B9444D" w:rsidRPr="005A1C63">
        <w:t xml:space="preserve"> </w:t>
      </w:r>
      <w:proofErr w:type="spellStart"/>
      <w:r w:rsidR="00B9444D" w:rsidRPr="005A1C63">
        <w:t>ofloxacínu</w:t>
      </w:r>
      <w:proofErr w:type="spellEnd"/>
      <w:r w:rsidRPr="005A1C63">
        <w:t xml:space="preserve">. Z tohto dôvodu sa </w:t>
      </w:r>
      <w:proofErr w:type="spellStart"/>
      <w:r w:rsidRPr="005A1C63">
        <w:t>ofloxacín</w:t>
      </w:r>
      <w:proofErr w:type="spellEnd"/>
      <w:r w:rsidRPr="005A1C63">
        <w:t xml:space="preserve"> má užívať 2 hodiny pred týmito prípravkami.</w:t>
      </w:r>
    </w:p>
    <w:p w:rsidR="00000000" w:rsidRPr="005A1C63" w:rsidRDefault="00C347EF">
      <w:pPr>
        <w:pStyle w:val="Styl3"/>
      </w:pPr>
      <w:proofErr w:type="spellStart"/>
      <w:r w:rsidRPr="005A1C63">
        <w:t>Teofylín</w:t>
      </w:r>
      <w:proofErr w:type="spellEnd"/>
      <w:r w:rsidRPr="005A1C63">
        <w:t xml:space="preserve">, </w:t>
      </w:r>
      <w:proofErr w:type="spellStart"/>
      <w:r w:rsidRPr="005A1C63">
        <w:t>fenbufén</w:t>
      </w:r>
      <w:proofErr w:type="spellEnd"/>
      <w:r w:rsidRPr="005A1C63">
        <w:t xml:space="preserve"> alebo podobné NSAID</w:t>
      </w:r>
    </w:p>
    <w:p w:rsidR="00410E55" w:rsidRPr="00EE2FCE" w:rsidRDefault="00C347EF" w:rsidP="00410E55">
      <w:pPr>
        <w:pStyle w:val="Normlndobloku"/>
      </w:pPr>
      <w:r w:rsidRPr="005A1C63">
        <w:t xml:space="preserve">Pri klinickej štúdii neboli nájdené žiadne </w:t>
      </w:r>
      <w:proofErr w:type="spellStart"/>
      <w:r w:rsidRPr="005A1C63">
        <w:t>farmakokinetické</w:t>
      </w:r>
      <w:proofErr w:type="spellEnd"/>
      <w:r w:rsidRPr="005A1C63">
        <w:t xml:space="preserve"> interakcie </w:t>
      </w:r>
      <w:proofErr w:type="spellStart"/>
      <w:r w:rsidRPr="005A1C63">
        <w:t>ofloxacínu</w:t>
      </w:r>
      <w:proofErr w:type="spellEnd"/>
      <w:r w:rsidRPr="005A1C63">
        <w:t xml:space="preserve"> s </w:t>
      </w:r>
      <w:proofErr w:type="spellStart"/>
      <w:r w:rsidRPr="005A1C63">
        <w:t>teofylínom</w:t>
      </w:r>
      <w:proofErr w:type="spellEnd"/>
      <w:r w:rsidRPr="005A1C63">
        <w:t xml:space="preserve">. Môže však dôjsť k výraznému zníženiu prahu cerebrálnych záchvatov, ak sú </w:t>
      </w:r>
      <w:proofErr w:type="spellStart"/>
      <w:r w:rsidRPr="005A1C63">
        <w:t>chinolóny</w:t>
      </w:r>
      <w:proofErr w:type="spellEnd"/>
      <w:r w:rsidRPr="005A1C63">
        <w:t xml:space="preserve"> podávané sú</w:t>
      </w:r>
      <w:r w:rsidR="001D4161" w:rsidRPr="005A1C63">
        <w:t>bežne</w:t>
      </w:r>
      <w:r w:rsidRPr="005A1C63">
        <w:t xml:space="preserve"> s </w:t>
      </w:r>
      <w:proofErr w:type="spellStart"/>
      <w:r w:rsidRPr="005A1C63">
        <w:t>teofylínom</w:t>
      </w:r>
      <w:proofErr w:type="spellEnd"/>
      <w:r w:rsidRPr="005A1C63">
        <w:t xml:space="preserve">, </w:t>
      </w:r>
      <w:proofErr w:type="spellStart"/>
      <w:r w:rsidRPr="005A1C63">
        <w:t>nesteroidnými</w:t>
      </w:r>
      <w:proofErr w:type="spellEnd"/>
      <w:r w:rsidRPr="005A1C63">
        <w:t xml:space="preserve"> </w:t>
      </w:r>
      <w:proofErr w:type="spellStart"/>
      <w:r w:rsidRPr="005A1C63">
        <w:t>antiflogistikami</w:t>
      </w:r>
      <w:proofErr w:type="spellEnd"/>
      <w:r w:rsidRPr="005A1C63">
        <w:t xml:space="preserve"> alebo inými liekmi, ktoré prah záchvatov znižujú.</w:t>
      </w:r>
    </w:p>
    <w:p w:rsidR="00000000" w:rsidRDefault="00441416">
      <w:pPr>
        <w:pStyle w:val="Styl3"/>
      </w:pPr>
      <w:proofErr w:type="spellStart"/>
      <w:r w:rsidRPr="007E1F92">
        <w:lastRenderedPageBreak/>
        <w:t>Glibenklamid</w:t>
      </w:r>
      <w:proofErr w:type="spellEnd"/>
    </w:p>
    <w:p w:rsidR="004363CB" w:rsidRPr="001561C9" w:rsidRDefault="004363CB" w:rsidP="0007627F">
      <w:pPr>
        <w:pStyle w:val="Normlndobloku"/>
      </w:pPr>
      <w:proofErr w:type="spellStart"/>
      <w:r w:rsidRPr="001561C9">
        <w:t>Ofloxacín</w:t>
      </w:r>
      <w:proofErr w:type="spellEnd"/>
      <w:r w:rsidRPr="001561C9">
        <w:t xml:space="preserve"> môže spôsobiť mierne zvýšenie sérovej koncentrácie </w:t>
      </w:r>
      <w:r w:rsidR="00441416" w:rsidRPr="001561C9">
        <w:t xml:space="preserve">súbežne </w:t>
      </w:r>
      <w:r w:rsidRPr="001561C9">
        <w:t xml:space="preserve">podávaného </w:t>
      </w:r>
      <w:proofErr w:type="spellStart"/>
      <w:r w:rsidRPr="001561C9">
        <w:t>glibenklamidu</w:t>
      </w:r>
      <w:proofErr w:type="spellEnd"/>
      <w:r w:rsidRPr="001561C9">
        <w:t>, pacienti liečení touto kombináciou musia byť starostlivo sledovaní.</w:t>
      </w:r>
    </w:p>
    <w:p w:rsidR="00000000" w:rsidRDefault="00C347EF">
      <w:pPr>
        <w:pStyle w:val="Styl3"/>
      </w:pPr>
      <w:proofErr w:type="spellStart"/>
      <w:r w:rsidRPr="00C347EF">
        <w:t>Probenecid</w:t>
      </w:r>
      <w:proofErr w:type="spellEnd"/>
      <w:r w:rsidRPr="00C347EF">
        <w:t xml:space="preserve">, </w:t>
      </w:r>
      <w:proofErr w:type="spellStart"/>
      <w:r w:rsidRPr="00C347EF">
        <w:t>cimetid</w:t>
      </w:r>
      <w:r w:rsidR="00D04D0F" w:rsidRPr="00EE2FCE">
        <w:t>í</w:t>
      </w:r>
      <w:r w:rsidRPr="00C347EF">
        <w:t>n</w:t>
      </w:r>
      <w:proofErr w:type="spellEnd"/>
      <w:r w:rsidRPr="00C347EF">
        <w:t xml:space="preserve">, </w:t>
      </w:r>
      <w:proofErr w:type="spellStart"/>
      <w:r w:rsidRPr="00C347EF">
        <w:t>furosemid</w:t>
      </w:r>
      <w:proofErr w:type="spellEnd"/>
      <w:r w:rsidRPr="00C347EF">
        <w:t xml:space="preserve"> a </w:t>
      </w:r>
      <w:proofErr w:type="spellStart"/>
      <w:r w:rsidRPr="00C347EF">
        <w:t>metotrex</w:t>
      </w:r>
      <w:r w:rsidR="00D04D0F" w:rsidRPr="00EE2FCE">
        <w:t>át</w:t>
      </w:r>
      <w:proofErr w:type="spellEnd"/>
    </w:p>
    <w:p w:rsidR="004363CB" w:rsidRPr="001561C9" w:rsidRDefault="002F2605" w:rsidP="0007627F">
      <w:pPr>
        <w:pStyle w:val="Normlndobloku"/>
      </w:pPr>
      <w:proofErr w:type="spellStart"/>
      <w:r w:rsidRPr="001561C9">
        <w:t>Probenecid</w:t>
      </w:r>
      <w:proofErr w:type="spellEnd"/>
      <w:r w:rsidRPr="001561C9">
        <w:t xml:space="preserve"> znížil celkový </w:t>
      </w:r>
      <w:proofErr w:type="spellStart"/>
      <w:r w:rsidRPr="001561C9">
        <w:t>klírens</w:t>
      </w:r>
      <w:proofErr w:type="spellEnd"/>
      <w:r w:rsidRPr="001561C9">
        <w:t xml:space="preserve"> </w:t>
      </w:r>
      <w:proofErr w:type="spellStart"/>
      <w:r w:rsidRPr="001561C9">
        <w:t>ofloxacínu</w:t>
      </w:r>
      <w:proofErr w:type="spellEnd"/>
      <w:r w:rsidRPr="001561C9">
        <w:t xml:space="preserve"> o 24 % a zvýšil AUC o 16 %.</w:t>
      </w:r>
      <w:r w:rsidR="00D04D0F" w:rsidRPr="001561C9">
        <w:t xml:space="preserve"> </w:t>
      </w:r>
      <w:r w:rsidRPr="001561C9">
        <w:t xml:space="preserve">Predpokladaný mechanizmus je </w:t>
      </w:r>
      <w:proofErr w:type="spellStart"/>
      <w:r w:rsidRPr="001561C9">
        <w:t>kompetícia</w:t>
      </w:r>
      <w:proofErr w:type="spellEnd"/>
      <w:r w:rsidRPr="001561C9">
        <w:t xml:space="preserve"> alebo inhibícia aktívneho transportu pri </w:t>
      </w:r>
      <w:proofErr w:type="spellStart"/>
      <w:r w:rsidRPr="001561C9">
        <w:t>renálnej</w:t>
      </w:r>
      <w:proofErr w:type="spellEnd"/>
      <w:r w:rsidRPr="001561C9">
        <w:t xml:space="preserve"> </w:t>
      </w:r>
      <w:proofErr w:type="spellStart"/>
      <w:r w:rsidRPr="001561C9">
        <w:t>tubulárnej</w:t>
      </w:r>
      <w:proofErr w:type="spellEnd"/>
      <w:r w:rsidRPr="001561C9">
        <w:t xml:space="preserve"> exkrécii. Opatrnosť je potrebná v prípade, ak je </w:t>
      </w:r>
      <w:proofErr w:type="spellStart"/>
      <w:r w:rsidRPr="001561C9">
        <w:t>ofloxacín</w:t>
      </w:r>
      <w:proofErr w:type="spellEnd"/>
      <w:r w:rsidRPr="001561C9">
        <w:t xml:space="preserve"> súčasne podávaný s liekmi, ktoré ovplyvňujú </w:t>
      </w:r>
      <w:proofErr w:type="spellStart"/>
      <w:r w:rsidRPr="001561C9">
        <w:t>renálnu</w:t>
      </w:r>
      <w:proofErr w:type="spellEnd"/>
      <w:r w:rsidRPr="001561C9">
        <w:t xml:space="preserve"> </w:t>
      </w:r>
      <w:proofErr w:type="spellStart"/>
      <w:r w:rsidRPr="001561C9">
        <w:t>tubulárnu</w:t>
      </w:r>
      <w:proofErr w:type="spellEnd"/>
      <w:r w:rsidRPr="001561C9">
        <w:t xml:space="preserve"> sekréciu, ako sú </w:t>
      </w:r>
      <w:proofErr w:type="spellStart"/>
      <w:r w:rsidRPr="001561C9">
        <w:t>probenecid</w:t>
      </w:r>
      <w:proofErr w:type="spellEnd"/>
      <w:r w:rsidRPr="001561C9">
        <w:t xml:space="preserve">, </w:t>
      </w:r>
      <w:proofErr w:type="spellStart"/>
      <w:r w:rsidRPr="001561C9">
        <w:t>cimetidín</w:t>
      </w:r>
      <w:proofErr w:type="spellEnd"/>
      <w:r w:rsidRPr="001561C9">
        <w:t xml:space="preserve">, </w:t>
      </w:r>
      <w:proofErr w:type="spellStart"/>
      <w:r w:rsidRPr="001561C9">
        <w:t>furosemid</w:t>
      </w:r>
      <w:proofErr w:type="spellEnd"/>
      <w:r w:rsidRPr="001561C9">
        <w:t xml:space="preserve"> a </w:t>
      </w:r>
      <w:proofErr w:type="spellStart"/>
      <w:r w:rsidRPr="001561C9">
        <w:t>methotrexát</w:t>
      </w:r>
      <w:proofErr w:type="spellEnd"/>
      <w:r w:rsidRPr="001561C9">
        <w:t>.</w:t>
      </w:r>
    </w:p>
    <w:p w:rsidR="004363CB" w:rsidRPr="001561C9" w:rsidRDefault="002F2605" w:rsidP="003F12F2">
      <w:pPr>
        <w:pStyle w:val="Styl3"/>
      </w:pPr>
      <w:r w:rsidRPr="001561C9">
        <w:t>Antagonisti vitamínu K</w:t>
      </w:r>
    </w:p>
    <w:p w:rsidR="004363CB" w:rsidRPr="001561C9" w:rsidRDefault="002F2605" w:rsidP="0007627F">
      <w:pPr>
        <w:pStyle w:val="Normlndobloku"/>
      </w:pPr>
      <w:r w:rsidRPr="001561C9">
        <w:t xml:space="preserve">Zvýšenie koagulačných testov (PT/INR) a/alebo krvácanie, ktoré môže byť závažné, bolo hlásené u pacientov liečených </w:t>
      </w:r>
      <w:proofErr w:type="spellStart"/>
      <w:r w:rsidRPr="001561C9">
        <w:t>ofloxacínom</w:t>
      </w:r>
      <w:proofErr w:type="spellEnd"/>
      <w:r w:rsidRPr="001561C9">
        <w:t xml:space="preserve"> v kombinácii s antagonistami vitamínu K (napr. </w:t>
      </w:r>
      <w:proofErr w:type="spellStart"/>
      <w:r w:rsidRPr="001561C9">
        <w:t>warfarín</w:t>
      </w:r>
      <w:proofErr w:type="spellEnd"/>
      <w:r w:rsidRPr="001561C9">
        <w:t xml:space="preserve">). Preto je u pacientov </w:t>
      </w:r>
      <w:r w:rsidR="00441416" w:rsidRPr="001561C9">
        <w:t xml:space="preserve">súbežne </w:t>
      </w:r>
      <w:r w:rsidRPr="001561C9">
        <w:t>liečených antagonistami vitamínu K potrebné monitorovať koagulačné testy (pozri časť 4.4).</w:t>
      </w:r>
    </w:p>
    <w:p w:rsidR="004363CB" w:rsidRPr="001561C9" w:rsidRDefault="00EF211A" w:rsidP="0007627F">
      <w:pPr>
        <w:pStyle w:val="Styl2"/>
      </w:pPr>
      <w:r w:rsidRPr="001561C9">
        <w:t>4.6</w:t>
      </w:r>
      <w:r w:rsidR="00BD01C7" w:rsidRPr="001561C9">
        <w:tab/>
      </w:r>
      <w:proofErr w:type="spellStart"/>
      <w:r w:rsidR="004363CB" w:rsidRPr="001561C9">
        <w:t>Fertilita</w:t>
      </w:r>
      <w:proofErr w:type="spellEnd"/>
      <w:r w:rsidR="004363CB" w:rsidRPr="001561C9">
        <w:t>, gravidita a laktácia</w:t>
      </w:r>
    </w:p>
    <w:p w:rsidR="004363CB" w:rsidRPr="001561C9" w:rsidRDefault="004363CB" w:rsidP="003F12F2">
      <w:pPr>
        <w:pStyle w:val="Styl3"/>
      </w:pPr>
      <w:r w:rsidRPr="001561C9">
        <w:t>Gravidita</w:t>
      </w:r>
    </w:p>
    <w:p w:rsidR="004363CB" w:rsidRPr="001561C9" w:rsidRDefault="004363CB" w:rsidP="0007627F">
      <w:pPr>
        <w:pStyle w:val="Normlndobloku"/>
      </w:pPr>
      <w:r w:rsidRPr="001561C9">
        <w:t xml:space="preserve">Na základe obmedzeného množstva údajov z použitia u ľudí nie je použitie </w:t>
      </w:r>
      <w:proofErr w:type="spellStart"/>
      <w:r w:rsidR="00376D62">
        <w:t>fluó</w:t>
      </w:r>
      <w:r w:rsidRPr="00215F5D">
        <w:t>rochinolónov</w:t>
      </w:r>
      <w:proofErr w:type="spellEnd"/>
      <w:r w:rsidRPr="00215F5D">
        <w:t xml:space="preserve"> v prvom </w:t>
      </w:r>
      <w:proofErr w:type="spellStart"/>
      <w:r w:rsidRPr="00215F5D">
        <w:t>trimestri</w:t>
      </w:r>
      <w:proofErr w:type="spellEnd"/>
      <w:r w:rsidRPr="00215F5D">
        <w:t xml:space="preserve"> tehotenstva spojené so zvýšeným rizikom závažných </w:t>
      </w:r>
      <w:proofErr w:type="spellStart"/>
      <w:r w:rsidRPr="00215F5D">
        <w:t>malformácií</w:t>
      </w:r>
      <w:proofErr w:type="spellEnd"/>
      <w:r w:rsidRPr="00215F5D">
        <w:t xml:space="preserve"> alebo iných nepriaznivých účinkov na priebeh gravidity. Štúdie na zvieratách preukázali poškoden</w:t>
      </w:r>
      <w:r w:rsidRPr="001561C9">
        <w:t xml:space="preserve">ie kĺbovej chrupavky u nedospelých jedincov, ale žiadne </w:t>
      </w:r>
      <w:proofErr w:type="spellStart"/>
      <w:r w:rsidRPr="001561C9">
        <w:t>teratogénne</w:t>
      </w:r>
      <w:proofErr w:type="spellEnd"/>
      <w:r w:rsidRPr="001561C9">
        <w:t xml:space="preserve"> účinky. Preto </w:t>
      </w:r>
      <w:proofErr w:type="spellStart"/>
      <w:r w:rsidRPr="001561C9">
        <w:t>ofloxacín</w:t>
      </w:r>
      <w:proofErr w:type="spellEnd"/>
      <w:r w:rsidRPr="001561C9">
        <w:t xml:space="preserve"> nemá byť používaný počas tehotenstva (pozri časť 4.3).</w:t>
      </w:r>
    </w:p>
    <w:p w:rsidR="004363CB" w:rsidRPr="001561C9" w:rsidRDefault="004363CB" w:rsidP="003F12F2">
      <w:pPr>
        <w:pStyle w:val="Styl3"/>
      </w:pPr>
      <w:r w:rsidRPr="001561C9">
        <w:t>Dojčenie</w:t>
      </w:r>
    </w:p>
    <w:p w:rsidR="004363CB" w:rsidRPr="001561C9" w:rsidRDefault="004363CB" w:rsidP="0007627F">
      <w:pPr>
        <w:pStyle w:val="Normlndobloku"/>
      </w:pPr>
      <w:proofErr w:type="spellStart"/>
      <w:r w:rsidRPr="001561C9">
        <w:t>Ofloxacín</w:t>
      </w:r>
      <w:proofErr w:type="spellEnd"/>
      <w:r w:rsidRPr="001561C9">
        <w:t xml:space="preserve"> sa v malom množstve vylučuje do materského mlieka. Vzhľadom na možnosť </w:t>
      </w:r>
      <w:proofErr w:type="spellStart"/>
      <w:r w:rsidRPr="001561C9">
        <w:t>artropatie</w:t>
      </w:r>
      <w:proofErr w:type="spellEnd"/>
      <w:r w:rsidRPr="001561C9">
        <w:t xml:space="preserve"> a iné závažné toxicity u dojčiat sa má dojčenie počas liečby </w:t>
      </w:r>
      <w:proofErr w:type="spellStart"/>
      <w:r w:rsidRPr="001561C9">
        <w:t>ofloxacínom</w:t>
      </w:r>
      <w:proofErr w:type="spellEnd"/>
      <w:r w:rsidRPr="001561C9">
        <w:t xml:space="preserve"> prerušiť (pozri časť 4.3).</w:t>
      </w:r>
    </w:p>
    <w:p w:rsidR="004363CB" w:rsidRPr="001561C9" w:rsidRDefault="00EF211A" w:rsidP="0007627F">
      <w:pPr>
        <w:pStyle w:val="Styl2"/>
      </w:pPr>
      <w:r w:rsidRPr="001561C9">
        <w:t>4.7</w:t>
      </w:r>
      <w:r w:rsidR="00BD01C7" w:rsidRPr="001561C9">
        <w:tab/>
      </w:r>
      <w:r w:rsidR="004363CB" w:rsidRPr="001561C9">
        <w:t>Ovplyvnenie schopnosti viesť vozidlá a obsluhovať stroje</w:t>
      </w:r>
    </w:p>
    <w:p w:rsidR="00000000" w:rsidRDefault="00C347EF">
      <w:pPr>
        <w:pStyle w:val="Normlndobloku"/>
      </w:pPr>
      <w:r w:rsidRPr="005A1C63">
        <w:t>Niektoré nežiaduce účinky (napr. závrat/</w:t>
      </w:r>
      <w:proofErr w:type="spellStart"/>
      <w:r w:rsidRPr="005A1C63">
        <w:t>vertigo</w:t>
      </w:r>
      <w:proofErr w:type="spellEnd"/>
      <w:r w:rsidRPr="005A1C63">
        <w:t>, ospalosť, poruchy videnia) môžu zhoršiť pacientovu schopnosť sústrediť sa a reagovať, preto môžu predstavovať riziko v situáciách, kde sú tieto schopnosti zvlášť dôležité (napr. vedenie vozidiel alebo obsluha strojov).</w:t>
      </w:r>
    </w:p>
    <w:p w:rsidR="004363CB" w:rsidRPr="001561C9" w:rsidRDefault="00EF211A" w:rsidP="0007627F">
      <w:pPr>
        <w:pStyle w:val="Styl2"/>
      </w:pPr>
      <w:r w:rsidRPr="001561C9">
        <w:t>4.8</w:t>
      </w:r>
      <w:r w:rsidR="008656F8" w:rsidRPr="001561C9">
        <w:tab/>
      </w:r>
      <w:r w:rsidR="004363CB" w:rsidRPr="001561C9">
        <w:t>Nežiaduce účinky</w:t>
      </w:r>
    </w:p>
    <w:p w:rsidR="00985F5D" w:rsidRPr="00EE2FCE" w:rsidRDefault="004363CB" w:rsidP="0007627F">
      <w:pPr>
        <w:pStyle w:val="Normlndobloku"/>
      </w:pPr>
      <w:r w:rsidRPr="001561C9">
        <w:t xml:space="preserve">Nasledujúce nežiaduce účinky sú </w:t>
      </w:r>
      <w:r w:rsidR="001561C9">
        <w:t>rozdelené</w:t>
      </w:r>
      <w:r w:rsidR="001561C9" w:rsidRPr="00EE2FCE">
        <w:t xml:space="preserve"> </w:t>
      </w:r>
      <w:r w:rsidRPr="00EE2FCE">
        <w:t>podľa frekvenc</w:t>
      </w:r>
      <w:r w:rsidR="00EE2FCE">
        <w:t>ií definovaných v</w:t>
      </w:r>
      <w:r w:rsidRPr="00EE2FCE">
        <w:t xml:space="preserve"> </w:t>
      </w:r>
      <w:proofErr w:type="spellStart"/>
      <w:r w:rsidRPr="00EE2FCE">
        <w:t>MedDRA</w:t>
      </w:r>
      <w:proofErr w:type="spellEnd"/>
      <w:r w:rsidRPr="00EE2FCE">
        <w:t xml:space="preserve"> databáze a podľa triedy orgánových systémov</w:t>
      </w:r>
      <w:r w:rsidR="00EE2FCE">
        <w:t>; zdrojom sú</w:t>
      </w:r>
      <w:r w:rsidR="00EE2FCE" w:rsidRPr="00EE2FCE">
        <w:t xml:space="preserve"> údaj</w:t>
      </w:r>
      <w:r w:rsidR="00EE2FCE">
        <w:t>e</w:t>
      </w:r>
      <w:r w:rsidR="00EE2FCE" w:rsidRPr="00EE2FCE">
        <w:t xml:space="preserve"> z klinických štúdií a</w:t>
      </w:r>
      <w:r w:rsidR="00EE2FCE">
        <w:t xml:space="preserve">lebo </w:t>
      </w:r>
      <w:proofErr w:type="spellStart"/>
      <w:r w:rsidR="00EE2FCE" w:rsidRPr="00EE2FCE">
        <w:t>postmarketingových</w:t>
      </w:r>
      <w:proofErr w:type="spellEnd"/>
      <w:r w:rsidR="00EE2FCE" w:rsidRPr="00EE2FCE">
        <w:t xml:space="preserve"> sledovan</w:t>
      </w:r>
      <w:r w:rsidR="00EE2FCE">
        <w:t>í (označené *).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veľmi časté (≥ 1/10)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časté (≥ 1/100 až &lt; 1/10)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menej časté (≥ 1/1 000 až &lt; 1/100)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zriedkavé (≥ 1/10 000 až &lt; 1/1 000)</w:t>
      </w:r>
    </w:p>
    <w:p w:rsidR="002F2605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veľmi zriedkavé (&lt; 1/10 000)</w:t>
      </w:r>
    </w:p>
    <w:p w:rsidR="007D19FE" w:rsidRPr="001561C9" w:rsidRDefault="00C347EF" w:rsidP="00B91F5E">
      <w:pPr>
        <w:pStyle w:val="Normlndoblokusodrkami"/>
        <w:rPr>
          <w:noProof w:val="0"/>
        </w:rPr>
      </w:pPr>
      <w:r>
        <w:rPr>
          <w:noProof w:val="0"/>
        </w:rPr>
        <w:t>neznáme (z dostupných údajov)</w:t>
      </w:r>
    </w:p>
    <w:p w:rsidR="00985F5D" w:rsidRPr="001561C9" w:rsidRDefault="00985F5D">
      <w:pPr>
        <w:spacing w:after="200" w:line="276" w:lineRule="auto"/>
        <w:ind w:left="0" w:firstLine="0"/>
        <w:rPr>
          <w:rFonts w:eastAsia="Calibri"/>
          <w:u w:val="single"/>
        </w:rPr>
      </w:pPr>
      <w:r w:rsidRPr="001561C9">
        <w:br w:type="page"/>
      </w:r>
    </w:p>
    <w:p w:rsidR="00000000" w:rsidRDefault="00C07E4B">
      <w:pPr>
        <w:pStyle w:val="Normlndobloku"/>
      </w:pPr>
    </w:p>
    <w:tbl>
      <w:tblPr>
        <w:tblW w:w="96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90"/>
        <w:gridCol w:w="1524"/>
        <w:gridCol w:w="1441"/>
        <w:gridCol w:w="1712"/>
        <w:gridCol w:w="1843"/>
        <w:gridCol w:w="1559"/>
      </w:tblGrid>
      <w:tr w:rsidR="007D19FE" w:rsidRPr="001561C9" w:rsidTr="00031455">
        <w:trPr>
          <w:trHeight w:val="1138"/>
          <w:tblHeader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Trieda orgánových systémov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Časté</w:t>
            </w:r>
          </w:p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(≥ 1/100 až &lt; 1/10)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Menej časté</w:t>
            </w:r>
          </w:p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(≥ 1/1 000 až &lt; 1/100)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Zriedkavé</w:t>
            </w:r>
          </w:p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(≥ 1/10 000 až &lt; 1/1 000)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Veľmi zriedkavé</w:t>
            </w:r>
          </w:p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(&lt; 1/10 000)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FE" w:rsidRPr="001561C9" w:rsidRDefault="00C347EF" w:rsidP="00031455">
            <w:pPr>
              <w:pStyle w:val="Styl2-2"/>
              <w:rPr>
                <w:lang w:val="sk-SK"/>
              </w:rPr>
            </w:pPr>
            <w:r w:rsidRPr="00C347EF">
              <w:rPr>
                <w:lang w:val="sk-SK"/>
              </w:rPr>
              <w:t>Neznáme (z dostupných údajov)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Infekcie a nákazy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mykotické</w:t>
            </w:r>
            <w:proofErr w:type="spellEnd"/>
            <w:r w:rsidRPr="001561C9">
              <w:t xml:space="preserve"> infekcie</w:t>
            </w:r>
          </w:p>
          <w:p w:rsidR="00000000" w:rsidRDefault="007D19FE">
            <w:pPr>
              <w:pStyle w:val="Normlntabulkandbdoleva"/>
            </w:pPr>
            <w:r w:rsidRPr="001561C9">
              <w:t>rezistencia patogénov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bookmarkStart w:id="2" w:name="_Hlk521432357"/>
            <w:r w:rsidRPr="001561C9">
              <w:t>Poruchy krvi a lymfatického systému</w:t>
            </w:r>
            <w:bookmarkEnd w:id="2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anémia</w:t>
            </w:r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hemolytická</w:t>
            </w:r>
            <w:proofErr w:type="spellEnd"/>
            <w:r w:rsidRPr="001561C9">
              <w:t xml:space="preserve"> anémia</w:t>
            </w:r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leukopénia</w:t>
            </w:r>
            <w:proofErr w:type="spellEnd"/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eozinofília</w:t>
            </w:r>
            <w:proofErr w:type="spellEnd"/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trombocytopénia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agranulocytóza</w:t>
            </w:r>
            <w:proofErr w:type="spellEnd"/>
          </w:p>
          <w:p w:rsidR="00000000" w:rsidRDefault="007D19FE">
            <w:pPr>
              <w:pStyle w:val="Normlntabulkandbdoleva"/>
            </w:pPr>
            <w:r w:rsidRPr="001561C9">
              <w:t>zlyhanie kostnej drene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imunitného systému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  <w:rPr>
                <w:b/>
                <w:bCs/>
                <w:vertAlign w:val="superscript"/>
              </w:rPr>
            </w:pPr>
            <w:proofErr w:type="spellStart"/>
            <w:r w:rsidRPr="001561C9">
              <w:t>anafylaktická</w:t>
            </w:r>
            <w:proofErr w:type="spellEnd"/>
            <w:r w:rsidRPr="001561C9">
              <w:t xml:space="preserve"> reakcia</w:t>
            </w:r>
            <w:r w:rsidRPr="001561C9">
              <w:rPr>
                <w:b/>
                <w:bCs/>
                <w:vertAlign w:val="superscript"/>
              </w:rPr>
              <w:t>*</w:t>
            </w:r>
          </w:p>
          <w:p w:rsidR="00000000" w:rsidRDefault="007D19FE">
            <w:pPr>
              <w:pStyle w:val="Normlntabulkandbdoleva"/>
              <w:rPr>
                <w:b/>
                <w:bCs/>
                <w:vertAlign w:val="superscript"/>
              </w:rPr>
            </w:pPr>
            <w:proofErr w:type="spellStart"/>
            <w:r w:rsidRPr="001561C9">
              <w:t>anafylaktoidné</w:t>
            </w:r>
            <w:proofErr w:type="spellEnd"/>
            <w:r w:rsidRPr="001561C9">
              <w:t xml:space="preserve"> reakcie</w:t>
            </w:r>
            <w:r w:rsidRPr="001561C9">
              <w:rPr>
                <w:b/>
                <w:bCs/>
                <w:vertAlign w:val="superscript"/>
              </w:rPr>
              <w:t>*</w:t>
            </w:r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angioedém</w:t>
            </w:r>
            <w:proofErr w:type="spellEnd"/>
            <w:r w:rsidRPr="001561C9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anafylaktický</w:t>
            </w:r>
            <w:proofErr w:type="spellEnd"/>
            <w:r w:rsidRPr="001561C9">
              <w:t xml:space="preserve"> šok</w:t>
            </w:r>
            <w:r w:rsidRPr="001561C9">
              <w:rPr>
                <w:b/>
                <w:bCs/>
                <w:vertAlign w:val="superscript"/>
              </w:rPr>
              <w:t>*</w:t>
            </w:r>
            <w:r w:rsidRPr="001561C9">
              <w:t xml:space="preserve"> </w:t>
            </w:r>
            <w:proofErr w:type="spellStart"/>
            <w:r w:rsidRPr="001561C9">
              <w:t>anafylaktoidný</w:t>
            </w:r>
            <w:proofErr w:type="spellEnd"/>
            <w:r w:rsidRPr="001561C9">
              <w:t xml:space="preserve"> šok</w:t>
            </w:r>
            <w:r w:rsidRPr="001561C9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metabolizmu a výživy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anorexia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hypoglykémia</w:t>
            </w:r>
            <w:proofErr w:type="spellEnd"/>
            <w:r w:rsidRPr="001561C9">
              <w:t xml:space="preserve"> u diabetikov liečených </w:t>
            </w:r>
            <w:proofErr w:type="spellStart"/>
            <w:r w:rsidRPr="001561C9">
              <w:t>antidiabetikami</w:t>
            </w:r>
            <w:proofErr w:type="spellEnd"/>
            <w:r w:rsidRPr="001561C9">
              <w:t xml:space="preserve"> (pozri časť 4.4)</w:t>
            </w:r>
          </w:p>
          <w:p w:rsidR="00000000" w:rsidRDefault="007D19FE">
            <w:pPr>
              <w:pStyle w:val="Normlntabulkandbdoleva"/>
            </w:pPr>
            <w:r w:rsidRPr="001561C9">
              <w:t xml:space="preserve">hyperglykémia </w:t>
            </w:r>
            <w:proofErr w:type="spellStart"/>
            <w:r w:rsidRPr="001561C9">
              <w:t>hypoglykemická</w:t>
            </w:r>
            <w:proofErr w:type="spellEnd"/>
            <w:r w:rsidRPr="001561C9">
              <w:t xml:space="preserve"> kóma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Psychiatrické poruchy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agitácia</w:t>
            </w:r>
          </w:p>
          <w:p w:rsidR="00000000" w:rsidRDefault="007D19FE">
            <w:pPr>
              <w:pStyle w:val="Normlntabulkandbdoleva"/>
            </w:pPr>
            <w:r w:rsidRPr="001561C9">
              <w:t>poruchy spánku</w:t>
            </w:r>
          </w:p>
          <w:p w:rsidR="00000000" w:rsidRDefault="007D19FE">
            <w:pPr>
              <w:pStyle w:val="Normlntabulkandbdoleva"/>
            </w:pPr>
            <w:r w:rsidRPr="001561C9">
              <w:t>nespavosť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psychotická porucha (napríklad halucinácie) úzkosť</w:t>
            </w:r>
          </w:p>
          <w:p w:rsidR="00000000" w:rsidRDefault="007D19FE">
            <w:pPr>
              <w:pStyle w:val="Normlntabulkandbdoleva"/>
            </w:pPr>
            <w:r w:rsidRPr="001561C9">
              <w:t>stav zmätenosti nočné mory depresia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psychotické poruchy a depresie so </w:t>
            </w:r>
            <w:proofErr w:type="spellStart"/>
            <w:r w:rsidRPr="001561C9">
              <w:t>seba</w:t>
            </w:r>
            <w:r w:rsidR="00BB03C5" w:rsidRPr="001561C9">
              <w:t>-</w:t>
            </w:r>
            <w:r w:rsidRPr="001561C9">
              <w:t>ohrozujúcim</w:t>
            </w:r>
            <w:proofErr w:type="spellEnd"/>
            <w:r w:rsidRPr="001561C9">
              <w:t xml:space="preserve"> správaním vrátane samovražedných predstáv alebo pokusu o samovraždu (pozri časť 4.4)</w:t>
            </w:r>
          </w:p>
          <w:p w:rsidR="00000000" w:rsidRDefault="007D19FE">
            <w:pPr>
              <w:pStyle w:val="Normlntabulkandbdoleva"/>
            </w:pPr>
            <w:r w:rsidRPr="001561C9">
              <w:t>nervozita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bookmarkStart w:id="3" w:name="_Hlk521481333"/>
            <w:r w:rsidRPr="001561C9">
              <w:t>Poruchy nervového systému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závrat</w:t>
            </w:r>
          </w:p>
          <w:p w:rsidR="00000000" w:rsidRDefault="007D19FE">
            <w:pPr>
              <w:pStyle w:val="Normlntabulkandbdoleva"/>
            </w:pPr>
            <w:r w:rsidRPr="001561C9">
              <w:t>bolesť hlavy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ospalosť</w:t>
            </w:r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parestézia</w:t>
            </w:r>
            <w:proofErr w:type="spellEnd"/>
          </w:p>
          <w:p w:rsidR="00000000" w:rsidRDefault="007D19FE">
            <w:pPr>
              <w:pStyle w:val="Normlntabulkandbdoleva"/>
            </w:pPr>
            <w:r w:rsidRPr="001561C9">
              <w:t>poruchy chuti a čuchu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D82FCA">
            <w:pPr>
              <w:pStyle w:val="Normlntabulkandbdoleva"/>
            </w:pPr>
            <w:r>
              <w:t xml:space="preserve">periférna senzorická </w:t>
            </w:r>
            <w:proofErr w:type="spellStart"/>
            <w:r>
              <w:t>neuropatia</w:t>
            </w:r>
            <w:proofErr w:type="spellEnd"/>
            <w:r>
              <w:t>*</w:t>
            </w:r>
          </w:p>
          <w:p w:rsidR="00000000" w:rsidRDefault="00D82FCA">
            <w:pPr>
              <w:pStyle w:val="Normlntabulkandbdoleva"/>
            </w:pPr>
            <w:r>
              <w:t xml:space="preserve">periférna </w:t>
            </w:r>
            <w:proofErr w:type="spellStart"/>
            <w:r>
              <w:t>senzoricko</w:t>
            </w:r>
            <w:proofErr w:type="spellEnd"/>
            <w:r>
              <w:t xml:space="preserve"> motorická </w:t>
            </w:r>
            <w:proofErr w:type="spellStart"/>
            <w:r>
              <w:t>neuropatia</w:t>
            </w:r>
            <w:proofErr w:type="spellEnd"/>
            <w:r>
              <w:t>*</w:t>
            </w:r>
          </w:p>
          <w:p w:rsidR="00000000" w:rsidRDefault="00D82FCA">
            <w:pPr>
              <w:pStyle w:val="Normlntabulkandbdoleva"/>
            </w:pPr>
            <w:r>
              <w:t>k</w:t>
            </w:r>
            <w:r>
              <w:rPr>
                <w:rFonts w:hint="eastAsia"/>
              </w:rPr>
              <w:t>ŕč</w:t>
            </w:r>
            <w:r>
              <w:t>e*</w:t>
            </w:r>
          </w:p>
          <w:p w:rsidR="00000000" w:rsidRDefault="00D82FCA">
            <w:pPr>
              <w:pStyle w:val="Normlntabulkandbdoleva"/>
            </w:pPr>
            <w:proofErr w:type="spellStart"/>
            <w:r>
              <w:lastRenderedPageBreak/>
              <w:t>extrapyramídové</w:t>
            </w:r>
            <w:proofErr w:type="spellEnd"/>
            <w:r>
              <w:t xml:space="preserve"> príznaky alebo iné poruchy svalovej koordinácie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lastRenderedPageBreak/>
              <w:t>tremor</w:t>
            </w:r>
            <w:proofErr w:type="spellEnd"/>
          </w:p>
          <w:p w:rsidR="00000000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1561C9">
              <w:t>dyskinéza</w:t>
            </w:r>
            <w:proofErr w:type="spellEnd"/>
          </w:p>
          <w:p w:rsidR="00000000" w:rsidRDefault="007D19FE">
            <w:pPr>
              <w:pStyle w:val="Normlntabulkandbdoleva"/>
              <w:rPr>
                <w:u w:val="single"/>
              </w:rPr>
            </w:pPr>
            <w:r w:rsidRPr="001561C9">
              <w:t>strata chuti</w:t>
            </w:r>
          </w:p>
          <w:p w:rsidR="00000000" w:rsidRDefault="007D19FE">
            <w:pPr>
              <w:pStyle w:val="Normlntabulkandbdoleva"/>
              <w:rPr>
                <w:u w:val="single"/>
              </w:rPr>
            </w:pPr>
            <w:r w:rsidRPr="001561C9">
              <w:t>synkopa</w:t>
            </w:r>
          </w:p>
        </w:tc>
      </w:tr>
      <w:bookmarkEnd w:id="3"/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lastRenderedPageBreak/>
              <w:t>Poruchy oka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podráždenie očí 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poruchy zraku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5A1C63">
              <w:t>uveitída</w:t>
            </w:r>
            <w:proofErr w:type="spellEnd"/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ucha a labyrintu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615F2B">
            <w:pPr>
              <w:pStyle w:val="Normlntabulkandbdoleva"/>
            </w:pPr>
            <w:proofErr w:type="spellStart"/>
            <w:r w:rsidRPr="001561C9">
              <w:t>vertigo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tinnitus</w:t>
            </w:r>
            <w:proofErr w:type="spellEnd"/>
          </w:p>
          <w:p w:rsidR="00000000" w:rsidRDefault="007D19FE">
            <w:pPr>
              <w:pStyle w:val="Normlntabulkandbdoleva"/>
            </w:pPr>
            <w:r w:rsidRPr="001561C9">
              <w:t>strata sluchu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poškodenie sluchu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Porucha srdca a srdcovej činnosti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tachykardia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komorové </w:t>
            </w:r>
            <w:proofErr w:type="spellStart"/>
            <w:r w:rsidRPr="001561C9">
              <w:t>arytmie</w:t>
            </w:r>
            <w:proofErr w:type="spellEnd"/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torsades</w:t>
            </w:r>
            <w:proofErr w:type="spellEnd"/>
            <w:r w:rsidRPr="001561C9">
              <w:t xml:space="preserve"> </w:t>
            </w:r>
            <w:proofErr w:type="spellStart"/>
            <w:r w:rsidRPr="001561C9">
              <w:t>de</w:t>
            </w:r>
            <w:proofErr w:type="spellEnd"/>
            <w:r w:rsidRPr="001561C9">
              <w:t xml:space="preserve"> </w:t>
            </w:r>
            <w:proofErr w:type="spellStart"/>
            <w:r w:rsidRPr="001561C9">
              <w:t>pointes</w:t>
            </w:r>
            <w:proofErr w:type="spellEnd"/>
            <w:r w:rsidRPr="001561C9">
              <w:t xml:space="preserve"> (hlásené hlavne u pacientov s rizikovými faktormi pre predĺženie QT intervalu)</w:t>
            </w:r>
          </w:p>
          <w:p w:rsidR="00000000" w:rsidRDefault="007D19FE">
            <w:pPr>
              <w:pStyle w:val="Normlntabulkandbdoleva"/>
            </w:pPr>
            <w:r w:rsidRPr="001561C9">
              <w:t>EKG predĺžený QT interval (pozri časť 4.4 a 4.9)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ciev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vzťahuje sa iba na </w:t>
            </w:r>
            <w:proofErr w:type="spellStart"/>
            <w:r w:rsidRPr="001561C9">
              <w:t>infúzny</w:t>
            </w:r>
            <w:proofErr w:type="spellEnd"/>
            <w:r w:rsidRPr="001561C9">
              <w:t xml:space="preserve"> roztok: </w:t>
            </w:r>
            <w:proofErr w:type="spellStart"/>
            <w:r w:rsidRPr="001561C9">
              <w:t>flebitída</w:t>
            </w:r>
            <w:proofErr w:type="spellEnd"/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hypotenzia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vzťahuje sa iba na </w:t>
            </w:r>
            <w:proofErr w:type="spellStart"/>
            <w:r w:rsidRPr="001561C9">
              <w:t>infúzny</w:t>
            </w:r>
            <w:proofErr w:type="spellEnd"/>
            <w:r w:rsidRPr="001561C9">
              <w:t xml:space="preserve"> roztok:</w:t>
            </w:r>
          </w:p>
          <w:p w:rsidR="00000000" w:rsidRDefault="007D19FE">
            <w:pPr>
              <w:pStyle w:val="Normlntabulkandbdoleva"/>
            </w:pPr>
            <w:r w:rsidRPr="001561C9">
              <w:t xml:space="preserve">Počas infúzie </w:t>
            </w:r>
            <w:proofErr w:type="spellStart"/>
            <w:r w:rsidRPr="001561C9">
              <w:t>ofloxacínu</w:t>
            </w:r>
            <w:proofErr w:type="spellEnd"/>
            <w:r w:rsidRPr="001561C9">
              <w:t xml:space="preserve"> sa môže objaviť </w:t>
            </w:r>
            <w:proofErr w:type="spellStart"/>
            <w:r w:rsidRPr="001561C9">
              <w:t>tachykardia</w:t>
            </w:r>
            <w:proofErr w:type="spellEnd"/>
            <w:r w:rsidRPr="001561C9">
              <w:t xml:space="preserve"> a hypotenzia. Takéto zníženie krvného tlaku môže byť vo veľmi zriedkavých prípadoch závažné.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dýchacej sústavy, hrudníka a </w:t>
            </w:r>
            <w:proofErr w:type="spellStart"/>
            <w:r w:rsidRPr="001561C9">
              <w:t>mediastína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kašeľ</w:t>
            </w:r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nazofaryngitída</w:t>
            </w:r>
            <w:proofErr w:type="spellEnd"/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dýchavičnosť </w:t>
            </w:r>
            <w:proofErr w:type="spellStart"/>
            <w:r w:rsidRPr="001561C9">
              <w:t>bronchospazmus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alergická</w:t>
            </w:r>
            <w:r w:rsidR="00615F2B" w:rsidRPr="001561C9">
              <w:t xml:space="preserve"> </w:t>
            </w:r>
            <w:proofErr w:type="spellStart"/>
            <w:r w:rsidR="00615F2B" w:rsidRPr="001561C9">
              <w:t>pneumonitída</w:t>
            </w:r>
            <w:proofErr w:type="spellEnd"/>
            <w:r w:rsidRPr="001561C9">
              <w:t xml:space="preserve"> </w:t>
            </w:r>
            <w:r w:rsidR="00615F2B" w:rsidRPr="001561C9">
              <w:t xml:space="preserve">závažná </w:t>
            </w:r>
            <w:r w:rsidRPr="001561C9">
              <w:t>dýchavičnosť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Poruchy </w:t>
            </w:r>
            <w:proofErr w:type="spellStart"/>
            <w:r w:rsidRPr="001561C9">
              <w:t>gastrointestinálneho</w:t>
            </w:r>
            <w:proofErr w:type="spellEnd"/>
            <w:r w:rsidRPr="001561C9">
              <w:t xml:space="preserve"> traktu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bolesť brucha</w:t>
            </w:r>
          </w:p>
          <w:p w:rsidR="00000000" w:rsidRDefault="007D19FE">
            <w:pPr>
              <w:pStyle w:val="Normlntabulkandbdoleva"/>
            </w:pPr>
            <w:r w:rsidRPr="001561C9">
              <w:t>hnačka</w:t>
            </w:r>
          </w:p>
          <w:p w:rsidR="00000000" w:rsidRDefault="007D19FE">
            <w:pPr>
              <w:pStyle w:val="Normlntabulkandbdoleva"/>
            </w:pPr>
            <w:r w:rsidRPr="001561C9">
              <w:t>nevoľnosť</w:t>
            </w:r>
          </w:p>
          <w:p w:rsidR="00000000" w:rsidRDefault="007D19FE">
            <w:pPr>
              <w:pStyle w:val="Normlntabulkandbdoleva"/>
            </w:pPr>
            <w:r w:rsidRPr="001561C9">
              <w:lastRenderedPageBreak/>
              <w:t>vracanie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lastRenderedPageBreak/>
              <w:t>enterokolitída</w:t>
            </w:r>
            <w:proofErr w:type="spellEnd"/>
            <w:r w:rsidRPr="001561C9">
              <w:t xml:space="preserve">, niekedy </w:t>
            </w:r>
            <w:proofErr w:type="spellStart"/>
            <w:r w:rsidRPr="001561C9">
              <w:t>hemoragická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pseudo</w:t>
            </w:r>
            <w:r w:rsidR="00136449">
              <w:t>-</w:t>
            </w:r>
            <w:r w:rsidRPr="001561C9">
              <w:t>membranózna</w:t>
            </w:r>
            <w:proofErr w:type="spellEnd"/>
            <w:r w:rsidRPr="001561C9">
              <w:t xml:space="preserve"> </w:t>
            </w:r>
            <w:proofErr w:type="spellStart"/>
            <w:r w:rsidRPr="001561C9">
              <w:t>kolitída</w:t>
            </w:r>
            <w:proofErr w:type="spellEnd"/>
            <w:r w:rsidRPr="001561C9">
              <w:t>*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dyspepsia</w:t>
            </w:r>
            <w:proofErr w:type="spellEnd"/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flatulencia</w:t>
            </w:r>
            <w:proofErr w:type="spellEnd"/>
          </w:p>
          <w:p w:rsidR="00000000" w:rsidRDefault="007D19FE">
            <w:pPr>
              <w:pStyle w:val="Normlntabulkandbdoleva"/>
            </w:pPr>
            <w:r w:rsidRPr="001561C9">
              <w:t>zápcha</w:t>
            </w:r>
          </w:p>
          <w:p w:rsidR="00000000" w:rsidRDefault="007D19FE">
            <w:pPr>
              <w:pStyle w:val="Normlntabulkandbdoleva"/>
            </w:pPr>
            <w:r w:rsidRPr="001561C9">
              <w:lastRenderedPageBreak/>
              <w:t>zápal pankreasu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lastRenderedPageBreak/>
              <w:t>Poruchy pečene a žlčových ciest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zvýšenie pečeňových enzýmov (ALT, AST, LDH, </w:t>
            </w:r>
            <w:proofErr w:type="spellStart"/>
            <w:r w:rsidRPr="001561C9">
              <w:t>gama-GT</w:t>
            </w:r>
            <w:proofErr w:type="spellEnd"/>
            <w:r w:rsidRPr="001561C9">
              <w:t xml:space="preserve"> a /alebo alkalickej </w:t>
            </w:r>
            <w:proofErr w:type="spellStart"/>
            <w:r w:rsidRPr="001561C9">
              <w:t>fosfatázy</w:t>
            </w:r>
            <w:proofErr w:type="spellEnd"/>
            <w:r w:rsidRPr="001561C9">
              <w:t>)</w:t>
            </w:r>
          </w:p>
          <w:p w:rsidR="00000000" w:rsidRDefault="007D19FE">
            <w:pPr>
              <w:pStyle w:val="Normlntabulkandbdoleva"/>
            </w:pPr>
            <w:r w:rsidRPr="001561C9">
              <w:t xml:space="preserve">zvýšená hladina </w:t>
            </w:r>
            <w:proofErr w:type="spellStart"/>
            <w:r w:rsidRPr="001561C9">
              <w:t>bilirubínu</w:t>
            </w:r>
            <w:proofErr w:type="spellEnd"/>
            <w:r w:rsidRPr="001561C9">
              <w:t xml:space="preserve"> v krvi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cholestatická</w:t>
            </w:r>
            <w:proofErr w:type="spellEnd"/>
            <w:r w:rsidRPr="001561C9">
              <w:t xml:space="preserve"> žltačka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A1C63" w:rsidRDefault="007D19FE">
            <w:pPr>
              <w:pStyle w:val="Normlntabulkandbdoleva"/>
            </w:pPr>
            <w:r w:rsidRPr="005A1C63">
              <w:t>hepatitída (môže byť závažná)*</w:t>
            </w:r>
          </w:p>
          <w:p w:rsidR="00000000" w:rsidRPr="005A1C63" w:rsidRDefault="00337C5D">
            <w:pPr>
              <w:pStyle w:val="Normlntabulkandbdoleva"/>
            </w:pPr>
            <w:r w:rsidRPr="005A1C63">
              <w:t>V</w:t>
            </w:r>
            <w:r w:rsidR="007D19FE" w:rsidRPr="005A1C63">
              <w:t> súvislosti s </w:t>
            </w:r>
            <w:proofErr w:type="spellStart"/>
            <w:r w:rsidR="007D19FE" w:rsidRPr="005A1C63">
              <w:t>ofloxacínom</w:t>
            </w:r>
            <w:proofErr w:type="spellEnd"/>
            <w:r w:rsidR="007D19FE" w:rsidRPr="005A1C63">
              <w:t xml:space="preserve"> bolo hlásené závažné poškodenie pečene, vrátane prípadov s akútnym zlyhaním pečene, niekedy fatálnym, najmä u pacientov so základnými poruchami pečene (pozri časť 4.4)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kože a podkožného tkaniva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svrbenie</w:t>
            </w:r>
          </w:p>
          <w:p w:rsidR="00000000" w:rsidRDefault="007D19FE">
            <w:pPr>
              <w:pStyle w:val="Normlntabulkandbdoleva"/>
            </w:pPr>
            <w:r w:rsidRPr="001561C9">
              <w:t>vyrážka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žihľavka</w:t>
            </w:r>
          </w:p>
          <w:p w:rsidR="00000000" w:rsidRDefault="007D19FE">
            <w:pPr>
              <w:pStyle w:val="Normlntabulkandbdoleva"/>
            </w:pPr>
            <w:r w:rsidRPr="001561C9">
              <w:t>návaly horúčavy</w:t>
            </w:r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hyperhidróza</w:t>
            </w:r>
            <w:proofErr w:type="spellEnd"/>
          </w:p>
          <w:p w:rsidR="00000000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1561C9">
              <w:t>pustulózna</w:t>
            </w:r>
            <w:proofErr w:type="spellEnd"/>
            <w:r w:rsidRPr="001561C9">
              <w:t xml:space="preserve"> vyrážka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1561C9">
              <w:t>multifo</w:t>
            </w:r>
            <w:r w:rsidR="00615F2B" w:rsidRPr="001561C9">
              <w:t>rmný</w:t>
            </w:r>
            <w:proofErr w:type="spellEnd"/>
            <w:r w:rsidR="00615F2B" w:rsidRPr="001561C9">
              <w:t xml:space="preserve"> </w:t>
            </w:r>
            <w:proofErr w:type="spellStart"/>
            <w:r w:rsidR="00615F2B" w:rsidRPr="001561C9">
              <w:t>erytém</w:t>
            </w:r>
            <w:proofErr w:type="spellEnd"/>
          </w:p>
          <w:p w:rsidR="00000000" w:rsidRDefault="007D19FE">
            <w:pPr>
              <w:pStyle w:val="Normlntabulkandbdoleva"/>
              <w:rPr>
                <w:u w:val="single"/>
              </w:rPr>
            </w:pPr>
            <w:r w:rsidRPr="001561C9">
              <w:t xml:space="preserve">toxická </w:t>
            </w:r>
            <w:proofErr w:type="spellStart"/>
            <w:r w:rsidRPr="001561C9">
              <w:t>epidermálna</w:t>
            </w:r>
            <w:proofErr w:type="spellEnd"/>
            <w:r w:rsidRPr="001561C9">
              <w:t xml:space="preserve"> </w:t>
            </w:r>
            <w:proofErr w:type="spellStart"/>
            <w:r w:rsidRPr="001561C9">
              <w:t>nekrolýza</w:t>
            </w:r>
            <w:proofErr w:type="spellEnd"/>
          </w:p>
          <w:p w:rsidR="00000000" w:rsidRDefault="00615F2B">
            <w:pPr>
              <w:pStyle w:val="Normlntabulkandbdoleva"/>
              <w:rPr>
                <w:u w:val="single"/>
              </w:rPr>
            </w:pPr>
            <w:proofErr w:type="spellStart"/>
            <w:r w:rsidRPr="001561C9">
              <w:t>fotosen</w:t>
            </w:r>
            <w:r w:rsidR="00FC49CE">
              <w:t>z</w:t>
            </w:r>
            <w:r w:rsidRPr="001561C9">
              <w:t>ití</w:t>
            </w:r>
            <w:r w:rsidR="007D19FE" w:rsidRPr="001561C9">
              <w:t>vne</w:t>
            </w:r>
            <w:proofErr w:type="spellEnd"/>
            <w:r w:rsidR="007D19FE" w:rsidRPr="001561C9">
              <w:t xml:space="preserve"> reakcie*</w:t>
            </w:r>
          </w:p>
          <w:p w:rsidR="00000000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1561C9">
              <w:t>poliekový</w:t>
            </w:r>
            <w:proofErr w:type="spellEnd"/>
            <w:r w:rsidRPr="001561C9">
              <w:t xml:space="preserve"> kožný výsev</w:t>
            </w:r>
          </w:p>
          <w:p w:rsidR="00000000" w:rsidRDefault="007D19FE">
            <w:pPr>
              <w:pStyle w:val="Normlntabulkandbdoleva"/>
              <w:rPr>
                <w:u w:val="single"/>
              </w:rPr>
            </w:pPr>
            <w:r w:rsidRPr="001561C9">
              <w:t xml:space="preserve">cievna </w:t>
            </w:r>
            <w:proofErr w:type="spellStart"/>
            <w:r w:rsidRPr="001561C9">
              <w:t>purpura</w:t>
            </w:r>
            <w:proofErr w:type="spellEnd"/>
          </w:p>
          <w:p w:rsidR="00000000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1561C9">
              <w:t>vaskulitída</w:t>
            </w:r>
            <w:proofErr w:type="spellEnd"/>
            <w:r w:rsidRPr="001561C9">
              <w:t xml:space="preserve"> (ktorá môže viesť vo výnimočných prípadoch až k </w:t>
            </w:r>
            <w:proofErr w:type="spellStart"/>
            <w:r w:rsidRPr="001561C9">
              <w:t>nekróze</w:t>
            </w:r>
            <w:proofErr w:type="spellEnd"/>
            <w:r w:rsidRPr="001561C9">
              <w:t xml:space="preserve"> kože)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5A1C63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5A1C63">
              <w:t>Stevens</w:t>
            </w:r>
            <w:r w:rsidR="00615F2B" w:rsidRPr="005A1C63">
              <w:t>ov</w:t>
            </w:r>
            <w:r w:rsidRPr="005A1C63">
              <w:t>-Johnsonov</w:t>
            </w:r>
            <w:proofErr w:type="spellEnd"/>
            <w:r w:rsidRPr="005A1C63">
              <w:t xml:space="preserve"> syndróm</w:t>
            </w:r>
          </w:p>
          <w:p w:rsidR="00000000" w:rsidRPr="005A1C63" w:rsidRDefault="007D19FE">
            <w:pPr>
              <w:pStyle w:val="Normlntabulkandbdoleva"/>
              <w:rPr>
                <w:u w:val="single"/>
              </w:rPr>
            </w:pPr>
            <w:r w:rsidRPr="005A1C63">
              <w:t xml:space="preserve">akútna generalizovaná </w:t>
            </w:r>
            <w:proofErr w:type="spellStart"/>
            <w:r w:rsidRPr="005A1C63">
              <w:t>exantematózna</w:t>
            </w:r>
            <w:proofErr w:type="spellEnd"/>
            <w:r w:rsidRPr="005A1C63">
              <w:t xml:space="preserve"> </w:t>
            </w:r>
            <w:proofErr w:type="spellStart"/>
            <w:r w:rsidRPr="005A1C63">
              <w:t>pustulóza</w:t>
            </w:r>
            <w:proofErr w:type="spellEnd"/>
          </w:p>
          <w:p w:rsidR="00000000" w:rsidRPr="005A1C63" w:rsidRDefault="007D19FE">
            <w:pPr>
              <w:pStyle w:val="Normlntabulkandbdoleva"/>
              <w:rPr>
                <w:u w:val="single"/>
              </w:rPr>
            </w:pPr>
            <w:r w:rsidRPr="005A1C63">
              <w:t>lieková vyrážka</w:t>
            </w:r>
          </w:p>
          <w:p w:rsidR="00000000" w:rsidRPr="005A1C63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5A1C63">
              <w:t>stomatitída</w:t>
            </w:r>
            <w:proofErr w:type="spellEnd"/>
          </w:p>
          <w:p w:rsidR="00000000" w:rsidRPr="005A1C63" w:rsidRDefault="007D19FE">
            <w:pPr>
              <w:pStyle w:val="Normlntabulkandbdoleva"/>
              <w:rPr>
                <w:u w:val="single"/>
              </w:rPr>
            </w:pPr>
            <w:proofErr w:type="spellStart"/>
            <w:r w:rsidRPr="005A1C63">
              <w:t>exfoliatívna</w:t>
            </w:r>
            <w:proofErr w:type="spellEnd"/>
            <w:r w:rsidRPr="005A1C63">
              <w:t xml:space="preserve"> dermatitída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kostrovej a svalovej sústavy a spojivového tkaniva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zápal šliach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bolesť kĺbov, svalov, ruptúra šliach (napr. achillovej šľachy), ktorá sa môže objaviť v priebehu 48 hodín po začatí liečby a môže byť bilaterálna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proofErr w:type="spellStart"/>
            <w:r w:rsidRPr="001561C9">
              <w:t>rabdomyolýza</w:t>
            </w:r>
            <w:proofErr w:type="spellEnd"/>
            <w:r w:rsidRPr="001561C9">
              <w:t xml:space="preserve"> a/alebo </w:t>
            </w:r>
            <w:proofErr w:type="spellStart"/>
            <w:r w:rsidRPr="001561C9">
              <w:t>myopatia</w:t>
            </w:r>
            <w:proofErr w:type="spellEnd"/>
            <w:r w:rsidRPr="001561C9">
              <w:t>, svalová slabosť</w:t>
            </w:r>
          </w:p>
          <w:p w:rsidR="00000000" w:rsidRDefault="007D19FE">
            <w:pPr>
              <w:pStyle w:val="Normlntabulkandbdoleva"/>
            </w:pPr>
            <w:r w:rsidRPr="001561C9">
              <w:t>natrhnutie svalu, svalová ruptúra</w:t>
            </w:r>
          </w:p>
          <w:p w:rsidR="00000000" w:rsidRDefault="007D19FE">
            <w:pPr>
              <w:pStyle w:val="Normlntabulkandbdoleva"/>
            </w:pPr>
            <w:proofErr w:type="spellStart"/>
            <w:r w:rsidRPr="001561C9">
              <w:t>ligamentózna</w:t>
            </w:r>
            <w:proofErr w:type="spellEnd"/>
            <w:r w:rsidRPr="001561C9">
              <w:t xml:space="preserve"> ruptúra</w:t>
            </w:r>
          </w:p>
          <w:p w:rsidR="00000000" w:rsidRDefault="007D19FE">
            <w:pPr>
              <w:pStyle w:val="Normlntabulkandbdoleva"/>
            </w:pPr>
            <w:r w:rsidRPr="001561C9">
              <w:t>artritída</w:t>
            </w:r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Poruchy obličiek a močových ciest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zvýšená </w:t>
            </w:r>
            <w:r w:rsidR="00615F2B" w:rsidRPr="001561C9">
              <w:t xml:space="preserve">sérová </w:t>
            </w:r>
            <w:r w:rsidRPr="001561C9">
              <w:t xml:space="preserve">hladina </w:t>
            </w:r>
            <w:proofErr w:type="spellStart"/>
            <w:r w:rsidRPr="001561C9">
              <w:t>kreatinínu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akútne zlyhanie obličiek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akútna </w:t>
            </w:r>
            <w:proofErr w:type="spellStart"/>
            <w:r w:rsidRPr="001561C9">
              <w:t>intersticiálna</w:t>
            </w:r>
            <w:proofErr w:type="spellEnd"/>
            <w:r w:rsidRPr="001561C9">
              <w:t xml:space="preserve"> </w:t>
            </w:r>
            <w:proofErr w:type="spellStart"/>
            <w:r w:rsidRPr="001561C9">
              <w:t>nefritída</w:t>
            </w:r>
            <w:proofErr w:type="spellEnd"/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lastRenderedPageBreak/>
              <w:t>Vrodené, familiárne a genetické poruchy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záchvaty </w:t>
            </w:r>
            <w:proofErr w:type="spellStart"/>
            <w:r w:rsidRPr="001561C9">
              <w:t>porfýrie</w:t>
            </w:r>
            <w:proofErr w:type="spellEnd"/>
            <w:r w:rsidRPr="001561C9">
              <w:t xml:space="preserve"> u pacientov s </w:t>
            </w:r>
            <w:proofErr w:type="spellStart"/>
            <w:r w:rsidRPr="001561C9">
              <w:t>porfýriou</w:t>
            </w:r>
            <w:proofErr w:type="spellEnd"/>
          </w:p>
        </w:tc>
      </w:tr>
      <w:tr w:rsidR="007D19FE" w:rsidRPr="001561C9" w:rsidTr="00031455">
        <w:trPr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Celkové poruchy a reakcie v mieste podania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 xml:space="preserve">vzťahuje sa iba na </w:t>
            </w:r>
            <w:proofErr w:type="spellStart"/>
            <w:r w:rsidRPr="001561C9">
              <w:t>infúzny</w:t>
            </w:r>
            <w:proofErr w:type="spellEnd"/>
            <w:r w:rsidRPr="001561C9">
              <w:t xml:space="preserve"> roztok:</w:t>
            </w:r>
          </w:p>
          <w:p w:rsidR="00000000" w:rsidRDefault="007D19FE">
            <w:pPr>
              <w:pStyle w:val="Normlntabulkandbdoleva"/>
            </w:pPr>
            <w:r w:rsidRPr="001561C9">
              <w:t>reakcie v mieste vpichu (bolesť, začervenanie)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C07E4B">
            <w:pPr>
              <w:pStyle w:val="Normlntabulkandbdoleva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7D19FE">
            <w:pPr>
              <w:pStyle w:val="Normlntabulkandbdoleva"/>
            </w:pPr>
            <w:r w:rsidRPr="001561C9">
              <w:t>asténia</w:t>
            </w:r>
          </w:p>
          <w:p w:rsidR="00000000" w:rsidRDefault="007D19FE">
            <w:pPr>
              <w:pStyle w:val="Normlntabulkandbdoleva"/>
            </w:pPr>
            <w:r w:rsidRPr="001561C9">
              <w:t>horúčka</w:t>
            </w:r>
          </w:p>
          <w:p w:rsidR="00000000" w:rsidRDefault="007D19FE">
            <w:pPr>
              <w:pStyle w:val="Normlntabulkandbdoleva"/>
            </w:pPr>
            <w:r w:rsidRPr="001561C9">
              <w:t>bolesť (vrátane bolesti chrbta, hrudníka a končatín)</w:t>
            </w:r>
          </w:p>
          <w:p w:rsidR="00000000" w:rsidRDefault="00C07E4B">
            <w:pPr>
              <w:pStyle w:val="Normlntabulkandbdoleva"/>
            </w:pPr>
          </w:p>
        </w:tc>
      </w:tr>
    </w:tbl>
    <w:p w:rsidR="00000000" w:rsidRDefault="00C07E4B">
      <w:pPr>
        <w:pStyle w:val="Normlndobloku"/>
      </w:pPr>
    </w:p>
    <w:p w:rsidR="00000000" w:rsidRDefault="004363CB">
      <w:pPr>
        <w:pStyle w:val="Normlndobloku"/>
      </w:pPr>
      <w:r w:rsidRPr="00051B3B">
        <w:t xml:space="preserve">* </w:t>
      </w:r>
      <w:proofErr w:type="spellStart"/>
      <w:r w:rsidRPr="00051B3B">
        <w:t>postmarketingové</w:t>
      </w:r>
      <w:proofErr w:type="spellEnd"/>
      <w:r w:rsidRPr="00051B3B">
        <w:t xml:space="preserve"> sledovanie</w:t>
      </w:r>
    </w:p>
    <w:p w:rsidR="00000000" w:rsidRDefault="00C347EF">
      <w:pPr>
        <w:pStyle w:val="Styl2-2"/>
      </w:pPr>
      <w:r w:rsidRPr="00C347EF">
        <w:rPr>
          <w:lang w:val="sk-SK"/>
        </w:rPr>
        <w:t>Hlásenie podozrení na nežiaduce reakcie</w:t>
      </w:r>
    </w:p>
    <w:p w:rsidR="004363CB" w:rsidRPr="001561C9" w:rsidRDefault="004363CB" w:rsidP="0007627F">
      <w:pPr>
        <w:pStyle w:val="Normlndobloku"/>
      </w:pPr>
      <w:r w:rsidRPr="00EE2FCE">
        <w:t>Hlásenie podozrení na nežiaduce reakcie po registrácii lieku je dôležité. Umožňuje priebežné monitorovanie pomeru prínosu a rizika lieku. Od zdravotníckych pracovníkov sa vyžaduje, aby hlásili akékoľve</w:t>
      </w:r>
      <w:r w:rsidRPr="001561C9">
        <w:t xml:space="preserve">k podozrenia na nežiaduce reakcie </w:t>
      </w:r>
      <w:r w:rsidR="008668C1" w:rsidRPr="001561C9">
        <w:t xml:space="preserve">na </w:t>
      </w:r>
      <w:r w:rsidRPr="001561C9">
        <w:rPr>
          <w:highlight w:val="lightGray"/>
        </w:rPr>
        <w:t>národné systému hlásenia uvedené v </w:t>
      </w:r>
      <w:hyperlink r:id="rId8" w:history="1">
        <w:r w:rsidRPr="001561C9">
          <w:rPr>
            <w:highlight w:val="lightGray"/>
          </w:rPr>
          <w:t>Prílohe V</w:t>
        </w:r>
      </w:hyperlink>
      <w:r w:rsidRPr="001561C9">
        <w:t>.</w:t>
      </w:r>
    </w:p>
    <w:p w:rsidR="004363CB" w:rsidRPr="001561C9" w:rsidRDefault="00EF211A" w:rsidP="0007627F">
      <w:pPr>
        <w:pStyle w:val="Styl2"/>
      </w:pPr>
      <w:r w:rsidRPr="001561C9">
        <w:t>4.9</w:t>
      </w:r>
      <w:r w:rsidR="00337C5D" w:rsidRPr="001561C9">
        <w:tab/>
      </w:r>
      <w:r w:rsidR="004363CB" w:rsidRPr="001561C9">
        <w:t>Predávkovanie</w:t>
      </w:r>
    </w:p>
    <w:p w:rsidR="004363CB" w:rsidRPr="001561C9" w:rsidRDefault="004363CB" w:rsidP="003F12F2">
      <w:pPr>
        <w:pStyle w:val="Styl3"/>
      </w:pPr>
      <w:r w:rsidRPr="001561C9">
        <w:t>Prejavy</w:t>
      </w:r>
    </w:p>
    <w:p w:rsidR="004363CB" w:rsidRDefault="004363CB" w:rsidP="0007627F">
      <w:pPr>
        <w:pStyle w:val="Normlndobloku"/>
      </w:pPr>
      <w:r w:rsidRPr="001561C9">
        <w:t xml:space="preserve">Najdôležitejšími príznakmi, ktoré možno po akútnom predávkovaní očakávať, sú CNS príznaky ako zmätenosť, závrat, porucha vedomia, </w:t>
      </w:r>
      <w:r w:rsidR="00485F96" w:rsidRPr="001561C9">
        <w:t xml:space="preserve">záchvaty, </w:t>
      </w:r>
      <w:r w:rsidR="00FC49CE">
        <w:t xml:space="preserve">predĺženie </w:t>
      </w:r>
      <w:r w:rsidR="00C347EF" w:rsidRPr="00C347EF">
        <w:t xml:space="preserve"> QT interval</w:t>
      </w:r>
      <w:r w:rsidR="00FC49CE">
        <w:t>u</w:t>
      </w:r>
      <w:r w:rsidRPr="00EE2FCE">
        <w:t xml:space="preserve"> a </w:t>
      </w:r>
      <w:proofErr w:type="spellStart"/>
      <w:r w:rsidRPr="00EE2FCE">
        <w:t>gastrointestinálne</w:t>
      </w:r>
      <w:proofErr w:type="spellEnd"/>
      <w:r w:rsidRPr="00EE2FCE">
        <w:t xml:space="preserve"> reakcie ako </w:t>
      </w:r>
      <w:proofErr w:type="spellStart"/>
      <w:r w:rsidRPr="00EE2FCE">
        <w:t>nauzea</w:t>
      </w:r>
      <w:proofErr w:type="spellEnd"/>
      <w:r w:rsidRPr="00EE2FCE">
        <w:t xml:space="preserve"> alebo slizničné erózie.</w:t>
      </w:r>
    </w:p>
    <w:p w:rsidR="00EE2FCE" w:rsidRPr="005A1C63" w:rsidRDefault="00C347EF" w:rsidP="0007627F">
      <w:pPr>
        <w:pStyle w:val="Normlndobloku"/>
      </w:pPr>
      <w:r w:rsidRPr="005A1C63">
        <w:t>Po uvedení lieku na trh boli pozorované účinky na CNS vrátane stavu zmätenosti, kŕčov, halucinácií a trasu.</w:t>
      </w:r>
    </w:p>
    <w:p w:rsidR="004363CB" w:rsidRPr="005A1C63" w:rsidRDefault="004363CB" w:rsidP="003F12F2">
      <w:pPr>
        <w:pStyle w:val="Styl3"/>
      </w:pPr>
      <w:r w:rsidRPr="005A1C63">
        <w:t>Liečba</w:t>
      </w:r>
    </w:p>
    <w:p w:rsidR="004363CB" w:rsidRPr="005A1C63" w:rsidRDefault="00BA5586" w:rsidP="0007627F">
      <w:pPr>
        <w:pStyle w:val="Normlndobloku"/>
      </w:pPr>
      <w:r w:rsidRPr="005A1C63">
        <w:t>Pri predávkovaní treba začať symptomatickú liečbu a zaviesť sledovanie EKG, nakoľko môže dôjsť k predĺženiu QT intervalu</w:t>
      </w:r>
      <w:r w:rsidR="00EE2FCE" w:rsidRPr="005A1C63">
        <w:t>.</w:t>
      </w:r>
      <w:r w:rsidRPr="005A1C63">
        <w:t xml:space="preserve"> </w:t>
      </w:r>
      <w:proofErr w:type="spellStart"/>
      <w:r w:rsidR="00EE2FCE" w:rsidRPr="005A1C63">
        <w:t>A</w:t>
      </w:r>
      <w:r w:rsidR="004363CB" w:rsidRPr="005A1C63">
        <w:t>ntacidá</w:t>
      </w:r>
      <w:proofErr w:type="spellEnd"/>
      <w:r w:rsidR="004363CB" w:rsidRPr="005A1C63">
        <w:t xml:space="preserve"> sú vhodné na ochranu žalúdočnej sliznice.</w:t>
      </w:r>
    </w:p>
    <w:p w:rsidR="00EE2FCE" w:rsidRPr="003F6B1B" w:rsidRDefault="00D42E67" w:rsidP="00EE2FCE">
      <w:pPr>
        <w:pStyle w:val="Normlndobloku"/>
      </w:pPr>
      <w:r w:rsidRPr="005A1C63">
        <w:t>Časť</w:t>
      </w:r>
      <w:r w:rsidR="00C347EF" w:rsidRPr="005A1C63">
        <w:t xml:space="preserve"> </w:t>
      </w:r>
      <w:proofErr w:type="spellStart"/>
      <w:r w:rsidR="00C347EF" w:rsidRPr="005A1C63">
        <w:t>ofloxacínu</w:t>
      </w:r>
      <w:proofErr w:type="spellEnd"/>
      <w:r w:rsidR="00C347EF" w:rsidRPr="005A1C63">
        <w:t xml:space="preserve"> sa môže odstrániť z tela hemodialýzou. </w:t>
      </w:r>
      <w:proofErr w:type="spellStart"/>
      <w:r w:rsidR="00C347EF" w:rsidRPr="005A1C63">
        <w:t>Peritoneálna</w:t>
      </w:r>
      <w:proofErr w:type="spellEnd"/>
      <w:r w:rsidR="00C347EF" w:rsidRPr="005A1C63">
        <w:t xml:space="preserve"> dialýza a CAPD (</w:t>
      </w:r>
      <w:proofErr w:type="spellStart"/>
      <w:r w:rsidR="00C347EF" w:rsidRPr="005A1C63">
        <w:t>Continuous</w:t>
      </w:r>
      <w:proofErr w:type="spellEnd"/>
      <w:r w:rsidR="00C347EF" w:rsidRPr="005A1C63">
        <w:t xml:space="preserve"> </w:t>
      </w:r>
      <w:proofErr w:type="spellStart"/>
      <w:r w:rsidR="00C347EF" w:rsidRPr="005A1C63">
        <w:t>Ambulatory</w:t>
      </w:r>
      <w:proofErr w:type="spellEnd"/>
      <w:r w:rsidR="00C347EF" w:rsidRPr="005A1C63">
        <w:t xml:space="preserve"> </w:t>
      </w:r>
      <w:proofErr w:type="spellStart"/>
      <w:r w:rsidR="00C347EF" w:rsidRPr="005A1C63">
        <w:t>Peritoneal</w:t>
      </w:r>
      <w:proofErr w:type="spellEnd"/>
      <w:r w:rsidR="00C347EF" w:rsidRPr="005A1C63">
        <w:t xml:space="preserve"> </w:t>
      </w:r>
      <w:proofErr w:type="spellStart"/>
      <w:r w:rsidR="00C347EF" w:rsidRPr="005A1C63">
        <w:t>Dialysis</w:t>
      </w:r>
      <w:proofErr w:type="spellEnd"/>
      <w:r w:rsidR="00C347EF" w:rsidRPr="005A1C63">
        <w:t xml:space="preserve">) nie sú na odstránenie </w:t>
      </w:r>
      <w:proofErr w:type="spellStart"/>
      <w:r w:rsidR="00C347EF" w:rsidRPr="005A1C63">
        <w:t>ofloxacínu</w:t>
      </w:r>
      <w:proofErr w:type="spellEnd"/>
      <w:r w:rsidR="00C347EF" w:rsidRPr="005A1C63">
        <w:t xml:space="preserve"> z tela účinné. Neexistuje žiadne špecifické </w:t>
      </w:r>
      <w:proofErr w:type="spellStart"/>
      <w:r w:rsidR="00C347EF" w:rsidRPr="005A1C63">
        <w:t>antidotum</w:t>
      </w:r>
      <w:proofErr w:type="spellEnd"/>
      <w:r w:rsidR="00C347EF" w:rsidRPr="005A1C63">
        <w:t>.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5.</w:t>
      </w:r>
      <w:r w:rsidRPr="00C347EF">
        <w:rPr>
          <w:lang w:val="sk-SK"/>
        </w:rPr>
        <w:tab/>
        <w:t>FARMAKOLOGICKÉ VLASTNOSTI</w:t>
      </w:r>
    </w:p>
    <w:p w:rsidR="004363CB" w:rsidRPr="001561C9" w:rsidRDefault="00EF211A" w:rsidP="0007627F">
      <w:pPr>
        <w:pStyle w:val="Styl2"/>
      </w:pPr>
      <w:r w:rsidRPr="00EE2FCE">
        <w:t>5.1</w:t>
      </w:r>
      <w:r w:rsidR="00BD01C7" w:rsidRPr="001561C9">
        <w:tab/>
      </w:r>
      <w:proofErr w:type="spellStart"/>
      <w:r w:rsidR="004363CB" w:rsidRPr="001561C9">
        <w:t>Farmakodynamické</w:t>
      </w:r>
      <w:proofErr w:type="spellEnd"/>
      <w:r w:rsidR="004363CB" w:rsidRPr="001561C9">
        <w:t xml:space="preserve"> vlastnosti</w:t>
      </w:r>
    </w:p>
    <w:p w:rsidR="004363CB" w:rsidRPr="00215F5D" w:rsidRDefault="004363CB" w:rsidP="0007627F">
      <w:pPr>
        <w:pStyle w:val="Normlndobloku"/>
      </w:pPr>
      <w:proofErr w:type="spellStart"/>
      <w:r w:rsidRPr="001561C9">
        <w:t>Farmakoterapeutická</w:t>
      </w:r>
      <w:proofErr w:type="spellEnd"/>
      <w:r w:rsidRPr="001561C9">
        <w:t xml:space="preserve"> skupina: </w:t>
      </w:r>
      <w:proofErr w:type="spellStart"/>
      <w:r w:rsidRPr="001561C9">
        <w:t>chemoterapeutikum</w:t>
      </w:r>
      <w:proofErr w:type="spellEnd"/>
      <w:r w:rsidRPr="001561C9">
        <w:t xml:space="preserve">, </w:t>
      </w:r>
      <w:proofErr w:type="spellStart"/>
      <w:r w:rsidR="00376D62">
        <w:t>fluó</w:t>
      </w:r>
      <w:r w:rsidRPr="00215F5D">
        <w:t>rochinolón</w:t>
      </w:r>
      <w:proofErr w:type="spellEnd"/>
      <w:r w:rsidRPr="00215F5D">
        <w:t>.</w:t>
      </w:r>
    </w:p>
    <w:p w:rsidR="004363CB" w:rsidRPr="001561C9" w:rsidRDefault="004363CB" w:rsidP="0007627F">
      <w:pPr>
        <w:pStyle w:val="Normlndobloku"/>
      </w:pPr>
      <w:r w:rsidRPr="001561C9">
        <w:t>ATC kód: J01MA01</w:t>
      </w:r>
    </w:p>
    <w:p w:rsidR="004363CB" w:rsidRPr="001561C9" w:rsidRDefault="004363CB" w:rsidP="003F12F2">
      <w:pPr>
        <w:pStyle w:val="Styl3"/>
      </w:pPr>
      <w:r w:rsidRPr="001561C9">
        <w:t>Mechanizmus účinku</w:t>
      </w:r>
    </w:p>
    <w:p w:rsidR="00474313" w:rsidRPr="001561C9" w:rsidRDefault="00474313" w:rsidP="0007627F">
      <w:pPr>
        <w:pStyle w:val="Normlndobloku"/>
      </w:pPr>
      <w:proofErr w:type="spellStart"/>
      <w:r w:rsidRPr="001561C9">
        <w:t>Ofloxac</w:t>
      </w:r>
      <w:r w:rsidR="00FC49CE">
        <w:t>í</w:t>
      </w:r>
      <w:r w:rsidRPr="001561C9">
        <w:t>n</w:t>
      </w:r>
      <w:proofErr w:type="spellEnd"/>
      <w:r w:rsidRPr="001561C9">
        <w:t xml:space="preserve"> je baktericídny a pôsobí na </w:t>
      </w:r>
      <w:proofErr w:type="spellStart"/>
      <w:r w:rsidRPr="001561C9">
        <w:t>A-subjednotku</w:t>
      </w:r>
      <w:proofErr w:type="spellEnd"/>
      <w:r w:rsidRPr="001561C9">
        <w:t xml:space="preserve"> DNA </w:t>
      </w:r>
      <w:proofErr w:type="spellStart"/>
      <w:r w:rsidRPr="001561C9">
        <w:t>gyrázy</w:t>
      </w:r>
      <w:proofErr w:type="spellEnd"/>
      <w:r w:rsidRPr="001561C9">
        <w:t xml:space="preserve"> (</w:t>
      </w:r>
      <w:proofErr w:type="spellStart"/>
      <w:r w:rsidRPr="001561C9">
        <w:t>topoizomerázu</w:t>
      </w:r>
      <w:proofErr w:type="spellEnd"/>
      <w:r w:rsidRPr="001561C9">
        <w:t>), ktorá je dôležitou zložkou pri reprodukcii bakteriálnej DNA.</w:t>
      </w:r>
    </w:p>
    <w:p w:rsidR="00000000" w:rsidRDefault="004363CB">
      <w:pPr>
        <w:pStyle w:val="Styl3"/>
      </w:pPr>
      <w:r w:rsidRPr="00FC49CE">
        <w:t>Klinická účinnosť a bezpečnosť</w:t>
      </w:r>
    </w:p>
    <w:p w:rsidR="00917854" w:rsidRPr="00215F5D" w:rsidRDefault="00917854" w:rsidP="0007627F">
      <w:pPr>
        <w:pStyle w:val="Normlndobloku"/>
      </w:pPr>
      <w:r w:rsidRPr="001561C9">
        <w:lastRenderedPageBreak/>
        <w:t xml:space="preserve">Za senzitívne môžu byť považované nasledujúce patogénne mikroorganizmy: </w:t>
      </w:r>
      <w:proofErr w:type="spellStart"/>
      <w:r w:rsidRPr="001561C9">
        <w:t>Chlamýdie</w:t>
      </w:r>
      <w:proofErr w:type="spellEnd"/>
      <w:r w:rsidRPr="001561C9">
        <w:t xml:space="preserve">, </w:t>
      </w:r>
      <w:proofErr w:type="spellStart"/>
      <w:r w:rsidR="00C347EF" w:rsidRPr="00C347EF">
        <w:rPr>
          <w:rStyle w:val="Bacil"/>
        </w:rPr>
        <w:t>Citrobakter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Enterobacter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Escherichia</w:t>
      </w:r>
      <w:proofErr w:type="spellEnd"/>
      <w:r w:rsidRPr="00215F5D">
        <w:t xml:space="preserve"> </w:t>
      </w:r>
      <w:proofErr w:type="spellStart"/>
      <w:r w:rsidRPr="00215F5D">
        <w:t>coli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Gardnerella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Haemophilus</w:t>
      </w:r>
      <w:proofErr w:type="spellEnd"/>
      <w:r w:rsidRPr="00215F5D">
        <w:t xml:space="preserve"> </w:t>
      </w:r>
      <w:proofErr w:type="spellStart"/>
      <w:r w:rsidR="00C347EF" w:rsidRPr="00C347EF">
        <w:rPr>
          <w:rStyle w:val="Bacil"/>
        </w:rPr>
        <w:t>influenzae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Hafnia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Klebsiella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Legionella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Neisseria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 xml:space="preserve">., </w:t>
      </w:r>
      <w:proofErr w:type="spellStart"/>
      <w:r w:rsidR="00C347EF" w:rsidRPr="00C347EF">
        <w:rPr>
          <w:rStyle w:val="Bacil"/>
        </w:rPr>
        <w:t>Proteus</w:t>
      </w:r>
      <w:proofErr w:type="spellEnd"/>
      <w:r w:rsidRPr="00215F5D">
        <w:t xml:space="preserve"> (</w:t>
      </w:r>
      <w:proofErr w:type="spellStart"/>
      <w:r w:rsidRPr="00215F5D">
        <w:t>indol</w:t>
      </w:r>
      <w:proofErr w:type="spellEnd"/>
      <w:r w:rsidRPr="00215F5D">
        <w:t xml:space="preserve"> </w:t>
      </w:r>
      <w:r w:rsidRPr="00A31390">
        <w:t>pozitívne a </w:t>
      </w:r>
      <w:proofErr w:type="spellStart"/>
      <w:r w:rsidRPr="00A31390">
        <w:t>indol</w:t>
      </w:r>
      <w:proofErr w:type="spellEnd"/>
      <w:r w:rsidRPr="00A31390">
        <w:t xml:space="preserve"> negatívne kmene), </w:t>
      </w:r>
      <w:proofErr w:type="spellStart"/>
      <w:r w:rsidR="00C347EF" w:rsidRPr="00C347EF">
        <w:rPr>
          <w:rStyle w:val="Bacil"/>
        </w:rPr>
        <w:t>Staphylococcus</w:t>
      </w:r>
      <w:proofErr w:type="spellEnd"/>
      <w:r w:rsidRPr="00215F5D">
        <w:t xml:space="preserve"> </w:t>
      </w:r>
      <w:proofErr w:type="spellStart"/>
      <w:r w:rsidR="00C347EF" w:rsidRPr="00C347EF">
        <w:rPr>
          <w:rStyle w:val="Bacil"/>
        </w:rPr>
        <w:t>aureus</w:t>
      </w:r>
      <w:proofErr w:type="spellEnd"/>
      <w:r w:rsidRPr="00215F5D">
        <w:t xml:space="preserve"> (zahŕňajúc stafylokoky rezistentné na </w:t>
      </w:r>
      <w:proofErr w:type="spellStart"/>
      <w:r w:rsidRPr="00215F5D">
        <w:t>meticilín</w:t>
      </w:r>
      <w:proofErr w:type="spellEnd"/>
      <w:r w:rsidRPr="00215F5D">
        <w:t>)</w:t>
      </w:r>
      <w:r w:rsidRPr="00A31390">
        <w:t xml:space="preserve"> (pozri časť 4.4) a </w:t>
      </w:r>
      <w:proofErr w:type="spellStart"/>
      <w:r w:rsidR="00C347EF" w:rsidRPr="00C347EF">
        <w:rPr>
          <w:rStyle w:val="Bacil"/>
        </w:rPr>
        <w:t>Staphylococcus</w:t>
      </w:r>
      <w:proofErr w:type="spellEnd"/>
      <w:r w:rsidRPr="00215F5D">
        <w:t xml:space="preserve"> </w:t>
      </w:r>
      <w:proofErr w:type="spellStart"/>
      <w:r w:rsidR="00C347EF" w:rsidRPr="00C347EF">
        <w:rPr>
          <w:rStyle w:val="Bacil"/>
        </w:rPr>
        <w:t>epidermidis</w:t>
      </w:r>
      <w:proofErr w:type="spellEnd"/>
      <w:r w:rsidRPr="00215F5D">
        <w:t>.</w:t>
      </w:r>
    </w:p>
    <w:p w:rsidR="00917854" w:rsidRPr="00215F5D" w:rsidRDefault="00917854" w:rsidP="0007627F">
      <w:pPr>
        <w:pStyle w:val="Normlndobloku"/>
      </w:pPr>
      <w:r w:rsidRPr="00215F5D">
        <w:t xml:space="preserve">Stredne citlivú senzitivitu na </w:t>
      </w:r>
      <w:proofErr w:type="spellStart"/>
      <w:r w:rsidRPr="00215F5D">
        <w:t>ofloxacín</w:t>
      </w:r>
      <w:proofErr w:type="spellEnd"/>
      <w:r w:rsidRPr="00215F5D">
        <w:t xml:space="preserve"> vykazujú </w:t>
      </w:r>
      <w:proofErr w:type="spellStart"/>
      <w:r w:rsidR="00C347EF" w:rsidRPr="00C347EF">
        <w:rPr>
          <w:rStyle w:val="Bacil"/>
        </w:rPr>
        <w:t>Mycoplasma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 xml:space="preserve">., </w:t>
      </w:r>
      <w:proofErr w:type="spellStart"/>
      <w:r w:rsidR="00C347EF" w:rsidRPr="00C347EF">
        <w:rPr>
          <w:rStyle w:val="Bacil"/>
        </w:rPr>
        <w:t>Pseudomonas</w:t>
      </w:r>
      <w:proofErr w:type="spellEnd"/>
      <w:r w:rsidRPr="00215F5D">
        <w:t xml:space="preserve"> </w:t>
      </w:r>
      <w:proofErr w:type="spellStart"/>
      <w:r w:rsidR="00C347EF" w:rsidRPr="00C347EF">
        <w:rPr>
          <w:rStyle w:val="Bacil"/>
        </w:rPr>
        <w:t>aeruginosa</w:t>
      </w:r>
      <w:proofErr w:type="spellEnd"/>
      <w:r w:rsidRPr="00215F5D">
        <w:t xml:space="preserve">, </w:t>
      </w:r>
      <w:proofErr w:type="spellStart"/>
      <w:r w:rsidR="00C347EF" w:rsidRPr="00C347EF">
        <w:rPr>
          <w:rStyle w:val="Bacil"/>
        </w:rPr>
        <w:t>Serratia</w:t>
      </w:r>
      <w:proofErr w:type="spellEnd"/>
      <w:r w:rsidRPr="00215F5D">
        <w:t xml:space="preserve"> </w:t>
      </w:r>
      <w:proofErr w:type="spellStart"/>
      <w:r w:rsidR="00C347EF" w:rsidRPr="00C347EF">
        <w:rPr>
          <w:rStyle w:val="Bacil"/>
        </w:rPr>
        <w:t>marcescens</w:t>
      </w:r>
      <w:proofErr w:type="spellEnd"/>
      <w:r w:rsidRPr="00215F5D">
        <w:t xml:space="preserve"> a </w:t>
      </w:r>
      <w:proofErr w:type="spellStart"/>
      <w:r w:rsidR="00C347EF" w:rsidRPr="00C347EF">
        <w:rPr>
          <w:rStyle w:val="Bacil"/>
        </w:rPr>
        <w:t>Streptococcus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>.</w:t>
      </w:r>
    </w:p>
    <w:p w:rsidR="00917854" w:rsidRPr="00215F5D" w:rsidRDefault="00917854" w:rsidP="0007627F">
      <w:pPr>
        <w:pStyle w:val="Normlndobloku"/>
      </w:pPr>
      <w:r w:rsidRPr="00A31390">
        <w:t xml:space="preserve">Anaeróbne mikroorganizmy ako sú </w:t>
      </w:r>
      <w:proofErr w:type="spellStart"/>
      <w:r w:rsidR="00C347EF" w:rsidRPr="00C347EF">
        <w:rPr>
          <w:rStyle w:val="Bacil"/>
        </w:rPr>
        <w:t>Bacteroides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 xml:space="preserve">., </w:t>
      </w:r>
      <w:proofErr w:type="spellStart"/>
      <w:r w:rsidR="00C347EF" w:rsidRPr="00C347EF">
        <w:rPr>
          <w:rStyle w:val="Bacil"/>
        </w:rPr>
        <w:t>Eubacterium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 xml:space="preserve">., </w:t>
      </w:r>
      <w:proofErr w:type="spellStart"/>
      <w:r w:rsidR="00C347EF" w:rsidRPr="00C347EF">
        <w:rPr>
          <w:rStyle w:val="Bacil"/>
        </w:rPr>
        <w:t>Fusobacterium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 xml:space="preserve">., </w:t>
      </w:r>
      <w:proofErr w:type="spellStart"/>
      <w:r w:rsidR="00C347EF" w:rsidRPr="00C347EF">
        <w:rPr>
          <w:rStyle w:val="Bacil"/>
        </w:rPr>
        <w:t>Peptococcus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>. a </w:t>
      </w:r>
      <w:proofErr w:type="spellStart"/>
      <w:r w:rsidR="00C347EF" w:rsidRPr="00C347EF">
        <w:rPr>
          <w:rStyle w:val="Bacil"/>
        </w:rPr>
        <w:t>Peptostreptococcus</w:t>
      </w:r>
      <w:proofErr w:type="spellEnd"/>
      <w:r w:rsidRPr="00215F5D">
        <w:t xml:space="preserve"> </w:t>
      </w:r>
      <w:proofErr w:type="spellStart"/>
      <w:r w:rsidRPr="00215F5D">
        <w:t>sp</w:t>
      </w:r>
      <w:proofErr w:type="spellEnd"/>
      <w:r w:rsidRPr="00215F5D">
        <w:t xml:space="preserve">. sú zvyčajne rezistentné na </w:t>
      </w:r>
      <w:proofErr w:type="spellStart"/>
      <w:r w:rsidRPr="00215F5D">
        <w:t>ofloxacín</w:t>
      </w:r>
      <w:proofErr w:type="spellEnd"/>
      <w:r w:rsidRPr="00215F5D">
        <w:t>.</w:t>
      </w:r>
    </w:p>
    <w:p w:rsidR="00917854" w:rsidRPr="001561C9" w:rsidRDefault="00917854" w:rsidP="0007627F">
      <w:pPr>
        <w:pStyle w:val="Normlndobloku"/>
        <w:rPr>
          <w:i/>
        </w:rPr>
      </w:pPr>
      <w:proofErr w:type="spellStart"/>
      <w:r w:rsidRPr="001561C9">
        <w:t>Ofloxacín</w:t>
      </w:r>
      <w:proofErr w:type="spellEnd"/>
      <w:r w:rsidRPr="001561C9">
        <w:t xml:space="preserve"> nemá žiadnu aktivitu voči </w:t>
      </w:r>
      <w:proofErr w:type="spellStart"/>
      <w:r w:rsidRPr="001561C9">
        <w:rPr>
          <w:i/>
        </w:rPr>
        <w:t>Treponema</w:t>
      </w:r>
      <w:proofErr w:type="spellEnd"/>
      <w:r w:rsidRPr="001561C9">
        <w:rPr>
          <w:i/>
        </w:rPr>
        <w:t xml:space="preserve"> </w:t>
      </w:r>
      <w:proofErr w:type="spellStart"/>
      <w:r w:rsidRPr="001561C9">
        <w:rPr>
          <w:i/>
        </w:rPr>
        <w:t>pallidum</w:t>
      </w:r>
      <w:proofErr w:type="spellEnd"/>
      <w:r w:rsidRPr="001561C9">
        <w:rPr>
          <w:i/>
        </w:rPr>
        <w:t>.</w:t>
      </w:r>
    </w:p>
    <w:p w:rsidR="004363CB" w:rsidRPr="001561C9" w:rsidRDefault="00EF211A" w:rsidP="0007627F">
      <w:pPr>
        <w:pStyle w:val="Styl2"/>
      </w:pPr>
      <w:r w:rsidRPr="001561C9">
        <w:t>5.2</w:t>
      </w:r>
      <w:r w:rsidR="00BD01C7" w:rsidRPr="001561C9">
        <w:tab/>
      </w:r>
      <w:proofErr w:type="spellStart"/>
      <w:r w:rsidR="004363CB" w:rsidRPr="001561C9">
        <w:t>Farmakokinetické</w:t>
      </w:r>
      <w:proofErr w:type="spellEnd"/>
      <w:r w:rsidR="004363CB" w:rsidRPr="001561C9">
        <w:t xml:space="preserve"> vlastnosti</w:t>
      </w:r>
    </w:p>
    <w:p w:rsidR="004363CB" w:rsidRPr="001561C9" w:rsidRDefault="004363CB" w:rsidP="003F12F2">
      <w:pPr>
        <w:pStyle w:val="Styl3"/>
      </w:pPr>
      <w:r w:rsidRPr="001561C9">
        <w:t>Absorpcia</w:t>
      </w:r>
    </w:p>
    <w:p w:rsidR="00A05AFA" w:rsidRPr="001561C9" w:rsidRDefault="00A05AFA" w:rsidP="0007627F">
      <w:pPr>
        <w:pStyle w:val="Normlndobloku"/>
      </w:pPr>
      <w:r w:rsidRPr="001561C9">
        <w:t xml:space="preserve">Po perorálnom podaní sa </w:t>
      </w:r>
      <w:proofErr w:type="spellStart"/>
      <w:r w:rsidRPr="001561C9">
        <w:t>ofloxacín</w:t>
      </w:r>
      <w:proofErr w:type="spellEnd"/>
      <w:r w:rsidRPr="001561C9">
        <w:t xml:space="preserve"> rýchlo a dobre absorbuje z </w:t>
      </w:r>
      <w:proofErr w:type="spellStart"/>
      <w:r w:rsidRPr="001561C9">
        <w:t>gastrointestinálneho</w:t>
      </w:r>
      <w:proofErr w:type="spellEnd"/>
      <w:r w:rsidRPr="001561C9">
        <w:t xml:space="preserve"> traktu. Po perorálnom podaní 400 mg je biologická dostupnosť blízko 100</w:t>
      </w:r>
      <w:r w:rsidR="00376D62">
        <w:t> </w:t>
      </w:r>
      <w:r w:rsidRPr="00215F5D">
        <w:t xml:space="preserve">% a vrcholová plazmatická koncentrácia 3 – 4 µg/ml sa dosahuje za 1 </w:t>
      </w:r>
      <w:r w:rsidR="0007627F" w:rsidRPr="001561C9">
        <w:t>–</w:t>
      </w:r>
      <w:r w:rsidRPr="001561C9">
        <w:t xml:space="preserve"> 2 hodiny. Jedlo môže oddialiť intenzitu vstrebávania, ale nemá významný vplyv na rozsah absorpcie.</w:t>
      </w:r>
    </w:p>
    <w:p w:rsidR="00000000" w:rsidRDefault="00A05AFA">
      <w:pPr>
        <w:pStyle w:val="Styl3"/>
      </w:pPr>
      <w:r w:rsidRPr="00FC49CE">
        <w:t>Distribúcia</w:t>
      </w:r>
    </w:p>
    <w:p w:rsidR="00A05AFA" w:rsidRPr="001561C9" w:rsidRDefault="00A05AFA" w:rsidP="0007627F">
      <w:pPr>
        <w:pStyle w:val="Normlndobloku"/>
      </w:pPr>
      <w:proofErr w:type="spellStart"/>
      <w:r w:rsidRPr="001561C9">
        <w:t>Ofloxacín</w:t>
      </w:r>
      <w:proofErr w:type="spellEnd"/>
      <w:r w:rsidRPr="001561C9">
        <w:t xml:space="preserve"> sa približne v 25 % viaže na plazmatické bielkoviny. Významne sa rozdeľuje do telových tekutín, vrátane </w:t>
      </w:r>
      <w:proofErr w:type="spellStart"/>
      <w:r w:rsidRPr="001561C9">
        <w:t>cerebrospinálneho</w:t>
      </w:r>
      <w:proofErr w:type="spellEnd"/>
      <w:r w:rsidRPr="001561C9">
        <w:t xml:space="preserve"> moku, prenikanie do tkanív je dobré. Dosahujú sa relatívne vysoké koncentrácie v žlči. Prechádza </w:t>
      </w:r>
      <w:proofErr w:type="spellStart"/>
      <w:r w:rsidRPr="001561C9">
        <w:t>transplacentárnou</w:t>
      </w:r>
      <w:proofErr w:type="spellEnd"/>
      <w:r w:rsidRPr="001561C9">
        <w:t xml:space="preserve"> membránou a vylučuje sa do materského mlieka.</w:t>
      </w:r>
    </w:p>
    <w:p w:rsidR="00000000" w:rsidRDefault="00A05AFA">
      <w:pPr>
        <w:pStyle w:val="Styl3"/>
      </w:pPr>
      <w:proofErr w:type="spellStart"/>
      <w:r w:rsidRPr="00FC49CE">
        <w:t>Biotransformácia</w:t>
      </w:r>
      <w:proofErr w:type="spellEnd"/>
    </w:p>
    <w:p w:rsidR="00A05AFA" w:rsidRPr="001561C9" w:rsidRDefault="00A05AFA" w:rsidP="0007627F">
      <w:pPr>
        <w:pStyle w:val="Normlndobloku"/>
      </w:pPr>
      <w:proofErr w:type="spellStart"/>
      <w:r w:rsidRPr="001561C9">
        <w:t>Ofloxacín</w:t>
      </w:r>
      <w:proofErr w:type="spellEnd"/>
      <w:r w:rsidRPr="001561C9">
        <w:t xml:space="preserve"> sa metabolizuje na </w:t>
      </w:r>
      <w:proofErr w:type="spellStart"/>
      <w:r w:rsidRPr="001561C9">
        <w:t>desmetyl</w:t>
      </w:r>
      <w:proofErr w:type="spellEnd"/>
      <w:r w:rsidRPr="001561C9">
        <w:t xml:space="preserve"> a </w:t>
      </w:r>
      <w:proofErr w:type="spellStart"/>
      <w:r w:rsidRPr="001561C9">
        <w:t>N-oxid</w:t>
      </w:r>
      <w:proofErr w:type="spellEnd"/>
      <w:r w:rsidRPr="001561C9">
        <w:t xml:space="preserve"> </w:t>
      </w:r>
      <w:proofErr w:type="spellStart"/>
      <w:r w:rsidRPr="001561C9">
        <w:t>metabolity</w:t>
      </w:r>
      <w:proofErr w:type="spellEnd"/>
      <w:r w:rsidRPr="001561C9">
        <w:t xml:space="preserve">, </w:t>
      </w:r>
      <w:proofErr w:type="spellStart"/>
      <w:r w:rsidRPr="001561C9">
        <w:t>desmetylofloxacín</w:t>
      </w:r>
      <w:proofErr w:type="spellEnd"/>
      <w:r w:rsidRPr="001561C9">
        <w:t xml:space="preserve"> má obmedzenú </w:t>
      </w:r>
      <w:proofErr w:type="spellStart"/>
      <w:r w:rsidRPr="001561C9">
        <w:t>antimikrobiálnu</w:t>
      </w:r>
      <w:proofErr w:type="spellEnd"/>
      <w:r w:rsidRPr="001561C9">
        <w:t xml:space="preserve"> aktivitu.</w:t>
      </w:r>
    </w:p>
    <w:p w:rsidR="00000000" w:rsidRDefault="00A05AFA">
      <w:pPr>
        <w:pStyle w:val="Styl3"/>
      </w:pPr>
      <w:r w:rsidRPr="00FC49CE">
        <w:t>Eliminácia</w:t>
      </w:r>
    </w:p>
    <w:p w:rsidR="00A05AFA" w:rsidRPr="001561C9" w:rsidRDefault="00A05AFA" w:rsidP="0007627F">
      <w:pPr>
        <w:pStyle w:val="Normlndobloku"/>
      </w:pPr>
      <w:r w:rsidRPr="001561C9">
        <w:t xml:space="preserve">Hlavná vylučovacia cesta je obličkami. </w:t>
      </w:r>
      <w:proofErr w:type="spellStart"/>
      <w:r w:rsidRPr="001561C9">
        <w:t>Tubulárnou</w:t>
      </w:r>
      <w:proofErr w:type="spellEnd"/>
      <w:r w:rsidRPr="001561C9">
        <w:t xml:space="preserve"> sekréciou a </w:t>
      </w:r>
      <w:proofErr w:type="spellStart"/>
      <w:r w:rsidRPr="001561C9">
        <w:t>glomerulárnou</w:t>
      </w:r>
      <w:proofErr w:type="spellEnd"/>
      <w:r w:rsidRPr="001561C9">
        <w:t xml:space="preserve"> filtráciou sa vylúči 75 </w:t>
      </w:r>
      <w:r w:rsidR="0007627F" w:rsidRPr="001561C9">
        <w:t>–</w:t>
      </w:r>
      <w:r w:rsidRPr="001561C9">
        <w:t xml:space="preserve"> 80 % v nezmenenej forme do 24 </w:t>
      </w:r>
      <w:r w:rsidR="0007627F" w:rsidRPr="001561C9">
        <w:t>–</w:t>
      </w:r>
      <w:r w:rsidRPr="001561C9">
        <w:t xml:space="preserve"> 48 hodín. Toto spôsobuje vysoké močové koncentrácie. Menej ako 5 % sa vylučuje močom ako </w:t>
      </w:r>
      <w:proofErr w:type="spellStart"/>
      <w:r w:rsidRPr="001561C9">
        <w:t>metabolity</w:t>
      </w:r>
      <w:proofErr w:type="spellEnd"/>
      <w:r w:rsidRPr="001561C9">
        <w:t xml:space="preserve"> a 4 </w:t>
      </w:r>
      <w:r w:rsidR="0007627F" w:rsidRPr="001561C9">
        <w:t>–</w:t>
      </w:r>
      <w:r w:rsidRPr="001561C9">
        <w:t xml:space="preserve"> 8 % sa môže vylúčiť stolicou. Biologický polčas v plazme je v rozmedzí 5 </w:t>
      </w:r>
      <w:r w:rsidR="0007627F" w:rsidRPr="001561C9">
        <w:t>–</w:t>
      </w:r>
      <w:r w:rsidRPr="001561C9">
        <w:t xml:space="preserve"> 8 hodín, pri obličkovom zlyhaní s hodnotami od 15 do 60 hodín v závislosti od poškodenia obličiek.</w:t>
      </w:r>
    </w:p>
    <w:p w:rsidR="004363CB" w:rsidRPr="001561C9" w:rsidRDefault="00EF211A" w:rsidP="0007627F">
      <w:pPr>
        <w:pStyle w:val="Styl2"/>
      </w:pPr>
      <w:r w:rsidRPr="001561C9">
        <w:t>5.3</w:t>
      </w:r>
      <w:r w:rsidR="00BD01C7" w:rsidRPr="001561C9">
        <w:tab/>
      </w:r>
      <w:r w:rsidR="004363CB" w:rsidRPr="001561C9">
        <w:t>Predklinické údaje o bezpečnosti</w:t>
      </w:r>
    </w:p>
    <w:p w:rsidR="006D5D26" w:rsidRPr="001561C9" w:rsidRDefault="006D5D26" w:rsidP="0007627F">
      <w:pPr>
        <w:pStyle w:val="Normlndobloku"/>
      </w:pPr>
      <w:r w:rsidRPr="001561C9">
        <w:t xml:space="preserve">Pri reprodukčných štúdiách na králikoch a potkanoch sa nedokázal </w:t>
      </w:r>
      <w:proofErr w:type="spellStart"/>
      <w:r w:rsidRPr="001561C9">
        <w:t>teratogénny</w:t>
      </w:r>
      <w:proofErr w:type="spellEnd"/>
      <w:r w:rsidRPr="001561C9">
        <w:t xml:space="preserve"> efekt, poškodenie </w:t>
      </w:r>
      <w:proofErr w:type="spellStart"/>
      <w:r w:rsidRPr="001561C9">
        <w:t>fertility</w:t>
      </w:r>
      <w:proofErr w:type="spellEnd"/>
      <w:r w:rsidRPr="001561C9">
        <w:t xml:space="preserve"> alebo per- a </w:t>
      </w:r>
      <w:proofErr w:type="spellStart"/>
      <w:r w:rsidRPr="001561C9">
        <w:t>postnatálny</w:t>
      </w:r>
      <w:proofErr w:type="spellEnd"/>
      <w:r w:rsidRPr="001561C9">
        <w:t xml:space="preserve"> rozvoj poškodenia. V porovnaní s ostatnými </w:t>
      </w:r>
      <w:proofErr w:type="spellStart"/>
      <w:r w:rsidRPr="001561C9">
        <w:t>chinolónovými</w:t>
      </w:r>
      <w:proofErr w:type="spellEnd"/>
      <w:r w:rsidRPr="001561C9">
        <w:t xml:space="preserve"> antibakteriálnymi látkami bol príčinou </w:t>
      </w:r>
      <w:proofErr w:type="spellStart"/>
      <w:r w:rsidRPr="001561C9">
        <w:t>artropatii</w:t>
      </w:r>
      <w:proofErr w:type="spellEnd"/>
      <w:r w:rsidRPr="001561C9">
        <w:t xml:space="preserve"> u nezrelých zvierat. Štúdie na potkanoch ukázali vylučovanie </w:t>
      </w:r>
      <w:proofErr w:type="spellStart"/>
      <w:r w:rsidRPr="001561C9">
        <w:t>ofloxacínu</w:t>
      </w:r>
      <w:proofErr w:type="spellEnd"/>
      <w:r w:rsidRPr="001561C9">
        <w:t xml:space="preserve"> do mlieka.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6.</w:t>
      </w:r>
      <w:r w:rsidRPr="00C347EF">
        <w:rPr>
          <w:lang w:val="sk-SK"/>
        </w:rPr>
        <w:tab/>
        <w:t>FARMACEUTICKÉ INFORMÁCIE</w:t>
      </w:r>
    </w:p>
    <w:p w:rsidR="004363CB" w:rsidRPr="001561C9" w:rsidRDefault="00EF211A" w:rsidP="0007627F">
      <w:pPr>
        <w:pStyle w:val="Styl2"/>
      </w:pPr>
      <w:r w:rsidRPr="00EE2FCE">
        <w:t>6.1</w:t>
      </w:r>
      <w:r w:rsidR="00BD01C7" w:rsidRPr="001561C9">
        <w:tab/>
      </w:r>
      <w:r w:rsidR="004363CB" w:rsidRPr="001561C9">
        <w:t>Zoznam pomocných látok</w:t>
      </w:r>
    </w:p>
    <w:p w:rsidR="001A1E35" w:rsidRPr="001561C9" w:rsidRDefault="001A1E35" w:rsidP="003F12F2">
      <w:pPr>
        <w:pStyle w:val="Styl3"/>
      </w:pPr>
      <w:r w:rsidRPr="001561C9">
        <w:t>Jadro tablety</w:t>
      </w:r>
    </w:p>
    <w:p w:rsidR="004363CB" w:rsidRPr="001561C9" w:rsidRDefault="004363CB" w:rsidP="0007627F">
      <w:pPr>
        <w:pStyle w:val="Normlndobloku"/>
      </w:pPr>
      <w:r w:rsidRPr="001561C9">
        <w:t xml:space="preserve">sodná soľ </w:t>
      </w:r>
      <w:proofErr w:type="spellStart"/>
      <w:r w:rsidRPr="001561C9">
        <w:t>kroskarmelózy</w:t>
      </w:r>
      <w:proofErr w:type="spellEnd"/>
    </w:p>
    <w:p w:rsidR="004363CB" w:rsidRPr="001561C9" w:rsidRDefault="004363CB" w:rsidP="0007627F">
      <w:pPr>
        <w:pStyle w:val="Normlndobloku"/>
      </w:pPr>
      <w:proofErr w:type="spellStart"/>
      <w:r w:rsidRPr="001561C9">
        <w:t>povidón</w:t>
      </w:r>
      <w:proofErr w:type="spellEnd"/>
    </w:p>
    <w:p w:rsidR="004363CB" w:rsidRPr="001561C9" w:rsidRDefault="001A1E35" w:rsidP="0007627F">
      <w:pPr>
        <w:pStyle w:val="Normlndobloku"/>
      </w:pPr>
      <w:proofErr w:type="spellStart"/>
      <w:r w:rsidRPr="001561C9">
        <w:t>monohydrát</w:t>
      </w:r>
      <w:proofErr w:type="spellEnd"/>
      <w:r w:rsidRPr="001561C9">
        <w:t xml:space="preserve"> </w:t>
      </w:r>
      <w:r w:rsidR="004363CB" w:rsidRPr="001561C9">
        <w:t>laktóz</w:t>
      </w:r>
      <w:r w:rsidRPr="001561C9">
        <w:t>y</w:t>
      </w:r>
    </w:p>
    <w:p w:rsidR="004363CB" w:rsidRPr="001561C9" w:rsidRDefault="004363CB" w:rsidP="0007627F">
      <w:pPr>
        <w:pStyle w:val="Normlndobloku"/>
      </w:pPr>
      <w:r w:rsidRPr="001561C9">
        <w:t>mikrokryštalická celulóza</w:t>
      </w:r>
    </w:p>
    <w:p w:rsidR="0025677F" w:rsidRPr="001561C9" w:rsidRDefault="00334F2D" w:rsidP="0007627F">
      <w:pPr>
        <w:pStyle w:val="Normlndobloku"/>
      </w:pPr>
      <w:proofErr w:type="spellStart"/>
      <w:r w:rsidRPr="001561C9">
        <w:t>stearan</w:t>
      </w:r>
      <w:proofErr w:type="spellEnd"/>
      <w:r w:rsidRPr="001561C9">
        <w:t xml:space="preserve"> </w:t>
      </w:r>
      <w:proofErr w:type="spellStart"/>
      <w:r w:rsidRPr="001561C9">
        <w:t>horečnatý</w:t>
      </w:r>
      <w:proofErr w:type="spellEnd"/>
    </w:p>
    <w:p w:rsidR="0025677F" w:rsidRPr="001561C9" w:rsidRDefault="0025677F" w:rsidP="003F12F2">
      <w:pPr>
        <w:pStyle w:val="Styl3"/>
      </w:pPr>
      <w:r w:rsidRPr="001561C9">
        <w:t>Filmová vrstva tablety</w:t>
      </w:r>
    </w:p>
    <w:p w:rsidR="004363CB" w:rsidRPr="001561C9" w:rsidRDefault="001A1E35" w:rsidP="0007627F">
      <w:pPr>
        <w:pStyle w:val="Normlndobloku"/>
      </w:pPr>
      <w:proofErr w:type="spellStart"/>
      <w:r w:rsidRPr="001561C9">
        <w:t>Opadry</w:t>
      </w:r>
      <w:proofErr w:type="spellEnd"/>
      <w:r w:rsidRPr="001561C9">
        <w:t xml:space="preserve"> </w:t>
      </w:r>
      <w:proofErr w:type="spellStart"/>
      <w:r w:rsidRPr="001561C9">
        <w:t>white</w:t>
      </w:r>
      <w:proofErr w:type="spellEnd"/>
      <w:r w:rsidRPr="001561C9">
        <w:t xml:space="preserve"> Y-1-7000 (</w:t>
      </w:r>
      <w:proofErr w:type="spellStart"/>
      <w:r w:rsidRPr="001561C9">
        <w:t>hypromelóza</w:t>
      </w:r>
      <w:proofErr w:type="spellEnd"/>
      <w:r w:rsidR="0025677F" w:rsidRPr="001561C9">
        <w:t xml:space="preserve">, </w:t>
      </w:r>
      <w:proofErr w:type="spellStart"/>
      <w:r w:rsidR="0025677F" w:rsidRPr="001561C9">
        <w:t>mak</w:t>
      </w:r>
      <w:r w:rsidRPr="001561C9">
        <w:t>rogol</w:t>
      </w:r>
      <w:proofErr w:type="spellEnd"/>
      <w:r w:rsidRPr="001561C9">
        <w:t xml:space="preserve"> 400, </w:t>
      </w:r>
      <w:r w:rsidR="004363CB" w:rsidRPr="001561C9">
        <w:t xml:space="preserve">oxid </w:t>
      </w:r>
      <w:proofErr w:type="spellStart"/>
      <w:r w:rsidR="004363CB" w:rsidRPr="001561C9">
        <w:t>titaničitý</w:t>
      </w:r>
      <w:proofErr w:type="spellEnd"/>
      <w:r w:rsidR="004363CB" w:rsidRPr="001561C9">
        <w:t xml:space="preserve"> (E 171)</w:t>
      </w:r>
      <w:r w:rsidRPr="001561C9">
        <w:t>)</w:t>
      </w:r>
    </w:p>
    <w:p w:rsidR="004363CB" w:rsidRPr="001561C9" w:rsidRDefault="0025677F" w:rsidP="0007627F">
      <w:pPr>
        <w:pStyle w:val="Normlndobloku"/>
      </w:pPr>
      <w:proofErr w:type="spellStart"/>
      <w:r w:rsidRPr="001561C9">
        <w:lastRenderedPageBreak/>
        <w:t>makrogol</w:t>
      </w:r>
      <w:proofErr w:type="spellEnd"/>
      <w:r w:rsidR="001A1E35" w:rsidRPr="001561C9">
        <w:t xml:space="preserve"> 6000</w:t>
      </w:r>
    </w:p>
    <w:p w:rsidR="004363CB" w:rsidRPr="001561C9" w:rsidRDefault="00EF211A" w:rsidP="0007627F">
      <w:pPr>
        <w:pStyle w:val="Styl2"/>
      </w:pPr>
      <w:r w:rsidRPr="001561C9">
        <w:t>6.2</w:t>
      </w:r>
      <w:r w:rsidRPr="001561C9">
        <w:tab/>
      </w:r>
      <w:r w:rsidR="004363CB" w:rsidRPr="001561C9">
        <w:t>Inkompatibility</w:t>
      </w:r>
    </w:p>
    <w:p w:rsidR="004363CB" w:rsidRPr="001561C9" w:rsidRDefault="004363CB" w:rsidP="0007627F">
      <w:pPr>
        <w:pStyle w:val="Normlndobloku"/>
      </w:pPr>
      <w:r w:rsidRPr="001561C9">
        <w:t>Neaplikovateľné</w:t>
      </w:r>
    </w:p>
    <w:p w:rsidR="004363CB" w:rsidRPr="001561C9" w:rsidRDefault="0007627F" w:rsidP="0007627F">
      <w:pPr>
        <w:pStyle w:val="Styl2"/>
      </w:pPr>
      <w:r w:rsidRPr="001561C9">
        <w:t>6.3</w:t>
      </w:r>
      <w:r w:rsidRPr="001561C9">
        <w:tab/>
      </w:r>
      <w:r w:rsidR="004363CB" w:rsidRPr="001561C9">
        <w:t>Čas použiteľnosti</w:t>
      </w:r>
    </w:p>
    <w:p w:rsidR="004363CB" w:rsidRPr="001561C9" w:rsidRDefault="0007627F" w:rsidP="0007627F">
      <w:pPr>
        <w:pStyle w:val="Normlndobloku"/>
      </w:pPr>
      <w:r w:rsidRPr="001561C9">
        <w:t xml:space="preserve">3 </w:t>
      </w:r>
      <w:r w:rsidR="004363CB" w:rsidRPr="001561C9">
        <w:t>roky</w:t>
      </w:r>
    </w:p>
    <w:p w:rsidR="004363CB" w:rsidRPr="001561C9" w:rsidRDefault="00EF211A" w:rsidP="0007627F">
      <w:pPr>
        <w:pStyle w:val="Styl2"/>
      </w:pPr>
      <w:r w:rsidRPr="001561C9">
        <w:t>6.4</w:t>
      </w:r>
      <w:r w:rsidR="00BD01C7" w:rsidRPr="001561C9">
        <w:tab/>
      </w:r>
      <w:r w:rsidR="004363CB" w:rsidRPr="001561C9">
        <w:t>Špeciálne upozornenia na uchovávanie</w:t>
      </w:r>
    </w:p>
    <w:p w:rsidR="004363CB" w:rsidRPr="001561C9" w:rsidRDefault="004363CB" w:rsidP="0007627F">
      <w:pPr>
        <w:pStyle w:val="Normlndobloku"/>
      </w:pPr>
      <w:r w:rsidRPr="001561C9">
        <w:t>Uchovávajte pri teplote do 25</w:t>
      </w:r>
      <w:r w:rsidR="00A462B4" w:rsidRPr="001561C9">
        <w:t> </w:t>
      </w:r>
      <w:r w:rsidRPr="001561C9">
        <w:t>°C v pôvodnom obale na ochranu pred svetlom</w:t>
      </w:r>
      <w:r w:rsidR="00334F2D" w:rsidRPr="001561C9">
        <w:t xml:space="preserve"> a vlhkosťou</w:t>
      </w:r>
      <w:r w:rsidRPr="001561C9">
        <w:t>.</w:t>
      </w:r>
    </w:p>
    <w:p w:rsidR="004363CB" w:rsidRPr="001561C9" w:rsidRDefault="00EF211A" w:rsidP="0007627F">
      <w:pPr>
        <w:pStyle w:val="Styl2"/>
      </w:pPr>
      <w:r w:rsidRPr="001561C9">
        <w:t>6.5</w:t>
      </w:r>
      <w:r w:rsidR="00BD01C7" w:rsidRPr="001561C9">
        <w:tab/>
      </w:r>
      <w:r w:rsidR="004363CB" w:rsidRPr="001561C9">
        <w:t>Druh obalu a obsah balenia</w:t>
      </w:r>
    </w:p>
    <w:p w:rsidR="004363CB" w:rsidRPr="001561C9" w:rsidRDefault="004363CB" w:rsidP="0007627F">
      <w:pPr>
        <w:pStyle w:val="Normlndobloku"/>
      </w:pPr>
      <w:r w:rsidRPr="001561C9">
        <w:t>PVC/</w:t>
      </w:r>
      <w:proofErr w:type="spellStart"/>
      <w:r w:rsidRPr="001561C9">
        <w:t>Al</w:t>
      </w:r>
      <w:proofErr w:type="spellEnd"/>
      <w:r w:rsidRPr="001561C9">
        <w:t xml:space="preserve"> </w:t>
      </w:r>
      <w:proofErr w:type="spellStart"/>
      <w:r w:rsidRPr="001561C9">
        <w:t>blister</w:t>
      </w:r>
      <w:proofErr w:type="spellEnd"/>
      <w:r w:rsidRPr="001561C9">
        <w:t>, papierová škatuľka</w:t>
      </w:r>
    </w:p>
    <w:p w:rsidR="002E4438" w:rsidRPr="001561C9" w:rsidRDefault="002E4438" w:rsidP="0007627F">
      <w:pPr>
        <w:pStyle w:val="Normlndobloku"/>
      </w:pPr>
      <w:r w:rsidRPr="001561C9">
        <w:t>Veľkosť balenia: 10, 20, 50, 100, 1000 filmom obalených tabliet.</w:t>
      </w:r>
    </w:p>
    <w:p w:rsidR="004363CB" w:rsidRPr="001561C9" w:rsidRDefault="004363CB" w:rsidP="0007627F">
      <w:pPr>
        <w:pStyle w:val="Normlndobloku"/>
      </w:pPr>
      <w:r w:rsidRPr="001561C9">
        <w:t>Na trh nemusia byť uvedené všetky veľkosti balenia.</w:t>
      </w:r>
    </w:p>
    <w:p w:rsidR="004363CB" w:rsidRPr="001561C9" w:rsidRDefault="00EF211A" w:rsidP="0007627F">
      <w:pPr>
        <w:pStyle w:val="Styl2"/>
      </w:pPr>
      <w:r w:rsidRPr="001561C9">
        <w:t>6.6</w:t>
      </w:r>
      <w:r w:rsidR="00BD01C7" w:rsidRPr="001561C9">
        <w:tab/>
      </w:r>
      <w:r w:rsidR="004363CB" w:rsidRPr="001561C9">
        <w:t>Špeciálne opatrenia na likvidáciu a iné zaobchádzanie s liekom</w:t>
      </w:r>
    </w:p>
    <w:p w:rsidR="004363CB" w:rsidRPr="001561C9" w:rsidRDefault="004363CB" w:rsidP="0007627F">
      <w:pPr>
        <w:pStyle w:val="Normlndobloku"/>
      </w:pPr>
      <w:r w:rsidRPr="001561C9">
        <w:t>Žiadne zvláštne požiadavky na likvidáciu.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7.</w:t>
      </w:r>
      <w:r w:rsidRPr="00C347EF">
        <w:rPr>
          <w:lang w:val="sk-SK"/>
        </w:rPr>
        <w:tab/>
        <w:t>DRŽITEĽ ROZHODNUTIA O REGISTRÁCII</w:t>
      </w:r>
    </w:p>
    <w:p w:rsidR="004363CB" w:rsidRPr="00EE2FCE" w:rsidRDefault="004363CB" w:rsidP="0007627F">
      <w:pPr>
        <w:pStyle w:val="Normlndobloku"/>
      </w:pPr>
      <w:r w:rsidRPr="00EE2FCE">
        <w:t xml:space="preserve">MEDOCHEMIE </w:t>
      </w:r>
      <w:proofErr w:type="spellStart"/>
      <w:r w:rsidRPr="00EE2FCE">
        <w:t>Ltd</w:t>
      </w:r>
      <w:proofErr w:type="spellEnd"/>
      <w:r w:rsidRPr="00EE2FCE">
        <w:t xml:space="preserve">., 1-10 </w:t>
      </w:r>
      <w:proofErr w:type="spellStart"/>
      <w:r w:rsidRPr="00EE2FCE">
        <w:t>Constantinoupoleos</w:t>
      </w:r>
      <w:proofErr w:type="spellEnd"/>
      <w:r w:rsidRPr="00EE2FCE">
        <w:t xml:space="preserve"> </w:t>
      </w:r>
      <w:proofErr w:type="spellStart"/>
      <w:r w:rsidRPr="00EE2FCE">
        <w:t>Street</w:t>
      </w:r>
      <w:proofErr w:type="spellEnd"/>
      <w:r w:rsidRPr="00EE2FCE">
        <w:t xml:space="preserve">, 3011 </w:t>
      </w:r>
      <w:proofErr w:type="spellStart"/>
      <w:r w:rsidRPr="00EE2FCE">
        <w:t>Limassol</w:t>
      </w:r>
      <w:proofErr w:type="spellEnd"/>
      <w:r w:rsidRPr="00EE2FCE">
        <w:t>, Cyprus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8.</w:t>
      </w:r>
      <w:r w:rsidRPr="00C347EF">
        <w:rPr>
          <w:lang w:val="sk-SK"/>
        </w:rPr>
        <w:tab/>
        <w:t>REGISTRAČNÉ ČÍSLO</w:t>
      </w:r>
    </w:p>
    <w:p w:rsidR="004363CB" w:rsidRPr="00EE2FCE" w:rsidRDefault="004363CB" w:rsidP="0007627F">
      <w:pPr>
        <w:pStyle w:val="Normlndobloku"/>
      </w:pPr>
      <w:r w:rsidRPr="00EE2FCE">
        <w:t>42/0324/03-S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9.</w:t>
      </w:r>
      <w:r w:rsidRPr="00C347EF">
        <w:rPr>
          <w:lang w:val="sk-SK"/>
        </w:rPr>
        <w:tab/>
        <w:t>DÁTUM PRVEJ REGISTRÁCIE/PREDĹŽENIA REGISTRÁCIE</w:t>
      </w:r>
    </w:p>
    <w:p w:rsidR="004363CB" w:rsidRPr="00A31390" w:rsidRDefault="004363CB" w:rsidP="0007627F">
      <w:pPr>
        <w:pStyle w:val="Normlndobloku"/>
      </w:pPr>
      <w:r w:rsidRPr="00EE2FCE">
        <w:t>Dátum prvej registrácie: 5.</w:t>
      </w:r>
      <w:r w:rsidRPr="00215F5D">
        <w:t xml:space="preserve"> november 2003</w:t>
      </w:r>
    </w:p>
    <w:p w:rsidR="004363CB" w:rsidRPr="001561C9" w:rsidRDefault="004363CB" w:rsidP="0007627F">
      <w:pPr>
        <w:pStyle w:val="Normlndobloku"/>
      </w:pPr>
      <w:r w:rsidRPr="001561C9">
        <w:t>Dátum posledného predĺženia registrácie: 19. február 2009</w:t>
      </w:r>
    </w:p>
    <w:p w:rsidR="004363CB" w:rsidRPr="001561C9" w:rsidRDefault="00C347EF" w:rsidP="00441416">
      <w:pPr>
        <w:pStyle w:val="Styl1"/>
        <w:rPr>
          <w:lang w:val="sk-SK"/>
        </w:rPr>
      </w:pPr>
      <w:r w:rsidRPr="00C347EF">
        <w:rPr>
          <w:lang w:val="sk-SK"/>
        </w:rPr>
        <w:t>10.</w:t>
      </w:r>
      <w:r w:rsidRPr="00C347EF">
        <w:rPr>
          <w:lang w:val="sk-SK"/>
        </w:rPr>
        <w:tab/>
        <w:t>DÁTUM REVÍZIE TEXTU</w:t>
      </w:r>
    </w:p>
    <w:p w:rsidR="004363CB" w:rsidRPr="003F6B1B" w:rsidRDefault="005F1F9F" w:rsidP="0007627F">
      <w:pPr>
        <w:pStyle w:val="Normlndobloku"/>
      </w:pPr>
      <w:r>
        <w:t>10</w:t>
      </w:r>
      <w:r w:rsidR="00524853">
        <w:t>/2018</w:t>
      </w:r>
    </w:p>
    <w:sectPr w:rsidR="004363CB" w:rsidRPr="003F6B1B" w:rsidSect="00F855C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6DFFC3" w15:done="0"/>
  <w15:commentEx w15:paraId="6EF99B14" w15:done="0"/>
  <w15:commentEx w15:paraId="78BF33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6DFFC3" w16cid:durableId="1F14284E"/>
  <w16cid:commentId w16cid:paraId="6EF99B14" w16cid:durableId="1F14284F"/>
  <w16cid:commentId w16cid:paraId="78BF33CA" w16cid:durableId="1F14285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4B" w:rsidRDefault="00C07E4B">
      <w:r>
        <w:separator/>
      </w:r>
    </w:p>
  </w:endnote>
  <w:endnote w:type="continuationSeparator" w:id="0">
    <w:p w:rsidR="00C07E4B" w:rsidRDefault="00C07E4B">
      <w:r>
        <w:continuationSeparator/>
      </w:r>
    </w:p>
  </w:endnote>
  <w:endnote w:type="continuationNotice" w:id="1">
    <w:p w:rsidR="00C07E4B" w:rsidRDefault="00C07E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55" w:rsidRDefault="00C347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3145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31455" w:rsidRDefault="0003145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55" w:rsidRDefault="00C347EF" w:rsidP="00C664CB">
    <w:pPr>
      <w:pStyle w:val="Pta"/>
      <w:jc w:val="center"/>
    </w:pPr>
    <w:r>
      <w:rPr>
        <w:rStyle w:val="slostrany"/>
      </w:rPr>
      <w:fldChar w:fldCharType="begin"/>
    </w:r>
    <w:r w:rsidR="00031455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A1C63">
      <w:rPr>
        <w:rStyle w:val="slostrany"/>
        <w:noProof/>
      </w:rPr>
      <w:t>1</w:t>
    </w:r>
    <w:r>
      <w:rPr>
        <w:rStyle w:val="slostrany"/>
      </w:rPr>
      <w:fldChar w:fldCharType="end"/>
    </w:r>
    <w:r w:rsidR="00031455">
      <w:rPr>
        <w:rStyle w:val="slostrany"/>
      </w:rPr>
      <w:t>/</w:t>
    </w:r>
    <w:r>
      <w:rPr>
        <w:rStyle w:val="slostrany"/>
      </w:rPr>
      <w:fldChar w:fldCharType="begin"/>
    </w:r>
    <w:r w:rsidR="00031455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5A1C63">
      <w:rPr>
        <w:rStyle w:val="slostrany"/>
        <w:noProof/>
      </w:rPr>
      <w:t>12</w:t>
    </w:r>
    <w:r>
      <w:rPr>
        <w:rStyle w:val="slostran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55" w:rsidRDefault="00C347EF" w:rsidP="00B01E89">
    <w:pPr>
      <w:pStyle w:val="Pta"/>
      <w:jc w:val="center"/>
    </w:pPr>
    <w:r>
      <w:rPr>
        <w:rStyle w:val="slostrany"/>
      </w:rPr>
      <w:fldChar w:fldCharType="begin"/>
    </w:r>
    <w:r w:rsidR="00031455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031455">
      <w:rPr>
        <w:rStyle w:val="slostrany"/>
        <w:noProof/>
      </w:rPr>
      <w:t>1</w:t>
    </w:r>
    <w:r>
      <w:rPr>
        <w:rStyle w:val="slostrany"/>
      </w:rPr>
      <w:fldChar w:fldCharType="end"/>
    </w:r>
    <w:r w:rsidR="00031455">
      <w:rPr>
        <w:rStyle w:val="slostrany"/>
      </w:rPr>
      <w:t>/</w:t>
    </w:r>
    <w:r>
      <w:rPr>
        <w:rStyle w:val="slostrany"/>
      </w:rPr>
      <w:fldChar w:fldCharType="begin"/>
    </w:r>
    <w:r w:rsidR="00031455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031455">
      <w:rPr>
        <w:rStyle w:val="slostrany"/>
        <w:noProof/>
      </w:rPr>
      <w:t>17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4B" w:rsidRDefault="00C07E4B">
      <w:r>
        <w:separator/>
      </w:r>
    </w:p>
  </w:footnote>
  <w:footnote w:type="continuationSeparator" w:id="0">
    <w:p w:rsidR="00C07E4B" w:rsidRDefault="00C07E4B">
      <w:r>
        <w:continuationSeparator/>
      </w:r>
    </w:p>
  </w:footnote>
  <w:footnote w:type="continuationNotice" w:id="1">
    <w:p w:rsidR="00C07E4B" w:rsidRDefault="00C07E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92" w:rsidRDefault="007E1F92">
    <w:pPr>
      <w:pStyle w:val="Hlavika"/>
      <w:rPr>
        <w:sz w:val="18"/>
      </w:rPr>
    </w:pPr>
  </w:p>
  <w:p w:rsidR="00031455" w:rsidRPr="00FE6F28" w:rsidRDefault="00031455">
    <w:pPr>
      <w:pStyle w:val="Hlavika"/>
      <w:rPr>
        <w:color w:val="7030A0"/>
      </w:rPr>
    </w:pPr>
    <w:r w:rsidRPr="003E7E98">
      <w:rPr>
        <w:sz w:val="18"/>
      </w:rPr>
      <w:t xml:space="preserve">Príloha č. 1 k notifikácii </w:t>
    </w:r>
    <w:r>
      <w:rPr>
        <w:sz w:val="18"/>
      </w:rPr>
      <w:t xml:space="preserve">o zmene, ev. č.: </w:t>
    </w:r>
    <w:bookmarkStart w:id="4" w:name="_Hlk521433824"/>
    <w:r w:rsidRPr="0089783D">
      <w:rPr>
        <w:sz w:val="18"/>
      </w:rPr>
      <w:t>2014/05713-Z1B,</w:t>
    </w:r>
    <w:r w:rsidR="00051B3B" w:rsidRPr="0089783D">
      <w:rPr>
        <w:sz w:val="18"/>
      </w:rPr>
      <w:t xml:space="preserve"> 2015/00520-Z1B</w:t>
    </w:r>
    <w:r w:rsidR="00C347EF" w:rsidRPr="0089783D">
      <w:rPr>
        <w:sz w:val="18"/>
      </w:rPr>
      <w:t xml:space="preserve">, </w:t>
    </w:r>
    <w:r w:rsidRPr="0089783D">
      <w:rPr>
        <w:sz w:val="18"/>
      </w:rPr>
      <w:t xml:space="preserve"> 2016/01545-Z1B</w:t>
    </w:r>
    <w:bookmarkEnd w:id="4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47EF">
    <w:r w:rsidRPr="00C347EF">
      <w:rPr>
        <w:sz w:val="18"/>
      </w:rPr>
      <w:t xml:space="preserve">Príloha č. 1 k notifikácii </w:t>
    </w:r>
    <w:r w:rsidR="00031455">
      <w:rPr>
        <w:sz w:val="18"/>
      </w:rPr>
      <w:t xml:space="preserve">o zmene, ev. </w:t>
    </w:r>
    <w:r w:rsidR="00031455">
      <w:rPr>
        <w:sz w:val="18"/>
      </w:rPr>
      <w:t xml:space="preserve">č.: </w:t>
    </w:r>
    <w:r w:rsidRPr="00C347EF">
      <w:rPr>
        <w:sz w:val="18"/>
        <w:highlight w:val="green"/>
      </w:rPr>
      <w:t>2014/05713-Z1B(PRAC)</w:t>
    </w:r>
    <w:r w:rsidR="00031455">
      <w:rPr>
        <w:sz w:val="18"/>
      </w:rPr>
      <w:t xml:space="preserve">, </w:t>
    </w:r>
    <w:r w:rsidRPr="00C347EF">
      <w:rPr>
        <w:sz w:val="18"/>
        <w:highlight w:val="cyan"/>
      </w:rPr>
      <w:t>2016/01545-Z1B(PSUSA)</w:t>
    </w:r>
    <w:r w:rsidR="00031455">
      <w:rPr>
        <w:sz w:val="18"/>
      </w:rPr>
      <w:t xml:space="preserve">, </w:t>
    </w:r>
    <w:r w:rsidRPr="00C347EF">
      <w:rPr>
        <w:sz w:val="18"/>
        <w:highlight w:val="yellow"/>
      </w:rPr>
      <w:t>2015/00520-Z1B</w:t>
    </w:r>
    <w:r w:rsidR="00031455">
      <w:rPr>
        <w:sz w:val="18"/>
      </w:rPr>
      <w:t>(PSUR)</w:t>
    </w:r>
    <w:r w:rsidR="00031455">
      <w:rPr>
        <w:sz w:val="18"/>
        <w:szCs w:val="18"/>
      </w:rPr>
      <w:t>o zmene</w:t>
    </w:r>
    <w:r w:rsidRPr="00C347EF">
      <w:rPr>
        <w:sz w:val="18"/>
      </w:rPr>
      <w:t>, ev.</w:t>
    </w:r>
    <w:r w:rsidR="00031455">
      <w:rPr>
        <w:sz w:val="18"/>
        <w:szCs w:val="18"/>
      </w:rPr>
      <w:t xml:space="preserve"> </w:t>
    </w:r>
    <w:r w:rsidRPr="00C347EF">
      <w:rPr>
        <w:sz w:val="18"/>
      </w:rPr>
      <w:t>č.: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15F961"/>
    <w:multiLevelType w:val="hybridMultilevel"/>
    <w:tmpl w:val="EB57CD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F"/>
    <w:multiLevelType w:val="singleLevel"/>
    <w:tmpl w:val="1BE80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6692A05"/>
    <w:multiLevelType w:val="hybridMultilevel"/>
    <w:tmpl w:val="9886BE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E3AEC"/>
    <w:multiLevelType w:val="hybridMultilevel"/>
    <w:tmpl w:val="8876B23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20332"/>
    <w:multiLevelType w:val="hybridMultilevel"/>
    <w:tmpl w:val="6E9E07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F73F9"/>
    <w:multiLevelType w:val="hybridMultilevel"/>
    <w:tmpl w:val="4DA658C4"/>
    <w:lvl w:ilvl="0" w:tplc="D736B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E569E5"/>
    <w:multiLevelType w:val="singleLevel"/>
    <w:tmpl w:val="89E809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4C7DB5"/>
    <w:multiLevelType w:val="hybridMultilevel"/>
    <w:tmpl w:val="82CC3394"/>
    <w:lvl w:ilvl="0" w:tplc="1FEE51F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C6B02"/>
    <w:multiLevelType w:val="multilevel"/>
    <w:tmpl w:val="E3A4AE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4411A30"/>
    <w:multiLevelType w:val="hybridMultilevel"/>
    <w:tmpl w:val="D464B680"/>
    <w:lvl w:ilvl="0" w:tplc="67546644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CA15831"/>
    <w:multiLevelType w:val="hybridMultilevel"/>
    <w:tmpl w:val="D7E2A5D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A0406"/>
    <w:multiLevelType w:val="multilevel"/>
    <w:tmpl w:val="4DA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2F6454"/>
    <w:multiLevelType w:val="hybridMultilevel"/>
    <w:tmpl w:val="2242C4F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D4AA7"/>
    <w:multiLevelType w:val="multilevel"/>
    <w:tmpl w:val="37006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7CCD22F5"/>
    <w:multiLevelType w:val="hybridMultilevel"/>
    <w:tmpl w:val="A65CAD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8"/>
  </w:num>
  <w:num w:numId="4">
    <w:abstractNumId w:val="14"/>
  </w:num>
  <w:num w:numId="5">
    <w:abstractNumId w:val="7"/>
  </w:num>
  <w:num w:numId="6">
    <w:abstractNumId w:val="1"/>
  </w:num>
  <w:num w:numId="7">
    <w:abstractNumId w:val="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3"/>
  </w:num>
  <w:num w:numId="14">
    <w:abstractNumId w:val="0"/>
  </w:num>
  <w:num w:numId="15">
    <w:abstractNumId w:val="4"/>
  </w:num>
  <w:num w:numId="16">
    <w:abstractNumId w:val="13"/>
  </w:num>
  <w:num w:numId="17">
    <w:abstractNumId w:val="11"/>
  </w:num>
  <w:num w:numId="18">
    <w:abstractNumId w:val="10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oslav Litera">
    <w15:presenceInfo w15:providerId="AD" w15:userId="S-1-5-21-2883121066-1603970394-1633130217-1114"/>
  </w15:person>
  <w15:person w15:author="matuskova">
    <w15:presenceInfo w15:providerId="None" w15:userId="matus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13D48"/>
    <w:rsid w:val="0000159E"/>
    <w:rsid w:val="00007B94"/>
    <w:rsid w:val="000114A7"/>
    <w:rsid w:val="00013DE8"/>
    <w:rsid w:val="0001707E"/>
    <w:rsid w:val="00021F7C"/>
    <w:rsid w:val="00031455"/>
    <w:rsid w:val="00045CEF"/>
    <w:rsid w:val="00051B3B"/>
    <w:rsid w:val="00054FBC"/>
    <w:rsid w:val="000560A2"/>
    <w:rsid w:val="00075D50"/>
    <w:rsid w:val="0007627F"/>
    <w:rsid w:val="00084F92"/>
    <w:rsid w:val="00085EBC"/>
    <w:rsid w:val="000913D3"/>
    <w:rsid w:val="000A1FF4"/>
    <w:rsid w:val="000A7D58"/>
    <w:rsid w:val="000B0A3B"/>
    <w:rsid w:val="000D4305"/>
    <w:rsid w:val="000E28BD"/>
    <w:rsid w:val="000F361F"/>
    <w:rsid w:val="001062B2"/>
    <w:rsid w:val="00114585"/>
    <w:rsid w:val="00116979"/>
    <w:rsid w:val="00125F1A"/>
    <w:rsid w:val="00132AE6"/>
    <w:rsid w:val="00136449"/>
    <w:rsid w:val="00146CB8"/>
    <w:rsid w:val="00154F83"/>
    <w:rsid w:val="001561C9"/>
    <w:rsid w:val="001666DF"/>
    <w:rsid w:val="00181C9A"/>
    <w:rsid w:val="00183687"/>
    <w:rsid w:val="001903C3"/>
    <w:rsid w:val="001909D1"/>
    <w:rsid w:val="00196C1C"/>
    <w:rsid w:val="001A1E35"/>
    <w:rsid w:val="001A4DC4"/>
    <w:rsid w:val="001A64DC"/>
    <w:rsid w:val="001A70EA"/>
    <w:rsid w:val="001C29F9"/>
    <w:rsid w:val="001C79AD"/>
    <w:rsid w:val="001D0267"/>
    <w:rsid w:val="001D2241"/>
    <w:rsid w:val="001D2C13"/>
    <w:rsid w:val="001D3DA3"/>
    <w:rsid w:val="001D3E96"/>
    <w:rsid w:val="001D4161"/>
    <w:rsid w:val="001D5244"/>
    <w:rsid w:val="001D5D7C"/>
    <w:rsid w:val="001D7F67"/>
    <w:rsid w:val="001E2C34"/>
    <w:rsid w:val="002006E4"/>
    <w:rsid w:val="00200CD8"/>
    <w:rsid w:val="00215F5D"/>
    <w:rsid w:val="00234119"/>
    <w:rsid w:val="002347AC"/>
    <w:rsid w:val="00234C64"/>
    <w:rsid w:val="0023550B"/>
    <w:rsid w:val="0025677F"/>
    <w:rsid w:val="00281CE2"/>
    <w:rsid w:val="00281F52"/>
    <w:rsid w:val="00283228"/>
    <w:rsid w:val="00283D14"/>
    <w:rsid w:val="00284AB4"/>
    <w:rsid w:val="00286B40"/>
    <w:rsid w:val="002918DC"/>
    <w:rsid w:val="0029211A"/>
    <w:rsid w:val="00293F53"/>
    <w:rsid w:val="002A0263"/>
    <w:rsid w:val="002A19C8"/>
    <w:rsid w:val="002A5756"/>
    <w:rsid w:val="002A5B94"/>
    <w:rsid w:val="002B66BA"/>
    <w:rsid w:val="002C4E06"/>
    <w:rsid w:val="002D4722"/>
    <w:rsid w:val="002D570E"/>
    <w:rsid w:val="002E4438"/>
    <w:rsid w:val="002F2605"/>
    <w:rsid w:val="00317D4B"/>
    <w:rsid w:val="0032140F"/>
    <w:rsid w:val="003223DF"/>
    <w:rsid w:val="00323849"/>
    <w:rsid w:val="00327058"/>
    <w:rsid w:val="00334764"/>
    <w:rsid w:val="00334F2D"/>
    <w:rsid w:val="003354DC"/>
    <w:rsid w:val="00337C5D"/>
    <w:rsid w:val="00342111"/>
    <w:rsid w:val="00343335"/>
    <w:rsid w:val="003435BA"/>
    <w:rsid w:val="00350C8C"/>
    <w:rsid w:val="00351E3D"/>
    <w:rsid w:val="00355E8C"/>
    <w:rsid w:val="00360AAE"/>
    <w:rsid w:val="0036414A"/>
    <w:rsid w:val="00365C4F"/>
    <w:rsid w:val="00376D62"/>
    <w:rsid w:val="0038254C"/>
    <w:rsid w:val="00393EA6"/>
    <w:rsid w:val="003A1CCA"/>
    <w:rsid w:val="003C1034"/>
    <w:rsid w:val="003C1D04"/>
    <w:rsid w:val="003D15B2"/>
    <w:rsid w:val="003D4B68"/>
    <w:rsid w:val="003D7B2B"/>
    <w:rsid w:val="003E7E98"/>
    <w:rsid w:val="003F12F2"/>
    <w:rsid w:val="003F1928"/>
    <w:rsid w:val="003F6B1B"/>
    <w:rsid w:val="00407310"/>
    <w:rsid w:val="00410E55"/>
    <w:rsid w:val="0041186A"/>
    <w:rsid w:val="00420D32"/>
    <w:rsid w:val="004316CD"/>
    <w:rsid w:val="004328A0"/>
    <w:rsid w:val="004363CB"/>
    <w:rsid w:val="00441416"/>
    <w:rsid w:val="0046601F"/>
    <w:rsid w:val="004669BF"/>
    <w:rsid w:val="00473115"/>
    <w:rsid w:val="0047348E"/>
    <w:rsid w:val="00474313"/>
    <w:rsid w:val="00485F96"/>
    <w:rsid w:val="00493432"/>
    <w:rsid w:val="00496240"/>
    <w:rsid w:val="004974B9"/>
    <w:rsid w:val="004B0B0B"/>
    <w:rsid w:val="004B0DEC"/>
    <w:rsid w:val="004B2DAE"/>
    <w:rsid w:val="004B43D9"/>
    <w:rsid w:val="004C35D5"/>
    <w:rsid w:val="004D38CE"/>
    <w:rsid w:val="004D3D24"/>
    <w:rsid w:val="004D7FF0"/>
    <w:rsid w:val="004E18F9"/>
    <w:rsid w:val="004E3C86"/>
    <w:rsid w:val="004F27D0"/>
    <w:rsid w:val="004F373B"/>
    <w:rsid w:val="004F4308"/>
    <w:rsid w:val="00511F2D"/>
    <w:rsid w:val="005120E2"/>
    <w:rsid w:val="00513D48"/>
    <w:rsid w:val="00524853"/>
    <w:rsid w:val="00527CD9"/>
    <w:rsid w:val="0053570C"/>
    <w:rsid w:val="005506C5"/>
    <w:rsid w:val="00562F1A"/>
    <w:rsid w:val="005655B7"/>
    <w:rsid w:val="00571A10"/>
    <w:rsid w:val="00590A4C"/>
    <w:rsid w:val="005A0C8D"/>
    <w:rsid w:val="005A16B9"/>
    <w:rsid w:val="005A1C63"/>
    <w:rsid w:val="005A467E"/>
    <w:rsid w:val="005C18A6"/>
    <w:rsid w:val="005C61C7"/>
    <w:rsid w:val="005D5305"/>
    <w:rsid w:val="005F091B"/>
    <w:rsid w:val="005F11EC"/>
    <w:rsid w:val="005F1F9F"/>
    <w:rsid w:val="005F7A9C"/>
    <w:rsid w:val="006009AF"/>
    <w:rsid w:val="00615F2B"/>
    <w:rsid w:val="0062108C"/>
    <w:rsid w:val="00641DDB"/>
    <w:rsid w:val="00644CDB"/>
    <w:rsid w:val="00656608"/>
    <w:rsid w:val="0066485C"/>
    <w:rsid w:val="0067021D"/>
    <w:rsid w:val="00677D49"/>
    <w:rsid w:val="00680760"/>
    <w:rsid w:val="00684162"/>
    <w:rsid w:val="00692975"/>
    <w:rsid w:val="006A3E8D"/>
    <w:rsid w:val="006B0D31"/>
    <w:rsid w:val="006B44AE"/>
    <w:rsid w:val="006C3013"/>
    <w:rsid w:val="006C5856"/>
    <w:rsid w:val="006D4F67"/>
    <w:rsid w:val="006D5D26"/>
    <w:rsid w:val="006F0EEF"/>
    <w:rsid w:val="006F1380"/>
    <w:rsid w:val="00701492"/>
    <w:rsid w:val="00711CAC"/>
    <w:rsid w:val="007225BA"/>
    <w:rsid w:val="00725A6B"/>
    <w:rsid w:val="0072682C"/>
    <w:rsid w:val="00727A2A"/>
    <w:rsid w:val="00734CC7"/>
    <w:rsid w:val="0074159C"/>
    <w:rsid w:val="00762086"/>
    <w:rsid w:val="0077094C"/>
    <w:rsid w:val="00791AC4"/>
    <w:rsid w:val="00797893"/>
    <w:rsid w:val="007A37A2"/>
    <w:rsid w:val="007B13DE"/>
    <w:rsid w:val="007B4741"/>
    <w:rsid w:val="007B7CC3"/>
    <w:rsid w:val="007C08E4"/>
    <w:rsid w:val="007D19FE"/>
    <w:rsid w:val="007D3525"/>
    <w:rsid w:val="007E1F92"/>
    <w:rsid w:val="007F2AC1"/>
    <w:rsid w:val="00810269"/>
    <w:rsid w:val="00810A1B"/>
    <w:rsid w:val="00814AE4"/>
    <w:rsid w:val="00821267"/>
    <w:rsid w:val="0083223E"/>
    <w:rsid w:val="00834C7E"/>
    <w:rsid w:val="008376E6"/>
    <w:rsid w:val="008406A3"/>
    <w:rsid w:val="008471ED"/>
    <w:rsid w:val="008524E8"/>
    <w:rsid w:val="008526E9"/>
    <w:rsid w:val="008612A6"/>
    <w:rsid w:val="00863DC6"/>
    <w:rsid w:val="008656F8"/>
    <w:rsid w:val="008668C1"/>
    <w:rsid w:val="0087172B"/>
    <w:rsid w:val="00880E03"/>
    <w:rsid w:val="00887D95"/>
    <w:rsid w:val="008901EE"/>
    <w:rsid w:val="00894058"/>
    <w:rsid w:val="008951B2"/>
    <w:rsid w:val="0089783D"/>
    <w:rsid w:val="008A1815"/>
    <w:rsid w:val="008A56E1"/>
    <w:rsid w:val="008A5F66"/>
    <w:rsid w:val="008B4945"/>
    <w:rsid w:val="008C3B8B"/>
    <w:rsid w:val="008C7FD1"/>
    <w:rsid w:val="008D26B0"/>
    <w:rsid w:val="008E0170"/>
    <w:rsid w:val="008F0D94"/>
    <w:rsid w:val="008F1E46"/>
    <w:rsid w:val="008F3322"/>
    <w:rsid w:val="008F5BA1"/>
    <w:rsid w:val="00911598"/>
    <w:rsid w:val="00911896"/>
    <w:rsid w:val="00917854"/>
    <w:rsid w:val="009261F5"/>
    <w:rsid w:val="00934F62"/>
    <w:rsid w:val="0095153F"/>
    <w:rsid w:val="00955F55"/>
    <w:rsid w:val="00957E21"/>
    <w:rsid w:val="00961609"/>
    <w:rsid w:val="00985F5D"/>
    <w:rsid w:val="009A243E"/>
    <w:rsid w:val="009B3BA3"/>
    <w:rsid w:val="009B4CB5"/>
    <w:rsid w:val="009B5473"/>
    <w:rsid w:val="009C0D1F"/>
    <w:rsid w:val="009C3610"/>
    <w:rsid w:val="009C6CBE"/>
    <w:rsid w:val="009C6EB1"/>
    <w:rsid w:val="009D097B"/>
    <w:rsid w:val="009D5BC5"/>
    <w:rsid w:val="009D5DF8"/>
    <w:rsid w:val="009E24AC"/>
    <w:rsid w:val="009E3E13"/>
    <w:rsid w:val="009F0E46"/>
    <w:rsid w:val="009F1DAF"/>
    <w:rsid w:val="00A00508"/>
    <w:rsid w:val="00A01916"/>
    <w:rsid w:val="00A05AFA"/>
    <w:rsid w:val="00A11C78"/>
    <w:rsid w:val="00A147A8"/>
    <w:rsid w:val="00A14DFD"/>
    <w:rsid w:val="00A16B7F"/>
    <w:rsid w:val="00A2026D"/>
    <w:rsid w:val="00A25524"/>
    <w:rsid w:val="00A26558"/>
    <w:rsid w:val="00A31390"/>
    <w:rsid w:val="00A40657"/>
    <w:rsid w:val="00A40DB6"/>
    <w:rsid w:val="00A462B4"/>
    <w:rsid w:val="00A6034B"/>
    <w:rsid w:val="00A65C67"/>
    <w:rsid w:val="00A76253"/>
    <w:rsid w:val="00A814CD"/>
    <w:rsid w:val="00A821E2"/>
    <w:rsid w:val="00A92ED3"/>
    <w:rsid w:val="00A94922"/>
    <w:rsid w:val="00AA5560"/>
    <w:rsid w:val="00AA575E"/>
    <w:rsid w:val="00AA6E0E"/>
    <w:rsid w:val="00AB0E3F"/>
    <w:rsid w:val="00AD71AC"/>
    <w:rsid w:val="00AE0A82"/>
    <w:rsid w:val="00AE7FC0"/>
    <w:rsid w:val="00AF34EA"/>
    <w:rsid w:val="00B01E89"/>
    <w:rsid w:val="00B04BCC"/>
    <w:rsid w:val="00B12C3A"/>
    <w:rsid w:val="00B2220B"/>
    <w:rsid w:val="00B3197F"/>
    <w:rsid w:val="00B42F32"/>
    <w:rsid w:val="00B619E7"/>
    <w:rsid w:val="00B6437C"/>
    <w:rsid w:val="00B67541"/>
    <w:rsid w:val="00B7175D"/>
    <w:rsid w:val="00B7287E"/>
    <w:rsid w:val="00B800B8"/>
    <w:rsid w:val="00B83B5C"/>
    <w:rsid w:val="00B91F5E"/>
    <w:rsid w:val="00B9444D"/>
    <w:rsid w:val="00BA17EF"/>
    <w:rsid w:val="00BA2CC1"/>
    <w:rsid w:val="00BA2E40"/>
    <w:rsid w:val="00BA527B"/>
    <w:rsid w:val="00BA5586"/>
    <w:rsid w:val="00BB03C5"/>
    <w:rsid w:val="00BB04AF"/>
    <w:rsid w:val="00BB2347"/>
    <w:rsid w:val="00BB2400"/>
    <w:rsid w:val="00BB5E02"/>
    <w:rsid w:val="00BC3285"/>
    <w:rsid w:val="00BC5106"/>
    <w:rsid w:val="00BC5E12"/>
    <w:rsid w:val="00BC75AB"/>
    <w:rsid w:val="00BC773D"/>
    <w:rsid w:val="00BD01C7"/>
    <w:rsid w:val="00BD4CD0"/>
    <w:rsid w:val="00BD7BFC"/>
    <w:rsid w:val="00BE06D7"/>
    <w:rsid w:val="00BE39D5"/>
    <w:rsid w:val="00BE7953"/>
    <w:rsid w:val="00BF19A6"/>
    <w:rsid w:val="00BF6934"/>
    <w:rsid w:val="00C07E4B"/>
    <w:rsid w:val="00C156D0"/>
    <w:rsid w:val="00C33E57"/>
    <w:rsid w:val="00C347EF"/>
    <w:rsid w:val="00C41C0E"/>
    <w:rsid w:val="00C4502A"/>
    <w:rsid w:val="00C45822"/>
    <w:rsid w:val="00C51986"/>
    <w:rsid w:val="00C53D1D"/>
    <w:rsid w:val="00C664CB"/>
    <w:rsid w:val="00C672F3"/>
    <w:rsid w:val="00C67DA7"/>
    <w:rsid w:val="00C7105A"/>
    <w:rsid w:val="00C74E70"/>
    <w:rsid w:val="00C80411"/>
    <w:rsid w:val="00CB45EB"/>
    <w:rsid w:val="00CB5E5B"/>
    <w:rsid w:val="00CD5333"/>
    <w:rsid w:val="00CD695E"/>
    <w:rsid w:val="00CD73F3"/>
    <w:rsid w:val="00CE0A8E"/>
    <w:rsid w:val="00CE3DCD"/>
    <w:rsid w:val="00CF4564"/>
    <w:rsid w:val="00D0130E"/>
    <w:rsid w:val="00D04D0F"/>
    <w:rsid w:val="00D052AD"/>
    <w:rsid w:val="00D13113"/>
    <w:rsid w:val="00D1513B"/>
    <w:rsid w:val="00D155AC"/>
    <w:rsid w:val="00D21E99"/>
    <w:rsid w:val="00D22C22"/>
    <w:rsid w:val="00D240CF"/>
    <w:rsid w:val="00D309FC"/>
    <w:rsid w:val="00D37F65"/>
    <w:rsid w:val="00D41752"/>
    <w:rsid w:val="00D42E67"/>
    <w:rsid w:val="00D46143"/>
    <w:rsid w:val="00D46600"/>
    <w:rsid w:val="00D53AC4"/>
    <w:rsid w:val="00D55969"/>
    <w:rsid w:val="00D60B9C"/>
    <w:rsid w:val="00D6362D"/>
    <w:rsid w:val="00D82FCA"/>
    <w:rsid w:val="00D84183"/>
    <w:rsid w:val="00D947AC"/>
    <w:rsid w:val="00D96206"/>
    <w:rsid w:val="00D965FD"/>
    <w:rsid w:val="00DA65DF"/>
    <w:rsid w:val="00DB0033"/>
    <w:rsid w:val="00DB033B"/>
    <w:rsid w:val="00DB0814"/>
    <w:rsid w:val="00DB72EA"/>
    <w:rsid w:val="00DD2B85"/>
    <w:rsid w:val="00DE3791"/>
    <w:rsid w:val="00DE541E"/>
    <w:rsid w:val="00DF7A31"/>
    <w:rsid w:val="00E0127C"/>
    <w:rsid w:val="00E04DB9"/>
    <w:rsid w:val="00E057D9"/>
    <w:rsid w:val="00E06A1F"/>
    <w:rsid w:val="00E208D1"/>
    <w:rsid w:val="00E224C5"/>
    <w:rsid w:val="00E2447D"/>
    <w:rsid w:val="00E349CB"/>
    <w:rsid w:val="00E35240"/>
    <w:rsid w:val="00E40FFE"/>
    <w:rsid w:val="00E624EF"/>
    <w:rsid w:val="00E7792A"/>
    <w:rsid w:val="00E81BDB"/>
    <w:rsid w:val="00E83B96"/>
    <w:rsid w:val="00E9722C"/>
    <w:rsid w:val="00E97D6B"/>
    <w:rsid w:val="00EA0812"/>
    <w:rsid w:val="00EA0A75"/>
    <w:rsid w:val="00EB2D12"/>
    <w:rsid w:val="00EC5CB8"/>
    <w:rsid w:val="00ED11A1"/>
    <w:rsid w:val="00ED1EC7"/>
    <w:rsid w:val="00EE2FCE"/>
    <w:rsid w:val="00EF211A"/>
    <w:rsid w:val="00F11F8A"/>
    <w:rsid w:val="00F2065E"/>
    <w:rsid w:val="00F242FF"/>
    <w:rsid w:val="00F43ACA"/>
    <w:rsid w:val="00F464D4"/>
    <w:rsid w:val="00F47809"/>
    <w:rsid w:val="00F52016"/>
    <w:rsid w:val="00F73D2C"/>
    <w:rsid w:val="00F750B8"/>
    <w:rsid w:val="00F76913"/>
    <w:rsid w:val="00F855CC"/>
    <w:rsid w:val="00F91CAD"/>
    <w:rsid w:val="00FB5497"/>
    <w:rsid w:val="00FC19B8"/>
    <w:rsid w:val="00FC2DE9"/>
    <w:rsid w:val="00FC3A3E"/>
    <w:rsid w:val="00FC49CE"/>
    <w:rsid w:val="00FC4F7E"/>
    <w:rsid w:val="00FC6243"/>
    <w:rsid w:val="00FD1C33"/>
    <w:rsid w:val="00FD406C"/>
    <w:rsid w:val="00FE1E97"/>
    <w:rsid w:val="00FE52F4"/>
    <w:rsid w:val="00FE6F28"/>
    <w:rsid w:val="00FF3189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6B4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BA2CC1"/>
    <w:pPr>
      <w:keepNext/>
      <w:spacing w:before="60" w:after="12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BA2CC1"/>
    <w:pPr>
      <w:keepNext/>
      <w:spacing w:after="120"/>
      <w:outlineLvl w:val="1"/>
    </w:pPr>
    <w:rPr>
      <w:rFonts w:cs="Arial"/>
      <w:b/>
      <w:bCs/>
      <w:iCs/>
      <w:sz w:val="24"/>
      <w:szCs w:val="28"/>
    </w:rPr>
  </w:style>
  <w:style w:type="paragraph" w:styleId="Nadpis7">
    <w:name w:val="heading 7"/>
    <w:basedOn w:val="Normlny"/>
    <w:next w:val="Normlny"/>
    <w:link w:val="Nadpis7Char"/>
    <w:qFormat/>
    <w:rsid w:val="00BA2CC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uiPriority w:val="99"/>
    <w:rsid w:val="00BD01C7"/>
    <w:pPr>
      <w:keepNext/>
      <w:spacing w:before="360" w:after="120"/>
      <w:ind w:left="0" w:firstLine="0"/>
    </w:pPr>
    <w:rPr>
      <w:b/>
      <w:bCs/>
      <w:color w:val="000000"/>
      <w:lang w:val="en-GB"/>
    </w:rPr>
  </w:style>
  <w:style w:type="paragraph" w:customStyle="1" w:styleId="Styl2">
    <w:name w:val="Styl2"/>
    <w:basedOn w:val="Normlny"/>
    <w:uiPriority w:val="99"/>
    <w:rsid w:val="0007627F"/>
    <w:pPr>
      <w:keepNext/>
      <w:spacing w:before="120" w:after="120"/>
      <w:ind w:left="0" w:firstLine="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autoRedefine/>
    <w:rsid w:val="003F12F2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3F12F2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rsid w:val="0007627F"/>
    <w:pPr>
      <w:suppressAutoHyphens/>
      <w:spacing w:after="120"/>
      <w:ind w:left="0" w:firstLine="0"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07627F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91F5E"/>
    <w:pPr>
      <w:numPr>
        <w:numId w:val="3"/>
      </w:numPr>
      <w:tabs>
        <w:tab w:val="num" w:pos="709"/>
      </w:tabs>
      <w:ind w:left="360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uiPriority w:val="99"/>
    <w:qFormat/>
    <w:rsid w:val="00BA2CC1"/>
    <w:pPr>
      <w:spacing w:before="240" w:after="120"/>
      <w:jc w:val="center"/>
    </w:pPr>
    <w:rPr>
      <w:b/>
      <w:szCs w:val="20"/>
    </w:rPr>
  </w:style>
  <w:style w:type="paragraph" w:styleId="Pta">
    <w:name w:val="footer"/>
    <w:basedOn w:val="Normlny"/>
    <w:link w:val="PtaChar"/>
    <w:rsid w:val="004363CB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4363CB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slostrany">
    <w:name w:val="page number"/>
    <w:basedOn w:val="Predvolenpsmoodseku"/>
    <w:rsid w:val="004363CB"/>
  </w:style>
  <w:style w:type="paragraph" w:customStyle="1" w:styleId="Normlntabulkandbdoleva">
    <w:name w:val="Normální tabulka ndb doleva"/>
    <w:basedOn w:val="Normlndobloku"/>
    <w:autoRedefine/>
    <w:rsid w:val="00136449"/>
    <w:pPr>
      <w:autoSpaceDE w:val="0"/>
      <w:autoSpaceDN w:val="0"/>
      <w:adjustRightInd w:val="0"/>
      <w:spacing w:after="60"/>
      <w:jc w:val="left"/>
    </w:pPr>
    <w:rPr>
      <w:rFonts w:ascii="TimesNewRoman" w:eastAsia="Times New Roman" w:hAnsi="TimesNewRoman"/>
      <w:szCs w:val="20"/>
    </w:rPr>
  </w:style>
  <w:style w:type="paragraph" w:styleId="Hlavika">
    <w:name w:val="header"/>
    <w:basedOn w:val="Normlny"/>
    <w:link w:val="HlavikaChar"/>
    <w:unhideWhenUsed/>
    <w:rsid w:val="00BA2C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462B4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Textbubliny">
    <w:name w:val="Balloon Text"/>
    <w:basedOn w:val="Normlny"/>
    <w:link w:val="TextbublinyChar"/>
    <w:semiHidden/>
    <w:unhideWhenUsed/>
    <w:rsid w:val="00BA2C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A11C78"/>
    <w:rPr>
      <w:rFonts w:ascii="Tahoma" w:eastAsia="Times New Roman" w:hAnsi="Tahoma" w:cs="Tahoma"/>
      <w:sz w:val="16"/>
      <w:szCs w:val="16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BA2CC1"/>
    <w:rPr>
      <w:rFonts w:ascii="Times New Roman" w:eastAsia="Times New Roman" w:hAnsi="Times New Roman" w:cs="Arial"/>
      <w:b/>
      <w:bCs/>
      <w:caps/>
      <w:kern w:val="32"/>
      <w:sz w:val="24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BA2CC1"/>
    <w:rPr>
      <w:rFonts w:ascii="Times New Roman" w:eastAsia="Times New Roman" w:hAnsi="Times New Roman" w:cs="Arial"/>
      <w:b/>
      <w:bCs/>
      <w:iCs/>
      <w:sz w:val="24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BA2CC1"/>
    <w:rPr>
      <w:rFonts w:ascii="Times New Roman" w:eastAsia="Times New Roman" w:hAnsi="Times New Roman" w:cs="Times New Roman"/>
      <w:i/>
      <w:szCs w:val="20"/>
    </w:rPr>
  </w:style>
  <w:style w:type="character" w:styleId="Hypertextovprepojenie">
    <w:name w:val="Hyperlink"/>
    <w:rsid w:val="00BA2CC1"/>
    <w:rPr>
      <w:color w:val="0000FF"/>
      <w:u w:val="single"/>
    </w:rPr>
  </w:style>
  <w:style w:type="character" w:styleId="Odkaznakomentr">
    <w:name w:val="annotation reference"/>
    <w:semiHidden/>
    <w:rsid w:val="00BA2CC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A2CC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A2CC1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BA2CC1"/>
    <w:rPr>
      <w:b/>
      <w:bCs/>
    </w:rPr>
  </w:style>
  <w:style w:type="paragraph" w:customStyle="1" w:styleId="EMEAEnBodyText">
    <w:name w:val="EMEA En Body Text"/>
    <w:basedOn w:val="Normlny"/>
    <w:rsid w:val="00BA2CC1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BA2CC1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BA2CC1"/>
    <w:rPr>
      <w:rFonts w:ascii="Times New Roman" w:eastAsia="Times New Roman" w:hAnsi="Times New Roman" w:cs="Times New Roman"/>
      <w:szCs w:val="24"/>
      <w:lang w:val="sk-SK" w:eastAsia="sk-SK"/>
    </w:rPr>
  </w:style>
  <w:style w:type="paragraph" w:customStyle="1" w:styleId="Textbubliny1">
    <w:name w:val="Text bubliny1"/>
    <w:basedOn w:val="Normlny"/>
    <w:semiHidden/>
    <w:rsid w:val="00BA2CC1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rsid w:val="00BA2CC1"/>
    <w:pPr>
      <w:spacing w:after="120"/>
      <w:ind w:left="720" w:firstLine="0"/>
    </w:pPr>
    <w:rPr>
      <w:szCs w:val="20"/>
      <w:lang w:val="en-GB" w:eastAsia="en-GB"/>
    </w:rPr>
  </w:style>
  <w:style w:type="paragraph" w:customStyle="1" w:styleId="Hlavikytabulek">
    <w:name w:val="Hlavičky tabulek"/>
    <w:basedOn w:val="Styl1"/>
    <w:rsid w:val="00BA2CC1"/>
    <w:pPr>
      <w:keepNext w:val="0"/>
      <w:autoSpaceDE w:val="0"/>
      <w:autoSpaceDN w:val="0"/>
      <w:adjustRightInd w:val="0"/>
      <w:spacing w:before="0" w:after="240"/>
      <w:jc w:val="both"/>
    </w:pPr>
    <w:rPr>
      <w:b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0D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0D1F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customStyle="1" w:styleId="CM18">
    <w:name w:val="CM18"/>
    <w:basedOn w:val="Normlny"/>
    <w:next w:val="Normlny"/>
    <w:uiPriority w:val="99"/>
    <w:rsid w:val="001D5D7C"/>
    <w:pPr>
      <w:widowControl w:val="0"/>
      <w:autoSpaceDE w:val="0"/>
      <w:autoSpaceDN w:val="0"/>
      <w:adjustRightInd w:val="0"/>
      <w:ind w:left="0" w:firstLine="0"/>
    </w:pPr>
    <w:rPr>
      <w:sz w:val="24"/>
      <w:lang w:val="sv-SE" w:eastAsia="sv-SE"/>
    </w:rPr>
  </w:style>
  <w:style w:type="paragraph" w:customStyle="1" w:styleId="Default">
    <w:name w:val="Default"/>
    <w:rsid w:val="00FE6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customStyle="1" w:styleId="CM19">
    <w:name w:val="CM19"/>
    <w:basedOn w:val="Default"/>
    <w:next w:val="Default"/>
    <w:uiPriority w:val="99"/>
    <w:rsid w:val="00FE6F28"/>
    <w:rPr>
      <w:color w:val="auto"/>
    </w:rPr>
  </w:style>
  <w:style w:type="paragraph" w:customStyle="1" w:styleId="CM2">
    <w:name w:val="CM2"/>
    <w:basedOn w:val="Default"/>
    <w:next w:val="Default"/>
    <w:uiPriority w:val="99"/>
    <w:rsid w:val="00FE6F28"/>
    <w:pPr>
      <w:spacing w:line="260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420D32"/>
    <w:rPr>
      <w:color w:val="auto"/>
    </w:rPr>
  </w:style>
  <w:style w:type="paragraph" w:styleId="Revzia">
    <w:name w:val="Revision"/>
    <w:hidden/>
    <w:uiPriority w:val="99"/>
    <w:semiHidden/>
    <w:rsid w:val="00DF7A31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hps">
    <w:name w:val="hps"/>
    <w:basedOn w:val="Predvolenpsmoodseku"/>
    <w:rsid w:val="00F91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8D85-7A1B-4D1C-BF1F-9AEEF0AB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12</Pages>
  <Words>3746</Words>
  <Characters>21353</Characters>
  <Application>Microsoft Office Word</Application>
  <DocSecurity>0</DocSecurity>
  <Lines>177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25049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Litera</dc:creator>
  <cp:lastModifiedBy> Jana Repiščáková</cp:lastModifiedBy>
  <cp:revision>47</cp:revision>
  <cp:lastPrinted>2018-05-11T06:54:00Z</cp:lastPrinted>
  <dcterms:created xsi:type="dcterms:W3CDTF">2018-08-07T12:19:00Z</dcterms:created>
  <dcterms:modified xsi:type="dcterms:W3CDTF">2018-10-03T09:25:00Z</dcterms:modified>
</cp:coreProperties>
</file>