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7322C" w14:textId="77777777" w:rsidR="00494F42" w:rsidRDefault="00494F42" w:rsidP="00C35EC9">
      <w:pPr>
        <w:spacing w:line="240" w:lineRule="auto"/>
        <w:jc w:val="center"/>
        <w:rPr>
          <w:b/>
          <w:caps/>
        </w:rPr>
      </w:pPr>
    </w:p>
    <w:p w14:paraId="391605F3" w14:textId="77777777" w:rsidR="00731A27" w:rsidRPr="003D64E0" w:rsidRDefault="00731A27" w:rsidP="00C35EC9">
      <w:pPr>
        <w:spacing w:line="240" w:lineRule="auto"/>
        <w:jc w:val="center"/>
        <w:rPr>
          <w:b/>
          <w:caps/>
          <w:szCs w:val="22"/>
        </w:rPr>
      </w:pPr>
      <w:r w:rsidRPr="003D64E0">
        <w:rPr>
          <w:b/>
          <w:caps/>
        </w:rPr>
        <w:t>Súhrn charakteristických vlastností lieku</w:t>
      </w:r>
    </w:p>
    <w:p w14:paraId="0120A7A7" w14:textId="77777777" w:rsidR="00DF1154" w:rsidRPr="003D64E0" w:rsidRDefault="00DF1154" w:rsidP="00DF1154">
      <w:pPr>
        <w:spacing w:line="240" w:lineRule="auto"/>
        <w:rPr>
          <w:bCs/>
          <w:caps/>
          <w:szCs w:val="22"/>
        </w:rPr>
      </w:pPr>
    </w:p>
    <w:p w14:paraId="5CCC5A21" w14:textId="77777777" w:rsidR="00DF1154" w:rsidRPr="003D64E0" w:rsidRDefault="00DF1154" w:rsidP="00DF1154">
      <w:pPr>
        <w:spacing w:line="240" w:lineRule="auto"/>
        <w:rPr>
          <w:bCs/>
          <w:caps/>
          <w:szCs w:val="22"/>
        </w:rPr>
      </w:pPr>
    </w:p>
    <w:p w14:paraId="1CEF08FB" w14:textId="44F83322" w:rsidR="00DA2774" w:rsidRPr="003D64E0" w:rsidRDefault="00DA2774" w:rsidP="00C35EC9">
      <w:pPr>
        <w:pStyle w:val="Nadpis1"/>
        <w:spacing w:before="0" w:line="240" w:lineRule="auto"/>
      </w:pPr>
      <w:r w:rsidRPr="003D64E0">
        <w:t>1.</w:t>
      </w:r>
      <w:r w:rsidRPr="003D64E0">
        <w:tab/>
        <w:t>Názov lieku</w:t>
      </w:r>
    </w:p>
    <w:p w14:paraId="19384686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0E3DE3B2" w14:textId="77777777" w:rsidR="00FF0BD5" w:rsidRDefault="0072489E" w:rsidP="00C35EC9">
      <w:pPr>
        <w:spacing w:line="240" w:lineRule="auto"/>
      </w:pPr>
      <w:proofErr w:type="spellStart"/>
      <w:r w:rsidRPr="003D64E0">
        <w:t>Viant</w:t>
      </w:r>
      <w:proofErr w:type="spellEnd"/>
    </w:p>
    <w:p w14:paraId="1EF64525" w14:textId="06A3A822" w:rsidR="00731A27" w:rsidRPr="003D64E0" w:rsidRDefault="0072489E" w:rsidP="00C35EC9">
      <w:pPr>
        <w:spacing w:line="240" w:lineRule="auto"/>
        <w:rPr>
          <w:szCs w:val="22"/>
        </w:rPr>
      </w:pPr>
      <w:r w:rsidRPr="003D64E0">
        <w:t>prášok na</w:t>
      </w:r>
      <w:r w:rsidR="009B0507" w:rsidRPr="003D64E0">
        <w:t xml:space="preserve"> </w:t>
      </w:r>
      <w:proofErr w:type="spellStart"/>
      <w:r w:rsidRPr="003D64E0">
        <w:t>infúzny</w:t>
      </w:r>
      <w:proofErr w:type="spellEnd"/>
      <w:r w:rsidRPr="003D64E0">
        <w:t xml:space="preserve"> roztok</w:t>
      </w:r>
    </w:p>
    <w:p w14:paraId="0B7C2722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34F5FCAC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68C75456" w14:textId="77777777" w:rsidR="00DA2774" w:rsidRPr="003D64E0" w:rsidRDefault="00DA2774" w:rsidP="00C35EC9">
      <w:pPr>
        <w:pStyle w:val="Nadpis1"/>
        <w:spacing w:before="0" w:line="240" w:lineRule="auto"/>
      </w:pPr>
      <w:r w:rsidRPr="003D64E0">
        <w:t>2.</w:t>
      </w:r>
      <w:r w:rsidRPr="003D64E0">
        <w:tab/>
        <w:t>Kvalitatívne a kvantitatívne zloženie</w:t>
      </w:r>
    </w:p>
    <w:p w14:paraId="41FB546A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61E232EF" w14:textId="03A49A07" w:rsidR="00DA2774" w:rsidRPr="003D64E0" w:rsidRDefault="00DA2774" w:rsidP="00C35EC9">
      <w:pPr>
        <w:spacing w:line="240" w:lineRule="auto"/>
        <w:rPr>
          <w:szCs w:val="22"/>
        </w:rPr>
      </w:pPr>
      <w:r w:rsidRPr="003D64E0">
        <w:t>Jedna injekčná liekovka s 932 mg </w:t>
      </w:r>
      <w:r w:rsidRPr="00AF5F04">
        <w:t>sušiny</w:t>
      </w:r>
      <w:r w:rsidRPr="003D64E0">
        <w:t xml:space="preserve"> (prášok) obsahuje:</w:t>
      </w:r>
    </w:p>
    <w:p w14:paraId="3DC8DF27" w14:textId="77777777" w:rsidR="00DA2774" w:rsidRPr="003D64E0" w:rsidRDefault="00DA2774" w:rsidP="00C35EC9">
      <w:pPr>
        <w:spacing w:line="240" w:lineRule="auto"/>
        <w:rPr>
          <w:szCs w:val="22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1"/>
        <w:gridCol w:w="3337"/>
        <w:gridCol w:w="1275"/>
        <w:gridCol w:w="2970"/>
        <w:gridCol w:w="999"/>
      </w:tblGrid>
      <w:tr w:rsidR="00DA2774" w:rsidRPr="003D64E0" w14:paraId="24E7E258" w14:textId="77777777" w:rsidTr="00A82817">
        <w:tc>
          <w:tcPr>
            <w:tcW w:w="491" w:type="dxa"/>
          </w:tcPr>
          <w:p w14:paraId="5E25BD53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1.</w:t>
            </w:r>
          </w:p>
        </w:tc>
        <w:tc>
          <w:tcPr>
            <w:tcW w:w="3337" w:type="dxa"/>
          </w:tcPr>
          <w:p w14:paraId="65109737" w14:textId="77777777" w:rsidR="00827E6D" w:rsidRDefault="00827E6D" w:rsidP="002F0687">
            <w:pPr>
              <w:spacing w:line="240" w:lineRule="auto"/>
            </w:pPr>
            <w:proofErr w:type="spellStart"/>
            <w:r>
              <w:t>retinol</w:t>
            </w:r>
            <w:proofErr w:type="spellEnd"/>
            <w:r>
              <w:t xml:space="preserve"> (</w:t>
            </w:r>
            <w:r w:rsidR="00C17763" w:rsidRPr="003D64E0">
              <w:t xml:space="preserve">vitamín </w:t>
            </w:r>
            <w:r w:rsidR="00FD7563" w:rsidRPr="003D64E0">
              <w:t>A</w:t>
            </w:r>
            <w:r>
              <w:t>)</w:t>
            </w:r>
          </w:p>
          <w:p w14:paraId="68DCF10B" w14:textId="4F75D5DA" w:rsidR="00DA2774" w:rsidRPr="003D64E0" w:rsidRDefault="00FD7563" w:rsidP="002F0687">
            <w:pPr>
              <w:spacing w:line="240" w:lineRule="auto"/>
              <w:rPr>
                <w:szCs w:val="22"/>
              </w:rPr>
            </w:pPr>
            <w:r w:rsidRPr="003D64E0">
              <w:t>(</w:t>
            </w:r>
            <w:r w:rsidR="0014615C">
              <w:t>vo forme</w:t>
            </w:r>
            <w:r w:rsidRPr="003D64E0">
              <w:t xml:space="preserve"> </w:t>
            </w:r>
            <w:proofErr w:type="spellStart"/>
            <w:r w:rsidRPr="003D64E0">
              <w:t>retinolpalmitát</w:t>
            </w:r>
            <w:r w:rsidR="0014615C">
              <w:t>u</w:t>
            </w:r>
            <w:proofErr w:type="spellEnd"/>
            <w:r w:rsidRPr="003D64E0">
              <w:t>)</w:t>
            </w:r>
          </w:p>
        </w:tc>
        <w:tc>
          <w:tcPr>
            <w:tcW w:w="1275" w:type="dxa"/>
          </w:tcPr>
          <w:p w14:paraId="4FE08136" w14:textId="5CD90ED0" w:rsidR="00DA2774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</w:pPr>
            <w:r>
              <w:t xml:space="preserve"> </w:t>
            </w:r>
            <w:bookmarkStart w:id="0" w:name="_GoBack"/>
            <w:bookmarkEnd w:id="0"/>
            <w:r w:rsidR="005C4585" w:rsidRPr="003D64E0">
              <w:t>1,</w:t>
            </w:r>
            <w:r w:rsidR="00827E6D">
              <w:t>01</w:t>
            </w:r>
            <w:r w:rsidR="005E5061" w:rsidRPr="003D64E0">
              <w:t> </w:t>
            </w:r>
            <w:r w:rsidR="005C4585" w:rsidRPr="003D64E0">
              <w:t>mg</w:t>
            </w:r>
          </w:p>
          <w:p w14:paraId="7F180F4E" w14:textId="35DC3B3B" w:rsidR="00827E6D" w:rsidRPr="003D64E0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27E6D">
              <w:rPr>
                <w:szCs w:val="22"/>
              </w:rPr>
              <w:t>1,82 mg</w:t>
            </w:r>
          </w:p>
        </w:tc>
        <w:tc>
          <w:tcPr>
            <w:tcW w:w="2970" w:type="dxa"/>
          </w:tcPr>
          <w:p w14:paraId="59101B25" w14:textId="7699DA31" w:rsidR="00DA2774" w:rsidRPr="003D64E0" w:rsidRDefault="00B46EFD" w:rsidP="00A82817">
            <w:pPr>
              <w:spacing w:line="240" w:lineRule="auto"/>
              <w:rPr>
                <w:szCs w:val="22"/>
              </w:rPr>
            </w:pPr>
            <w:r>
              <w:t>čo zodpovedá</w:t>
            </w:r>
            <w:r w:rsidR="00DA2774" w:rsidRPr="003D64E0">
              <w:t xml:space="preserve"> </w:t>
            </w:r>
            <w:proofErr w:type="spellStart"/>
            <w:r w:rsidR="00DA2774" w:rsidRPr="003D64E0">
              <w:t>retinolu</w:t>
            </w:r>
            <w:proofErr w:type="spellEnd"/>
            <w:r w:rsidR="00DA2774" w:rsidRPr="003D64E0">
              <w:t xml:space="preserve"> (vit</w:t>
            </w:r>
            <w:r w:rsidR="008D6B85">
              <w:t>amín</w:t>
            </w:r>
            <w:r w:rsidR="00A82817">
              <w:t> </w:t>
            </w:r>
            <w:r w:rsidR="00DA2774" w:rsidRPr="003D64E0">
              <w:t>A)</w:t>
            </w:r>
          </w:p>
        </w:tc>
        <w:tc>
          <w:tcPr>
            <w:tcW w:w="999" w:type="dxa"/>
          </w:tcPr>
          <w:p w14:paraId="59EE455D" w14:textId="6D2F157F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3</w:t>
            </w:r>
            <w:r w:rsidR="002D4C7F" w:rsidRPr="003D64E0">
              <w:t> </w:t>
            </w:r>
            <w:r w:rsidRPr="003D64E0">
              <w:t>300 IU</w:t>
            </w:r>
          </w:p>
        </w:tc>
      </w:tr>
      <w:tr w:rsidR="00DA2774" w:rsidRPr="003D64E0" w14:paraId="4292B1C8" w14:textId="77777777" w:rsidTr="00A82817">
        <w:tc>
          <w:tcPr>
            <w:tcW w:w="491" w:type="dxa"/>
          </w:tcPr>
          <w:p w14:paraId="6EE31079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2.</w:t>
            </w:r>
          </w:p>
        </w:tc>
        <w:tc>
          <w:tcPr>
            <w:tcW w:w="3337" w:type="dxa"/>
          </w:tcPr>
          <w:p w14:paraId="17FBEF3D" w14:textId="05E3D2E0" w:rsidR="00DA2774" w:rsidRPr="003D64E0" w:rsidRDefault="00C17763" w:rsidP="00C35EC9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cholekalciferol</w:t>
            </w:r>
            <w:proofErr w:type="spellEnd"/>
          </w:p>
        </w:tc>
        <w:tc>
          <w:tcPr>
            <w:tcW w:w="1275" w:type="dxa"/>
          </w:tcPr>
          <w:p w14:paraId="3715C59C" w14:textId="2C1ED4F3" w:rsidR="00DA2774" w:rsidRPr="003D64E0" w:rsidRDefault="00B46EFD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 </w:t>
            </w:r>
            <w:r w:rsidR="00494F42">
              <w:t xml:space="preserve"> </w:t>
            </w:r>
            <w:r w:rsidR="005C4585" w:rsidRPr="003D64E0">
              <w:t>0,00</w:t>
            </w:r>
            <w:r w:rsidR="005E5061" w:rsidRPr="003D64E0">
              <w:t>5 </w:t>
            </w:r>
            <w:r w:rsidR="005C4585" w:rsidRPr="003D64E0">
              <w:t>mg</w:t>
            </w:r>
          </w:p>
        </w:tc>
        <w:tc>
          <w:tcPr>
            <w:tcW w:w="2970" w:type="dxa"/>
          </w:tcPr>
          <w:p w14:paraId="594AD254" w14:textId="07548D61" w:rsidR="00DA2774" w:rsidRPr="003D64E0" w:rsidRDefault="00B46EFD" w:rsidP="00C35EC9">
            <w:pPr>
              <w:spacing w:line="240" w:lineRule="auto"/>
              <w:rPr>
                <w:szCs w:val="22"/>
              </w:rPr>
            </w:pPr>
            <w:r>
              <w:t>čo zodpovedá</w:t>
            </w:r>
            <w:r w:rsidR="00E70DE1" w:rsidRPr="003D64E0">
              <w:t xml:space="preserve"> vitamínu D</w:t>
            </w:r>
            <w:r w:rsidR="00E70DE1" w:rsidRPr="003D64E0">
              <w:rPr>
                <w:vertAlign w:val="subscript"/>
              </w:rPr>
              <w:t>3</w:t>
            </w:r>
          </w:p>
        </w:tc>
        <w:tc>
          <w:tcPr>
            <w:tcW w:w="999" w:type="dxa"/>
          </w:tcPr>
          <w:p w14:paraId="2673C67F" w14:textId="03DC474D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200 IU</w:t>
            </w:r>
          </w:p>
        </w:tc>
      </w:tr>
      <w:tr w:rsidR="00DA2774" w:rsidRPr="003D64E0" w14:paraId="66A2634D" w14:textId="77777777" w:rsidTr="00A82817">
        <w:tc>
          <w:tcPr>
            <w:tcW w:w="491" w:type="dxa"/>
          </w:tcPr>
          <w:p w14:paraId="10BB0F9D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3.</w:t>
            </w:r>
          </w:p>
        </w:tc>
        <w:tc>
          <w:tcPr>
            <w:tcW w:w="3337" w:type="dxa"/>
          </w:tcPr>
          <w:p w14:paraId="7352B839" w14:textId="5C5D9A39" w:rsidR="00DA2774" w:rsidRPr="003D64E0" w:rsidRDefault="00B55AE4" w:rsidP="00A82817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all-</w:t>
            </w:r>
            <w:r w:rsidRPr="00BB5105">
              <w:rPr>
                <w:i/>
              </w:rPr>
              <w:t>rac</w:t>
            </w:r>
            <w:r w:rsidRPr="003D64E0">
              <w:t>-</w:t>
            </w:r>
            <w:r w:rsidRPr="00494F42">
              <w:rPr>
                <w:i/>
              </w:rPr>
              <w:t>α</w:t>
            </w:r>
            <w:r w:rsidRPr="003D64E0">
              <w:t>-tokoferol</w:t>
            </w:r>
            <w:proofErr w:type="spellEnd"/>
            <w:r w:rsidRPr="003D64E0">
              <w:t xml:space="preserve"> (vit</w:t>
            </w:r>
            <w:r w:rsidR="00827E6D">
              <w:t>amín</w:t>
            </w:r>
            <w:r w:rsidR="00A82817">
              <w:t> </w:t>
            </w:r>
            <w:r w:rsidRPr="003D64E0">
              <w:t>E)</w:t>
            </w:r>
          </w:p>
        </w:tc>
        <w:tc>
          <w:tcPr>
            <w:tcW w:w="1275" w:type="dxa"/>
          </w:tcPr>
          <w:p w14:paraId="477259C5" w14:textId="7C4632FB" w:rsidR="00DA2774" w:rsidRPr="003D64E0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</w:t>
            </w:r>
            <w:r w:rsidR="005C4585" w:rsidRPr="003D64E0">
              <w:t>9,1</w:t>
            </w:r>
            <w:r w:rsidR="00827E6D">
              <w:t>1</w:t>
            </w:r>
            <w:r w:rsidR="005E5061" w:rsidRPr="003D64E0">
              <w:t> </w:t>
            </w:r>
            <w:r w:rsidR="005C4585" w:rsidRPr="003D64E0">
              <w:t>mg</w:t>
            </w:r>
          </w:p>
        </w:tc>
        <w:tc>
          <w:tcPr>
            <w:tcW w:w="2970" w:type="dxa"/>
          </w:tcPr>
          <w:p w14:paraId="08EAA62C" w14:textId="0EA94A4F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2CF5A407" w14:textId="0F9480DC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3EA62656" w14:textId="77777777" w:rsidTr="00A82817">
        <w:tc>
          <w:tcPr>
            <w:tcW w:w="491" w:type="dxa"/>
          </w:tcPr>
          <w:p w14:paraId="7EC87B1A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4.</w:t>
            </w:r>
          </w:p>
        </w:tc>
        <w:tc>
          <w:tcPr>
            <w:tcW w:w="3337" w:type="dxa"/>
          </w:tcPr>
          <w:p w14:paraId="6C27977E" w14:textId="3A315963" w:rsidR="00DA2774" w:rsidRPr="003D64E0" w:rsidRDefault="00C17763" w:rsidP="00A82817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fytomenadión</w:t>
            </w:r>
            <w:proofErr w:type="spellEnd"/>
            <w:r w:rsidRPr="003D64E0">
              <w:t xml:space="preserve"> </w:t>
            </w:r>
            <w:r w:rsidR="00DA2774" w:rsidRPr="003D64E0">
              <w:t>(vit</w:t>
            </w:r>
            <w:r w:rsidR="00827E6D">
              <w:t>amín</w:t>
            </w:r>
            <w:r w:rsidR="00A82817">
              <w:t> </w:t>
            </w:r>
            <w:r w:rsidR="00DA2774" w:rsidRPr="003D64E0">
              <w:t>K</w:t>
            </w:r>
            <w:r w:rsidR="00DA2774" w:rsidRPr="003D64E0">
              <w:rPr>
                <w:vertAlign w:val="subscript"/>
              </w:rPr>
              <w:t>1</w:t>
            </w:r>
            <w:r w:rsidR="00DA2774" w:rsidRPr="003D64E0">
              <w:t>)</w:t>
            </w:r>
          </w:p>
        </w:tc>
        <w:tc>
          <w:tcPr>
            <w:tcW w:w="1275" w:type="dxa"/>
          </w:tcPr>
          <w:p w14:paraId="45EBB123" w14:textId="3BDF3021" w:rsidR="00DA2774" w:rsidRPr="003D64E0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</w:t>
            </w:r>
            <w:r w:rsidR="005C4585" w:rsidRPr="003D64E0">
              <w:t>0,15</w:t>
            </w:r>
            <w:r w:rsidR="005E5061" w:rsidRPr="003D64E0">
              <w:t> </w:t>
            </w:r>
            <w:r w:rsidR="005C4585" w:rsidRPr="003D64E0">
              <w:t>mg</w:t>
            </w:r>
          </w:p>
        </w:tc>
        <w:tc>
          <w:tcPr>
            <w:tcW w:w="2970" w:type="dxa"/>
          </w:tcPr>
          <w:p w14:paraId="7DF768FF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17840450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4560BD6E" w14:textId="77777777" w:rsidTr="00A82817">
        <w:tc>
          <w:tcPr>
            <w:tcW w:w="491" w:type="dxa"/>
          </w:tcPr>
          <w:p w14:paraId="071990B4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5.</w:t>
            </w:r>
          </w:p>
        </w:tc>
        <w:tc>
          <w:tcPr>
            <w:tcW w:w="3337" w:type="dxa"/>
          </w:tcPr>
          <w:p w14:paraId="7AD10C99" w14:textId="2858769D" w:rsidR="00DA2774" w:rsidRPr="003D64E0" w:rsidRDefault="00C17763" w:rsidP="00A82817">
            <w:pPr>
              <w:spacing w:line="240" w:lineRule="auto"/>
              <w:rPr>
                <w:szCs w:val="22"/>
              </w:rPr>
            </w:pPr>
            <w:r w:rsidRPr="003D64E0">
              <w:t xml:space="preserve">kyselina </w:t>
            </w:r>
            <w:r w:rsidR="00DA2774" w:rsidRPr="003D64E0">
              <w:t>askorbová (vit</w:t>
            </w:r>
            <w:r w:rsidR="00827E6D">
              <w:t>amín</w:t>
            </w:r>
            <w:r w:rsidR="00A82817">
              <w:t> </w:t>
            </w:r>
            <w:r w:rsidR="00DA2774" w:rsidRPr="003D64E0">
              <w:t>C)</w:t>
            </w:r>
          </w:p>
        </w:tc>
        <w:tc>
          <w:tcPr>
            <w:tcW w:w="1275" w:type="dxa"/>
          </w:tcPr>
          <w:p w14:paraId="40DD472A" w14:textId="610A6DA5" w:rsidR="00DA2774" w:rsidRPr="003D64E0" w:rsidRDefault="005C4585" w:rsidP="00C35EC9">
            <w:pPr>
              <w:tabs>
                <w:tab w:val="left" w:pos="34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200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03FFDA39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09636685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1A539F0E" w14:textId="77777777" w:rsidTr="00A82817">
        <w:tc>
          <w:tcPr>
            <w:tcW w:w="491" w:type="dxa"/>
          </w:tcPr>
          <w:p w14:paraId="2B4FF8E2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6.</w:t>
            </w:r>
          </w:p>
        </w:tc>
        <w:tc>
          <w:tcPr>
            <w:tcW w:w="3337" w:type="dxa"/>
          </w:tcPr>
          <w:p w14:paraId="23AE935D" w14:textId="77777777" w:rsidR="00827E6D" w:rsidRDefault="00C17763" w:rsidP="00C35EC9">
            <w:pPr>
              <w:spacing w:line="240" w:lineRule="auto"/>
            </w:pPr>
            <w:proofErr w:type="spellStart"/>
            <w:r w:rsidRPr="003D64E0">
              <w:t>tiamín</w:t>
            </w:r>
            <w:proofErr w:type="spellEnd"/>
            <w:r w:rsidR="00827E6D">
              <w:t xml:space="preserve"> (vitamín B</w:t>
            </w:r>
            <w:r w:rsidR="00827E6D" w:rsidRPr="00A82817">
              <w:rPr>
                <w:vertAlign w:val="subscript"/>
              </w:rPr>
              <w:t>1</w:t>
            </w:r>
            <w:r w:rsidR="00827E6D">
              <w:t>)</w:t>
            </w:r>
          </w:p>
          <w:p w14:paraId="360BBA5D" w14:textId="5F3741BD" w:rsidR="00DA2774" w:rsidRPr="003D64E0" w:rsidRDefault="00827E6D" w:rsidP="00C35EC9">
            <w:pPr>
              <w:spacing w:line="240" w:lineRule="auto"/>
              <w:rPr>
                <w:szCs w:val="22"/>
              </w:rPr>
            </w:pPr>
            <w:r>
              <w:t>(</w:t>
            </w:r>
            <w:r w:rsidR="00E6634D">
              <w:t>vo forme</w:t>
            </w:r>
            <w:r>
              <w:t xml:space="preserve"> </w:t>
            </w:r>
            <w:proofErr w:type="spellStart"/>
            <w:r>
              <w:t>tiamín</w:t>
            </w:r>
            <w:r w:rsidR="00E6634D">
              <w:t>iumdi</w:t>
            </w:r>
            <w:r w:rsidR="00C17763" w:rsidRPr="003D64E0">
              <w:t>chlorid</w:t>
            </w:r>
            <w:r w:rsidR="00E6634D">
              <w:t>u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14:paraId="61115693" w14:textId="02ABE1F7" w:rsidR="00827E6D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</w:pPr>
            <w:r>
              <w:t xml:space="preserve"> </w:t>
            </w:r>
            <w:r w:rsidR="00827E6D">
              <w:t>6,00 mg</w:t>
            </w:r>
          </w:p>
          <w:p w14:paraId="7AF94777" w14:textId="244C6297" w:rsidR="00DA2774" w:rsidRPr="003D64E0" w:rsidRDefault="00E6634D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</w:t>
            </w:r>
            <w:r w:rsidR="006B5A5B" w:rsidRPr="003D64E0">
              <w:t>7,6</w:t>
            </w:r>
            <w:r w:rsidR="00827E6D">
              <w:t>3</w:t>
            </w:r>
            <w:r w:rsidR="005E5061" w:rsidRPr="003D64E0">
              <w:t> </w:t>
            </w:r>
            <w:r w:rsidR="006B5A5B" w:rsidRPr="003D64E0">
              <w:t>mg</w:t>
            </w:r>
          </w:p>
        </w:tc>
        <w:tc>
          <w:tcPr>
            <w:tcW w:w="2970" w:type="dxa"/>
          </w:tcPr>
          <w:p w14:paraId="48379D96" w14:textId="4131C069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18A558FD" w14:textId="5C185D84" w:rsidR="00DA2774" w:rsidRPr="003D64E0" w:rsidRDefault="00DA2774" w:rsidP="002F0687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2D40E2D7" w14:textId="77777777" w:rsidTr="00A82817">
        <w:tc>
          <w:tcPr>
            <w:tcW w:w="491" w:type="dxa"/>
          </w:tcPr>
          <w:p w14:paraId="150997F5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7.</w:t>
            </w:r>
          </w:p>
        </w:tc>
        <w:tc>
          <w:tcPr>
            <w:tcW w:w="3337" w:type="dxa"/>
          </w:tcPr>
          <w:p w14:paraId="4AAE3CF5" w14:textId="618ECDEE" w:rsidR="00827E6D" w:rsidRDefault="00C17763" w:rsidP="00C35EC9">
            <w:pPr>
              <w:spacing w:line="240" w:lineRule="auto"/>
            </w:pPr>
            <w:proofErr w:type="spellStart"/>
            <w:r w:rsidRPr="003D64E0">
              <w:t>riboflavín</w:t>
            </w:r>
            <w:proofErr w:type="spellEnd"/>
            <w:r w:rsidR="00827E6D">
              <w:t xml:space="preserve"> (vitamín</w:t>
            </w:r>
            <w:r w:rsidR="00A82817">
              <w:t> </w:t>
            </w:r>
            <w:r w:rsidR="00827E6D">
              <w:t>B</w:t>
            </w:r>
            <w:r w:rsidR="00827E6D" w:rsidRPr="00A82817">
              <w:rPr>
                <w:vertAlign w:val="subscript"/>
              </w:rPr>
              <w:t>2</w:t>
            </w:r>
            <w:r w:rsidR="00827E6D">
              <w:t>)</w:t>
            </w:r>
          </w:p>
          <w:p w14:paraId="2C174A80" w14:textId="65B73407" w:rsidR="00DA2774" w:rsidRPr="003D64E0" w:rsidRDefault="00827E6D" w:rsidP="00C35EC9">
            <w:pPr>
              <w:spacing w:line="240" w:lineRule="auto"/>
              <w:rPr>
                <w:szCs w:val="22"/>
              </w:rPr>
            </w:pPr>
            <w:r>
              <w:t>(</w:t>
            </w:r>
            <w:r w:rsidR="00E6634D">
              <w:t>vo forme</w:t>
            </w:r>
            <w:r>
              <w:t xml:space="preserve"> </w:t>
            </w:r>
            <w:r w:rsidR="00E6634D">
              <w:t xml:space="preserve">sodnej soli </w:t>
            </w:r>
            <w:proofErr w:type="spellStart"/>
            <w:r w:rsidRPr="003D64E0">
              <w:t>riboflavín</w:t>
            </w:r>
            <w:r w:rsidR="00E6634D">
              <w:t>iumfosfátu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14:paraId="20A3D1C1" w14:textId="75966FE7" w:rsidR="00827E6D" w:rsidRDefault="00494F42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</w:pPr>
            <w:r>
              <w:t xml:space="preserve"> </w:t>
            </w:r>
            <w:r w:rsidR="00827E6D">
              <w:t>3,6</w:t>
            </w:r>
            <w:r w:rsidR="003D58B3">
              <w:t>0</w:t>
            </w:r>
            <w:r w:rsidR="00827E6D">
              <w:t> mg</w:t>
            </w:r>
          </w:p>
          <w:p w14:paraId="1491E8B2" w14:textId="216F07CF" w:rsidR="00DA2774" w:rsidRPr="003D64E0" w:rsidRDefault="00E6634D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</w:t>
            </w:r>
            <w:r w:rsidR="005C4585" w:rsidRPr="003D64E0">
              <w:t>4,5</w:t>
            </w:r>
            <w:r w:rsidR="00827E6D">
              <w:t>8</w:t>
            </w:r>
            <w:r w:rsidR="005E5061" w:rsidRPr="003D64E0">
              <w:t> </w:t>
            </w:r>
            <w:r w:rsidR="005C4585" w:rsidRPr="003D64E0">
              <w:t>mg</w:t>
            </w:r>
          </w:p>
        </w:tc>
        <w:tc>
          <w:tcPr>
            <w:tcW w:w="2970" w:type="dxa"/>
          </w:tcPr>
          <w:p w14:paraId="3C98A01F" w14:textId="3926D6AC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4643AC96" w14:textId="76D5E0C0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799AD6B2" w14:textId="77777777" w:rsidTr="00A82817">
        <w:tc>
          <w:tcPr>
            <w:tcW w:w="491" w:type="dxa"/>
          </w:tcPr>
          <w:p w14:paraId="2D4B1E9C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8.</w:t>
            </w:r>
          </w:p>
        </w:tc>
        <w:tc>
          <w:tcPr>
            <w:tcW w:w="3337" w:type="dxa"/>
          </w:tcPr>
          <w:p w14:paraId="35E20B9B" w14:textId="28ED7D86" w:rsidR="00DA2774" w:rsidRPr="003D64E0" w:rsidRDefault="00C17763" w:rsidP="00C35EC9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pyridoxín</w:t>
            </w:r>
            <w:proofErr w:type="spellEnd"/>
            <w:r w:rsidR="00827E6D">
              <w:t xml:space="preserve"> (vitamín B</w:t>
            </w:r>
            <w:r w:rsidR="00827E6D" w:rsidRPr="00A82817">
              <w:rPr>
                <w:vertAlign w:val="subscript"/>
              </w:rPr>
              <w:t>6</w:t>
            </w:r>
            <w:r w:rsidR="00827E6D">
              <w:t>)</w:t>
            </w:r>
            <w:r w:rsidR="00827E6D">
              <w:br/>
              <w:t>(</w:t>
            </w:r>
            <w:r w:rsidR="00E6634D">
              <w:t>vo forme</w:t>
            </w:r>
            <w:r w:rsidR="00827E6D">
              <w:t xml:space="preserve"> </w:t>
            </w:r>
            <w:proofErr w:type="spellStart"/>
            <w:r w:rsidR="00827E6D" w:rsidRPr="003D64E0">
              <w:t>pyridoxín</w:t>
            </w:r>
            <w:r w:rsidR="00E6634D">
              <w:t>ium</w:t>
            </w:r>
            <w:r w:rsidRPr="003D64E0">
              <w:t>chlorid</w:t>
            </w:r>
            <w:r w:rsidR="00E6634D">
              <w:t>u</w:t>
            </w:r>
            <w:proofErr w:type="spellEnd"/>
            <w:r w:rsidR="00827E6D">
              <w:t>)</w:t>
            </w:r>
          </w:p>
        </w:tc>
        <w:tc>
          <w:tcPr>
            <w:tcW w:w="1275" w:type="dxa"/>
          </w:tcPr>
          <w:p w14:paraId="74A4BB5B" w14:textId="77777777" w:rsidR="00827E6D" w:rsidRDefault="00827E6D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</w:pPr>
            <w:r>
              <w:t>6,00 mg</w:t>
            </w:r>
          </w:p>
          <w:p w14:paraId="3BE41758" w14:textId="061C2A60" w:rsidR="00DA2774" w:rsidRPr="003D64E0" w:rsidRDefault="005C4585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7,30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3860633C" w14:textId="499FE91C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64CBCD96" w14:textId="16BEC58B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5BB4B017" w14:textId="77777777" w:rsidTr="00A82817">
        <w:tc>
          <w:tcPr>
            <w:tcW w:w="491" w:type="dxa"/>
          </w:tcPr>
          <w:p w14:paraId="442B5763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9.</w:t>
            </w:r>
          </w:p>
        </w:tc>
        <w:tc>
          <w:tcPr>
            <w:tcW w:w="3337" w:type="dxa"/>
          </w:tcPr>
          <w:p w14:paraId="4DC43A05" w14:textId="21D71546" w:rsidR="00607BBE" w:rsidRPr="003D64E0" w:rsidRDefault="00C17763" w:rsidP="00A82817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kyanokobalamín</w:t>
            </w:r>
            <w:proofErr w:type="spellEnd"/>
            <w:r w:rsidRPr="003D64E0">
              <w:t xml:space="preserve"> </w:t>
            </w:r>
            <w:r w:rsidR="00DA2774" w:rsidRPr="003D64E0">
              <w:t>(vit</w:t>
            </w:r>
            <w:r w:rsidR="00827E6D">
              <w:t>amín</w:t>
            </w:r>
            <w:r w:rsidR="00A82817">
              <w:t> </w:t>
            </w:r>
            <w:r w:rsidR="00DA2774" w:rsidRPr="003D64E0">
              <w:t>B</w:t>
            </w:r>
            <w:r w:rsidR="00DA2774" w:rsidRPr="003D64E0">
              <w:rPr>
                <w:vertAlign w:val="subscript"/>
              </w:rPr>
              <w:t>12</w:t>
            </w:r>
            <w:r w:rsidR="00DA2774" w:rsidRPr="003D64E0">
              <w:t>)</w:t>
            </w:r>
          </w:p>
        </w:tc>
        <w:tc>
          <w:tcPr>
            <w:tcW w:w="1275" w:type="dxa"/>
          </w:tcPr>
          <w:p w14:paraId="7BF2AF79" w14:textId="183D12CE" w:rsidR="00DA2774" w:rsidRPr="003D64E0" w:rsidRDefault="00E6634D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 </w:t>
            </w:r>
            <w:r w:rsidR="005C4585" w:rsidRPr="003D64E0">
              <w:t>0,00</w:t>
            </w:r>
            <w:r w:rsidR="005E5061" w:rsidRPr="003D64E0">
              <w:t>5 </w:t>
            </w:r>
            <w:r w:rsidR="005C4585" w:rsidRPr="003D64E0">
              <w:t>mg</w:t>
            </w:r>
          </w:p>
        </w:tc>
        <w:tc>
          <w:tcPr>
            <w:tcW w:w="2970" w:type="dxa"/>
          </w:tcPr>
          <w:p w14:paraId="2842B71C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22777448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3F994EE0" w14:textId="77777777" w:rsidTr="00A82817">
        <w:tc>
          <w:tcPr>
            <w:tcW w:w="491" w:type="dxa"/>
          </w:tcPr>
          <w:p w14:paraId="3DD45C90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10.</w:t>
            </w:r>
          </w:p>
        </w:tc>
        <w:tc>
          <w:tcPr>
            <w:tcW w:w="3337" w:type="dxa"/>
          </w:tcPr>
          <w:p w14:paraId="16EFE3F8" w14:textId="6D418A40" w:rsidR="00DA2774" w:rsidRPr="003D64E0" w:rsidRDefault="00C17763" w:rsidP="00A82817">
            <w:pPr>
              <w:spacing w:line="240" w:lineRule="auto"/>
              <w:rPr>
                <w:szCs w:val="22"/>
              </w:rPr>
            </w:pPr>
            <w:r w:rsidRPr="003D64E0">
              <w:t xml:space="preserve">kyselina </w:t>
            </w:r>
            <w:r w:rsidR="00DA2774" w:rsidRPr="003D64E0">
              <w:t>listová (vit</w:t>
            </w:r>
            <w:r w:rsidR="00827E6D">
              <w:t>amín</w:t>
            </w:r>
            <w:r w:rsidR="00A82817">
              <w:t> </w:t>
            </w:r>
            <w:r w:rsidR="00DA2774" w:rsidRPr="003D64E0">
              <w:t>B</w:t>
            </w:r>
            <w:r w:rsidR="00DA2774" w:rsidRPr="003D64E0">
              <w:rPr>
                <w:vertAlign w:val="subscript"/>
              </w:rPr>
              <w:t>9</w:t>
            </w:r>
            <w:r w:rsidR="00DA2774" w:rsidRPr="003D64E0">
              <w:t>)</w:t>
            </w:r>
          </w:p>
        </w:tc>
        <w:tc>
          <w:tcPr>
            <w:tcW w:w="1275" w:type="dxa"/>
          </w:tcPr>
          <w:p w14:paraId="0C096AE7" w14:textId="0661A527" w:rsidR="00DA2774" w:rsidRPr="003D64E0" w:rsidRDefault="005C4585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0,60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6056D02C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7D7D00EC" w14:textId="77B1FD26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7FEA7BDA" w14:textId="77777777" w:rsidTr="00A82817">
        <w:tc>
          <w:tcPr>
            <w:tcW w:w="491" w:type="dxa"/>
          </w:tcPr>
          <w:p w14:paraId="7773CC00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11.</w:t>
            </w:r>
          </w:p>
        </w:tc>
        <w:tc>
          <w:tcPr>
            <w:tcW w:w="3337" w:type="dxa"/>
          </w:tcPr>
          <w:p w14:paraId="51860FED" w14:textId="77777777" w:rsidR="00827E6D" w:rsidRDefault="00827E6D" w:rsidP="00C35EC9">
            <w:pPr>
              <w:spacing w:line="240" w:lineRule="auto"/>
            </w:pPr>
            <w:r>
              <w:t xml:space="preserve">kyselina </w:t>
            </w:r>
            <w:proofErr w:type="spellStart"/>
            <w:r>
              <w:t>pantoténová</w:t>
            </w:r>
            <w:proofErr w:type="spellEnd"/>
            <w:r>
              <w:t xml:space="preserve"> (</w:t>
            </w:r>
            <w:proofErr w:type="spellStart"/>
            <w:r>
              <w:t>vitamin</w:t>
            </w:r>
            <w:proofErr w:type="spellEnd"/>
            <w:r>
              <w:t> B</w:t>
            </w:r>
            <w:r w:rsidRPr="00A82817">
              <w:rPr>
                <w:vertAlign w:val="subscript"/>
              </w:rPr>
              <w:t>5</w:t>
            </w:r>
            <w:r>
              <w:t>)</w:t>
            </w:r>
          </w:p>
          <w:p w14:paraId="30661A08" w14:textId="39F553C6" w:rsidR="00DA2774" w:rsidRPr="003D64E0" w:rsidRDefault="00827E6D" w:rsidP="00C35EC9">
            <w:pPr>
              <w:spacing w:line="240" w:lineRule="auto"/>
              <w:rPr>
                <w:szCs w:val="22"/>
              </w:rPr>
            </w:pPr>
            <w:r>
              <w:t>(</w:t>
            </w:r>
            <w:r w:rsidR="00E6634D">
              <w:t>vo forme</w:t>
            </w:r>
            <w:r>
              <w:t xml:space="preserve"> </w:t>
            </w:r>
            <w:proofErr w:type="spellStart"/>
            <w:r w:rsidR="00C17763" w:rsidRPr="003D64E0">
              <w:t>dexpantenol</w:t>
            </w:r>
            <w:r w:rsidR="00E6634D">
              <w:t>u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14:paraId="37DF4E7D" w14:textId="77777777" w:rsidR="00A82817" w:rsidRDefault="00A82817" w:rsidP="00A82817">
            <w:pPr>
              <w:tabs>
                <w:tab w:val="left" w:pos="176"/>
                <w:tab w:val="left" w:pos="1026"/>
              </w:tabs>
              <w:spacing w:line="240" w:lineRule="auto"/>
              <w:jc w:val="center"/>
            </w:pPr>
            <w:r>
              <w:t>15,0 mg</w:t>
            </w:r>
          </w:p>
          <w:p w14:paraId="58016C76" w14:textId="637BB495" w:rsidR="00DA2774" w:rsidRPr="003D64E0" w:rsidRDefault="006B5A5B" w:rsidP="00A82817">
            <w:pPr>
              <w:tabs>
                <w:tab w:val="left" w:pos="176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14,0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49AAD69D" w14:textId="4329D588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39F82684" w14:textId="2009F2DF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6BB1934E" w14:textId="77777777" w:rsidTr="00A82817">
        <w:tc>
          <w:tcPr>
            <w:tcW w:w="491" w:type="dxa"/>
          </w:tcPr>
          <w:p w14:paraId="619E5B98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12.</w:t>
            </w:r>
          </w:p>
        </w:tc>
        <w:tc>
          <w:tcPr>
            <w:tcW w:w="3337" w:type="dxa"/>
          </w:tcPr>
          <w:p w14:paraId="132CCABC" w14:textId="64094FD6" w:rsidR="00DA2774" w:rsidRPr="003D64E0" w:rsidRDefault="00C17763" w:rsidP="00A82817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biotín</w:t>
            </w:r>
            <w:proofErr w:type="spellEnd"/>
            <w:r w:rsidRPr="003D64E0">
              <w:t xml:space="preserve"> </w:t>
            </w:r>
            <w:r w:rsidR="00DA2774" w:rsidRPr="003D64E0">
              <w:t>(vit</w:t>
            </w:r>
            <w:r w:rsidR="00827E6D">
              <w:t>amín</w:t>
            </w:r>
            <w:r w:rsidR="00A82817">
              <w:t> </w:t>
            </w:r>
            <w:r w:rsidR="00DA2774" w:rsidRPr="003D64E0">
              <w:t>B</w:t>
            </w:r>
            <w:r w:rsidR="00DA2774" w:rsidRPr="003D64E0">
              <w:rPr>
                <w:vertAlign w:val="subscript"/>
              </w:rPr>
              <w:t>7</w:t>
            </w:r>
            <w:r w:rsidR="00DA2774" w:rsidRPr="003D64E0">
              <w:t>)</w:t>
            </w:r>
          </w:p>
        </w:tc>
        <w:tc>
          <w:tcPr>
            <w:tcW w:w="1275" w:type="dxa"/>
          </w:tcPr>
          <w:p w14:paraId="386A5315" w14:textId="5448A087" w:rsidR="00DA2774" w:rsidRPr="003D64E0" w:rsidRDefault="005C4585" w:rsidP="00C35EC9">
            <w:pPr>
              <w:tabs>
                <w:tab w:val="left" w:pos="317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0,06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62021CBA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0614EC15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  <w:tr w:rsidR="00DA2774" w:rsidRPr="003D64E0" w14:paraId="543406D8" w14:textId="77777777" w:rsidTr="00A82817">
        <w:tc>
          <w:tcPr>
            <w:tcW w:w="491" w:type="dxa"/>
          </w:tcPr>
          <w:p w14:paraId="166D0196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  <w:r w:rsidRPr="003D64E0">
              <w:t>13.</w:t>
            </w:r>
          </w:p>
        </w:tc>
        <w:tc>
          <w:tcPr>
            <w:tcW w:w="3337" w:type="dxa"/>
          </w:tcPr>
          <w:p w14:paraId="6EE2A0D8" w14:textId="0D3ED206" w:rsidR="00607BBE" w:rsidRPr="003D64E0" w:rsidRDefault="00C17763" w:rsidP="00A82817">
            <w:pPr>
              <w:spacing w:line="240" w:lineRule="auto"/>
              <w:rPr>
                <w:szCs w:val="22"/>
              </w:rPr>
            </w:pPr>
            <w:proofErr w:type="spellStart"/>
            <w:r w:rsidRPr="003D64E0">
              <w:t>nikotínamid</w:t>
            </w:r>
            <w:proofErr w:type="spellEnd"/>
            <w:r w:rsidRPr="003D64E0">
              <w:t xml:space="preserve"> </w:t>
            </w:r>
            <w:r w:rsidR="00DA2774" w:rsidRPr="003D64E0">
              <w:t>(vit</w:t>
            </w:r>
            <w:r w:rsidR="00827E6D">
              <w:t>amín</w:t>
            </w:r>
            <w:r w:rsidR="00A82817">
              <w:t> </w:t>
            </w:r>
            <w:r w:rsidR="00DA2774" w:rsidRPr="003D64E0">
              <w:t>B</w:t>
            </w:r>
            <w:r w:rsidR="00DA2774" w:rsidRPr="003D64E0">
              <w:rPr>
                <w:vertAlign w:val="subscript"/>
              </w:rPr>
              <w:t>3</w:t>
            </w:r>
            <w:r w:rsidR="00DA2774" w:rsidRPr="003D64E0">
              <w:t>)</w:t>
            </w:r>
          </w:p>
        </w:tc>
        <w:tc>
          <w:tcPr>
            <w:tcW w:w="1275" w:type="dxa"/>
          </w:tcPr>
          <w:p w14:paraId="07417802" w14:textId="68E1A470" w:rsidR="00DA2774" w:rsidRPr="003D64E0" w:rsidRDefault="005C4585" w:rsidP="00C35EC9">
            <w:pPr>
              <w:tabs>
                <w:tab w:val="left" w:pos="176"/>
                <w:tab w:val="left" w:pos="1026"/>
              </w:tabs>
              <w:spacing w:line="240" w:lineRule="auto"/>
              <w:jc w:val="center"/>
              <w:rPr>
                <w:szCs w:val="22"/>
              </w:rPr>
            </w:pPr>
            <w:r w:rsidRPr="003D64E0">
              <w:t>40,0</w:t>
            </w:r>
            <w:r w:rsidR="005E5061" w:rsidRPr="003D64E0">
              <w:t> </w:t>
            </w:r>
            <w:r w:rsidRPr="003D64E0">
              <w:t>mg</w:t>
            </w:r>
          </w:p>
        </w:tc>
        <w:tc>
          <w:tcPr>
            <w:tcW w:w="2970" w:type="dxa"/>
          </w:tcPr>
          <w:p w14:paraId="75A589D0" w14:textId="77777777" w:rsidR="00DA2774" w:rsidRPr="003D64E0" w:rsidRDefault="00DA2774" w:rsidP="00C35EC9">
            <w:pPr>
              <w:spacing w:line="240" w:lineRule="auto"/>
              <w:rPr>
                <w:szCs w:val="22"/>
              </w:rPr>
            </w:pPr>
          </w:p>
        </w:tc>
        <w:tc>
          <w:tcPr>
            <w:tcW w:w="999" w:type="dxa"/>
          </w:tcPr>
          <w:p w14:paraId="6AA4ED64" w14:textId="77777777" w:rsidR="00DA2774" w:rsidRPr="003D64E0" w:rsidRDefault="00DA2774" w:rsidP="00C35EC9">
            <w:pPr>
              <w:spacing w:line="240" w:lineRule="auto"/>
              <w:jc w:val="right"/>
              <w:rPr>
                <w:szCs w:val="22"/>
              </w:rPr>
            </w:pPr>
          </w:p>
        </w:tc>
      </w:tr>
    </w:tbl>
    <w:p w14:paraId="6AF76D6C" w14:textId="77777777" w:rsidR="00DA2774" w:rsidRPr="003D64E0" w:rsidRDefault="00DA2774" w:rsidP="00C35EC9">
      <w:pPr>
        <w:spacing w:line="240" w:lineRule="auto"/>
        <w:ind w:left="1080" w:hanging="1080"/>
        <w:rPr>
          <w:szCs w:val="22"/>
        </w:rPr>
      </w:pPr>
    </w:p>
    <w:p w14:paraId="312DCA16" w14:textId="00B96404" w:rsidR="00DA2774" w:rsidRPr="003D64E0" w:rsidRDefault="00AF7083" w:rsidP="00C35EC9">
      <w:pPr>
        <w:spacing w:line="240" w:lineRule="auto"/>
      </w:pPr>
      <w:r w:rsidRPr="003D64E0">
        <w:t>Úplný zoznam pomocných látok, pozri časť</w:t>
      </w:r>
      <w:r w:rsidR="005E5061" w:rsidRPr="003D64E0">
        <w:t> </w:t>
      </w:r>
      <w:r w:rsidRPr="003D64E0">
        <w:t>6.1.</w:t>
      </w:r>
    </w:p>
    <w:p w14:paraId="5BEB2A99" w14:textId="77777777" w:rsidR="00C35EC9" w:rsidRPr="003D64E0" w:rsidRDefault="00C35EC9" w:rsidP="00C35EC9">
      <w:pPr>
        <w:spacing w:line="240" w:lineRule="auto"/>
      </w:pPr>
    </w:p>
    <w:p w14:paraId="67CE20CC" w14:textId="77777777" w:rsidR="00C35EC9" w:rsidRPr="003D64E0" w:rsidRDefault="00C35EC9" w:rsidP="00C35EC9">
      <w:pPr>
        <w:spacing w:line="240" w:lineRule="auto"/>
      </w:pPr>
    </w:p>
    <w:p w14:paraId="44AE7F97" w14:textId="77777777" w:rsidR="00DA2774" w:rsidRPr="003D64E0" w:rsidRDefault="00DA2774" w:rsidP="00C35EC9">
      <w:pPr>
        <w:pStyle w:val="Nadpis1"/>
        <w:spacing w:before="0" w:line="240" w:lineRule="auto"/>
      </w:pPr>
      <w:r w:rsidRPr="003D64E0">
        <w:t>3.</w:t>
      </w:r>
      <w:r w:rsidRPr="003D64E0">
        <w:tab/>
        <w:t>Lieková forma</w:t>
      </w:r>
    </w:p>
    <w:p w14:paraId="75619646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3BCEF424" w14:textId="18773631" w:rsidR="00DA2774" w:rsidRPr="003D64E0" w:rsidRDefault="00AF7083" w:rsidP="00C35EC9">
      <w:pPr>
        <w:spacing w:line="240" w:lineRule="auto"/>
        <w:rPr>
          <w:szCs w:val="22"/>
        </w:rPr>
      </w:pPr>
      <w:r w:rsidRPr="003D64E0">
        <w:t>Prášok na</w:t>
      </w:r>
      <w:r w:rsidR="009B0507" w:rsidRPr="003D64E0">
        <w:t xml:space="preserve"> </w:t>
      </w:r>
      <w:r w:rsidRPr="003D64E0">
        <w:t>infúzny roztok</w:t>
      </w:r>
    </w:p>
    <w:p w14:paraId="0D78D489" w14:textId="77777777" w:rsidR="00373B49" w:rsidRPr="003D64E0" w:rsidRDefault="00373B49" w:rsidP="00C35EC9">
      <w:pPr>
        <w:spacing w:line="240" w:lineRule="auto"/>
        <w:rPr>
          <w:szCs w:val="22"/>
        </w:rPr>
      </w:pPr>
      <w:r w:rsidRPr="003D64E0">
        <w:t xml:space="preserve">Žltooranžový </w:t>
      </w:r>
      <w:r w:rsidRPr="0014615C">
        <w:t>koláč</w:t>
      </w:r>
      <w:r w:rsidRPr="003D64E0">
        <w:t xml:space="preserve"> alebo prášok</w:t>
      </w:r>
    </w:p>
    <w:p w14:paraId="69CD1D8E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7CF3BC8E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6F7E3BDF" w14:textId="77777777" w:rsidR="00DA2774" w:rsidRPr="003D64E0" w:rsidRDefault="00DA2774" w:rsidP="00C35EC9">
      <w:pPr>
        <w:pStyle w:val="Nadpis1"/>
        <w:keepLines/>
        <w:widowControl/>
        <w:spacing w:before="0" w:line="240" w:lineRule="auto"/>
      </w:pPr>
      <w:r w:rsidRPr="003D64E0">
        <w:t>4.</w:t>
      </w:r>
      <w:r w:rsidRPr="003D64E0">
        <w:tab/>
        <w:t>Klinické údaje</w:t>
      </w:r>
    </w:p>
    <w:p w14:paraId="2D9589F9" w14:textId="77777777" w:rsidR="00C35EC9" w:rsidRPr="003D64E0" w:rsidRDefault="00C35EC9" w:rsidP="00C35EC9">
      <w:pPr>
        <w:keepNext/>
        <w:keepLines/>
      </w:pPr>
    </w:p>
    <w:p w14:paraId="58CBCB61" w14:textId="09808D3B" w:rsidR="00DA2774" w:rsidRPr="003D64E0" w:rsidRDefault="00DA2774" w:rsidP="00C35EC9">
      <w:pPr>
        <w:pStyle w:val="Nadpis2"/>
        <w:keepLines/>
        <w:spacing w:before="0" w:line="240" w:lineRule="auto"/>
      </w:pPr>
      <w:r w:rsidRPr="003D64E0">
        <w:t>4.1</w:t>
      </w:r>
      <w:r w:rsidRPr="003D64E0">
        <w:tab/>
        <w:t>Terapeutické indikácie</w:t>
      </w:r>
    </w:p>
    <w:p w14:paraId="1D461B56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25937694" w14:textId="7817C631" w:rsidR="00DA2774" w:rsidRPr="003D64E0" w:rsidRDefault="004052AC" w:rsidP="00C35EC9">
      <w:pPr>
        <w:spacing w:line="240" w:lineRule="auto"/>
        <w:rPr>
          <w:szCs w:val="22"/>
        </w:rPr>
      </w:pPr>
      <w:proofErr w:type="spellStart"/>
      <w:r w:rsidRPr="00B85886">
        <w:rPr>
          <w:szCs w:val="22"/>
          <w:lang w:bidi="ar-SA"/>
        </w:rPr>
        <w:t>Parenteráln</w:t>
      </w:r>
      <w:r>
        <w:rPr>
          <w:szCs w:val="22"/>
          <w:lang w:bidi="ar-SA"/>
        </w:rPr>
        <w:t>a</w:t>
      </w:r>
      <w:proofErr w:type="spellEnd"/>
      <w:r w:rsidRPr="00B85886">
        <w:rPr>
          <w:szCs w:val="22"/>
          <w:lang w:bidi="ar-SA"/>
        </w:rPr>
        <w:t xml:space="preserve"> </w:t>
      </w:r>
      <w:r>
        <w:t>s</w:t>
      </w:r>
      <w:r w:rsidR="00DA2774" w:rsidRPr="003D64E0">
        <w:t xml:space="preserve">ubstitúcia </w:t>
      </w:r>
      <w:r w:rsidRPr="003D64E0">
        <w:t>vitamínov</w:t>
      </w:r>
      <w:r w:rsidR="00DA2774" w:rsidRPr="003D64E0">
        <w:t xml:space="preserve">, keď </w:t>
      </w:r>
      <w:r w:rsidR="00895AB8" w:rsidRPr="003D64E0">
        <w:t xml:space="preserve">nie </w:t>
      </w:r>
      <w:r w:rsidR="00DA2774" w:rsidRPr="003D64E0">
        <w:t>je</w:t>
      </w:r>
      <w:r w:rsidR="00895AB8" w:rsidRPr="003D64E0">
        <w:t xml:space="preserve"> </w:t>
      </w:r>
      <w:r w:rsidR="00DA2774" w:rsidRPr="003D64E0">
        <w:t xml:space="preserve">možná, </w:t>
      </w:r>
      <w:r w:rsidR="00895AB8" w:rsidRPr="003D64E0">
        <w:t xml:space="preserve">je </w:t>
      </w:r>
      <w:r w:rsidR="00DA2774" w:rsidRPr="003D64E0">
        <w:t xml:space="preserve">nedostatočná alebo </w:t>
      </w:r>
      <w:r w:rsidR="00895AB8" w:rsidRPr="003D64E0">
        <w:t xml:space="preserve">je </w:t>
      </w:r>
      <w:r w:rsidR="00DA2774" w:rsidRPr="003D64E0">
        <w:t xml:space="preserve">kontraindikovaná perorálna alebo </w:t>
      </w:r>
      <w:proofErr w:type="spellStart"/>
      <w:r w:rsidR="00DA2774" w:rsidRPr="003D64E0">
        <w:t>enterálna</w:t>
      </w:r>
      <w:proofErr w:type="spellEnd"/>
      <w:r w:rsidR="00DA2774" w:rsidRPr="003D64E0">
        <w:t xml:space="preserve"> výživa.</w:t>
      </w:r>
    </w:p>
    <w:p w14:paraId="2538D86B" w14:textId="52B9FCC7" w:rsidR="00DA2774" w:rsidRPr="003D64E0" w:rsidRDefault="00DA2774" w:rsidP="00C35EC9">
      <w:pPr>
        <w:spacing w:line="240" w:lineRule="auto"/>
        <w:rPr>
          <w:szCs w:val="22"/>
        </w:rPr>
      </w:pPr>
    </w:p>
    <w:p w14:paraId="71513B85" w14:textId="5E0F2F0F" w:rsidR="001328C5" w:rsidRPr="003D64E0" w:rsidRDefault="00022FE4" w:rsidP="00C35EC9">
      <w:p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je indikovaný dospelý</w:t>
      </w:r>
      <w:r w:rsidR="003D58B3">
        <w:t>m</w:t>
      </w:r>
      <w:r w:rsidRPr="003D64E0">
        <w:t xml:space="preserve"> a de</w:t>
      </w:r>
      <w:r w:rsidR="003D58B3">
        <w:t>ťom</w:t>
      </w:r>
      <w:r w:rsidRPr="003D64E0">
        <w:t xml:space="preserve"> vo</w:t>
      </w:r>
      <w:r w:rsidR="00895AB8" w:rsidRPr="003D64E0">
        <w:t xml:space="preserve"> </w:t>
      </w:r>
      <w:r w:rsidRPr="003D64E0">
        <w:t>veku 11 rokov</w:t>
      </w:r>
      <w:r w:rsidR="003D58B3">
        <w:t xml:space="preserve"> a</w:t>
      </w:r>
      <w:r w:rsidR="00605C3B">
        <w:t> </w:t>
      </w:r>
      <w:r w:rsidR="003D58B3">
        <w:t>starší</w:t>
      </w:r>
      <w:r w:rsidR="00605C3B">
        <w:t>m.</w:t>
      </w:r>
    </w:p>
    <w:p w14:paraId="1A55E245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164075D2" w14:textId="66FFA6A8" w:rsidR="00DA2774" w:rsidRPr="003D64E0" w:rsidRDefault="00DA2774" w:rsidP="00C35EC9">
      <w:pPr>
        <w:pStyle w:val="Nadpis2"/>
        <w:spacing w:before="0" w:line="240" w:lineRule="auto"/>
      </w:pPr>
      <w:r w:rsidRPr="003D64E0">
        <w:t>4.2</w:t>
      </w:r>
      <w:r w:rsidRPr="003D64E0">
        <w:tab/>
        <w:t>Dávkovanie a spôsob podávania</w:t>
      </w:r>
    </w:p>
    <w:p w14:paraId="41F4ABF1" w14:textId="77777777" w:rsidR="00DA2774" w:rsidRPr="003D64E0" w:rsidRDefault="00DA2774" w:rsidP="00C35EC9">
      <w:pPr>
        <w:spacing w:line="240" w:lineRule="auto"/>
        <w:ind w:left="567" w:hanging="567"/>
      </w:pPr>
    </w:p>
    <w:p w14:paraId="62750E4C" w14:textId="4AECE944" w:rsidR="00AE0177" w:rsidRPr="003D64E0" w:rsidRDefault="00AF7083" w:rsidP="00C35EC9">
      <w:pPr>
        <w:spacing w:line="240" w:lineRule="auto"/>
        <w:ind w:left="567" w:hanging="567"/>
        <w:rPr>
          <w:u w:val="single"/>
        </w:rPr>
      </w:pPr>
      <w:r w:rsidRPr="003D64E0">
        <w:rPr>
          <w:u w:val="single"/>
        </w:rPr>
        <w:t>Dávkovanie</w:t>
      </w:r>
    </w:p>
    <w:p w14:paraId="3FB259F8" w14:textId="77777777" w:rsidR="003437DC" w:rsidRPr="003D64E0" w:rsidRDefault="003437DC" w:rsidP="00C35EC9">
      <w:pPr>
        <w:keepNext/>
        <w:spacing w:line="240" w:lineRule="auto"/>
        <w:rPr>
          <w:i/>
          <w:iCs/>
          <w:szCs w:val="22"/>
        </w:rPr>
      </w:pPr>
    </w:p>
    <w:p w14:paraId="38324933" w14:textId="5EFFA9DC" w:rsidR="00DA2774" w:rsidRPr="003D64E0" w:rsidRDefault="00DA2774" w:rsidP="00C35EC9">
      <w:pPr>
        <w:keepNext/>
        <w:spacing w:line="240" w:lineRule="auto"/>
        <w:rPr>
          <w:i/>
          <w:iCs/>
          <w:szCs w:val="22"/>
        </w:rPr>
      </w:pPr>
      <w:r w:rsidRPr="003D64E0">
        <w:rPr>
          <w:i/>
        </w:rPr>
        <w:t>Dospelí a deti vo</w:t>
      </w:r>
      <w:r w:rsidR="00895AB8" w:rsidRPr="003D64E0">
        <w:rPr>
          <w:i/>
        </w:rPr>
        <w:t xml:space="preserve"> </w:t>
      </w:r>
      <w:r w:rsidRPr="003D64E0">
        <w:rPr>
          <w:i/>
        </w:rPr>
        <w:t>veku 11 rokov</w:t>
      </w:r>
      <w:r w:rsidR="003D58B3">
        <w:rPr>
          <w:i/>
        </w:rPr>
        <w:t xml:space="preserve"> a staršie</w:t>
      </w:r>
      <w:r w:rsidRPr="003D64E0">
        <w:rPr>
          <w:i/>
        </w:rPr>
        <w:t>:</w:t>
      </w:r>
    </w:p>
    <w:p w14:paraId="7C2EF5A7" w14:textId="1038D023" w:rsidR="00DA2774" w:rsidRPr="003D64E0" w:rsidRDefault="00DA2774" w:rsidP="00C35EC9">
      <w:pPr>
        <w:spacing w:line="240" w:lineRule="auto"/>
        <w:rPr>
          <w:szCs w:val="22"/>
        </w:rPr>
      </w:pPr>
      <w:r w:rsidRPr="003D64E0">
        <w:t>1 injekčná liekovka denne</w:t>
      </w:r>
    </w:p>
    <w:p w14:paraId="3092F67D" w14:textId="77777777" w:rsidR="003437DC" w:rsidRPr="003D64E0" w:rsidRDefault="003437DC" w:rsidP="00C35EC9">
      <w:pPr>
        <w:spacing w:line="240" w:lineRule="auto"/>
        <w:rPr>
          <w:szCs w:val="22"/>
        </w:rPr>
      </w:pPr>
    </w:p>
    <w:p w14:paraId="1106E5C4" w14:textId="5BA25618" w:rsidR="003437DC" w:rsidRPr="003D64E0" w:rsidRDefault="003437DC" w:rsidP="00C35EC9">
      <w:pPr>
        <w:spacing w:line="240" w:lineRule="auto"/>
        <w:rPr>
          <w:i/>
          <w:szCs w:val="22"/>
        </w:rPr>
      </w:pPr>
      <w:r w:rsidRPr="003D64E0">
        <w:rPr>
          <w:i/>
        </w:rPr>
        <w:t>Starší pacienti</w:t>
      </w:r>
      <w:r w:rsidR="003F1E92">
        <w:rPr>
          <w:i/>
        </w:rPr>
        <w:t>:</w:t>
      </w:r>
    </w:p>
    <w:p w14:paraId="091D55CF" w14:textId="15F01C84" w:rsidR="00FB652B" w:rsidRPr="003D64E0" w:rsidRDefault="00FB652B" w:rsidP="00C35EC9">
      <w:pPr>
        <w:spacing w:line="240" w:lineRule="auto"/>
        <w:rPr>
          <w:szCs w:val="22"/>
        </w:rPr>
      </w:pPr>
      <w:r w:rsidRPr="003D64E0">
        <w:t>Dávka pre dospelých sa</w:t>
      </w:r>
      <w:r w:rsidR="00895AB8" w:rsidRPr="003D64E0">
        <w:t xml:space="preserve"> </w:t>
      </w:r>
      <w:r w:rsidRPr="003D64E0">
        <w:t>nemusí nevyhnutne upravovať z dôvodu samotného veku. Lekár</w:t>
      </w:r>
      <w:r w:rsidR="001E2012" w:rsidRPr="003D64E0">
        <w:t xml:space="preserve"> </w:t>
      </w:r>
      <w:r w:rsidRPr="003D64E0">
        <w:t>si</w:t>
      </w:r>
      <w:r w:rsidR="001E2012" w:rsidRPr="003D64E0">
        <w:t xml:space="preserve"> </w:t>
      </w:r>
      <w:r w:rsidRPr="003D64E0">
        <w:t xml:space="preserve">však </w:t>
      </w:r>
      <w:r w:rsidR="0004596C">
        <w:t xml:space="preserve">má </w:t>
      </w:r>
      <w:r w:rsidRPr="003D64E0">
        <w:t xml:space="preserve">byť vedomý zvýšeného rizika stavov, ktoré môžu ovplyvniť dávkovanie v tejto </w:t>
      </w:r>
      <w:r w:rsidR="0004596C">
        <w:t xml:space="preserve">skupine </w:t>
      </w:r>
      <w:r w:rsidRPr="003D64E0">
        <w:t>populáci</w:t>
      </w:r>
      <w:r w:rsidR="0004596C">
        <w:t>e</w:t>
      </w:r>
      <w:r w:rsidRPr="003D64E0">
        <w:t xml:space="preserve"> (pozri </w:t>
      </w:r>
      <w:r w:rsidR="005E5061" w:rsidRPr="003D64E0">
        <w:t>časť </w:t>
      </w:r>
      <w:r w:rsidRPr="003D64E0">
        <w:t>4.4).</w:t>
      </w:r>
    </w:p>
    <w:p w14:paraId="4571975A" w14:textId="77777777" w:rsidR="003437DC" w:rsidRPr="003D64E0" w:rsidRDefault="003437DC" w:rsidP="00C35EC9">
      <w:pPr>
        <w:spacing w:line="240" w:lineRule="auto"/>
        <w:rPr>
          <w:i/>
          <w:szCs w:val="22"/>
        </w:rPr>
      </w:pPr>
    </w:p>
    <w:p w14:paraId="64CA33BC" w14:textId="04563920" w:rsidR="001328C5" w:rsidRPr="003D64E0" w:rsidRDefault="00AE0177" w:rsidP="00C35EC9">
      <w:pPr>
        <w:keepNext/>
        <w:spacing w:line="240" w:lineRule="auto"/>
        <w:rPr>
          <w:i/>
          <w:iCs/>
          <w:szCs w:val="22"/>
        </w:rPr>
      </w:pPr>
      <w:r w:rsidRPr="003D64E0">
        <w:rPr>
          <w:i/>
        </w:rPr>
        <w:t>Pacienti s</w:t>
      </w:r>
      <w:r w:rsidR="001E2012" w:rsidRPr="003D64E0">
        <w:rPr>
          <w:i/>
        </w:rPr>
        <w:t> po</w:t>
      </w:r>
      <w:r w:rsidR="006B5199" w:rsidRPr="003D64E0">
        <w:rPr>
          <w:i/>
        </w:rPr>
        <w:t>ruchou</w:t>
      </w:r>
      <w:r w:rsidR="001E2012" w:rsidRPr="003D64E0">
        <w:rPr>
          <w:i/>
        </w:rPr>
        <w:t xml:space="preserve"> funkcie</w:t>
      </w:r>
      <w:r w:rsidRPr="003D64E0">
        <w:rPr>
          <w:i/>
        </w:rPr>
        <w:t xml:space="preserve"> pečene a obličiek:</w:t>
      </w:r>
    </w:p>
    <w:p w14:paraId="31C83788" w14:textId="2947252E" w:rsidR="00AE0177" w:rsidRPr="003D64E0" w:rsidRDefault="00AE0177" w:rsidP="00C35EC9">
      <w:pPr>
        <w:keepNext/>
        <w:spacing w:line="240" w:lineRule="auto"/>
        <w:rPr>
          <w:szCs w:val="22"/>
        </w:rPr>
      </w:pPr>
      <w:r w:rsidRPr="003D64E0">
        <w:t xml:space="preserve">Počas podávania </w:t>
      </w:r>
      <w:r w:rsidR="0004596C">
        <w:t>je potrebné</w:t>
      </w:r>
      <w:r w:rsidRPr="003D64E0">
        <w:t xml:space="preserve"> monitorovať plazmatické hladiny vitamínov a príslušne upraviť dávkovanie.</w:t>
      </w:r>
    </w:p>
    <w:p w14:paraId="69071C18" w14:textId="77777777" w:rsidR="00AE0177" w:rsidRPr="003D64E0" w:rsidRDefault="00AE0177" w:rsidP="00C35EC9">
      <w:pPr>
        <w:spacing w:line="240" w:lineRule="auto"/>
        <w:rPr>
          <w:i/>
          <w:szCs w:val="22"/>
        </w:rPr>
      </w:pPr>
    </w:p>
    <w:p w14:paraId="50CDADB1" w14:textId="2668475F" w:rsidR="00607BBE" w:rsidRPr="003D64E0" w:rsidRDefault="00AF7083" w:rsidP="00C35EC9">
      <w:pPr>
        <w:spacing w:line="240" w:lineRule="auto"/>
        <w:rPr>
          <w:i/>
          <w:iCs/>
          <w:szCs w:val="22"/>
        </w:rPr>
      </w:pPr>
      <w:r w:rsidRPr="003D64E0">
        <w:rPr>
          <w:i/>
        </w:rPr>
        <w:t>Pediatrická populácia – deti vo veku 10 rokov a mladšie:</w:t>
      </w:r>
    </w:p>
    <w:p w14:paraId="30962C11" w14:textId="17D02885" w:rsidR="00DA2774" w:rsidRPr="003D64E0" w:rsidRDefault="0072489E" w:rsidP="004052AC">
      <w:p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je</w:t>
      </w:r>
      <w:r w:rsidR="001E2012" w:rsidRPr="003D64E0">
        <w:t xml:space="preserve"> </w:t>
      </w:r>
      <w:r w:rsidRPr="003D64E0">
        <w:t>kontraindikovaný u </w:t>
      </w:r>
      <w:r w:rsidR="004052AC" w:rsidRPr="00B85886">
        <w:rPr>
          <w:szCs w:val="22"/>
          <w:lang w:bidi="ar-SA"/>
        </w:rPr>
        <w:t>novorodenco</w:t>
      </w:r>
      <w:r w:rsidR="004052AC">
        <w:rPr>
          <w:szCs w:val="22"/>
        </w:rPr>
        <w:t>v</w:t>
      </w:r>
      <w:r w:rsidR="004052AC" w:rsidRPr="00B85886">
        <w:rPr>
          <w:szCs w:val="22"/>
          <w:lang w:bidi="ar-SA"/>
        </w:rPr>
        <w:t>, dojč</w:t>
      </w:r>
      <w:r w:rsidR="004052AC">
        <w:rPr>
          <w:szCs w:val="22"/>
        </w:rPr>
        <w:t xml:space="preserve">iat </w:t>
      </w:r>
      <w:r w:rsidR="004052AC" w:rsidRPr="00B85886">
        <w:rPr>
          <w:szCs w:val="22"/>
          <w:lang w:bidi="ar-SA"/>
        </w:rPr>
        <w:t>a</w:t>
      </w:r>
      <w:r w:rsidR="004052AC">
        <w:rPr>
          <w:szCs w:val="22"/>
        </w:rPr>
        <w:t> </w:t>
      </w:r>
      <w:r w:rsidRPr="003D64E0">
        <w:t xml:space="preserve">detí </w:t>
      </w:r>
      <w:r w:rsidR="00AF7083" w:rsidRPr="003D64E0">
        <w:t>vo veku do</w:t>
      </w:r>
      <w:r w:rsidR="00E92694" w:rsidRPr="003D64E0">
        <w:t xml:space="preserve"> </w:t>
      </w:r>
      <w:r w:rsidR="00AF7083" w:rsidRPr="003D64E0">
        <w:t>1</w:t>
      </w:r>
      <w:r w:rsidR="004052AC">
        <w:t>1</w:t>
      </w:r>
      <w:r w:rsidR="00AF7083" w:rsidRPr="003D64E0">
        <w:t> rokov.</w:t>
      </w:r>
    </w:p>
    <w:p w14:paraId="0C25556E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0F4B1ADB" w14:textId="77777777" w:rsidR="00DA2774" w:rsidRPr="003D64E0" w:rsidRDefault="0054106B" w:rsidP="00C35EC9">
      <w:pPr>
        <w:spacing w:line="240" w:lineRule="auto"/>
        <w:rPr>
          <w:i/>
          <w:szCs w:val="22"/>
        </w:rPr>
      </w:pPr>
      <w:r w:rsidRPr="003D64E0">
        <w:rPr>
          <w:i/>
        </w:rPr>
        <w:t>Poznámka:</w:t>
      </w:r>
    </w:p>
    <w:p w14:paraId="4F51F862" w14:textId="0F3949C2" w:rsidR="00F85E5F" w:rsidRPr="003D64E0" w:rsidRDefault="00F85E5F" w:rsidP="00C35EC9">
      <w:pPr>
        <w:spacing w:line="240" w:lineRule="auto"/>
        <w:rPr>
          <w:szCs w:val="22"/>
        </w:rPr>
      </w:pPr>
      <w:r w:rsidRPr="003D64E0">
        <w:t xml:space="preserve">Pri podávaní lieku </w:t>
      </w:r>
      <w:proofErr w:type="spellStart"/>
      <w:r w:rsidRPr="003D64E0">
        <w:t>Viant</w:t>
      </w:r>
      <w:proofErr w:type="spellEnd"/>
      <w:r w:rsidRPr="003D64E0">
        <w:t xml:space="preserve"> spolu s ďalšími liekmi obsahujúcimi vitamíny je potrebné vziať do úvahy celkové množstvo týchto vitamínov, aby sa zabránilo predávkovaniu.</w:t>
      </w:r>
    </w:p>
    <w:p w14:paraId="16B2A39E" w14:textId="77777777" w:rsidR="00AB26C4" w:rsidRPr="003D64E0" w:rsidRDefault="00AB26C4" w:rsidP="00C35EC9">
      <w:pPr>
        <w:spacing w:line="240" w:lineRule="auto"/>
        <w:rPr>
          <w:szCs w:val="22"/>
        </w:rPr>
      </w:pPr>
    </w:p>
    <w:p w14:paraId="5E3B99F8" w14:textId="31FA87FF" w:rsidR="00DA2774" w:rsidRPr="003D64E0" w:rsidRDefault="00AF7083" w:rsidP="00C35EC9">
      <w:pPr>
        <w:spacing w:line="240" w:lineRule="auto"/>
        <w:rPr>
          <w:b/>
          <w:bCs/>
          <w:i/>
          <w:iCs/>
          <w:szCs w:val="22"/>
        </w:rPr>
      </w:pPr>
      <w:r w:rsidRPr="003D64E0">
        <w:rPr>
          <w:u w:val="single"/>
        </w:rPr>
        <w:t>Spôsob podávania</w:t>
      </w:r>
    </w:p>
    <w:p w14:paraId="671BA1D3" w14:textId="703B33DC" w:rsidR="001328C5" w:rsidRPr="003D64E0" w:rsidRDefault="00AF7083" w:rsidP="00C35EC9">
      <w:pPr>
        <w:spacing w:line="240" w:lineRule="auto"/>
        <w:rPr>
          <w:szCs w:val="22"/>
        </w:rPr>
      </w:pPr>
      <w:r w:rsidRPr="003D64E0">
        <w:t>Intravenózne použitie.</w:t>
      </w:r>
    </w:p>
    <w:p w14:paraId="3FEDDF67" w14:textId="296A18D9" w:rsidR="008A3D45" w:rsidRDefault="003D58B3" w:rsidP="00C35EC9">
      <w:pPr>
        <w:spacing w:line="240" w:lineRule="auto"/>
        <w:rPr>
          <w:szCs w:val="22"/>
        </w:rPr>
      </w:pPr>
      <w:proofErr w:type="spellStart"/>
      <w:r>
        <w:rPr>
          <w:szCs w:val="22"/>
        </w:rPr>
        <w:t>Viant</w:t>
      </w:r>
      <w:proofErr w:type="spellEnd"/>
      <w:r>
        <w:rPr>
          <w:szCs w:val="22"/>
        </w:rPr>
        <w:t xml:space="preserve"> sa má podávať pomaly. </w:t>
      </w:r>
      <w:r w:rsidR="00B464F7">
        <w:rPr>
          <w:szCs w:val="22"/>
        </w:rPr>
        <w:t>Čas</w:t>
      </w:r>
      <w:r>
        <w:rPr>
          <w:szCs w:val="22"/>
        </w:rPr>
        <w:t xml:space="preserve"> podávania a rýchlosť infúzie závisia od odporúčaní týkajúcich sa príslušného infúzneho roztoku (pozri časť 6.6).</w:t>
      </w:r>
    </w:p>
    <w:p w14:paraId="13BFC064" w14:textId="77777777" w:rsidR="003D58B3" w:rsidRPr="003D64E0" w:rsidRDefault="003D58B3" w:rsidP="00C35EC9">
      <w:pPr>
        <w:spacing w:line="240" w:lineRule="auto"/>
        <w:rPr>
          <w:szCs w:val="22"/>
        </w:rPr>
      </w:pPr>
    </w:p>
    <w:p w14:paraId="18114751" w14:textId="77777777" w:rsidR="008A3D45" w:rsidRPr="003D64E0" w:rsidRDefault="008A3D45" w:rsidP="00C35EC9">
      <w:pPr>
        <w:spacing w:line="240" w:lineRule="auto"/>
        <w:rPr>
          <w:szCs w:val="22"/>
          <w:u w:val="single"/>
        </w:rPr>
      </w:pPr>
      <w:r w:rsidRPr="003D64E0">
        <w:rPr>
          <w:u w:val="single"/>
        </w:rPr>
        <w:t>Opatrenia pred zaobchádzaním alebo podaním</w:t>
      </w:r>
      <w:r w:rsidR="00661BFD" w:rsidRPr="003D64E0">
        <w:rPr>
          <w:u w:val="single"/>
        </w:rPr>
        <w:t xml:space="preserve"> lieku</w:t>
      </w:r>
    </w:p>
    <w:p w14:paraId="35889284" w14:textId="752AA6B5" w:rsidR="00E41CDB" w:rsidRPr="003D64E0" w:rsidRDefault="0072489E" w:rsidP="00C35EC9">
      <w:p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sa</w:t>
      </w:r>
      <w:r w:rsidR="00661BFD" w:rsidRPr="003D64E0">
        <w:t xml:space="preserve"> </w:t>
      </w:r>
      <w:r w:rsidR="00976BD2">
        <w:t>má</w:t>
      </w:r>
      <w:r w:rsidRPr="003D64E0">
        <w:t xml:space="preserve"> používať iba ako prísada do</w:t>
      </w:r>
      <w:r w:rsidR="00661BFD" w:rsidRPr="003D64E0">
        <w:t xml:space="preserve"> </w:t>
      </w:r>
      <w:r w:rsidRPr="003D64E0">
        <w:t>infúznych roztokov. Po</w:t>
      </w:r>
      <w:r w:rsidR="00661BFD" w:rsidRPr="003D64E0">
        <w:t xml:space="preserve"> </w:t>
      </w:r>
      <w:r w:rsidRPr="003D64E0">
        <w:t>rekonštitúcii vo</w:t>
      </w:r>
      <w:r w:rsidR="00661BFD" w:rsidRPr="003D64E0">
        <w:t xml:space="preserve"> </w:t>
      </w:r>
      <w:r w:rsidRPr="003D64E0">
        <w:t>vode na</w:t>
      </w:r>
      <w:r w:rsidR="00661BFD" w:rsidRPr="003D64E0">
        <w:t xml:space="preserve"> </w:t>
      </w:r>
      <w:r w:rsidRPr="003D64E0">
        <w:t>injekci</w:t>
      </w:r>
      <w:r w:rsidR="00437038">
        <w:t>e</w:t>
      </w:r>
      <w:r w:rsidRPr="003D64E0">
        <w:t xml:space="preserve"> alebo v roztoku </w:t>
      </w:r>
      <w:proofErr w:type="spellStart"/>
      <w:r w:rsidRPr="003D64E0">
        <w:t>NaCl</w:t>
      </w:r>
      <w:proofErr w:type="spellEnd"/>
      <w:r w:rsidRPr="003D64E0">
        <w:t xml:space="preserve"> 9 mg/ml</w:t>
      </w:r>
      <w:r w:rsidR="00661BFD" w:rsidRPr="003D64E0">
        <w:t xml:space="preserve"> </w:t>
      </w:r>
      <w:r w:rsidRPr="003D64E0">
        <w:t>alebo glukózy 50 mg/ml</w:t>
      </w:r>
      <w:r w:rsidR="00661BFD" w:rsidRPr="003D64E0">
        <w:t xml:space="preserve"> </w:t>
      </w:r>
      <w:r w:rsidRPr="003D64E0">
        <w:t>sa</w:t>
      </w:r>
      <w:r w:rsidR="00661BFD" w:rsidRPr="003D64E0">
        <w:t xml:space="preserve"> </w:t>
      </w:r>
      <w:r w:rsidRPr="003D64E0">
        <w:t xml:space="preserve">zriedi v kompatibilných roztokoch/infúznych emulziách (pozri </w:t>
      </w:r>
      <w:r w:rsidR="005E5061" w:rsidRPr="003D64E0">
        <w:t>časť </w:t>
      </w:r>
      <w:r w:rsidRPr="003D64E0">
        <w:t>6.6). Používa</w:t>
      </w:r>
      <w:r w:rsidR="00661BFD" w:rsidRPr="003D64E0">
        <w:t>ť</w:t>
      </w:r>
      <w:r w:rsidRPr="003D64E0">
        <w:t xml:space="preserve"> iba v prípade, ak</w:t>
      </w:r>
      <w:r w:rsidR="00661BFD" w:rsidRPr="003D64E0">
        <w:t xml:space="preserve"> </w:t>
      </w:r>
      <w:r w:rsidRPr="003D64E0">
        <w:t>je</w:t>
      </w:r>
      <w:r w:rsidR="00661BFD" w:rsidRPr="003D64E0">
        <w:t xml:space="preserve"> </w:t>
      </w:r>
      <w:r w:rsidRPr="003D64E0">
        <w:t>rekonštituovaný roztok číry a žltooranžový.</w:t>
      </w:r>
    </w:p>
    <w:p w14:paraId="4FC8E76D" w14:textId="77777777" w:rsidR="00264E36" w:rsidRPr="003D64E0" w:rsidRDefault="00264E36" w:rsidP="00C35EC9">
      <w:pPr>
        <w:spacing w:line="240" w:lineRule="auto"/>
        <w:rPr>
          <w:szCs w:val="22"/>
        </w:rPr>
      </w:pPr>
    </w:p>
    <w:p w14:paraId="45F6F8A7" w14:textId="4404580E" w:rsidR="00DA2774" w:rsidRPr="003D64E0" w:rsidRDefault="00DA2774" w:rsidP="00C35EC9">
      <w:pPr>
        <w:pStyle w:val="Nadpis2"/>
        <w:spacing w:before="0" w:line="240" w:lineRule="auto"/>
      </w:pPr>
      <w:r w:rsidRPr="003D64E0">
        <w:t>4.3</w:t>
      </w:r>
      <w:r w:rsidRPr="003D64E0">
        <w:tab/>
        <w:t>Kontraindikácie</w:t>
      </w:r>
    </w:p>
    <w:p w14:paraId="2EADFAE8" w14:textId="77777777" w:rsidR="00607BBE" w:rsidRPr="003D64E0" w:rsidRDefault="00607BBE" w:rsidP="00C35EC9">
      <w:pPr>
        <w:spacing w:line="240" w:lineRule="auto"/>
      </w:pPr>
    </w:p>
    <w:p w14:paraId="637F60C2" w14:textId="7306AE5F" w:rsidR="00CF2DDD" w:rsidRPr="003D64E0" w:rsidRDefault="00AF7083" w:rsidP="00C35EC9">
      <w:pPr>
        <w:numPr>
          <w:ilvl w:val="0"/>
          <w:numId w:val="39"/>
        </w:numPr>
        <w:tabs>
          <w:tab w:val="clear" w:pos="2138"/>
          <w:tab w:val="num" w:pos="426"/>
        </w:tabs>
        <w:spacing w:line="240" w:lineRule="auto"/>
        <w:ind w:left="426" w:hanging="426"/>
        <w:rPr>
          <w:color w:val="000000"/>
        </w:rPr>
      </w:pPr>
      <w:r w:rsidRPr="003D64E0">
        <w:rPr>
          <w:color w:val="000000"/>
        </w:rPr>
        <w:t>Precitlivenosť na</w:t>
      </w:r>
      <w:r w:rsidR="00661BFD" w:rsidRPr="003D64E0">
        <w:rPr>
          <w:color w:val="000000"/>
        </w:rPr>
        <w:t xml:space="preserve"> </w:t>
      </w:r>
      <w:r w:rsidRPr="003D64E0">
        <w:rPr>
          <w:color w:val="000000"/>
        </w:rPr>
        <w:t>liečivá alebo na</w:t>
      </w:r>
      <w:r w:rsidR="00661BFD" w:rsidRPr="003D64E0">
        <w:rPr>
          <w:color w:val="000000"/>
        </w:rPr>
        <w:t xml:space="preserve"> </w:t>
      </w:r>
      <w:r w:rsidRPr="003D64E0">
        <w:rPr>
          <w:color w:val="000000"/>
        </w:rPr>
        <w:t>ktorúkoľvek z pomocných látok uvedených v</w:t>
      </w:r>
      <w:r w:rsidR="00661BFD" w:rsidRPr="003D64E0">
        <w:rPr>
          <w:color w:val="000000"/>
        </w:rPr>
        <w:t> </w:t>
      </w:r>
      <w:r w:rsidRPr="003D64E0">
        <w:rPr>
          <w:color w:val="000000"/>
        </w:rPr>
        <w:t>časti</w:t>
      </w:r>
      <w:r w:rsidR="00661BFD" w:rsidRPr="003D64E0">
        <w:rPr>
          <w:color w:val="000000"/>
        </w:rPr>
        <w:t> </w:t>
      </w:r>
      <w:r w:rsidRPr="003D64E0">
        <w:rPr>
          <w:color w:val="000000"/>
        </w:rPr>
        <w:t>6.1</w:t>
      </w:r>
      <w:r w:rsidRPr="003D64E0">
        <w:t xml:space="preserve"> </w:t>
      </w:r>
      <w:r w:rsidRPr="003D64E0">
        <w:rPr>
          <w:color w:val="000000"/>
        </w:rPr>
        <w:t>vrátane sójových bielkovín a sójových výrobkov alebo arašidových bielkovín a arašidových výrobkov.</w:t>
      </w:r>
    </w:p>
    <w:p w14:paraId="28AFE172" w14:textId="0D5C62AB" w:rsidR="0037536B" w:rsidRPr="003D64E0" w:rsidRDefault="0037536B" w:rsidP="00C35EC9">
      <w:pPr>
        <w:numPr>
          <w:ilvl w:val="0"/>
          <w:numId w:val="39"/>
        </w:numPr>
        <w:tabs>
          <w:tab w:val="clear" w:pos="2138"/>
          <w:tab w:val="num" w:pos="426"/>
        </w:tabs>
        <w:spacing w:line="240" w:lineRule="auto"/>
        <w:ind w:left="426" w:hanging="426"/>
        <w:rPr>
          <w:szCs w:val="22"/>
        </w:rPr>
      </w:pPr>
      <w:r w:rsidRPr="003D64E0">
        <w:t>Novorodenci, dojčatá a deti vo</w:t>
      </w:r>
      <w:r w:rsidR="00661BFD" w:rsidRPr="003D64E0">
        <w:t xml:space="preserve"> </w:t>
      </w:r>
      <w:r w:rsidRPr="003D64E0">
        <w:t>veku do</w:t>
      </w:r>
      <w:r w:rsidR="00661BFD" w:rsidRPr="003D64E0">
        <w:t xml:space="preserve"> </w:t>
      </w:r>
      <w:r w:rsidRPr="003D64E0">
        <w:t>11 rokov</w:t>
      </w:r>
      <w:r w:rsidR="00C17763" w:rsidRPr="003D64E0">
        <w:t>.</w:t>
      </w:r>
    </w:p>
    <w:p w14:paraId="7E68ACA0" w14:textId="2C41EDF9" w:rsidR="00DA2774" w:rsidRPr="003D64E0" w:rsidRDefault="00CF2DDD" w:rsidP="00C35EC9">
      <w:pPr>
        <w:numPr>
          <w:ilvl w:val="0"/>
          <w:numId w:val="39"/>
        </w:numPr>
        <w:tabs>
          <w:tab w:val="clear" w:pos="2138"/>
          <w:tab w:val="num" w:pos="426"/>
        </w:tabs>
        <w:spacing w:line="240" w:lineRule="auto"/>
        <w:ind w:left="426" w:hanging="426"/>
        <w:rPr>
          <w:szCs w:val="22"/>
        </w:rPr>
      </w:pPr>
      <w:r w:rsidRPr="003D64E0">
        <w:t>Už</w:t>
      </w:r>
      <w:r w:rsidR="00661BFD" w:rsidRPr="003D64E0">
        <w:t xml:space="preserve"> </w:t>
      </w:r>
      <w:r w:rsidRPr="003D64E0">
        <w:t xml:space="preserve">existujúca </w:t>
      </w:r>
      <w:proofErr w:type="spellStart"/>
      <w:r w:rsidRPr="003D64E0">
        <w:t>hypervitaminóza</w:t>
      </w:r>
      <w:proofErr w:type="spellEnd"/>
      <w:r w:rsidR="00C17763" w:rsidRPr="003D64E0">
        <w:t>.</w:t>
      </w:r>
    </w:p>
    <w:p w14:paraId="10B36AA4" w14:textId="004A63EC" w:rsidR="0037536B" w:rsidRPr="003D64E0" w:rsidRDefault="0037536B" w:rsidP="00C35EC9">
      <w:pPr>
        <w:numPr>
          <w:ilvl w:val="0"/>
          <w:numId w:val="39"/>
        </w:numPr>
        <w:tabs>
          <w:tab w:val="clear" w:pos="2138"/>
          <w:tab w:val="num" w:pos="426"/>
        </w:tabs>
        <w:spacing w:line="240" w:lineRule="auto"/>
        <w:ind w:left="426" w:hanging="426"/>
        <w:rPr>
          <w:szCs w:val="22"/>
        </w:rPr>
      </w:pPr>
      <w:r w:rsidRPr="003D64E0">
        <w:t xml:space="preserve">Závažná </w:t>
      </w:r>
      <w:proofErr w:type="spellStart"/>
      <w:r w:rsidRPr="003D64E0">
        <w:t>hyperkalciémia</w:t>
      </w:r>
      <w:proofErr w:type="spellEnd"/>
      <w:r w:rsidRPr="003D64E0">
        <w:t xml:space="preserve">, </w:t>
      </w:r>
      <w:proofErr w:type="spellStart"/>
      <w:r w:rsidRPr="003D64E0">
        <w:t>hyperkalciúria</w:t>
      </w:r>
      <w:proofErr w:type="spellEnd"/>
      <w:r w:rsidRPr="003D64E0">
        <w:t xml:space="preserve"> alebo akékoľvek liečby, ochorenia a/alebo poruchy, ktoré môžu mať za</w:t>
      </w:r>
      <w:r w:rsidR="00661BFD" w:rsidRPr="003D64E0">
        <w:t xml:space="preserve"> </w:t>
      </w:r>
      <w:r w:rsidRPr="003D64E0">
        <w:t xml:space="preserve">následok závažnú </w:t>
      </w:r>
      <w:proofErr w:type="spellStart"/>
      <w:r w:rsidRPr="003D64E0">
        <w:t>hyperkalciémiu</w:t>
      </w:r>
      <w:proofErr w:type="spellEnd"/>
      <w:r w:rsidRPr="003D64E0">
        <w:t xml:space="preserve"> a/alebo </w:t>
      </w:r>
      <w:proofErr w:type="spellStart"/>
      <w:r w:rsidRPr="003D64E0">
        <w:t>hyperkalciúriu</w:t>
      </w:r>
      <w:proofErr w:type="spellEnd"/>
      <w:r w:rsidRPr="003D64E0">
        <w:t xml:space="preserve"> (napr</w:t>
      </w:r>
      <w:r w:rsidR="00661BFD" w:rsidRPr="003D64E0">
        <w:t>.</w:t>
      </w:r>
      <w:r w:rsidRPr="003D64E0">
        <w:t xml:space="preserve"> nádory, metastázy</w:t>
      </w:r>
      <w:r w:rsidR="00FA0072">
        <w:t xml:space="preserve"> skeletu</w:t>
      </w:r>
      <w:r w:rsidRPr="003D64E0">
        <w:t xml:space="preserve">, primárna </w:t>
      </w:r>
      <w:proofErr w:type="spellStart"/>
      <w:r w:rsidRPr="003D64E0">
        <w:t>hyperparatyreóza</w:t>
      </w:r>
      <w:proofErr w:type="spellEnd"/>
      <w:r w:rsidRPr="003D64E0">
        <w:t xml:space="preserve">, </w:t>
      </w:r>
      <w:proofErr w:type="spellStart"/>
      <w:r w:rsidRPr="003D64E0">
        <w:t>granulomatóza</w:t>
      </w:r>
      <w:proofErr w:type="spellEnd"/>
      <w:r w:rsidRPr="003D64E0">
        <w:t xml:space="preserve"> atď.).</w:t>
      </w:r>
    </w:p>
    <w:p w14:paraId="4E0EDA70" w14:textId="53344CF5" w:rsidR="0037536B" w:rsidRPr="003D64E0" w:rsidRDefault="0037536B" w:rsidP="00C35EC9">
      <w:pPr>
        <w:numPr>
          <w:ilvl w:val="0"/>
          <w:numId w:val="39"/>
        </w:numPr>
        <w:tabs>
          <w:tab w:val="clear" w:pos="2138"/>
          <w:tab w:val="num" w:pos="426"/>
        </w:tabs>
        <w:spacing w:line="240" w:lineRule="auto"/>
        <w:ind w:left="426" w:hanging="426"/>
        <w:rPr>
          <w:szCs w:val="22"/>
        </w:rPr>
      </w:pPr>
      <w:r w:rsidRPr="003D64E0">
        <w:t>Kombinácia s</w:t>
      </w:r>
      <w:r w:rsidR="00661BFD" w:rsidRPr="003D64E0">
        <w:t> </w:t>
      </w:r>
      <w:r w:rsidRPr="003D64E0">
        <w:t>vitamínom</w:t>
      </w:r>
      <w:r w:rsidR="00661BFD" w:rsidRPr="003D64E0">
        <w:t> </w:t>
      </w:r>
      <w:r w:rsidRPr="003D64E0">
        <w:t>A</w:t>
      </w:r>
      <w:r w:rsidR="00661BFD" w:rsidRPr="003D64E0">
        <w:t xml:space="preserve"> </w:t>
      </w:r>
      <w:r w:rsidRPr="003D64E0">
        <w:t xml:space="preserve">alebo </w:t>
      </w:r>
      <w:proofErr w:type="spellStart"/>
      <w:r w:rsidRPr="003D64E0">
        <w:t>retinoidmi</w:t>
      </w:r>
      <w:proofErr w:type="spellEnd"/>
      <w:r w:rsidRPr="003D64E0">
        <w:t xml:space="preserve"> (pozri </w:t>
      </w:r>
      <w:r w:rsidR="005E5061" w:rsidRPr="003D64E0">
        <w:t>časť </w:t>
      </w:r>
      <w:r w:rsidRPr="003D64E0">
        <w:t>4.5).</w:t>
      </w:r>
    </w:p>
    <w:p w14:paraId="2ADED1C1" w14:textId="77777777" w:rsidR="003E72BB" w:rsidRPr="003D64E0" w:rsidRDefault="003E72BB" w:rsidP="00C35EC9">
      <w:pPr>
        <w:spacing w:line="240" w:lineRule="auto"/>
        <w:rPr>
          <w:szCs w:val="22"/>
        </w:rPr>
      </w:pPr>
    </w:p>
    <w:p w14:paraId="4121B580" w14:textId="6A5698EB" w:rsidR="00DA2774" w:rsidRPr="003D64E0" w:rsidRDefault="00DA2774" w:rsidP="00C35EC9">
      <w:pPr>
        <w:pStyle w:val="Nadpis2"/>
        <w:spacing w:before="0" w:line="240" w:lineRule="auto"/>
      </w:pPr>
      <w:r w:rsidRPr="003D64E0">
        <w:t>4.4</w:t>
      </w:r>
      <w:r w:rsidRPr="003D64E0">
        <w:tab/>
        <w:t>Osobitné upozornenia a opatrenia pri používaní</w:t>
      </w:r>
    </w:p>
    <w:p w14:paraId="453CC7EA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3426A9F0" w14:textId="77777777" w:rsidR="003A4130" w:rsidRPr="003D64E0" w:rsidRDefault="003A4130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Upozornenia</w:t>
      </w:r>
    </w:p>
    <w:p w14:paraId="7BFFC891" w14:textId="77777777" w:rsidR="003A4130" w:rsidRPr="003D64E0" w:rsidRDefault="003A4130" w:rsidP="00C35EC9">
      <w:pPr>
        <w:spacing w:line="240" w:lineRule="auto"/>
        <w:rPr>
          <w:b/>
          <w:szCs w:val="22"/>
        </w:rPr>
      </w:pPr>
    </w:p>
    <w:p w14:paraId="228ED1F0" w14:textId="40E7F315" w:rsidR="003A4130" w:rsidRPr="003D64E0" w:rsidRDefault="003A4130" w:rsidP="00C35EC9">
      <w:pPr>
        <w:spacing w:line="240" w:lineRule="auto"/>
        <w:rPr>
          <w:szCs w:val="22"/>
        </w:rPr>
      </w:pPr>
      <w:r w:rsidRPr="003D64E0">
        <w:t>Boli hlásené mierne až</w:t>
      </w:r>
      <w:r w:rsidR="00661BFD" w:rsidRPr="003D64E0">
        <w:t xml:space="preserve"> </w:t>
      </w:r>
      <w:r w:rsidRPr="003D64E0">
        <w:t>závažné systémové reakcie z precitlivenosti na</w:t>
      </w:r>
      <w:r w:rsidR="00661BFD" w:rsidRPr="003D64E0">
        <w:t xml:space="preserve"> </w:t>
      </w:r>
      <w:r w:rsidRPr="003D64E0">
        <w:t xml:space="preserve">zložky lieku </w:t>
      </w:r>
      <w:proofErr w:type="spellStart"/>
      <w:r w:rsidRPr="003D64E0">
        <w:t>Viant</w:t>
      </w:r>
      <w:proofErr w:type="spellEnd"/>
      <w:r w:rsidRPr="003D64E0">
        <w:t xml:space="preserve"> (vrátane vitamínu B</w:t>
      </w:r>
      <w:r w:rsidRPr="003D64E0">
        <w:rPr>
          <w:vertAlign w:val="subscript"/>
        </w:rPr>
        <w:t>1</w:t>
      </w:r>
      <w:r w:rsidRPr="003D64E0">
        <w:t>, B</w:t>
      </w:r>
      <w:r w:rsidRPr="003D64E0">
        <w:rPr>
          <w:vertAlign w:val="subscript"/>
        </w:rPr>
        <w:t>2</w:t>
      </w:r>
      <w:r w:rsidRPr="003D64E0">
        <w:t>, B</w:t>
      </w:r>
      <w:r w:rsidRPr="003D64E0">
        <w:rPr>
          <w:vertAlign w:val="subscript"/>
        </w:rPr>
        <w:t>12</w:t>
      </w:r>
      <w:r w:rsidRPr="003D64E0">
        <w:t>, kyseliny listovej, sójového lecitínu a </w:t>
      </w:r>
      <w:r w:rsidR="00F06CCF">
        <w:t>skrížených</w:t>
      </w:r>
      <w:r w:rsidRPr="003D64E0">
        <w:t xml:space="preserve"> alergických reakcií na</w:t>
      </w:r>
      <w:r w:rsidR="00661BFD" w:rsidRPr="003D64E0">
        <w:t xml:space="preserve"> </w:t>
      </w:r>
      <w:r w:rsidRPr="003D64E0">
        <w:t xml:space="preserve">sójové a arašidové proteíny), pozri </w:t>
      </w:r>
      <w:r w:rsidR="005E5061" w:rsidRPr="003D64E0">
        <w:t>časť </w:t>
      </w:r>
      <w:r w:rsidRPr="003D64E0">
        <w:t>4.</w:t>
      </w:r>
      <w:r w:rsidR="005E5061" w:rsidRPr="003D64E0">
        <w:t>8.</w:t>
      </w:r>
      <w:r w:rsidR="00661BFD" w:rsidRPr="003D64E0">
        <w:t xml:space="preserve"> </w:t>
      </w:r>
      <w:r w:rsidRPr="003D64E0">
        <w:t>Ak</w:t>
      </w:r>
      <w:r w:rsidR="00661BFD" w:rsidRPr="003D64E0">
        <w:t xml:space="preserve"> </w:t>
      </w:r>
      <w:r w:rsidRPr="003D64E0">
        <w:t>sa</w:t>
      </w:r>
      <w:r w:rsidR="00661BFD" w:rsidRPr="003D64E0">
        <w:t xml:space="preserve"> vyvinú</w:t>
      </w:r>
      <w:r w:rsidRPr="003D64E0">
        <w:t xml:space="preserve"> pr</w:t>
      </w:r>
      <w:r w:rsidR="00661BFD" w:rsidRPr="003D64E0">
        <w:t>ejavy</w:t>
      </w:r>
      <w:r w:rsidRPr="003D64E0">
        <w:t xml:space="preserve"> alebo </w:t>
      </w:r>
      <w:r w:rsidR="00661BFD" w:rsidRPr="003D64E0">
        <w:t>príznaky</w:t>
      </w:r>
      <w:r w:rsidRPr="003D64E0">
        <w:t xml:space="preserve"> reakcie z precitlivenosti, infúzia alebo injekcia sa</w:t>
      </w:r>
      <w:r w:rsidR="00661BFD" w:rsidRPr="003D64E0">
        <w:t xml:space="preserve"> </w:t>
      </w:r>
      <w:r w:rsidRPr="003D64E0">
        <w:t xml:space="preserve">musí ihneď </w:t>
      </w:r>
      <w:r w:rsidR="00661BFD" w:rsidRPr="003D64E0">
        <w:t>zastaviť</w:t>
      </w:r>
      <w:r w:rsidRPr="003D64E0">
        <w:t>.</w:t>
      </w:r>
    </w:p>
    <w:p w14:paraId="5C189C4F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0EB11AC6" w14:textId="5D7DAA4F" w:rsidR="00652276" w:rsidRPr="003D64E0" w:rsidRDefault="00652276" w:rsidP="00C35EC9">
      <w:pPr>
        <w:spacing w:line="240" w:lineRule="auto"/>
        <w:rPr>
          <w:szCs w:val="22"/>
        </w:rPr>
      </w:pPr>
      <w:r w:rsidRPr="003D64E0">
        <w:t>Jedna injekčná liekovka denne je</w:t>
      </w:r>
      <w:r w:rsidR="00661BFD" w:rsidRPr="003D64E0">
        <w:t xml:space="preserve"> </w:t>
      </w:r>
      <w:r w:rsidRPr="003D64E0">
        <w:t>určená na</w:t>
      </w:r>
      <w:r w:rsidR="00661BFD" w:rsidRPr="003D64E0">
        <w:t xml:space="preserve"> </w:t>
      </w:r>
      <w:r w:rsidRPr="003D64E0">
        <w:t>pokrytie bežn</w:t>
      </w:r>
      <w:r w:rsidR="00241E77">
        <w:t>ej</w:t>
      </w:r>
      <w:r w:rsidRPr="003D64E0">
        <w:t xml:space="preserve"> denn</w:t>
      </w:r>
      <w:r w:rsidR="00241E77">
        <w:t>ej</w:t>
      </w:r>
      <w:r w:rsidRPr="003D64E0">
        <w:t xml:space="preserve"> potr</w:t>
      </w:r>
      <w:r w:rsidR="00241E77">
        <w:t>eby</w:t>
      </w:r>
      <w:r w:rsidRPr="003D64E0">
        <w:t xml:space="preserve"> vitamínov a udržiavanie </w:t>
      </w:r>
      <w:proofErr w:type="spellStart"/>
      <w:r w:rsidRPr="003D64E0">
        <w:t>homeostázy</w:t>
      </w:r>
      <w:proofErr w:type="spellEnd"/>
      <w:r w:rsidRPr="003D64E0">
        <w:t xml:space="preserve"> vitamínov. Ak</w:t>
      </w:r>
      <w:r w:rsidR="00661BFD" w:rsidRPr="003D64E0">
        <w:t xml:space="preserve"> </w:t>
      </w:r>
      <w:r w:rsidRPr="003D64E0">
        <w:t>existujú špecifické nedostatky jednotlivých vitamínov, vyžaduje sa</w:t>
      </w:r>
      <w:r w:rsidR="00661BFD" w:rsidRPr="003D64E0">
        <w:t xml:space="preserve"> </w:t>
      </w:r>
      <w:r w:rsidRPr="003D64E0">
        <w:t>individuáln</w:t>
      </w:r>
      <w:r w:rsidR="00241E77">
        <w:t>a</w:t>
      </w:r>
      <w:r w:rsidRPr="003D64E0">
        <w:t xml:space="preserve"> </w:t>
      </w:r>
      <w:proofErr w:type="spellStart"/>
      <w:r w:rsidR="00241E77">
        <w:t>suplementácia</w:t>
      </w:r>
      <w:proofErr w:type="spellEnd"/>
      <w:r w:rsidR="00241E77">
        <w:t xml:space="preserve"> </w:t>
      </w:r>
      <w:r w:rsidRPr="003D64E0">
        <w:t>týchto vitamínov. Treba vziať do</w:t>
      </w:r>
      <w:r w:rsidR="00661BFD" w:rsidRPr="003D64E0">
        <w:t xml:space="preserve"> </w:t>
      </w:r>
      <w:r w:rsidRPr="003D64E0">
        <w:t>úvahy aj</w:t>
      </w:r>
      <w:r w:rsidR="00661BFD" w:rsidRPr="003D64E0">
        <w:t xml:space="preserve"> </w:t>
      </w:r>
      <w:r w:rsidRPr="003D64E0">
        <w:t>ďalšie vitamíny z iných zdrojov, aby sa</w:t>
      </w:r>
      <w:r w:rsidR="00661BFD" w:rsidRPr="003D64E0">
        <w:t xml:space="preserve"> </w:t>
      </w:r>
      <w:r w:rsidRPr="003D64E0">
        <w:t>zabránilo predávkovaniu a toxickým účinkom.</w:t>
      </w:r>
    </w:p>
    <w:p w14:paraId="2F699E7D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374705B4" w14:textId="4CC63870" w:rsidR="003A4130" w:rsidRPr="003D64E0" w:rsidRDefault="003A4130" w:rsidP="00C35EC9">
      <w:pPr>
        <w:spacing w:line="240" w:lineRule="auto"/>
        <w:rPr>
          <w:szCs w:val="22"/>
        </w:rPr>
      </w:pPr>
      <w:r w:rsidRPr="003D64E0">
        <w:lastRenderedPageBreak/>
        <w:t xml:space="preserve">Riziko </w:t>
      </w:r>
      <w:proofErr w:type="spellStart"/>
      <w:r w:rsidRPr="003D64E0">
        <w:t>hypervitaminózy</w:t>
      </w:r>
      <w:proofErr w:type="spellEnd"/>
      <w:r w:rsidRPr="003D64E0">
        <w:t> A</w:t>
      </w:r>
      <w:r w:rsidR="00661BFD" w:rsidRPr="003D64E0">
        <w:t xml:space="preserve"> </w:t>
      </w:r>
      <w:proofErr w:type="spellStart"/>
      <w:r w:rsidRPr="003D64E0">
        <w:t>a</w:t>
      </w:r>
      <w:proofErr w:type="spellEnd"/>
      <w:r w:rsidRPr="003D64E0">
        <w:t> toxicity spôsobenej vitamínom</w:t>
      </w:r>
      <w:r w:rsidR="00661BFD" w:rsidRPr="003D64E0">
        <w:t> </w:t>
      </w:r>
      <w:r w:rsidRPr="003D64E0">
        <w:t>A</w:t>
      </w:r>
      <w:r w:rsidR="00661BFD" w:rsidRPr="003D64E0">
        <w:t xml:space="preserve"> </w:t>
      </w:r>
      <w:r w:rsidRPr="003D64E0">
        <w:t>je</w:t>
      </w:r>
      <w:r w:rsidR="00661BFD" w:rsidRPr="003D64E0">
        <w:t xml:space="preserve"> </w:t>
      </w:r>
      <w:r w:rsidRPr="003D64E0">
        <w:t xml:space="preserve">zvýšené napr. </w:t>
      </w:r>
      <w:r w:rsidR="00AB6B0A">
        <w:t xml:space="preserve">u pacientov s  proteínovou </w:t>
      </w:r>
      <w:proofErr w:type="spellStart"/>
      <w:r w:rsidR="00AB6B0A">
        <w:t>malnutríciou</w:t>
      </w:r>
      <w:proofErr w:type="spellEnd"/>
      <w:r w:rsidR="00725B9C">
        <w:t xml:space="preserve">, </w:t>
      </w:r>
      <w:r w:rsidR="00661BFD" w:rsidRPr="003D64E0">
        <w:t>u </w:t>
      </w:r>
      <w:r w:rsidRPr="003D64E0">
        <w:t>pacientov s</w:t>
      </w:r>
      <w:r w:rsidR="00661BFD" w:rsidRPr="003D64E0">
        <w:t> po</w:t>
      </w:r>
      <w:r w:rsidR="006B5199" w:rsidRPr="003D64E0">
        <w:t>ruchou</w:t>
      </w:r>
      <w:r w:rsidR="00661BFD" w:rsidRPr="003D64E0">
        <w:t xml:space="preserve"> funkcie</w:t>
      </w:r>
      <w:r w:rsidRPr="003D64E0">
        <w:t xml:space="preserve"> obličiek (dokonca aj</w:t>
      </w:r>
      <w:r w:rsidR="006B5199" w:rsidRPr="003D64E0">
        <w:t xml:space="preserve"> </w:t>
      </w:r>
      <w:r w:rsidRPr="003D64E0">
        <w:t xml:space="preserve">bez </w:t>
      </w:r>
      <w:proofErr w:type="spellStart"/>
      <w:r w:rsidR="00084F4D">
        <w:t>suplementácie</w:t>
      </w:r>
      <w:proofErr w:type="spellEnd"/>
      <w:r w:rsidRPr="003D64E0">
        <w:t xml:space="preserve"> vitamínu</w:t>
      </w:r>
      <w:r w:rsidR="006B5199" w:rsidRPr="003D64E0">
        <w:t> </w:t>
      </w:r>
      <w:r w:rsidRPr="003D64E0">
        <w:t>A), s</w:t>
      </w:r>
      <w:r w:rsidR="006B5199" w:rsidRPr="003D64E0">
        <w:t> poruchou funkcie</w:t>
      </w:r>
      <w:r w:rsidRPr="003D64E0">
        <w:t xml:space="preserve"> pečene, u pediatrických pacientov a pacientov podstupujúcich dlhodobú liečbu. Akútne ochorenie pečene u pacientov s nasýtenými zásobami vitamínu</w:t>
      </w:r>
      <w:r w:rsidR="006B5199" w:rsidRPr="003D64E0">
        <w:t> </w:t>
      </w:r>
      <w:r w:rsidRPr="003D64E0">
        <w:t>A</w:t>
      </w:r>
      <w:r w:rsidR="006B5199" w:rsidRPr="003D64E0">
        <w:t xml:space="preserve"> </w:t>
      </w:r>
      <w:r w:rsidRPr="003D64E0">
        <w:t xml:space="preserve">v pečeni môže viesť k prejavom toxicity </w:t>
      </w:r>
      <w:r w:rsidR="003A7C38">
        <w:t xml:space="preserve">spôsobenej </w:t>
      </w:r>
      <w:r w:rsidRPr="003D64E0">
        <w:t>vitamín</w:t>
      </w:r>
      <w:r w:rsidR="003A7C38">
        <w:t>om</w:t>
      </w:r>
      <w:r w:rsidR="006B5199" w:rsidRPr="003D64E0">
        <w:t> </w:t>
      </w:r>
      <w:r w:rsidRPr="003D64E0">
        <w:t>A.</w:t>
      </w:r>
    </w:p>
    <w:p w14:paraId="3AB2A4D5" w14:textId="77777777" w:rsidR="003A4130" w:rsidRPr="003D64E0" w:rsidRDefault="003A4130" w:rsidP="00C35EC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26A5312" w14:textId="69951133" w:rsidR="003A4130" w:rsidRPr="003D64E0" w:rsidRDefault="003A4130" w:rsidP="00C35EC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D64E0">
        <w:t xml:space="preserve">Alkohol podporuje </w:t>
      </w:r>
      <w:r w:rsidR="006B5199" w:rsidRPr="003D64E0">
        <w:t>vyčerpávanie</w:t>
      </w:r>
      <w:r w:rsidRPr="003D64E0">
        <w:t xml:space="preserve"> pečeňového vitamínu</w:t>
      </w:r>
      <w:r w:rsidR="006B5199" w:rsidRPr="003D64E0">
        <w:t> </w:t>
      </w:r>
      <w:r w:rsidRPr="003D64E0">
        <w:t>A</w:t>
      </w:r>
      <w:r w:rsidR="006B5199" w:rsidRPr="003D64E0">
        <w:t xml:space="preserve"> </w:t>
      </w:r>
      <w:proofErr w:type="spellStart"/>
      <w:r w:rsidRPr="003D64E0">
        <w:t>a</w:t>
      </w:r>
      <w:proofErr w:type="spellEnd"/>
      <w:r w:rsidRPr="003D64E0">
        <w:t> zvyšuje toxicitu vitamínu</w:t>
      </w:r>
      <w:r w:rsidR="006B5199" w:rsidRPr="003D64E0">
        <w:t> </w:t>
      </w:r>
      <w:r w:rsidR="005E5061" w:rsidRPr="003D64E0">
        <w:t>A.</w:t>
      </w:r>
      <w:r w:rsidR="006B5199" w:rsidRPr="003D64E0">
        <w:t xml:space="preserve"> </w:t>
      </w:r>
      <w:r w:rsidRPr="003D64E0">
        <w:t>Preto je</w:t>
      </w:r>
      <w:r w:rsidR="006B5199" w:rsidRPr="003D64E0">
        <w:t xml:space="preserve"> </w:t>
      </w:r>
      <w:r w:rsidRPr="003D64E0">
        <w:t>potrebné venovať osobitnú pozornosť pacientom chronicky konzumujúcich alkohol.</w:t>
      </w:r>
    </w:p>
    <w:p w14:paraId="7401D59E" w14:textId="77777777" w:rsidR="003A4130" w:rsidRPr="003D64E0" w:rsidRDefault="003A4130" w:rsidP="00C35EC9">
      <w:pPr>
        <w:spacing w:line="240" w:lineRule="auto"/>
        <w:ind w:left="567" w:hanging="567"/>
        <w:rPr>
          <w:szCs w:val="22"/>
        </w:rPr>
      </w:pPr>
    </w:p>
    <w:p w14:paraId="056D06D0" w14:textId="4DDD3D88" w:rsidR="003A4130" w:rsidRPr="003D64E0" w:rsidRDefault="003A4130" w:rsidP="00C35EC9">
      <w:pPr>
        <w:spacing w:line="240" w:lineRule="auto"/>
        <w:rPr>
          <w:szCs w:val="22"/>
        </w:rPr>
      </w:pPr>
      <w:r w:rsidRPr="003D64E0">
        <w:t>Nadmerné množstvá vitamínu</w:t>
      </w:r>
      <w:r w:rsidR="006B5199" w:rsidRPr="003D64E0">
        <w:t> </w:t>
      </w:r>
      <w:r w:rsidRPr="003D64E0">
        <w:t>D</w:t>
      </w:r>
      <w:r w:rsidR="006B5199" w:rsidRPr="003D64E0">
        <w:t xml:space="preserve"> </w:t>
      </w:r>
      <w:r w:rsidRPr="003D64E0">
        <w:t xml:space="preserve">môžu spôsobiť </w:t>
      </w:r>
      <w:proofErr w:type="spellStart"/>
      <w:r w:rsidRPr="003D64E0">
        <w:t>hyperkalciémiu</w:t>
      </w:r>
      <w:proofErr w:type="spellEnd"/>
      <w:r w:rsidRPr="003D64E0">
        <w:t xml:space="preserve"> a </w:t>
      </w:r>
      <w:proofErr w:type="spellStart"/>
      <w:r w:rsidRPr="003D64E0">
        <w:t>hyperkalciúriu</w:t>
      </w:r>
      <w:proofErr w:type="spellEnd"/>
      <w:r w:rsidRPr="003D64E0">
        <w:t>. Riziko toxicity vitamínu</w:t>
      </w:r>
      <w:r w:rsidR="006B5199" w:rsidRPr="003D64E0">
        <w:t> </w:t>
      </w:r>
      <w:r w:rsidRPr="003D64E0">
        <w:t>D</w:t>
      </w:r>
      <w:r w:rsidR="006B5199" w:rsidRPr="003D64E0">
        <w:t xml:space="preserve"> </w:t>
      </w:r>
      <w:r w:rsidRPr="003D64E0">
        <w:t>je</w:t>
      </w:r>
      <w:r w:rsidR="006B5199" w:rsidRPr="003D64E0">
        <w:t xml:space="preserve"> </w:t>
      </w:r>
      <w:r w:rsidRPr="003D64E0">
        <w:t xml:space="preserve">väčšie u pacientov s ochoreniami a/alebo poruchami, ktoré môžu spôsobiť </w:t>
      </w:r>
      <w:proofErr w:type="spellStart"/>
      <w:r w:rsidRPr="003D64E0">
        <w:t>hyperkalciémiu</w:t>
      </w:r>
      <w:proofErr w:type="spellEnd"/>
      <w:r w:rsidRPr="003D64E0">
        <w:t xml:space="preserve"> a/alebo </w:t>
      </w:r>
      <w:proofErr w:type="spellStart"/>
      <w:r w:rsidRPr="003D64E0">
        <w:t>hyperkalciúriu</w:t>
      </w:r>
      <w:proofErr w:type="spellEnd"/>
      <w:r w:rsidRPr="003D64E0">
        <w:t>, alebo u pacientov podstupujúcich chronickú liečbu vitamínmi.</w:t>
      </w:r>
    </w:p>
    <w:p w14:paraId="42AB0924" w14:textId="77777777" w:rsidR="003A4130" w:rsidRPr="003D64E0" w:rsidRDefault="003A4130" w:rsidP="00C35EC9">
      <w:pPr>
        <w:spacing w:line="240" w:lineRule="auto"/>
        <w:ind w:left="567" w:hanging="567"/>
        <w:rPr>
          <w:szCs w:val="22"/>
        </w:rPr>
      </w:pPr>
    </w:p>
    <w:p w14:paraId="368A9108" w14:textId="6B6FED09" w:rsidR="003A4130" w:rsidRPr="003D64E0" w:rsidRDefault="003A4130" w:rsidP="00C35EC9">
      <w:pPr>
        <w:spacing w:line="240" w:lineRule="auto"/>
        <w:rPr>
          <w:szCs w:val="22"/>
        </w:rPr>
      </w:pPr>
      <w:r w:rsidRPr="003D64E0">
        <w:t>Aj</w:t>
      </w:r>
      <w:r w:rsidR="006B5199" w:rsidRPr="003D64E0">
        <w:t xml:space="preserve"> </w:t>
      </w:r>
      <w:r w:rsidRPr="003D64E0">
        <w:t>keď je</w:t>
      </w:r>
      <w:r w:rsidR="006B5199" w:rsidRPr="003D64E0">
        <w:t xml:space="preserve"> </w:t>
      </w:r>
      <w:r w:rsidRPr="003D64E0">
        <w:t>to</w:t>
      </w:r>
      <w:r w:rsidR="006B5199" w:rsidRPr="003D64E0">
        <w:t xml:space="preserve"> veľmi</w:t>
      </w:r>
      <w:r w:rsidRPr="003D64E0">
        <w:t xml:space="preserve"> zriedkavé, nadmerné množstvá vitamínu</w:t>
      </w:r>
      <w:r w:rsidR="006B5199" w:rsidRPr="003D64E0">
        <w:t> </w:t>
      </w:r>
      <w:r w:rsidRPr="003D64E0">
        <w:t>E</w:t>
      </w:r>
      <w:r w:rsidR="006B5199" w:rsidRPr="003D64E0">
        <w:t xml:space="preserve"> </w:t>
      </w:r>
      <w:r w:rsidRPr="003D64E0">
        <w:t xml:space="preserve">môžu zhoršiť hojenie rán z dôvodu dysfunkcie trombocytov a porúch </w:t>
      </w:r>
      <w:r w:rsidR="006B5199" w:rsidRPr="003D64E0">
        <w:t>koagulácie</w:t>
      </w:r>
      <w:r w:rsidRPr="003D64E0">
        <w:t xml:space="preserve"> krvi. Riziko toxicity </w:t>
      </w:r>
      <w:r w:rsidR="003A7C38">
        <w:t xml:space="preserve">spôsobenej </w:t>
      </w:r>
      <w:r w:rsidRPr="003D64E0">
        <w:t>vitamín</w:t>
      </w:r>
      <w:r w:rsidR="003A7C38">
        <w:t>om</w:t>
      </w:r>
      <w:r w:rsidR="006B5199" w:rsidRPr="003D64E0">
        <w:t> </w:t>
      </w:r>
      <w:r w:rsidRPr="003D64E0">
        <w:t>E</w:t>
      </w:r>
      <w:r w:rsidR="006B5199" w:rsidRPr="003D64E0">
        <w:t xml:space="preserve"> </w:t>
      </w:r>
      <w:r w:rsidRPr="003D64E0">
        <w:t>je väčšie u pacientov s</w:t>
      </w:r>
      <w:r w:rsidR="006B5199" w:rsidRPr="003D64E0">
        <w:t> poruchou</w:t>
      </w:r>
      <w:r w:rsidRPr="003D64E0">
        <w:t xml:space="preserve"> funkci</w:t>
      </w:r>
      <w:r w:rsidR="006B5199" w:rsidRPr="003D64E0">
        <w:t>e</w:t>
      </w:r>
      <w:r w:rsidRPr="003D64E0">
        <w:t xml:space="preserve"> pečene, u pacientov s poruchami koagulácie alebo pri perorálnej </w:t>
      </w:r>
      <w:proofErr w:type="spellStart"/>
      <w:r w:rsidRPr="003D64E0">
        <w:t>antikoagulačnej</w:t>
      </w:r>
      <w:proofErr w:type="spellEnd"/>
      <w:r w:rsidRPr="003D64E0">
        <w:t xml:space="preserve"> liečbe a u pacientov podstupujúcich chronickú liečbu vitamínmi.</w:t>
      </w:r>
    </w:p>
    <w:p w14:paraId="7CEAA968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51720240" w14:textId="6AB8F37A" w:rsidR="003A4130" w:rsidRPr="003D64E0" w:rsidRDefault="003A4130" w:rsidP="00C35EC9">
      <w:pPr>
        <w:spacing w:line="240" w:lineRule="auto"/>
        <w:rPr>
          <w:szCs w:val="22"/>
        </w:rPr>
      </w:pPr>
      <w:r w:rsidRPr="003D64E0">
        <w:t>Kyselina listová a</w:t>
      </w:r>
      <w:r w:rsidR="006B5199" w:rsidRPr="003D64E0">
        <w:t> </w:t>
      </w:r>
      <w:r w:rsidRPr="003D64E0">
        <w:t>vitamín</w:t>
      </w:r>
      <w:r w:rsidR="006B5199" w:rsidRPr="003D64E0">
        <w:t> </w:t>
      </w:r>
      <w:r w:rsidRPr="003D64E0">
        <w:t>K</w:t>
      </w:r>
      <w:r w:rsidR="006B5199" w:rsidRPr="003D64E0">
        <w:t xml:space="preserve"> </w:t>
      </w:r>
      <w:r w:rsidRPr="003D64E0">
        <w:t>môžu viesť pri podávaní vo</w:t>
      </w:r>
      <w:r w:rsidR="006B5199" w:rsidRPr="003D64E0">
        <w:t xml:space="preserve"> </w:t>
      </w:r>
      <w:r w:rsidRPr="003D64E0">
        <w:t>veľkých dávkach k</w:t>
      </w:r>
      <w:r w:rsidR="003A7C38">
        <w:t xml:space="preserve"> poruchám </w:t>
      </w:r>
      <w:proofErr w:type="spellStart"/>
      <w:r w:rsidR="003A7C38">
        <w:t>gastronitestinálneho</w:t>
      </w:r>
      <w:proofErr w:type="spellEnd"/>
      <w:r w:rsidR="003A7C38">
        <w:t xml:space="preserve"> traktu.</w:t>
      </w:r>
    </w:p>
    <w:p w14:paraId="1DCD3AAD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6550C820" w14:textId="0E793B45" w:rsidR="003A4130" w:rsidRPr="003D64E0" w:rsidRDefault="000E13DD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Osobitné</w:t>
      </w:r>
      <w:r w:rsidR="003A4130" w:rsidRPr="003D64E0">
        <w:rPr>
          <w:b/>
        </w:rPr>
        <w:t xml:space="preserve"> opatrenia pri používaní</w:t>
      </w:r>
    </w:p>
    <w:p w14:paraId="671A6630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7ACF3539" w14:textId="77777777" w:rsidR="003A4130" w:rsidRPr="003D64E0" w:rsidRDefault="003A4130" w:rsidP="00C35EC9">
      <w:pPr>
        <w:spacing w:line="240" w:lineRule="auto"/>
        <w:rPr>
          <w:szCs w:val="22"/>
          <w:u w:val="single"/>
        </w:rPr>
      </w:pPr>
      <w:r w:rsidRPr="003D64E0">
        <w:rPr>
          <w:u w:val="single"/>
        </w:rPr>
        <w:t>Monitorovanie</w:t>
      </w:r>
    </w:p>
    <w:p w14:paraId="7A39BA39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13AA19EA" w14:textId="3D759D3B" w:rsidR="003A4130" w:rsidRPr="003D64E0" w:rsidRDefault="003A4130" w:rsidP="00C35EC9">
      <w:pPr>
        <w:spacing w:line="240" w:lineRule="auto"/>
        <w:rPr>
          <w:szCs w:val="22"/>
        </w:rPr>
      </w:pPr>
      <w:r w:rsidRPr="003D64E0">
        <w:t>Je</w:t>
      </w:r>
      <w:r w:rsidR="006B5199" w:rsidRPr="003D64E0">
        <w:t xml:space="preserve"> </w:t>
      </w:r>
      <w:r w:rsidRPr="003D64E0">
        <w:t>potrebné zohľadniť celkový príjem vitamínov zo</w:t>
      </w:r>
      <w:r w:rsidR="006B5199" w:rsidRPr="003D64E0">
        <w:t xml:space="preserve"> </w:t>
      </w:r>
      <w:r w:rsidRPr="003D64E0">
        <w:t>všetkých zdrojov, ako sú výživové zdroje (napr</w:t>
      </w:r>
      <w:r w:rsidR="006B5199" w:rsidRPr="003D64E0">
        <w:t>.</w:t>
      </w:r>
      <w:r w:rsidRPr="003D64E0">
        <w:t xml:space="preserve"> tukové emulzie), in</w:t>
      </w:r>
      <w:r w:rsidR="00D75745">
        <w:t>ý</w:t>
      </w:r>
      <w:r w:rsidRPr="003D64E0">
        <w:t xml:space="preserve"> </w:t>
      </w:r>
      <w:r w:rsidR="00D75745">
        <w:t xml:space="preserve">spôsob </w:t>
      </w:r>
      <w:proofErr w:type="spellStart"/>
      <w:r w:rsidR="00D75745">
        <w:t>suplementácie</w:t>
      </w:r>
      <w:proofErr w:type="spellEnd"/>
      <w:r w:rsidR="00D75745">
        <w:t xml:space="preserve"> vitamínov </w:t>
      </w:r>
      <w:r w:rsidRPr="003D64E0">
        <w:t xml:space="preserve">alebo lieky, ktoré môžu </w:t>
      </w:r>
      <w:proofErr w:type="spellStart"/>
      <w:r w:rsidRPr="003D64E0">
        <w:t>interagovať</w:t>
      </w:r>
      <w:proofErr w:type="spellEnd"/>
      <w:r w:rsidRPr="003D64E0">
        <w:t xml:space="preserve"> s liekom </w:t>
      </w:r>
      <w:proofErr w:type="spellStart"/>
      <w:r w:rsidRPr="003D64E0">
        <w:t>Viant</w:t>
      </w:r>
      <w:proofErr w:type="spellEnd"/>
      <w:r w:rsidRPr="003D64E0">
        <w:t xml:space="preserve"> (pozri </w:t>
      </w:r>
      <w:r w:rsidR="005E5061" w:rsidRPr="003D64E0">
        <w:t>časť </w:t>
      </w:r>
      <w:r w:rsidRPr="003D64E0">
        <w:t>4.5).</w:t>
      </w:r>
    </w:p>
    <w:p w14:paraId="3B5CD8C0" w14:textId="77777777" w:rsidR="00652276" w:rsidRPr="003D64E0" w:rsidRDefault="00652276" w:rsidP="00C35EC9">
      <w:pPr>
        <w:spacing w:line="240" w:lineRule="auto"/>
        <w:rPr>
          <w:szCs w:val="22"/>
        </w:rPr>
      </w:pPr>
    </w:p>
    <w:p w14:paraId="0F4681B2" w14:textId="641DC25D" w:rsidR="001328C5" w:rsidRPr="003D64E0" w:rsidRDefault="00652276" w:rsidP="00C35EC9">
      <w:pPr>
        <w:spacing w:line="240" w:lineRule="auto"/>
        <w:rPr>
          <w:szCs w:val="22"/>
        </w:rPr>
      </w:pPr>
      <w:r w:rsidRPr="003D64E0">
        <w:t>Klinický stav a hladiny vitamínov v plazme (najmä vitamínov</w:t>
      </w:r>
      <w:r w:rsidR="006B5199" w:rsidRPr="003D64E0">
        <w:t> </w:t>
      </w:r>
      <w:r w:rsidRPr="003D64E0">
        <w:t>A,</w:t>
      </w:r>
      <w:r w:rsidR="006B5199" w:rsidRPr="003D64E0">
        <w:t xml:space="preserve"> </w:t>
      </w:r>
      <w:r w:rsidRPr="003D64E0">
        <w:t>D</w:t>
      </w:r>
      <w:r w:rsidR="006B5199" w:rsidRPr="003D64E0">
        <w:t xml:space="preserve"> </w:t>
      </w:r>
      <w:r w:rsidRPr="003D64E0">
        <w:t>a E)</w:t>
      </w:r>
      <w:r w:rsidR="006B5199" w:rsidRPr="003D64E0">
        <w:t xml:space="preserve"> </w:t>
      </w:r>
      <w:r w:rsidRPr="003D64E0">
        <w:t>sa</w:t>
      </w:r>
      <w:r w:rsidR="006B5199" w:rsidRPr="003D64E0">
        <w:t xml:space="preserve"> </w:t>
      </w:r>
      <w:r w:rsidRPr="003D64E0">
        <w:t xml:space="preserve">majú pravidelne monitorovať, </w:t>
      </w:r>
      <w:r w:rsidR="006B5199" w:rsidRPr="003D64E0">
        <w:t xml:space="preserve">a to </w:t>
      </w:r>
      <w:r w:rsidRPr="003D64E0">
        <w:t>najmä u pacientov s dysfunkciou pečene, </w:t>
      </w:r>
      <w:proofErr w:type="spellStart"/>
      <w:r w:rsidRPr="003D64E0">
        <w:t>renálnou</w:t>
      </w:r>
      <w:proofErr w:type="spellEnd"/>
      <w:r w:rsidRPr="003D64E0">
        <w:t xml:space="preserve"> </w:t>
      </w:r>
      <w:proofErr w:type="spellStart"/>
      <w:r w:rsidRPr="003D64E0">
        <w:t>insuficienciou</w:t>
      </w:r>
      <w:proofErr w:type="spellEnd"/>
      <w:r w:rsidRPr="003D64E0">
        <w:t xml:space="preserve"> a u pacientov, ktorí vyžadujú dlhodobé podávanie.</w:t>
      </w:r>
    </w:p>
    <w:p w14:paraId="25C4D5C9" w14:textId="2A1C005C" w:rsidR="003A4130" w:rsidRPr="003D64E0" w:rsidRDefault="003A4130" w:rsidP="00C35EC9">
      <w:pPr>
        <w:spacing w:line="240" w:lineRule="auto"/>
        <w:rPr>
          <w:szCs w:val="22"/>
        </w:rPr>
      </w:pPr>
    </w:p>
    <w:p w14:paraId="3A278F7B" w14:textId="64B65322" w:rsidR="003A4130" w:rsidRPr="003D64E0" w:rsidRDefault="003A4130" w:rsidP="00C35EC9">
      <w:pPr>
        <w:spacing w:line="240" w:lineRule="auto"/>
        <w:rPr>
          <w:szCs w:val="22"/>
        </w:rPr>
      </w:pPr>
      <w:r w:rsidRPr="003D64E0">
        <w:t xml:space="preserve">Pacientov, ktorí dostávajú </w:t>
      </w:r>
      <w:proofErr w:type="spellStart"/>
      <w:r w:rsidRPr="003D64E0">
        <w:t>parenterálne</w:t>
      </w:r>
      <w:proofErr w:type="spellEnd"/>
      <w:r w:rsidRPr="003D64E0">
        <w:t xml:space="preserve"> multivitamíny ako jediný zdroj vitamínov počas dlhého časového obdobia, treba monitorovať, aby sa</w:t>
      </w:r>
      <w:r w:rsidR="006B5199" w:rsidRPr="003D64E0">
        <w:t xml:space="preserve"> </w:t>
      </w:r>
      <w:r w:rsidR="00681282">
        <w:t xml:space="preserve">zabezpečila dostatočná </w:t>
      </w:r>
      <w:proofErr w:type="spellStart"/>
      <w:r w:rsidR="00681282">
        <w:t>suplemetácia</w:t>
      </w:r>
      <w:proofErr w:type="spellEnd"/>
      <w:r w:rsidR="00681282">
        <w:t xml:space="preserve">. </w:t>
      </w:r>
    </w:p>
    <w:p w14:paraId="3D86E1FE" w14:textId="77777777" w:rsidR="007C64A9" w:rsidRPr="003D64E0" w:rsidRDefault="007C64A9" w:rsidP="00C35EC9">
      <w:pPr>
        <w:spacing w:line="240" w:lineRule="auto"/>
        <w:rPr>
          <w:szCs w:val="22"/>
        </w:rPr>
      </w:pPr>
    </w:p>
    <w:p w14:paraId="3AA09528" w14:textId="1A2667B3" w:rsidR="007C64A9" w:rsidRPr="003D64E0" w:rsidRDefault="007C64A9" w:rsidP="00C35EC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D64E0">
        <w:t xml:space="preserve">Rýchle opätovné podávanie výživy </w:t>
      </w:r>
      <w:proofErr w:type="spellStart"/>
      <w:r w:rsidRPr="003D64E0">
        <w:t>podv</w:t>
      </w:r>
      <w:r w:rsidR="001A3204">
        <w:t>ý</w:t>
      </w:r>
      <w:r w:rsidRPr="003D64E0">
        <w:t>živeným</w:t>
      </w:r>
      <w:proofErr w:type="spellEnd"/>
      <w:r w:rsidRPr="003D64E0">
        <w:t xml:space="preserve"> alebo vyčerpaným pacientom môže spôsobiť syndróm opätovného podávania výživy charakterizovaný závažnými zmenami hladín elektrolytov a tekutín spojenými s metabolickými komplikáciami. Opätovné podávanie výživy vyžaduje minerály ako </w:t>
      </w:r>
      <w:r w:rsidR="001A3204">
        <w:t>fosforečnan</w:t>
      </w:r>
      <w:r w:rsidRPr="003D64E0">
        <w:t xml:space="preserve"> a horčík a </w:t>
      </w:r>
      <w:proofErr w:type="spellStart"/>
      <w:r w:rsidRPr="003D64E0">
        <w:t>kofaktory</w:t>
      </w:r>
      <w:proofErr w:type="spellEnd"/>
      <w:r w:rsidRPr="003D64E0">
        <w:t xml:space="preserve"> ako </w:t>
      </w:r>
      <w:proofErr w:type="spellStart"/>
      <w:r w:rsidRPr="003D64E0">
        <w:t>tiamín</w:t>
      </w:r>
      <w:proofErr w:type="spellEnd"/>
      <w:r w:rsidRPr="003D64E0">
        <w:t>. Preto sa</w:t>
      </w:r>
      <w:r w:rsidR="006B5199" w:rsidRPr="003D64E0">
        <w:t xml:space="preserve"> </w:t>
      </w:r>
      <w:r w:rsidRPr="003D64E0">
        <w:t>spolu s opätovným podávaním výživy m</w:t>
      </w:r>
      <w:r w:rsidR="006B5199" w:rsidRPr="003D64E0">
        <w:t>á</w:t>
      </w:r>
      <w:r w:rsidRPr="003D64E0">
        <w:t xml:space="preserve"> začať aj</w:t>
      </w:r>
      <w:r w:rsidR="006B5199" w:rsidRPr="003D64E0">
        <w:t xml:space="preserve"> </w:t>
      </w:r>
      <w:r w:rsidRPr="003D64E0">
        <w:t>s</w:t>
      </w:r>
      <w:r w:rsidR="001A3204">
        <w:t>o</w:t>
      </w:r>
      <w:r w:rsidRPr="003D64E0">
        <w:t> </w:t>
      </w:r>
      <w:proofErr w:type="spellStart"/>
      <w:r w:rsidR="001A3204">
        <w:t>suplementáciou</w:t>
      </w:r>
      <w:proofErr w:type="spellEnd"/>
      <w:r w:rsidRPr="003D64E0">
        <w:t xml:space="preserve"> vitamínov. M</w:t>
      </w:r>
      <w:r w:rsidR="006B5199" w:rsidRPr="003D64E0">
        <w:t xml:space="preserve">á </w:t>
      </w:r>
      <w:r w:rsidRPr="003D64E0">
        <w:t>sa</w:t>
      </w:r>
      <w:r w:rsidR="006B5199" w:rsidRPr="003D64E0">
        <w:t xml:space="preserve"> </w:t>
      </w:r>
      <w:r w:rsidRPr="003D64E0">
        <w:t xml:space="preserve">poskytnúť primeraný prísun </w:t>
      </w:r>
      <w:proofErr w:type="spellStart"/>
      <w:r w:rsidRPr="003D64E0">
        <w:t>tiamínu</w:t>
      </w:r>
      <w:proofErr w:type="spellEnd"/>
      <w:r w:rsidRPr="003D64E0">
        <w:t>.</w:t>
      </w:r>
    </w:p>
    <w:p w14:paraId="72051F1F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4987D97A" w14:textId="4F591B52" w:rsidR="007A0E37" w:rsidRPr="003D64E0" w:rsidRDefault="00A02D5A" w:rsidP="00C35EC9">
      <w:pPr>
        <w:spacing w:line="240" w:lineRule="auto"/>
        <w:rPr>
          <w:szCs w:val="22"/>
        </w:rPr>
      </w:pPr>
      <w:r w:rsidRPr="003D64E0">
        <w:t>Z dôvodu obsahu vitamínu</w:t>
      </w:r>
      <w:r w:rsidR="006B5199" w:rsidRPr="003D64E0">
        <w:t> </w:t>
      </w:r>
      <w:r w:rsidRPr="003D64E0">
        <w:t>K</w:t>
      </w:r>
      <w:r w:rsidR="006B5199" w:rsidRPr="003D64E0">
        <w:t> </w:t>
      </w:r>
      <w:r w:rsidRPr="003D64E0">
        <w:t>je</w:t>
      </w:r>
      <w:r w:rsidR="006B5199" w:rsidRPr="003D64E0">
        <w:t xml:space="preserve"> </w:t>
      </w:r>
      <w:r w:rsidRPr="003D64E0">
        <w:t>potrebné pravidelne monitorovať koagulačné faktory pacienta.</w:t>
      </w:r>
    </w:p>
    <w:p w14:paraId="6E67136A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311354DE" w14:textId="153229C4" w:rsidR="003A4130" w:rsidRPr="003D64E0" w:rsidRDefault="003A4130" w:rsidP="00C35EC9">
      <w:pPr>
        <w:spacing w:line="240" w:lineRule="auto"/>
        <w:rPr>
          <w:szCs w:val="22"/>
        </w:rPr>
      </w:pPr>
      <w:r w:rsidRPr="003D64E0">
        <w:t>U pacientov, ktorí dostáva</w:t>
      </w:r>
      <w:r w:rsidR="006B5199" w:rsidRPr="003D64E0">
        <w:t>jú</w:t>
      </w:r>
      <w:r w:rsidRPr="003D64E0">
        <w:t xml:space="preserve"> </w:t>
      </w:r>
      <w:proofErr w:type="spellStart"/>
      <w:r w:rsidR="001A3204">
        <w:t>suplementáciu</w:t>
      </w:r>
      <w:proofErr w:type="spellEnd"/>
      <w:r w:rsidR="001A3204">
        <w:t xml:space="preserve"> </w:t>
      </w:r>
      <w:r w:rsidRPr="003D64E0">
        <w:t xml:space="preserve">multivitamínov, bolo hlásené zvýšenie hladín žlčových kyselín (celkových a jednotlivých žlčových kyselín vrátane kyseliny </w:t>
      </w:r>
      <w:proofErr w:type="spellStart"/>
      <w:r w:rsidRPr="003D64E0">
        <w:t>glykocholovej</w:t>
      </w:r>
      <w:proofErr w:type="spellEnd"/>
      <w:r w:rsidRPr="003D64E0">
        <w:t>). Vzhľadom na</w:t>
      </w:r>
      <w:r w:rsidR="006B5199" w:rsidRPr="003D64E0">
        <w:t xml:space="preserve"> </w:t>
      </w:r>
      <w:r w:rsidRPr="003D64E0">
        <w:t xml:space="preserve">obsah kyseliny </w:t>
      </w:r>
      <w:proofErr w:type="spellStart"/>
      <w:r w:rsidRPr="003D64E0">
        <w:t>glykocholovej</w:t>
      </w:r>
      <w:proofErr w:type="spellEnd"/>
      <w:r w:rsidRPr="003D64E0">
        <w:t xml:space="preserve"> v lieku </w:t>
      </w:r>
      <w:proofErr w:type="spellStart"/>
      <w:r w:rsidRPr="003D64E0">
        <w:t>Viant</w:t>
      </w:r>
      <w:proofErr w:type="spellEnd"/>
      <w:r w:rsidRPr="003D64E0">
        <w:t xml:space="preserve"> sa</w:t>
      </w:r>
      <w:r w:rsidR="006B5199" w:rsidRPr="003D64E0">
        <w:t xml:space="preserve"> </w:t>
      </w:r>
      <w:r w:rsidRPr="003D64E0">
        <w:t>odporúča starostlivé monitorovanie funkcie pečene.</w:t>
      </w:r>
    </w:p>
    <w:p w14:paraId="4DAB84BE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319E336D" w14:textId="7D6EEC9C" w:rsidR="003A4130" w:rsidRPr="003D64E0" w:rsidRDefault="003A4130" w:rsidP="00C35EC9">
      <w:pPr>
        <w:spacing w:line="240" w:lineRule="auto"/>
        <w:rPr>
          <w:szCs w:val="22"/>
        </w:rPr>
      </w:pPr>
      <w:r w:rsidRPr="003D64E0">
        <w:t>Niektoré vitamíny (najmä A,</w:t>
      </w:r>
      <w:r w:rsidR="00E93F5F" w:rsidRPr="003D64E0">
        <w:t xml:space="preserve"> </w:t>
      </w:r>
      <w:r w:rsidRPr="003D64E0">
        <w:t>B</w:t>
      </w:r>
      <w:r w:rsidR="005E5061" w:rsidRPr="003D64E0">
        <w:rPr>
          <w:vertAlign w:val="subscript"/>
        </w:rPr>
        <w:t>2</w:t>
      </w:r>
      <w:r w:rsidR="00E93F5F" w:rsidRPr="003D64E0">
        <w:t xml:space="preserve"> </w:t>
      </w:r>
      <w:r w:rsidRPr="003D64E0">
        <w:t>a B</w:t>
      </w:r>
      <w:r w:rsidRPr="003D64E0">
        <w:rPr>
          <w:vertAlign w:val="subscript"/>
        </w:rPr>
        <w:t>6</w:t>
      </w:r>
      <w:r w:rsidRPr="003D64E0">
        <w:t>) sú</w:t>
      </w:r>
      <w:r w:rsidR="00E93F5F" w:rsidRPr="003D64E0">
        <w:t xml:space="preserve"> </w:t>
      </w:r>
      <w:r w:rsidRPr="003D64E0">
        <w:t>citlivé na</w:t>
      </w:r>
      <w:r w:rsidR="00E93F5F" w:rsidRPr="003D64E0">
        <w:t xml:space="preserve"> </w:t>
      </w:r>
      <w:r w:rsidRPr="003D64E0">
        <w:t xml:space="preserve">ultrafialové </w:t>
      </w:r>
      <w:r w:rsidR="00C83817">
        <w:t>žiarenie</w:t>
      </w:r>
      <w:r w:rsidRPr="003D64E0">
        <w:t xml:space="preserve"> (napr</w:t>
      </w:r>
      <w:r w:rsidR="00E93F5F" w:rsidRPr="003D64E0">
        <w:t>.</w:t>
      </w:r>
      <w:r w:rsidRPr="003D64E0">
        <w:t xml:space="preserve"> priame alebo nepriame slnečné </w:t>
      </w:r>
      <w:r w:rsidR="00C83817">
        <w:t>žiarenie</w:t>
      </w:r>
      <w:r w:rsidRPr="003D64E0">
        <w:t>). Okrem toho môže dôjsť k stratám najmä vitamínu A,</w:t>
      </w:r>
      <w:r w:rsidR="00E93F5F" w:rsidRPr="003D64E0">
        <w:t xml:space="preserve"> </w:t>
      </w:r>
      <w:r w:rsidRPr="003D64E0">
        <w:t>B</w:t>
      </w:r>
      <w:r w:rsidRPr="003D64E0">
        <w:rPr>
          <w:vertAlign w:val="subscript"/>
        </w:rPr>
        <w:t>1</w:t>
      </w:r>
      <w:r w:rsidRPr="003D64E0">
        <w:t>, C</w:t>
      </w:r>
      <w:r w:rsidR="00E93F5F" w:rsidRPr="003D64E0">
        <w:t xml:space="preserve"> </w:t>
      </w:r>
      <w:r w:rsidRPr="003D64E0">
        <w:t>a</w:t>
      </w:r>
      <w:r w:rsidR="00E93F5F" w:rsidRPr="003D64E0">
        <w:t> </w:t>
      </w:r>
      <w:r w:rsidRPr="003D64E0">
        <w:t>D</w:t>
      </w:r>
      <w:r w:rsidR="00E93F5F" w:rsidRPr="003D64E0">
        <w:t xml:space="preserve"> </w:t>
      </w:r>
      <w:r w:rsidRPr="003D64E0">
        <w:t>spôsobeným vyššími hladinami kyslíka v roztoku. Tieto faktory treba zvážiť, ak</w:t>
      </w:r>
      <w:r w:rsidR="00E93F5F" w:rsidRPr="003D64E0">
        <w:t xml:space="preserve"> </w:t>
      </w:r>
      <w:r w:rsidRPr="003D64E0">
        <w:t>sa</w:t>
      </w:r>
      <w:r w:rsidR="00E93F5F" w:rsidRPr="003D64E0">
        <w:t xml:space="preserve"> </w:t>
      </w:r>
      <w:r w:rsidRPr="003D64E0">
        <w:t>nedosahujú dostatočné hladiny vitamínov.</w:t>
      </w:r>
    </w:p>
    <w:p w14:paraId="1D27AF8C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16864443" w14:textId="77777777" w:rsidR="003A4130" w:rsidRPr="003D64E0" w:rsidRDefault="003A4130" w:rsidP="00C35EC9">
      <w:pPr>
        <w:spacing w:line="240" w:lineRule="auto"/>
        <w:rPr>
          <w:szCs w:val="22"/>
          <w:u w:val="single"/>
        </w:rPr>
      </w:pPr>
      <w:r w:rsidRPr="003D64E0">
        <w:rPr>
          <w:u w:val="single"/>
        </w:rPr>
        <w:t xml:space="preserve">Všeobecné monitorovanie </w:t>
      </w:r>
      <w:proofErr w:type="spellStart"/>
      <w:r w:rsidRPr="003D64E0">
        <w:rPr>
          <w:u w:val="single"/>
        </w:rPr>
        <w:t>parenterálnej</w:t>
      </w:r>
      <w:proofErr w:type="spellEnd"/>
      <w:r w:rsidRPr="003D64E0">
        <w:rPr>
          <w:u w:val="single"/>
        </w:rPr>
        <w:t xml:space="preserve"> výživy</w:t>
      </w:r>
    </w:p>
    <w:p w14:paraId="5D5E7922" w14:textId="23781C34" w:rsidR="003A4130" w:rsidRPr="003D64E0" w:rsidRDefault="00AF7083" w:rsidP="00C35EC9">
      <w:pPr>
        <w:spacing w:line="240" w:lineRule="auto"/>
        <w:rPr>
          <w:szCs w:val="22"/>
        </w:rPr>
      </w:pPr>
      <w:r w:rsidRPr="003D64E0">
        <w:t xml:space="preserve">U niektorých pacientov dostávajúcich </w:t>
      </w:r>
      <w:proofErr w:type="spellStart"/>
      <w:r w:rsidRPr="003D64E0">
        <w:t>parenterálnu</w:t>
      </w:r>
      <w:proofErr w:type="spellEnd"/>
      <w:r w:rsidRPr="003D64E0">
        <w:t xml:space="preserve"> výživu (vrátane </w:t>
      </w:r>
      <w:proofErr w:type="spellStart"/>
      <w:r w:rsidRPr="003D64E0">
        <w:t>parenterálnej</w:t>
      </w:r>
      <w:proofErr w:type="spellEnd"/>
      <w:r w:rsidRPr="003D64E0">
        <w:t xml:space="preserve"> výživy</w:t>
      </w:r>
      <w:r w:rsidR="00DA0817">
        <w:t xml:space="preserve"> doplnenej o vitamíny</w:t>
      </w:r>
      <w:r w:rsidRPr="003D64E0">
        <w:t>) sa</w:t>
      </w:r>
      <w:r w:rsidR="00DE5474" w:rsidRPr="003D64E0">
        <w:t xml:space="preserve"> </w:t>
      </w:r>
      <w:r w:rsidRPr="003D64E0">
        <w:t xml:space="preserve">vyvinuli poruchy pečene a žlčových ciest vrátane </w:t>
      </w:r>
      <w:proofErr w:type="spellStart"/>
      <w:r w:rsidRPr="003D64E0">
        <w:t>cholestázy</w:t>
      </w:r>
      <w:proofErr w:type="spellEnd"/>
      <w:r w:rsidRPr="003D64E0">
        <w:t xml:space="preserve">, pečeňovej </w:t>
      </w:r>
      <w:proofErr w:type="spellStart"/>
      <w:r w:rsidRPr="003D64E0">
        <w:t>steatózy</w:t>
      </w:r>
      <w:proofErr w:type="spellEnd"/>
      <w:r w:rsidRPr="003D64E0">
        <w:t xml:space="preserve">, </w:t>
      </w:r>
      <w:proofErr w:type="spellStart"/>
      <w:r w:rsidRPr="003D64E0">
        <w:t>fibrózy</w:t>
      </w:r>
      <w:proofErr w:type="spellEnd"/>
      <w:r w:rsidRPr="003D64E0">
        <w:t xml:space="preserve"> a</w:t>
      </w:r>
      <w:r w:rsidR="00DE5474" w:rsidRPr="003D64E0">
        <w:t> </w:t>
      </w:r>
      <w:r w:rsidRPr="003D64E0">
        <w:t>cirhózy</w:t>
      </w:r>
      <w:r w:rsidR="00DE5474" w:rsidRPr="003D64E0">
        <w:t>, ktoré môžu viesť</w:t>
      </w:r>
      <w:r w:rsidRPr="003D64E0">
        <w:t xml:space="preserve"> k zlyhaniu pečene, ako aj</w:t>
      </w:r>
      <w:r w:rsidR="00DE5474" w:rsidRPr="003D64E0">
        <w:t xml:space="preserve"> </w:t>
      </w:r>
      <w:proofErr w:type="spellStart"/>
      <w:r w:rsidRPr="003D64E0">
        <w:t>cholecystitíd</w:t>
      </w:r>
      <w:r w:rsidR="00DE5474" w:rsidRPr="003D64E0">
        <w:t>e</w:t>
      </w:r>
      <w:proofErr w:type="spellEnd"/>
      <w:r w:rsidRPr="003D64E0">
        <w:t xml:space="preserve"> a </w:t>
      </w:r>
      <w:proofErr w:type="spellStart"/>
      <w:r w:rsidRPr="003D64E0">
        <w:t>cholelitiáz</w:t>
      </w:r>
      <w:r w:rsidR="00DE5474" w:rsidRPr="003D64E0">
        <w:t>e</w:t>
      </w:r>
      <w:proofErr w:type="spellEnd"/>
      <w:r w:rsidRPr="003D64E0">
        <w:t>. Z tohto dôvodu sa</w:t>
      </w:r>
      <w:r w:rsidR="00DE5474" w:rsidRPr="003D64E0">
        <w:t xml:space="preserve"> </w:t>
      </w:r>
      <w:r w:rsidRPr="003D64E0">
        <w:lastRenderedPageBreak/>
        <w:t xml:space="preserve">odporúča monitorovanie parametrov funkcie pečene u pacientov dostávajúcich liek </w:t>
      </w:r>
      <w:proofErr w:type="spellStart"/>
      <w:r w:rsidRPr="003D64E0">
        <w:t>Viant</w:t>
      </w:r>
      <w:proofErr w:type="spellEnd"/>
      <w:r w:rsidRPr="003D64E0">
        <w:t xml:space="preserve">, ktorí dostávajú </w:t>
      </w:r>
      <w:proofErr w:type="spellStart"/>
      <w:r w:rsidRPr="003D64E0">
        <w:t>parenterálnu</w:t>
      </w:r>
      <w:proofErr w:type="spellEnd"/>
      <w:r w:rsidRPr="003D64E0">
        <w:t xml:space="preserve"> výživu. Pacientov</w:t>
      </w:r>
      <w:r w:rsidR="00DE5474" w:rsidRPr="003D64E0">
        <w:t>, u ktorých sa vyvinú</w:t>
      </w:r>
      <w:r w:rsidR="009B0507" w:rsidRPr="003D64E0">
        <w:t xml:space="preserve"> </w:t>
      </w:r>
      <w:r w:rsidRPr="003D64E0">
        <w:t>abnormáln</w:t>
      </w:r>
      <w:r w:rsidR="00DE5474" w:rsidRPr="003D64E0">
        <w:t>e</w:t>
      </w:r>
      <w:r w:rsidRPr="003D64E0">
        <w:t xml:space="preserve"> laboratórn</w:t>
      </w:r>
      <w:r w:rsidR="00DE5474" w:rsidRPr="003D64E0">
        <w:t>e</w:t>
      </w:r>
      <w:r w:rsidRPr="003D64E0">
        <w:t xml:space="preserve"> parametr</w:t>
      </w:r>
      <w:r w:rsidR="00DE5474" w:rsidRPr="003D64E0">
        <w:t>e</w:t>
      </w:r>
      <w:r w:rsidRPr="003D64E0">
        <w:t xml:space="preserve"> alebo in</w:t>
      </w:r>
      <w:r w:rsidR="00DE5474" w:rsidRPr="003D64E0">
        <w:t>é</w:t>
      </w:r>
      <w:r w:rsidRPr="003D64E0">
        <w:t xml:space="preserve"> pr</w:t>
      </w:r>
      <w:r w:rsidR="00DE5474" w:rsidRPr="003D64E0">
        <w:t>ejavy</w:t>
      </w:r>
      <w:r w:rsidRPr="003D64E0">
        <w:t xml:space="preserve"> </w:t>
      </w:r>
      <w:r w:rsidR="00DE5474" w:rsidRPr="003D64E0">
        <w:t>porúch</w:t>
      </w:r>
      <w:r w:rsidRPr="003D64E0">
        <w:t xml:space="preserve"> pečene a žlčových ciest</w:t>
      </w:r>
      <w:r w:rsidR="00DE5474" w:rsidRPr="003D64E0">
        <w:t>,</w:t>
      </w:r>
      <w:r w:rsidRPr="003D64E0">
        <w:t xml:space="preserve"> </w:t>
      </w:r>
      <w:r w:rsidR="00DE5474" w:rsidRPr="003D64E0">
        <w:t>má</w:t>
      </w:r>
      <w:r w:rsidRPr="003D64E0">
        <w:t xml:space="preserve"> </w:t>
      </w:r>
      <w:r w:rsidR="00DE5474" w:rsidRPr="003D64E0">
        <w:t xml:space="preserve">čo </w:t>
      </w:r>
      <w:r w:rsidRPr="003D64E0">
        <w:t>najskôr vyšetriť lekár so</w:t>
      </w:r>
      <w:r w:rsidR="00DE5474" w:rsidRPr="003D64E0">
        <w:t xml:space="preserve"> </w:t>
      </w:r>
      <w:r w:rsidRPr="003D64E0">
        <w:t>znalosťami ochorení pečene, aby sa</w:t>
      </w:r>
      <w:r w:rsidR="00DE5474" w:rsidRPr="003D64E0">
        <w:t xml:space="preserve"> </w:t>
      </w:r>
      <w:r w:rsidRPr="003D64E0">
        <w:t>identifikovali možné príči</w:t>
      </w:r>
      <w:r w:rsidR="00DE5474" w:rsidRPr="003D64E0">
        <w:t>nné</w:t>
      </w:r>
      <w:r w:rsidRPr="003D64E0">
        <w:t xml:space="preserve"> a</w:t>
      </w:r>
      <w:r w:rsidR="00DE5474" w:rsidRPr="003D64E0">
        <w:t> kontribučné faktory</w:t>
      </w:r>
      <w:r w:rsidRPr="003D64E0">
        <w:t xml:space="preserve"> a možné terapeutické a profylaktické intervencie.</w:t>
      </w:r>
    </w:p>
    <w:p w14:paraId="7BAF08D7" w14:textId="77777777" w:rsidR="007A0E37" w:rsidRPr="003D64E0" w:rsidRDefault="007A0E37" w:rsidP="00C35EC9">
      <w:pPr>
        <w:spacing w:line="240" w:lineRule="auto"/>
        <w:rPr>
          <w:szCs w:val="22"/>
        </w:rPr>
      </w:pPr>
    </w:p>
    <w:p w14:paraId="04F3130D" w14:textId="5CD9F4E5" w:rsidR="00125BE1" w:rsidRPr="003D64E0" w:rsidRDefault="00D878E6" w:rsidP="00C35EC9">
      <w:pPr>
        <w:spacing w:line="240" w:lineRule="auto"/>
        <w:rPr>
          <w:i/>
          <w:szCs w:val="22"/>
          <w:u w:val="single"/>
        </w:rPr>
      </w:pPr>
      <w:r w:rsidRPr="003D64E0">
        <w:rPr>
          <w:i/>
          <w:u w:val="single"/>
        </w:rPr>
        <w:t>Pacienti s</w:t>
      </w:r>
      <w:r w:rsidR="00DE5474" w:rsidRPr="003D64E0">
        <w:rPr>
          <w:i/>
          <w:u w:val="single"/>
        </w:rPr>
        <w:t> poruchou</w:t>
      </w:r>
      <w:r w:rsidRPr="003D64E0">
        <w:rPr>
          <w:i/>
          <w:u w:val="single"/>
        </w:rPr>
        <w:t xml:space="preserve"> funkci</w:t>
      </w:r>
      <w:r w:rsidR="00DE5474" w:rsidRPr="003D64E0">
        <w:rPr>
          <w:i/>
          <w:u w:val="single"/>
        </w:rPr>
        <w:t>e</w:t>
      </w:r>
      <w:r w:rsidRPr="003D64E0">
        <w:rPr>
          <w:i/>
          <w:u w:val="single"/>
        </w:rPr>
        <w:t xml:space="preserve"> pečene</w:t>
      </w:r>
    </w:p>
    <w:p w14:paraId="15A9CAFA" w14:textId="6992CDEE" w:rsidR="003A4130" w:rsidRPr="003D64E0" w:rsidRDefault="003A4130" w:rsidP="00C35EC9">
      <w:pPr>
        <w:spacing w:line="240" w:lineRule="auto"/>
        <w:rPr>
          <w:szCs w:val="22"/>
        </w:rPr>
      </w:pPr>
      <w:r w:rsidRPr="003D64E0">
        <w:t>Pacienti s</w:t>
      </w:r>
      <w:r w:rsidR="00DE5474" w:rsidRPr="003D64E0">
        <w:t> poruchou</w:t>
      </w:r>
      <w:r w:rsidRPr="003D64E0">
        <w:t xml:space="preserve"> funkci</w:t>
      </w:r>
      <w:r w:rsidR="00DE5474" w:rsidRPr="003D64E0">
        <w:t>e</w:t>
      </w:r>
      <w:r w:rsidRPr="003D64E0">
        <w:t xml:space="preserve"> pečene môžu potrebovať individualizovan</w:t>
      </w:r>
      <w:r w:rsidR="00DE44FF">
        <w:t>ú</w:t>
      </w:r>
      <w:r w:rsidRPr="003D64E0">
        <w:t xml:space="preserve"> </w:t>
      </w:r>
      <w:proofErr w:type="spellStart"/>
      <w:r w:rsidR="00DE44FF">
        <w:t>suplementáciu</w:t>
      </w:r>
      <w:proofErr w:type="spellEnd"/>
      <w:r w:rsidR="00DE44FF">
        <w:t xml:space="preserve"> </w:t>
      </w:r>
      <w:r w:rsidRPr="003D64E0">
        <w:t xml:space="preserve">vitamínov. Osobitná pozornosť </w:t>
      </w:r>
      <w:r w:rsidR="00A45B32" w:rsidRPr="003D64E0">
        <w:t xml:space="preserve">sa </w:t>
      </w:r>
      <w:r w:rsidRPr="003D64E0">
        <w:t>musí venovať hladinám vitamínu</w:t>
      </w:r>
      <w:r w:rsidR="00A45B32" w:rsidRPr="003D64E0">
        <w:t> </w:t>
      </w:r>
      <w:r w:rsidRPr="003D64E0">
        <w:t>A,</w:t>
      </w:r>
      <w:r w:rsidR="00A45B32" w:rsidRPr="003D64E0">
        <w:t xml:space="preserve"> </w:t>
      </w:r>
      <w:r w:rsidRPr="003D64E0">
        <w:t>pretože prítomnosť ochorenia pečene je</w:t>
      </w:r>
      <w:r w:rsidR="00A45B32" w:rsidRPr="003D64E0">
        <w:t xml:space="preserve"> </w:t>
      </w:r>
      <w:r w:rsidRPr="003D64E0">
        <w:t>spojená so</w:t>
      </w:r>
      <w:r w:rsidR="00A45B32" w:rsidRPr="003D64E0">
        <w:t xml:space="preserve"> </w:t>
      </w:r>
      <w:r w:rsidRPr="003D64E0">
        <w:t>zvýšenou citlivosťou na</w:t>
      </w:r>
      <w:r w:rsidR="00A45B32" w:rsidRPr="003D64E0">
        <w:t xml:space="preserve"> </w:t>
      </w:r>
      <w:r w:rsidRPr="003D64E0">
        <w:t xml:space="preserve">toxicitu </w:t>
      </w:r>
      <w:r w:rsidR="00DE44FF">
        <w:t xml:space="preserve">spôsobenú </w:t>
      </w:r>
      <w:r w:rsidRPr="003D64E0">
        <w:t>vitamín</w:t>
      </w:r>
      <w:r w:rsidR="00DE44FF">
        <w:t>om</w:t>
      </w:r>
      <w:r w:rsidR="00A45B32" w:rsidRPr="003D64E0">
        <w:t> </w:t>
      </w:r>
      <w:r w:rsidRPr="003D64E0">
        <w:t>A,</w:t>
      </w:r>
      <w:r w:rsidR="00A45B32" w:rsidRPr="003D64E0">
        <w:t xml:space="preserve"> </w:t>
      </w:r>
      <w:r w:rsidRPr="003D64E0">
        <w:t>najmä u pacientov chronicky konzumujúcich alkohol.</w:t>
      </w:r>
    </w:p>
    <w:p w14:paraId="1D96E477" w14:textId="3023E750" w:rsidR="001328C5" w:rsidRPr="003D64E0" w:rsidRDefault="00666270" w:rsidP="00C35EC9">
      <w:pPr>
        <w:spacing w:line="240" w:lineRule="auto"/>
        <w:rPr>
          <w:szCs w:val="22"/>
        </w:rPr>
      </w:pPr>
      <w:r w:rsidRPr="003D64E0">
        <w:t xml:space="preserve">Z dôvodu obsahu kyseliny </w:t>
      </w:r>
      <w:proofErr w:type="spellStart"/>
      <w:r w:rsidRPr="003D64E0">
        <w:t>glykocholovej</w:t>
      </w:r>
      <w:proofErr w:type="spellEnd"/>
      <w:r w:rsidRPr="003D64E0">
        <w:t xml:space="preserve"> je</w:t>
      </w:r>
      <w:r w:rsidR="00A45B32" w:rsidRPr="003D64E0">
        <w:t xml:space="preserve"> </w:t>
      </w:r>
      <w:r w:rsidRPr="003D64E0">
        <w:t xml:space="preserve">povinné starostlivé monitorovanie funkcie pečene v prípade opakovaného alebo dlhodobého podávania lieku </w:t>
      </w:r>
      <w:proofErr w:type="spellStart"/>
      <w:r w:rsidRPr="003D64E0">
        <w:t>Viant</w:t>
      </w:r>
      <w:proofErr w:type="spellEnd"/>
      <w:r w:rsidRPr="003D64E0">
        <w:t>.</w:t>
      </w:r>
    </w:p>
    <w:p w14:paraId="7C2E7F69" w14:textId="358F3E3D" w:rsidR="00666270" w:rsidRPr="003D64E0" w:rsidRDefault="00666270" w:rsidP="00C35EC9">
      <w:pPr>
        <w:spacing w:line="240" w:lineRule="auto"/>
        <w:rPr>
          <w:szCs w:val="22"/>
        </w:rPr>
      </w:pPr>
    </w:p>
    <w:p w14:paraId="10A4A74E" w14:textId="77777777" w:rsidR="00652276" w:rsidRPr="003D64E0" w:rsidRDefault="00652276" w:rsidP="00C35EC9">
      <w:pPr>
        <w:spacing w:line="240" w:lineRule="auto"/>
        <w:rPr>
          <w:szCs w:val="22"/>
        </w:rPr>
      </w:pPr>
    </w:p>
    <w:p w14:paraId="17B30AB2" w14:textId="4744C8A7" w:rsidR="00652276" w:rsidRPr="003D64E0" w:rsidRDefault="00652276" w:rsidP="00C35EC9">
      <w:pPr>
        <w:spacing w:line="240" w:lineRule="auto"/>
        <w:rPr>
          <w:i/>
          <w:szCs w:val="22"/>
          <w:u w:val="single"/>
        </w:rPr>
      </w:pPr>
      <w:r w:rsidRPr="003D64E0">
        <w:rPr>
          <w:i/>
          <w:u w:val="single"/>
        </w:rPr>
        <w:t>Pacienti s</w:t>
      </w:r>
      <w:r w:rsidR="00A45B32" w:rsidRPr="003D64E0">
        <w:rPr>
          <w:i/>
          <w:u w:val="single"/>
        </w:rPr>
        <w:t> poruchou</w:t>
      </w:r>
      <w:r w:rsidRPr="003D64E0">
        <w:rPr>
          <w:i/>
          <w:u w:val="single"/>
        </w:rPr>
        <w:t xml:space="preserve"> funkci</w:t>
      </w:r>
      <w:r w:rsidR="00A45B32" w:rsidRPr="003D64E0">
        <w:rPr>
          <w:i/>
          <w:u w:val="single"/>
        </w:rPr>
        <w:t>e</w:t>
      </w:r>
      <w:r w:rsidRPr="003D64E0">
        <w:rPr>
          <w:i/>
          <w:u w:val="single"/>
        </w:rPr>
        <w:t xml:space="preserve"> obličiek</w:t>
      </w:r>
    </w:p>
    <w:p w14:paraId="1EDAC6FF" w14:textId="765017C7" w:rsidR="00334ED1" w:rsidRPr="003D64E0" w:rsidRDefault="00036456" w:rsidP="00C35EC9">
      <w:pPr>
        <w:spacing w:line="240" w:lineRule="auto"/>
        <w:rPr>
          <w:szCs w:val="22"/>
        </w:rPr>
      </w:pPr>
      <w:r w:rsidRPr="003D64E0">
        <w:t>U pacientov s </w:t>
      </w:r>
      <w:r w:rsidR="00A45B32" w:rsidRPr="003D64E0">
        <w:t>poruchou</w:t>
      </w:r>
      <w:r w:rsidRPr="003D64E0">
        <w:t xml:space="preserve"> funkci</w:t>
      </w:r>
      <w:r w:rsidR="00A45B32" w:rsidRPr="003D64E0">
        <w:t>e</w:t>
      </w:r>
      <w:r w:rsidRPr="003D64E0">
        <w:t xml:space="preserve"> obličiek existuje potenciálne riziko predávkovania/toxicity vo</w:t>
      </w:r>
      <w:r w:rsidR="00A45B32" w:rsidRPr="003D64E0">
        <w:t xml:space="preserve"> </w:t>
      </w:r>
      <w:r w:rsidRPr="003D64E0">
        <w:t xml:space="preserve">fáze pred dialýzou z dôvodu zníženej schopnosti </w:t>
      </w:r>
      <w:proofErr w:type="spellStart"/>
      <w:r w:rsidR="00A45B32" w:rsidRPr="003D64E0">
        <w:t>renálneho</w:t>
      </w:r>
      <w:proofErr w:type="spellEnd"/>
      <w:r w:rsidR="00A45B32" w:rsidRPr="003D64E0">
        <w:t xml:space="preserve"> </w:t>
      </w:r>
      <w:r w:rsidRPr="003D64E0">
        <w:t>vylučovania prebytočných vitamínov rozpustných vo</w:t>
      </w:r>
      <w:r w:rsidR="00A45B32" w:rsidRPr="003D64E0">
        <w:t xml:space="preserve"> </w:t>
      </w:r>
      <w:r w:rsidRPr="003D64E0">
        <w:t>vode. Počas dialýzy môže strata vitamínov, najmä vitamínov rozpustných vo</w:t>
      </w:r>
      <w:r w:rsidR="00A45B32" w:rsidRPr="003D64E0">
        <w:t xml:space="preserve"> </w:t>
      </w:r>
      <w:r w:rsidRPr="003D64E0">
        <w:t>vode, viesť k zvýšenej potrebe vitamínov. V závislosti od</w:t>
      </w:r>
      <w:r w:rsidR="00A45B32" w:rsidRPr="003D64E0">
        <w:t xml:space="preserve"> </w:t>
      </w:r>
      <w:r w:rsidRPr="003D64E0">
        <w:t xml:space="preserve">stupňa </w:t>
      </w:r>
      <w:r w:rsidR="00A45B32" w:rsidRPr="003D64E0">
        <w:t>poruchy</w:t>
      </w:r>
      <w:r w:rsidRPr="003D64E0">
        <w:t xml:space="preserve"> funkcie obličiek a prítomnosti </w:t>
      </w:r>
      <w:proofErr w:type="spellStart"/>
      <w:r w:rsidRPr="003D64E0">
        <w:t>komorbidít</w:t>
      </w:r>
      <w:proofErr w:type="spellEnd"/>
      <w:r w:rsidRPr="003D64E0">
        <w:t xml:space="preserve"> môže byť potrebn</w:t>
      </w:r>
      <w:r w:rsidR="00DB07F2">
        <w:t>á</w:t>
      </w:r>
      <w:r w:rsidRPr="003D64E0">
        <w:t xml:space="preserve"> individualizovan</w:t>
      </w:r>
      <w:r w:rsidR="00DB07F2">
        <w:t>á</w:t>
      </w:r>
      <w:r w:rsidRPr="003D64E0">
        <w:t xml:space="preserve"> </w:t>
      </w:r>
      <w:proofErr w:type="spellStart"/>
      <w:r w:rsidR="00DB07F2">
        <w:t>suplementácia</w:t>
      </w:r>
      <w:proofErr w:type="spellEnd"/>
      <w:r w:rsidRPr="003D64E0">
        <w:t xml:space="preserve"> vitamínov. Osobitnú pozornosť je</w:t>
      </w:r>
      <w:r w:rsidR="00A45B32" w:rsidRPr="003D64E0">
        <w:t xml:space="preserve"> </w:t>
      </w:r>
      <w:r w:rsidRPr="003D64E0">
        <w:t>potrebné venovať pacientom so</w:t>
      </w:r>
      <w:r w:rsidR="00A45B32" w:rsidRPr="003D64E0">
        <w:t xml:space="preserve"> </w:t>
      </w:r>
      <w:r w:rsidRPr="003D64E0">
        <w:t xml:space="preserve">závažnou </w:t>
      </w:r>
      <w:proofErr w:type="spellStart"/>
      <w:r w:rsidRPr="003D64E0">
        <w:t>renálnou</w:t>
      </w:r>
      <w:proofErr w:type="spellEnd"/>
      <w:r w:rsidRPr="003D64E0">
        <w:t xml:space="preserve"> </w:t>
      </w:r>
      <w:proofErr w:type="spellStart"/>
      <w:r w:rsidRPr="003D64E0">
        <w:t>insuficienciou</w:t>
      </w:r>
      <w:proofErr w:type="spellEnd"/>
      <w:r w:rsidRPr="003D64E0">
        <w:t xml:space="preserve"> na</w:t>
      </w:r>
      <w:r w:rsidR="00A45B32" w:rsidRPr="003D64E0">
        <w:t xml:space="preserve"> </w:t>
      </w:r>
      <w:r w:rsidRPr="003D64E0">
        <w:t>udržiavanie hladiny vitamínu</w:t>
      </w:r>
      <w:r w:rsidR="00A45B32" w:rsidRPr="003D64E0">
        <w:t> </w:t>
      </w:r>
      <w:r w:rsidRPr="003D64E0">
        <w:t>D</w:t>
      </w:r>
      <w:r w:rsidR="00A45B32" w:rsidRPr="003D64E0">
        <w:t xml:space="preserve"> </w:t>
      </w:r>
      <w:r w:rsidRPr="003D64E0">
        <w:t>a</w:t>
      </w:r>
      <w:r w:rsidR="00A45B32" w:rsidRPr="003D64E0">
        <w:t> </w:t>
      </w:r>
      <w:r w:rsidRPr="003D64E0">
        <w:t>na</w:t>
      </w:r>
      <w:r w:rsidR="00A45B32" w:rsidRPr="003D64E0">
        <w:t xml:space="preserve"> </w:t>
      </w:r>
      <w:r w:rsidRPr="003D64E0">
        <w:t xml:space="preserve">prevenciu toxicity </w:t>
      </w:r>
      <w:r w:rsidR="0025771C">
        <w:t xml:space="preserve">spôsobenej </w:t>
      </w:r>
      <w:r w:rsidRPr="003D64E0">
        <w:t>vitamín</w:t>
      </w:r>
      <w:r w:rsidR="0025771C">
        <w:t>om</w:t>
      </w:r>
      <w:r w:rsidR="00A45B32" w:rsidRPr="003D64E0">
        <w:t> </w:t>
      </w:r>
      <w:r w:rsidRPr="003D64E0">
        <w:t>A.</w:t>
      </w:r>
    </w:p>
    <w:p w14:paraId="13C6D6E2" w14:textId="77777777" w:rsidR="003D58B3" w:rsidRDefault="003D58B3" w:rsidP="003D58B3">
      <w:pPr>
        <w:rPr>
          <w:szCs w:val="22"/>
          <w:u w:val="single"/>
        </w:rPr>
      </w:pPr>
    </w:p>
    <w:p w14:paraId="21D3D77B" w14:textId="1B548033" w:rsidR="003D58B3" w:rsidRPr="009A3F22" w:rsidRDefault="003D58B3" w:rsidP="003D58B3">
      <w:pPr>
        <w:rPr>
          <w:szCs w:val="22"/>
          <w:u w:val="single"/>
        </w:rPr>
      </w:pPr>
      <w:r w:rsidRPr="009A3F22">
        <w:rPr>
          <w:szCs w:val="22"/>
          <w:u w:val="single"/>
        </w:rPr>
        <w:t>Použitie u pacientov s</w:t>
      </w:r>
      <w:r>
        <w:rPr>
          <w:szCs w:val="22"/>
          <w:u w:val="single"/>
        </w:rPr>
        <w:t> </w:t>
      </w:r>
      <w:r w:rsidRPr="009A3F22">
        <w:rPr>
          <w:szCs w:val="22"/>
          <w:u w:val="single"/>
        </w:rPr>
        <w:t>nedostatkom vitamínu B</w:t>
      </w:r>
      <w:r w:rsidRPr="009A3F22">
        <w:rPr>
          <w:szCs w:val="22"/>
          <w:u w:val="single"/>
          <w:vertAlign w:val="subscript"/>
        </w:rPr>
        <w:t>12</w:t>
      </w:r>
    </w:p>
    <w:p w14:paraId="56FE4F37" w14:textId="79AD3309" w:rsidR="003D58B3" w:rsidRDefault="003D58B3" w:rsidP="003D58B3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U pacientov s rizikom výskytu nedostatku vitamínu </w:t>
      </w:r>
      <w:r w:rsidRPr="009A3F22">
        <w:rPr>
          <w:bCs/>
          <w:szCs w:val="22"/>
        </w:rPr>
        <w:t>B</w:t>
      </w:r>
      <w:r w:rsidRPr="009A3F22">
        <w:rPr>
          <w:bCs/>
          <w:szCs w:val="22"/>
          <w:vertAlign w:val="subscript"/>
        </w:rPr>
        <w:t>12</w:t>
      </w:r>
      <w:r w:rsidRPr="009A3F22">
        <w:rPr>
          <w:bCs/>
          <w:szCs w:val="22"/>
        </w:rPr>
        <w:t xml:space="preserve"> (</w:t>
      </w:r>
      <w:proofErr w:type="spellStart"/>
      <w:r w:rsidRPr="009A3F22">
        <w:t>kyanokobalamín</w:t>
      </w:r>
      <w:proofErr w:type="spellEnd"/>
      <w:r w:rsidRPr="009A3F22">
        <w:rPr>
          <w:bCs/>
          <w:szCs w:val="22"/>
        </w:rPr>
        <w:t>)</w:t>
      </w:r>
      <w:r>
        <w:rPr>
          <w:bCs/>
          <w:szCs w:val="22"/>
        </w:rPr>
        <w:t xml:space="preserve">, napr. u pacientov so syndrómom krátkeho čreva, zápalovým ochorením čriev, u pacientov používajúcich </w:t>
      </w:r>
      <w:proofErr w:type="spellStart"/>
      <w:r>
        <w:rPr>
          <w:bCs/>
          <w:szCs w:val="22"/>
        </w:rPr>
        <w:t>metformín</w:t>
      </w:r>
      <w:proofErr w:type="spellEnd"/>
      <w:r>
        <w:rPr>
          <w:bCs/>
          <w:szCs w:val="22"/>
        </w:rPr>
        <w:t xml:space="preserve"> </w:t>
      </w:r>
      <w:r w:rsidRPr="009A3F22">
        <w:rPr>
          <w:bCs/>
          <w:szCs w:val="22"/>
        </w:rPr>
        <w:t>&gt;</w:t>
      </w:r>
      <w:r>
        <w:rPr>
          <w:bCs/>
          <w:szCs w:val="22"/>
        </w:rPr>
        <w:t> štyri mesiace, inhibítory protónovej pumpy alebo H</w:t>
      </w:r>
      <w:r w:rsidR="00143B08" w:rsidRPr="00BB5105">
        <w:rPr>
          <w:bCs/>
          <w:szCs w:val="22"/>
          <w:vertAlign w:val="subscript"/>
        </w:rPr>
        <w:t>2</w:t>
      </w:r>
      <w:r>
        <w:rPr>
          <w:bCs/>
          <w:szCs w:val="22"/>
        </w:rPr>
        <w:noBreakHyphen/>
        <w:t>blokátory histamínu &gt; 12 mesiacov, u </w:t>
      </w:r>
      <w:proofErr w:type="spellStart"/>
      <w:r>
        <w:rPr>
          <w:bCs/>
          <w:szCs w:val="22"/>
        </w:rPr>
        <w:t>vegánov</w:t>
      </w:r>
      <w:proofErr w:type="spellEnd"/>
      <w:r>
        <w:rPr>
          <w:bCs/>
          <w:szCs w:val="22"/>
        </w:rPr>
        <w:t xml:space="preserve"> alebo prísnych vegetariánov a u dospelých starších ako 75 rokov a/alebo ak sa plánuje liečba trvajúca niekoľko týždňov, sa pred začatím liečby liekom </w:t>
      </w:r>
      <w:proofErr w:type="spellStart"/>
      <w:r>
        <w:rPr>
          <w:bCs/>
          <w:szCs w:val="22"/>
        </w:rPr>
        <w:t>Viant</w:t>
      </w:r>
      <w:proofErr w:type="spellEnd"/>
      <w:r>
        <w:rPr>
          <w:bCs/>
          <w:szCs w:val="22"/>
        </w:rPr>
        <w:t xml:space="preserve"> odporúča vyhodnotiť stav hlad</w:t>
      </w:r>
      <w:r w:rsidR="008654BB">
        <w:rPr>
          <w:bCs/>
          <w:szCs w:val="22"/>
        </w:rPr>
        <w:t>iny</w:t>
      </w:r>
      <w:r>
        <w:rPr>
          <w:bCs/>
          <w:szCs w:val="22"/>
        </w:rPr>
        <w:t xml:space="preserve"> vitamínu 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>
        <w:rPr>
          <w:szCs w:val="22"/>
          <w:vertAlign w:val="subscript"/>
        </w:rPr>
        <w:t>.</w:t>
      </w:r>
    </w:p>
    <w:p w14:paraId="7531E065" w14:textId="77777777" w:rsidR="003D58B3" w:rsidRPr="009A3F22" w:rsidRDefault="003D58B3" w:rsidP="003D58B3">
      <w:pPr>
        <w:rPr>
          <w:szCs w:val="22"/>
        </w:rPr>
      </w:pPr>
    </w:p>
    <w:p w14:paraId="157A86B8" w14:textId="6FFA05F1" w:rsidR="003D58B3" w:rsidRDefault="003D58B3" w:rsidP="003D58B3">
      <w:pPr>
        <w:rPr>
          <w:szCs w:val="22"/>
        </w:rPr>
      </w:pPr>
      <w:r>
        <w:rPr>
          <w:szCs w:val="22"/>
        </w:rPr>
        <w:t xml:space="preserve">Po niekoľkých dňoch podávania môžu byť individuálne množstvá </w:t>
      </w:r>
      <w:proofErr w:type="spellStart"/>
      <w:r w:rsidRPr="009A3F22">
        <w:t>kyanokobalamín</w:t>
      </w:r>
      <w:r>
        <w:t>u</w:t>
      </w:r>
      <w:proofErr w:type="spellEnd"/>
      <w:r>
        <w:t xml:space="preserve"> (vitamín 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>
        <w:t xml:space="preserve">) aj kyseliny listovej v lieku </w:t>
      </w:r>
      <w:proofErr w:type="spellStart"/>
      <w:r>
        <w:t>Viant</w:t>
      </w:r>
      <w:proofErr w:type="spellEnd"/>
      <w:r>
        <w:t xml:space="preserve"> dostatočné na dosiahnutie zvýšenia počtu červených krviniek, počtu </w:t>
      </w:r>
      <w:proofErr w:type="spellStart"/>
      <w:r>
        <w:t>retikulocytov</w:t>
      </w:r>
      <w:proofErr w:type="spellEnd"/>
      <w:r>
        <w:t xml:space="preserve"> a hodnôt hemoglobínu u niektorých pacientov s </w:t>
      </w:r>
      <w:proofErr w:type="spellStart"/>
      <w:r>
        <w:t>megaloblastickou</w:t>
      </w:r>
      <w:proofErr w:type="spellEnd"/>
      <w:r>
        <w:t xml:space="preserve"> anémiou súvisiacou s nedostatkom vitamínu 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 w:rsidRPr="00CB139A">
        <w:rPr>
          <w:szCs w:val="22"/>
        </w:rPr>
        <w:t xml:space="preserve">. </w:t>
      </w:r>
      <w:r>
        <w:rPr>
          <w:szCs w:val="22"/>
        </w:rPr>
        <w:t>To môže zastierať existujúci nedostatok vitamínu 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 w:rsidRPr="00CB139A">
        <w:rPr>
          <w:szCs w:val="22"/>
        </w:rPr>
        <w:t>, ktorý si vyžaduje</w:t>
      </w:r>
      <w:r>
        <w:rPr>
          <w:szCs w:val="22"/>
          <w:vertAlign w:val="subscript"/>
        </w:rPr>
        <w:t xml:space="preserve"> </w:t>
      </w:r>
      <w:r w:rsidRPr="00CB139A">
        <w:rPr>
          <w:szCs w:val="22"/>
        </w:rPr>
        <w:t>vyššie dávky</w:t>
      </w:r>
      <w:r>
        <w:rPr>
          <w:szCs w:val="22"/>
          <w:vertAlign w:val="subscript"/>
        </w:rPr>
        <w:t xml:space="preserve"> </w:t>
      </w:r>
      <w:proofErr w:type="spellStart"/>
      <w:r w:rsidRPr="009A3F22">
        <w:t>kyanokobalamín</w:t>
      </w:r>
      <w:r>
        <w:t>u</w:t>
      </w:r>
      <w:proofErr w:type="spellEnd"/>
      <w:r>
        <w:t xml:space="preserve"> ako sú dávky dodávané liekom </w:t>
      </w:r>
      <w:proofErr w:type="spellStart"/>
      <w:r>
        <w:t>Viant</w:t>
      </w:r>
      <w:proofErr w:type="spellEnd"/>
      <w:r>
        <w:t>.</w:t>
      </w:r>
    </w:p>
    <w:p w14:paraId="188EF66C" w14:textId="77777777" w:rsidR="003D58B3" w:rsidRPr="009A3F22" w:rsidRDefault="003D58B3" w:rsidP="003D58B3">
      <w:pPr>
        <w:rPr>
          <w:szCs w:val="22"/>
        </w:rPr>
      </w:pPr>
    </w:p>
    <w:p w14:paraId="3F903BD7" w14:textId="4DCE9A10" w:rsidR="003D58B3" w:rsidRPr="00CB139A" w:rsidRDefault="003D58B3" w:rsidP="003D58B3">
      <w:r>
        <w:rPr>
          <w:szCs w:val="22"/>
        </w:rPr>
        <w:t>Pri interpretácii hladín vitamínu 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 w:rsidRPr="009A3F22">
        <w:rPr>
          <w:szCs w:val="22"/>
        </w:rPr>
        <w:t xml:space="preserve"> </w:t>
      </w:r>
      <w:r>
        <w:rPr>
          <w:szCs w:val="22"/>
        </w:rPr>
        <w:t>sa má zohľadniť, že nedávny príjem vitamínu </w:t>
      </w:r>
      <w:r w:rsidRPr="009A3F22">
        <w:rPr>
          <w:szCs w:val="22"/>
        </w:rPr>
        <w:t>B</w:t>
      </w:r>
      <w:r w:rsidRPr="009A3F22">
        <w:rPr>
          <w:szCs w:val="22"/>
          <w:vertAlign w:val="subscript"/>
        </w:rPr>
        <w:t>12</w:t>
      </w:r>
      <w:r w:rsidRPr="009A3F22">
        <w:rPr>
          <w:szCs w:val="22"/>
        </w:rPr>
        <w:t xml:space="preserve"> </w:t>
      </w:r>
      <w:r>
        <w:rPr>
          <w:szCs w:val="22"/>
        </w:rPr>
        <w:t xml:space="preserve">môže viesť k normálnym hladinám, a to </w:t>
      </w:r>
      <w:r w:rsidR="00793127">
        <w:rPr>
          <w:szCs w:val="22"/>
        </w:rPr>
        <w:t xml:space="preserve">aj </w:t>
      </w:r>
      <w:r>
        <w:rPr>
          <w:szCs w:val="22"/>
        </w:rPr>
        <w:t>napriek nedostatku v tkanivách.</w:t>
      </w:r>
    </w:p>
    <w:p w14:paraId="6CE8AAD6" w14:textId="77777777" w:rsidR="00532D88" w:rsidRPr="003D64E0" w:rsidRDefault="00532D88" w:rsidP="00C35EC9">
      <w:pPr>
        <w:spacing w:line="240" w:lineRule="auto"/>
        <w:rPr>
          <w:i/>
          <w:szCs w:val="22"/>
          <w:u w:val="single"/>
        </w:rPr>
      </w:pPr>
    </w:p>
    <w:p w14:paraId="34EED48C" w14:textId="77777777" w:rsidR="007D30ED" w:rsidRPr="003D64E0" w:rsidRDefault="00D878E6" w:rsidP="00C35EC9">
      <w:pPr>
        <w:spacing w:line="240" w:lineRule="auto"/>
        <w:rPr>
          <w:i/>
          <w:szCs w:val="22"/>
          <w:u w:val="single"/>
        </w:rPr>
      </w:pPr>
      <w:r w:rsidRPr="003D64E0">
        <w:rPr>
          <w:i/>
          <w:u w:val="single"/>
        </w:rPr>
        <w:t>Pediatrickí pacienti</w:t>
      </w:r>
    </w:p>
    <w:p w14:paraId="44180C2E" w14:textId="5A97CC3F" w:rsidR="0077644F" w:rsidRPr="003D64E0" w:rsidRDefault="0077644F" w:rsidP="0077644F">
      <w:p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je kontraindikovaný u </w:t>
      </w:r>
      <w:r w:rsidRPr="00B85886">
        <w:rPr>
          <w:szCs w:val="22"/>
          <w:lang w:bidi="ar-SA"/>
        </w:rPr>
        <w:t>novorodenco</w:t>
      </w:r>
      <w:r>
        <w:rPr>
          <w:szCs w:val="22"/>
        </w:rPr>
        <w:t>v</w:t>
      </w:r>
      <w:r w:rsidRPr="00B85886">
        <w:rPr>
          <w:szCs w:val="22"/>
          <w:lang w:bidi="ar-SA"/>
        </w:rPr>
        <w:t>, dojč</w:t>
      </w:r>
      <w:r>
        <w:rPr>
          <w:szCs w:val="22"/>
        </w:rPr>
        <w:t xml:space="preserve">iat </w:t>
      </w:r>
      <w:r w:rsidRPr="00B85886">
        <w:rPr>
          <w:szCs w:val="22"/>
          <w:lang w:bidi="ar-SA"/>
        </w:rPr>
        <w:t>a</w:t>
      </w:r>
      <w:r>
        <w:rPr>
          <w:szCs w:val="22"/>
        </w:rPr>
        <w:t> </w:t>
      </w:r>
      <w:r w:rsidRPr="003D64E0">
        <w:t>detí vo veku do 1</w:t>
      </w:r>
      <w:r>
        <w:t>1</w:t>
      </w:r>
      <w:r w:rsidRPr="003D64E0">
        <w:t> rokov.</w:t>
      </w:r>
    </w:p>
    <w:p w14:paraId="40C76912" w14:textId="77777777" w:rsidR="001328C5" w:rsidRPr="003D64E0" w:rsidRDefault="001328C5" w:rsidP="00C35EC9">
      <w:pPr>
        <w:spacing w:line="240" w:lineRule="auto"/>
        <w:rPr>
          <w:szCs w:val="22"/>
        </w:rPr>
      </w:pPr>
    </w:p>
    <w:p w14:paraId="293B37F3" w14:textId="77777777" w:rsidR="001328C5" w:rsidRPr="003D64E0" w:rsidRDefault="0054106B" w:rsidP="00C35EC9">
      <w:pPr>
        <w:keepNext/>
        <w:spacing w:line="240" w:lineRule="auto"/>
        <w:rPr>
          <w:i/>
          <w:szCs w:val="22"/>
          <w:u w:val="single"/>
        </w:rPr>
      </w:pPr>
      <w:r w:rsidRPr="003D64E0">
        <w:rPr>
          <w:i/>
          <w:u w:val="single"/>
        </w:rPr>
        <w:t>Starší pacienti</w:t>
      </w:r>
    </w:p>
    <w:p w14:paraId="4E28C06C" w14:textId="577587C8" w:rsidR="00BF7ABE" w:rsidRPr="003D64E0" w:rsidRDefault="000A5C8A" w:rsidP="00C35EC9">
      <w:pPr>
        <w:spacing w:line="240" w:lineRule="auto"/>
        <w:rPr>
          <w:szCs w:val="22"/>
        </w:rPr>
      </w:pPr>
      <w:r w:rsidRPr="003D64E0">
        <w:t>Vo všeobecnosti je</w:t>
      </w:r>
      <w:r w:rsidR="00A45B32" w:rsidRPr="003D64E0">
        <w:t xml:space="preserve"> </w:t>
      </w:r>
      <w:r w:rsidRPr="003D64E0">
        <w:t xml:space="preserve">potrebné </w:t>
      </w:r>
      <w:r w:rsidR="00A45B32" w:rsidRPr="003D64E0">
        <w:t>zvážiť</w:t>
      </w:r>
      <w:r w:rsidRPr="003D64E0">
        <w:t xml:space="preserve"> úprav</w:t>
      </w:r>
      <w:r w:rsidR="00793127">
        <w:t>u</w:t>
      </w:r>
      <w:r w:rsidRPr="003D64E0">
        <w:t xml:space="preserve"> dávkovania (zníženie dávky a/alebo predĺženie dávkovacích intervalov) </w:t>
      </w:r>
      <w:r w:rsidR="00C46853">
        <w:t>u</w:t>
      </w:r>
      <w:r w:rsidRPr="003D64E0">
        <w:t xml:space="preserve"> starších pacientov </w:t>
      </w:r>
      <w:r w:rsidR="00A45B32" w:rsidRPr="003D64E0">
        <w:t>z dôvodu</w:t>
      </w:r>
      <w:r w:rsidRPr="003D64E0">
        <w:t xml:space="preserve"> ich pokročilého veku a sprievodné</w:t>
      </w:r>
      <w:r w:rsidR="00A45B32" w:rsidRPr="003D64E0">
        <w:t>ho</w:t>
      </w:r>
      <w:r w:rsidRPr="003D64E0">
        <w:t xml:space="preserve"> častejšie</w:t>
      </w:r>
      <w:r w:rsidR="00A45B32" w:rsidRPr="003D64E0">
        <w:t>ho</w:t>
      </w:r>
      <w:r w:rsidRPr="003D64E0">
        <w:t xml:space="preserve"> výskytu z</w:t>
      </w:r>
      <w:r w:rsidR="00A45B32" w:rsidRPr="003D64E0">
        <w:t>níženej</w:t>
      </w:r>
      <w:r w:rsidRPr="003D64E0">
        <w:t xml:space="preserve"> funkcie pečene, obličiek alebo srdca, ako aj</w:t>
      </w:r>
      <w:r w:rsidR="00A45B32" w:rsidRPr="003D64E0">
        <w:t xml:space="preserve"> </w:t>
      </w:r>
      <w:r w:rsidRPr="003D64E0">
        <w:t>s</w:t>
      </w:r>
      <w:r w:rsidR="00A45B32" w:rsidRPr="003D64E0">
        <w:t>úbežných</w:t>
      </w:r>
      <w:r w:rsidRPr="003D64E0">
        <w:t xml:space="preserve"> ochorení alebo liekov.</w:t>
      </w:r>
    </w:p>
    <w:p w14:paraId="0C6AD2AB" w14:textId="77777777" w:rsidR="000A5C8A" w:rsidRPr="003D64E0" w:rsidRDefault="000A5C8A" w:rsidP="00C35EC9">
      <w:pPr>
        <w:spacing w:line="240" w:lineRule="auto"/>
        <w:rPr>
          <w:b/>
          <w:szCs w:val="22"/>
        </w:rPr>
      </w:pPr>
    </w:p>
    <w:p w14:paraId="79209F04" w14:textId="77777777" w:rsidR="007D30ED" w:rsidRPr="003D64E0" w:rsidRDefault="00BC5D9C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Osobitné upozornenia/opatrenia týkajúce sa pomocných látok</w:t>
      </w:r>
    </w:p>
    <w:p w14:paraId="738165CB" w14:textId="0CE3A40B" w:rsidR="00BC5D9C" w:rsidRPr="003D64E0" w:rsidRDefault="00AF7083" w:rsidP="00C35EC9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D64E0">
        <w:t xml:space="preserve">Tento liek obsahuje menej ako 1 mmol sodíka </w:t>
      </w:r>
      <w:r w:rsidR="00854358" w:rsidRPr="003D64E0">
        <w:t xml:space="preserve">(23 mg) </w:t>
      </w:r>
      <w:r w:rsidRPr="003D64E0">
        <w:t>v jednej injekčnej liekovke, t.j.</w:t>
      </w:r>
      <w:r w:rsidR="00A45B32" w:rsidRPr="003D64E0">
        <w:t xml:space="preserve"> </w:t>
      </w:r>
      <w:r w:rsidRPr="003D64E0">
        <w:t>v podstate zanedbateľné množstvo sodíka. To</w:t>
      </w:r>
      <w:r w:rsidR="00A45B32" w:rsidRPr="003D64E0">
        <w:t xml:space="preserve"> </w:t>
      </w:r>
      <w:r w:rsidRPr="003D64E0">
        <w:t>sa</w:t>
      </w:r>
      <w:r w:rsidR="00A45B32" w:rsidRPr="003D64E0">
        <w:t xml:space="preserve"> </w:t>
      </w:r>
      <w:r w:rsidRPr="003D64E0">
        <w:t>má</w:t>
      </w:r>
      <w:r w:rsidR="00A45B32" w:rsidRPr="003D64E0">
        <w:t xml:space="preserve"> </w:t>
      </w:r>
      <w:r w:rsidRPr="003D64E0">
        <w:t xml:space="preserve">vziať do úvahy u pacientov </w:t>
      </w:r>
      <w:r w:rsidR="00A45B32" w:rsidRPr="003D64E0">
        <w:t xml:space="preserve">na </w:t>
      </w:r>
      <w:r w:rsidRPr="003D64E0">
        <w:t>diét</w:t>
      </w:r>
      <w:r w:rsidR="00A45B32" w:rsidRPr="003D64E0">
        <w:t>e</w:t>
      </w:r>
      <w:r w:rsidRPr="003D64E0">
        <w:t xml:space="preserve"> s kontrolovaným </w:t>
      </w:r>
      <w:r w:rsidR="00A45B32" w:rsidRPr="003D64E0">
        <w:t>obsahom</w:t>
      </w:r>
      <w:r w:rsidRPr="003D64E0">
        <w:t xml:space="preserve"> sodíka.</w:t>
      </w:r>
    </w:p>
    <w:p w14:paraId="7EB7AB62" w14:textId="77777777" w:rsidR="007D30ED" w:rsidRPr="003D64E0" w:rsidRDefault="007D30ED" w:rsidP="00C35EC9">
      <w:pPr>
        <w:spacing w:line="240" w:lineRule="auto"/>
        <w:rPr>
          <w:szCs w:val="22"/>
        </w:rPr>
      </w:pPr>
    </w:p>
    <w:p w14:paraId="6736CD61" w14:textId="7CB54F5A" w:rsidR="007D30ED" w:rsidRPr="003D64E0" w:rsidRDefault="007D30ED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Interferenci</w:t>
      </w:r>
      <w:r w:rsidR="00701623">
        <w:rPr>
          <w:b/>
        </w:rPr>
        <w:t>e</w:t>
      </w:r>
      <w:r w:rsidRPr="003D64E0">
        <w:rPr>
          <w:b/>
        </w:rPr>
        <w:t xml:space="preserve"> so </w:t>
      </w:r>
      <w:proofErr w:type="spellStart"/>
      <w:r w:rsidR="009B0507" w:rsidRPr="003D64E0">
        <w:rPr>
          <w:b/>
        </w:rPr>
        <w:t>s</w:t>
      </w:r>
      <w:r w:rsidR="00701623">
        <w:rPr>
          <w:b/>
        </w:rPr>
        <w:t>é</w:t>
      </w:r>
      <w:r w:rsidR="009B0507" w:rsidRPr="003D64E0">
        <w:rPr>
          <w:b/>
        </w:rPr>
        <w:t>rologickým</w:t>
      </w:r>
      <w:proofErr w:type="spellEnd"/>
      <w:r w:rsidRPr="003D64E0">
        <w:rPr>
          <w:b/>
        </w:rPr>
        <w:t xml:space="preserve"> testovaním</w:t>
      </w:r>
    </w:p>
    <w:p w14:paraId="3C71E8F7" w14:textId="1D9CD2A3" w:rsidR="00DA2774" w:rsidRPr="003D64E0" w:rsidRDefault="00DA2774" w:rsidP="00C35EC9">
      <w:pPr>
        <w:spacing w:line="240" w:lineRule="auto"/>
        <w:rPr>
          <w:szCs w:val="22"/>
        </w:rPr>
      </w:pPr>
      <w:r w:rsidRPr="003D64E0">
        <w:lastRenderedPageBreak/>
        <w:t>Tento liek sa</w:t>
      </w:r>
      <w:r w:rsidR="00A45B32" w:rsidRPr="003D64E0">
        <w:t xml:space="preserve"> </w:t>
      </w:r>
      <w:r w:rsidRPr="003D64E0">
        <w:t>nemá podávať pred odberom krvi na</w:t>
      </w:r>
      <w:r w:rsidR="00A45B32" w:rsidRPr="003D64E0">
        <w:t xml:space="preserve"> </w:t>
      </w:r>
      <w:r w:rsidRPr="003D64E0">
        <w:t xml:space="preserve">zistenie </w:t>
      </w:r>
      <w:proofErr w:type="spellStart"/>
      <w:r w:rsidRPr="003D64E0">
        <w:t>megaloblastickej</w:t>
      </w:r>
      <w:proofErr w:type="spellEnd"/>
      <w:r w:rsidRPr="003D64E0">
        <w:t xml:space="preserve"> anémie (perniciózna anémia), pretože podávaná kyselina listová môže maskovať nedostatok </w:t>
      </w:r>
      <w:proofErr w:type="spellStart"/>
      <w:r w:rsidRPr="003D64E0">
        <w:t>kyanokobalamínu</w:t>
      </w:r>
      <w:proofErr w:type="spellEnd"/>
      <w:r w:rsidRPr="003D64E0">
        <w:t xml:space="preserve"> a naopak.</w:t>
      </w:r>
    </w:p>
    <w:p w14:paraId="790326B1" w14:textId="52B21932" w:rsidR="00A9518E" w:rsidRPr="003D64E0" w:rsidRDefault="00040469" w:rsidP="00C35EC9">
      <w:pPr>
        <w:spacing w:line="240" w:lineRule="auto"/>
        <w:rPr>
          <w:szCs w:val="22"/>
        </w:rPr>
      </w:pPr>
      <w:r w:rsidRPr="003D64E0">
        <w:t>Prítomnosť kyseliny askorbovej v krvi a v moči môže v niektorých systémoch na</w:t>
      </w:r>
      <w:r w:rsidR="00A45B32" w:rsidRPr="003D64E0">
        <w:t xml:space="preserve"> </w:t>
      </w:r>
      <w:r w:rsidRPr="003D64E0">
        <w:t xml:space="preserve">testovanie </w:t>
      </w:r>
      <w:r w:rsidR="00701623">
        <w:t xml:space="preserve">prítomnosti </w:t>
      </w:r>
      <w:r w:rsidRPr="003D64E0">
        <w:t xml:space="preserve">glukózy v krvi a moči spôsobiť falošné vysoké alebo nízke </w:t>
      </w:r>
      <w:r w:rsidR="00701623">
        <w:t>hladiny</w:t>
      </w:r>
      <w:r w:rsidRPr="003D64E0">
        <w:t xml:space="preserve"> glukózy.</w:t>
      </w:r>
    </w:p>
    <w:p w14:paraId="4ED63533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3C5D2F76" w14:textId="77777777" w:rsidR="00CA14D8" w:rsidRPr="003D64E0" w:rsidRDefault="00CA14D8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Kompatibilita</w:t>
      </w:r>
    </w:p>
    <w:p w14:paraId="5DF28A3F" w14:textId="70444669" w:rsidR="00CA14D8" w:rsidRPr="003D64E0" w:rsidRDefault="00CA14D8" w:rsidP="00C35EC9">
      <w:pPr>
        <w:spacing w:line="240" w:lineRule="auto"/>
        <w:rPr>
          <w:szCs w:val="22"/>
        </w:rPr>
      </w:pPr>
      <w:r w:rsidRPr="003D64E0">
        <w:t>Kompatibilitu treba testovať pred zmiešaním s inými infúznymi roztokmi</w:t>
      </w:r>
      <w:r w:rsidR="004052AC" w:rsidRPr="00B85886">
        <w:rPr>
          <w:szCs w:val="22"/>
          <w:lang w:bidi="ar-SA"/>
        </w:rPr>
        <w:t>/emulzi</w:t>
      </w:r>
      <w:r w:rsidR="004052AC">
        <w:rPr>
          <w:szCs w:val="22"/>
          <w:lang w:bidi="ar-SA"/>
        </w:rPr>
        <w:t>ami</w:t>
      </w:r>
      <w:r w:rsidRPr="003D64E0">
        <w:t xml:space="preserve"> (pozri časti</w:t>
      </w:r>
      <w:r w:rsidR="00B85875" w:rsidRPr="003D64E0">
        <w:t> </w:t>
      </w:r>
      <w:r w:rsidRPr="003D64E0">
        <w:t>6.2</w:t>
      </w:r>
      <w:r w:rsidR="00722F8F" w:rsidRPr="003D64E0">
        <w:t xml:space="preserve"> </w:t>
      </w:r>
      <w:r w:rsidRPr="003D64E0">
        <w:t>a 6.6).</w:t>
      </w:r>
    </w:p>
    <w:p w14:paraId="77143AB3" w14:textId="77777777" w:rsidR="003A4130" w:rsidRPr="003D64E0" w:rsidRDefault="003A4130" w:rsidP="00C35EC9">
      <w:pPr>
        <w:spacing w:line="240" w:lineRule="auto"/>
        <w:rPr>
          <w:szCs w:val="22"/>
        </w:rPr>
      </w:pPr>
    </w:p>
    <w:p w14:paraId="04180AF2" w14:textId="5F19FB99" w:rsidR="00DA2774" w:rsidRPr="003D64E0" w:rsidRDefault="00DA2774" w:rsidP="00C35EC9">
      <w:pPr>
        <w:pStyle w:val="Nadpis2"/>
        <w:spacing w:before="0" w:line="240" w:lineRule="auto"/>
      </w:pPr>
      <w:r w:rsidRPr="003D64E0">
        <w:t>4.5</w:t>
      </w:r>
      <w:r w:rsidRPr="003D64E0">
        <w:tab/>
        <w:t>Liekové a iné interakcie</w:t>
      </w:r>
    </w:p>
    <w:p w14:paraId="29689A5E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682EA159" w14:textId="77777777" w:rsidR="001328C5" w:rsidRPr="003D64E0" w:rsidRDefault="00A01266" w:rsidP="00C35EC9">
      <w:pPr>
        <w:spacing w:line="240" w:lineRule="auto"/>
        <w:rPr>
          <w:szCs w:val="22"/>
        </w:rPr>
      </w:pPr>
      <w:r w:rsidRPr="003D64E0">
        <w:t>Niektoré lieky môžu zvyšovať alebo znižovať hladiny vitamínov v dôsledku rôznych interakcií.</w:t>
      </w:r>
    </w:p>
    <w:p w14:paraId="60C7AA18" w14:textId="77777777" w:rsidR="00E025CE" w:rsidRDefault="00E025CE" w:rsidP="00C35EC9">
      <w:pPr>
        <w:spacing w:line="240" w:lineRule="auto"/>
      </w:pPr>
    </w:p>
    <w:p w14:paraId="116330F9" w14:textId="5FDE2497" w:rsidR="007B58D7" w:rsidRPr="003D64E0" w:rsidRDefault="007B58D7" w:rsidP="00C35EC9">
      <w:pPr>
        <w:spacing w:line="240" w:lineRule="auto"/>
        <w:rPr>
          <w:szCs w:val="22"/>
        </w:rPr>
      </w:pPr>
      <w:r w:rsidRPr="003D64E0">
        <w:t>Medzi lieky zvyšujúce hladiny vitamínov patria:</w:t>
      </w:r>
    </w:p>
    <w:p w14:paraId="255A6D31" w14:textId="67A37B00" w:rsidR="00F61CBA" w:rsidRPr="00E47D07" w:rsidRDefault="00C17763" w:rsidP="00C35EC9">
      <w:pPr>
        <w:numPr>
          <w:ilvl w:val="0"/>
          <w:numId w:val="41"/>
        </w:numPr>
        <w:spacing w:line="240" w:lineRule="auto"/>
        <w:rPr>
          <w:szCs w:val="22"/>
        </w:rPr>
      </w:pPr>
      <w:proofErr w:type="spellStart"/>
      <w:r w:rsidRPr="003D64E0">
        <w:t>retinoidy</w:t>
      </w:r>
      <w:proofErr w:type="spellEnd"/>
      <w:r w:rsidRPr="003D64E0">
        <w:t xml:space="preserve"> </w:t>
      </w:r>
      <w:r w:rsidR="007B58D7" w:rsidRPr="003D64E0">
        <w:t>(napr</w:t>
      </w:r>
      <w:r w:rsidR="00722F8F" w:rsidRPr="003D64E0">
        <w:t>.</w:t>
      </w:r>
      <w:r w:rsidR="007B58D7" w:rsidRPr="003D64E0">
        <w:t xml:space="preserve"> </w:t>
      </w:r>
      <w:proofErr w:type="spellStart"/>
      <w:r w:rsidR="007B58D7" w:rsidRPr="003D64E0">
        <w:t>bexarotén</w:t>
      </w:r>
      <w:proofErr w:type="spellEnd"/>
      <w:r w:rsidR="007B58D7" w:rsidRPr="003D64E0">
        <w:t xml:space="preserve"> alebo </w:t>
      </w:r>
      <w:proofErr w:type="spellStart"/>
      <w:r w:rsidR="007B58D7" w:rsidRPr="003D64E0">
        <w:t>acitretín</w:t>
      </w:r>
      <w:proofErr w:type="spellEnd"/>
      <w:r w:rsidR="007B58D7" w:rsidRPr="003D64E0">
        <w:t xml:space="preserve">) zvyšujú riziko </w:t>
      </w:r>
      <w:proofErr w:type="spellStart"/>
      <w:r w:rsidR="007B58D7" w:rsidRPr="003D64E0">
        <w:t>hypervitaminózy</w:t>
      </w:r>
      <w:proofErr w:type="spellEnd"/>
      <w:r w:rsidR="00722F8F" w:rsidRPr="003D64E0">
        <w:t> </w:t>
      </w:r>
      <w:r w:rsidR="007B58D7" w:rsidRPr="003D64E0">
        <w:t>A</w:t>
      </w:r>
      <w:r w:rsidR="004052AC" w:rsidRPr="00B85886">
        <w:rPr>
          <w:szCs w:val="22"/>
          <w:lang w:bidi="ar-SA"/>
        </w:rPr>
        <w:t xml:space="preserve"> (pozri časti 4.3 a 4.4</w:t>
      </w:r>
      <w:r w:rsidR="00E47D07">
        <w:rPr>
          <w:szCs w:val="22"/>
          <w:lang w:bidi="ar-SA"/>
        </w:rPr>
        <w:t xml:space="preserve">: </w:t>
      </w:r>
      <w:proofErr w:type="spellStart"/>
      <w:r w:rsidR="00E47D07">
        <w:rPr>
          <w:szCs w:val="22"/>
          <w:lang w:bidi="ar-SA"/>
        </w:rPr>
        <w:t>Hypervitaminóza</w:t>
      </w:r>
      <w:proofErr w:type="spellEnd"/>
      <w:r w:rsidR="00E47D07">
        <w:rPr>
          <w:szCs w:val="22"/>
          <w:lang w:bidi="ar-SA"/>
        </w:rPr>
        <w:t xml:space="preserve"> A).</w:t>
      </w:r>
    </w:p>
    <w:p w14:paraId="191BB523" w14:textId="77777777" w:rsidR="007B58D7" w:rsidRPr="003D64E0" w:rsidRDefault="007B58D7" w:rsidP="00C35EC9">
      <w:pPr>
        <w:spacing w:line="240" w:lineRule="auto"/>
        <w:rPr>
          <w:szCs w:val="22"/>
        </w:rPr>
      </w:pPr>
    </w:p>
    <w:p w14:paraId="5700CC5E" w14:textId="77777777" w:rsidR="007B58D7" w:rsidRPr="003D64E0" w:rsidRDefault="00CD119C" w:rsidP="00C35EC9">
      <w:pPr>
        <w:spacing w:line="240" w:lineRule="auto"/>
        <w:rPr>
          <w:szCs w:val="22"/>
        </w:rPr>
      </w:pPr>
      <w:r w:rsidRPr="003D64E0">
        <w:t>Medzi lieky znižujúce hladiny vitamínov patria:</w:t>
      </w:r>
    </w:p>
    <w:p w14:paraId="443A0C2C" w14:textId="6E72C41A" w:rsidR="00E73263" w:rsidRPr="003D64E0" w:rsidRDefault="00C17763" w:rsidP="00C35EC9">
      <w:pPr>
        <w:numPr>
          <w:ilvl w:val="0"/>
          <w:numId w:val="41"/>
        </w:numPr>
        <w:spacing w:line="240" w:lineRule="auto"/>
        <w:rPr>
          <w:szCs w:val="22"/>
        </w:rPr>
      </w:pPr>
      <w:r w:rsidRPr="003D64E0">
        <w:t xml:space="preserve">lieky </w:t>
      </w:r>
      <w:r w:rsidR="00E73263" w:rsidRPr="003D64E0">
        <w:t>ovplyvňujúce metabolizmus vitamínu</w:t>
      </w:r>
      <w:r w:rsidR="00722F8F" w:rsidRPr="003D64E0">
        <w:t> </w:t>
      </w:r>
      <w:r w:rsidR="00E73263" w:rsidRPr="003D64E0">
        <w:t>D</w:t>
      </w:r>
      <w:r w:rsidR="00606EBB">
        <w:t>,</w:t>
      </w:r>
      <w:r w:rsidR="00722F8F" w:rsidRPr="003D64E0">
        <w:t xml:space="preserve"> </w:t>
      </w:r>
      <w:r w:rsidR="00E73263" w:rsidRPr="003D64E0">
        <w:t xml:space="preserve">vrátane </w:t>
      </w:r>
      <w:proofErr w:type="spellStart"/>
      <w:r w:rsidR="00E73263" w:rsidRPr="003D64E0">
        <w:t>antiepileptík</w:t>
      </w:r>
      <w:proofErr w:type="spellEnd"/>
      <w:r w:rsidR="00E73263" w:rsidRPr="003D64E0">
        <w:t xml:space="preserve"> (napr</w:t>
      </w:r>
      <w:r w:rsidR="00722F8F" w:rsidRPr="003D64E0">
        <w:t>.</w:t>
      </w:r>
      <w:r w:rsidR="00E73263" w:rsidRPr="003D64E0">
        <w:t xml:space="preserve"> </w:t>
      </w:r>
      <w:proofErr w:type="spellStart"/>
      <w:r w:rsidR="00E73263" w:rsidRPr="003D64E0">
        <w:t>karbamazepín</w:t>
      </w:r>
      <w:proofErr w:type="spellEnd"/>
      <w:r w:rsidR="00E73263" w:rsidRPr="003D64E0">
        <w:t xml:space="preserve">, </w:t>
      </w:r>
      <w:proofErr w:type="spellStart"/>
      <w:r w:rsidR="00E73263" w:rsidRPr="003D64E0">
        <w:t>fenobarbital</w:t>
      </w:r>
      <w:proofErr w:type="spellEnd"/>
      <w:r w:rsidR="00E73263" w:rsidRPr="003D64E0">
        <w:t xml:space="preserve">, </w:t>
      </w:r>
      <w:proofErr w:type="spellStart"/>
      <w:r w:rsidR="00E73263" w:rsidRPr="003D64E0">
        <w:t>fenytoín</w:t>
      </w:r>
      <w:proofErr w:type="spellEnd"/>
      <w:r w:rsidR="00E73263" w:rsidRPr="003D64E0">
        <w:t xml:space="preserve">, </w:t>
      </w:r>
      <w:proofErr w:type="spellStart"/>
      <w:r w:rsidR="00E73263" w:rsidRPr="003D64E0">
        <w:t>fosfenytoín</w:t>
      </w:r>
      <w:proofErr w:type="spellEnd"/>
      <w:r w:rsidR="00E73263" w:rsidRPr="003D64E0">
        <w:t xml:space="preserve"> a </w:t>
      </w:r>
      <w:proofErr w:type="spellStart"/>
      <w:r w:rsidR="00E73263" w:rsidRPr="003D64E0">
        <w:t>primidón</w:t>
      </w:r>
      <w:proofErr w:type="spellEnd"/>
      <w:r w:rsidR="00E73263" w:rsidRPr="003D64E0">
        <w:t xml:space="preserve">), </w:t>
      </w:r>
      <w:proofErr w:type="spellStart"/>
      <w:r w:rsidR="00E73263" w:rsidRPr="003D64E0">
        <w:t>antineoplastík</w:t>
      </w:r>
      <w:proofErr w:type="spellEnd"/>
      <w:r w:rsidR="00E73263" w:rsidRPr="003D64E0">
        <w:t xml:space="preserve"> (napr</w:t>
      </w:r>
      <w:r w:rsidR="00722F8F" w:rsidRPr="003D64E0">
        <w:t>.</w:t>
      </w:r>
      <w:r w:rsidR="00E73263" w:rsidRPr="003D64E0">
        <w:t xml:space="preserve"> </w:t>
      </w:r>
      <w:proofErr w:type="spellStart"/>
      <w:r w:rsidR="00E73263" w:rsidRPr="003D64E0">
        <w:t>antracyklíny</w:t>
      </w:r>
      <w:proofErr w:type="spellEnd"/>
      <w:r w:rsidR="00E73263" w:rsidRPr="003D64E0">
        <w:t xml:space="preserve">, </w:t>
      </w:r>
      <w:proofErr w:type="spellStart"/>
      <w:r w:rsidR="00E73263" w:rsidRPr="003D64E0">
        <w:t>taxány</w:t>
      </w:r>
      <w:proofErr w:type="spellEnd"/>
      <w:r w:rsidR="00E73263" w:rsidRPr="003D64E0">
        <w:t xml:space="preserve">), </w:t>
      </w:r>
      <w:proofErr w:type="spellStart"/>
      <w:r w:rsidR="00E73263" w:rsidRPr="003D64E0">
        <w:t>rifampicínu</w:t>
      </w:r>
      <w:proofErr w:type="spellEnd"/>
      <w:r w:rsidR="00E73263" w:rsidRPr="003D64E0">
        <w:t xml:space="preserve">, </w:t>
      </w:r>
      <w:proofErr w:type="spellStart"/>
      <w:r w:rsidR="00E73263" w:rsidRPr="003D64E0">
        <w:t>glukokortikoidov</w:t>
      </w:r>
      <w:proofErr w:type="spellEnd"/>
      <w:r w:rsidR="00E73263" w:rsidRPr="003D64E0">
        <w:t xml:space="preserve">, </w:t>
      </w:r>
      <w:proofErr w:type="spellStart"/>
      <w:r w:rsidR="00E73263" w:rsidRPr="003D64E0">
        <w:t>efavirenzu</w:t>
      </w:r>
      <w:proofErr w:type="spellEnd"/>
      <w:r w:rsidR="00E73263" w:rsidRPr="003D64E0">
        <w:t xml:space="preserve">, </w:t>
      </w:r>
      <w:proofErr w:type="spellStart"/>
      <w:r w:rsidR="00E73263" w:rsidRPr="003D64E0">
        <w:t>zidovudínu</w:t>
      </w:r>
      <w:proofErr w:type="spellEnd"/>
      <w:r w:rsidR="00E73263" w:rsidRPr="003D64E0">
        <w:t xml:space="preserve"> a </w:t>
      </w:r>
      <w:proofErr w:type="spellStart"/>
      <w:r w:rsidR="00E73263" w:rsidRPr="003D64E0">
        <w:t>ketokonazolu</w:t>
      </w:r>
      <w:proofErr w:type="spellEnd"/>
      <w:r w:rsidR="00E73263" w:rsidRPr="003D64E0">
        <w:t xml:space="preserve"> môžu zvýšiť mieru </w:t>
      </w:r>
      <w:proofErr w:type="spellStart"/>
      <w:r w:rsidR="00E73263" w:rsidRPr="003D64E0">
        <w:t>inaktivácie</w:t>
      </w:r>
      <w:proofErr w:type="spellEnd"/>
      <w:r w:rsidR="00E73263" w:rsidRPr="003D64E0">
        <w:t xml:space="preserve"> vitamínu</w:t>
      </w:r>
      <w:r w:rsidR="00722F8F" w:rsidRPr="003D64E0">
        <w:t> </w:t>
      </w:r>
      <w:r w:rsidR="00E73263" w:rsidRPr="003D64E0">
        <w:t>D</w:t>
      </w:r>
    </w:p>
    <w:p w14:paraId="272F731A" w14:textId="43DA07AA" w:rsidR="00E73263" w:rsidRPr="003D64E0" w:rsidRDefault="00E73263" w:rsidP="00C35EC9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3D64E0">
        <w:t>antagonisty</w:t>
      </w:r>
      <w:proofErr w:type="spellEnd"/>
      <w:r w:rsidRPr="003D64E0">
        <w:t xml:space="preserve"> </w:t>
      </w:r>
      <w:proofErr w:type="spellStart"/>
      <w:r w:rsidR="00606EBB">
        <w:t>pyridoxínu</w:t>
      </w:r>
      <w:proofErr w:type="spellEnd"/>
      <w:r w:rsidR="00606EBB">
        <w:t xml:space="preserve"> </w:t>
      </w:r>
      <w:r w:rsidRPr="003D64E0">
        <w:t xml:space="preserve">vrátane </w:t>
      </w:r>
      <w:proofErr w:type="spellStart"/>
      <w:r w:rsidRPr="003D64E0">
        <w:t>cykloserínu</w:t>
      </w:r>
      <w:proofErr w:type="spellEnd"/>
      <w:r w:rsidRPr="003D64E0">
        <w:t xml:space="preserve">, </w:t>
      </w:r>
      <w:proofErr w:type="spellStart"/>
      <w:r w:rsidRPr="003D64E0">
        <w:t>hydralazínu</w:t>
      </w:r>
      <w:proofErr w:type="spellEnd"/>
      <w:r w:rsidRPr="003D64E0">
        <w:t xml:space="preserve">, </w:t>
      </w:r>
      <w:proofErr w:type="spellStart"/>
      <w:r w:rsidRPr="003D64E0">
        <w:t>izoniazidu</w:t>
      </w:r>
      <w:proofErr w:type="spellEnd"/>
      <w:r w:rsidRPr="003D64E0">
        <w:t xml:space="preserve">, </w:t>
      </w:r>
      <w:proofErr w:type="spellStart"/>
      <w:r w:rsidRPr="003D64E0">
        <w:t>penicilamínu</w:t>
      </w:r>
      <w:proofErr w:type="spellEnd"/>
      <w:r w:rsidRPr="003D64E0">
        <w:t xml:space="preserve">, </w:t>
      </w:r>
      <w:proofErr w:type="spellStart"/>
      <w:r w:rsidRPr="003D64E0">
        <w:t>fenelzínu</w:t>
      </w:r>
      <w:proofErr w:type="spellEnd"/>
      <w:r w:rsidRPr="003D64E0">
        <w:t xml:space="preserve"> a </w:t>
      </w:r>
      <w:proofErr w:type="spellStart"/>
      <w:r w:rsidRPr="003D64E0">
        <w:t>teofylínu</w:t>
      </w:r>
      <w:proofErr w:type="spellEnd"/>
      <w:r w:rsidRPr="003D64E0">
        <w:t xml:space="preserve"> a niektorých </w:t>
      </w:r>
      <w:proofErr w:type="spellStart"/>
      <w:r w:rsidRPr="003D64E0">
        <w:t>antikonvulzív</w:t>
      </w:r>
      <w:proofErr w:type="spellEnd"/>
      <w:r w:rsidRPr="003D64E0">
        <w:t xml:space="preserve"> indukujúcich enzýmy (napr</w:t>
      </w:r>
      <w:r w:rsidR="00722F8F" w:rsidRPr="003D64E0">
        <w:t>.</w:t>
      </w:r>
      <w:r w:rsidRPr="003D64E0">
        <w:t xml:space="preserve"> </w:t>
      </w:r>
      <w:proofErr w:type="spellStart"/>
      <w:r w:rsidRPr="003D64E0">
        <w:t>fenytoín</w:t>
      </w:r>
      <w:proofErr w:type="spellEnd"/>
      <w:r w:rsidRPr="003D64E0">
        <w:t xml:space="preserve"> alebo </w:t>
      </w:r>
      <w:proofErr w:type="spellStart"/>
      <w:r w:rsidRPr="003D64E0">
        <w:t>karbamazepín</w:t>
      </w:r>
      <w:proofErr w:type="spellEnd"/>
      <w:r w:rsidRPr="003D64E0">
        <w:t>) môžu zvýšiť potreb</w:t>
      </w:r>
      <w:r w:rsidR="00722F8F" w:rsidRPr="003D64E0">
        <w:t>y</w:t>
      </w:r>
      <w:r w:rsidRPr="003D64E0">
        <w:t xml:space="preserve"> </w:t>
      </w:r>
      <w:proofErr w:type="spellStart"/>
      <w:r w:rsidRPr="003D64E0">
        <w:t>pyridoxínu</w:t>
      </w:r>
      <w:proofErr w:type="spellEnd"/>
    </w:p>
    <w:p w14:paraId="2F1FA5EF" w14:textId="1E64E618" w:rsidR="00F61CBA" w:rsidRPr="003D64E0" w:rsidRDefault="00C17763" w:rsidP="00C35EC9">
      <w:pPr>
        <w:numPr>
          <w:ilvl w:val="0"/>
          <w:numId w:val="41"/>
        </w:numPr>
        <w:spacing w:line="240" w:lineRule="auto"/>
        <w:rPr>
          <w:szCs w:val="22"/>
        </w:rPr>
      </w:pPr>
      <w:proofErr w:type="spellStart"/>
      <w:r w:rsidRPr="00DA4033">
        <w:t>eti</w:t>
      </w:r>
      <w:r w:rsidRPr="00240D4A">
        <w:t>onamid</w:t>
      </w:r>
      <w:proofErr w:type="spellEnd"/>
      <w:r w:rsidRPr="003D64E0">
        <w:t xml:space="preserve"> </w:t>
      </w:r>
      <w:r w:rsidR="00CD119C" w:rsidRPr="003D64E0">
        <w:t xml:space="preserve">môže spôsobiť nedostatok </w:t>
      </w:r>
      <w:proofErr w:type="spellStart"/>
      <w:r w:rsidR="00CD119C" w:rsidRPr="003D64E0">
        <w:t>pyridoxínu</w:t>
      </w:r>
      <w:proofErr w:type="spellEnd"/>
    </w:p>
    <w:p w14:paraId="07665FA7" w14:textId="0126874C" w:rsidR="00E73263" w:rsidRPr="003D64E0" w:rsidRDefault="00C17763" w:rsidP="00C35EC9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3D64E0">
        <w:t>antagonisty</w:t>
      </w:r>
      <w:proofErr w:type="spellEnd"/>
      <w:r w:rsidRPr="003D64E0">
        <w:t xml:space="preserve"> </w:t>
      </w:r>
      <w:r w:rsidR="00E73263" w:rsidRPr="003D64E0">
        <w:t>kyseliny listovej (napr</w:t>
      </w:r>
      <w:r w:rsidR="00722F8F" w:rsidRPr="003D64E0">
        <w:t>.</w:t>
      </w:r>
      <w:r w:rsidR="00E73263" w:rsidRPr="003D64E0">
        <w:t xml:space="preserve"> </w:t>
      </w:r>
      <w:proofErr w:type="spellStart"/>
      <w:r w:rsidR="00E73263" w:rsidRPr="003D64E0">
        <w:t>metotrexát</w:t>
      </w:r>
      <w:proofErr w:type="spellEnd"/>
      <w:r w:rsidR="00E73263" w:rsidRPr="003D64E0">
        <w:t xml:space="preserve">, </w:t>
      </w:r>
      <w:proofErr w:type="spellStart"/>
      <w:r w:rsidR="00E73263" w:rsidRPr="003D64E0">
        <w:t>pyrimetamín</w:t>
      </w:r>
      <w:proofErr w:type="spellEnd"/>
      <w:r w:rsidR="00E73263" w:rsidRPr="003D64E0">
        <w:t xml:space="preserve">), </w:t>
      </w:r>
      <w:proofErr w:type="spellStart"/>
      <w:r w:rsidR="00E73263" w:rsidRPr="003D64E0">
        <w:t>antiepileptiká</w:t>
      </w:r>
      <w:proofErr w:type="spellEnd"/>
      <w:r w:rsidR="00E73263" w:rsidRPr="003D64E0">
        <w:t xml:space="preserve"> indukujúce enzýmy (napr</w:t>
      </w:r>
      <w:r w:rsidR="00722F8F" w:rsidRPr="003D64E0">
        <w:t>.</w:t>
      </w:r>
      <w:r w:rsidR="00E73263" w:rsidRPr="003D64E0">
        <w:t xml:space="preserve"> </w:t>
      </w:r>
      <w:proofErr w:type="spellStart"/>
      <w:r w:rsidR="00E73263" w:rsidRPr="003D64E0">
        <w:t>fenytoín</w:t>
      </w:r>
      <w:proofErr w:type="spellEnd"/>
      <w:r w:rsidR="00E73263" w:rsidRPr="003D64E0">
        <w:t xml:space="preserve">, </w:t>
      </w:r>
      <w:proofErr w:type="spellStart"/>
      <w:r w:rsidR="00E73263" w:rsidRPr="003D64E0">
        <w:t>fosfenytoín</w:t>
      </w:r>
      <w:proofErr w:type="spellEnd"/>
      <w:r w:rsidR="00D8119B">
        <w:t>,</w:t>
      </w:r>
      <w:r w:rsidR="00E73263" w:rsidRPr="003D64E0">
        <w:t xml:space="preserve"> </w:t>
      </w:r>
      <w:proofErr w:type="spellStart"/>
      <w:r w:rsidR="00E73263" w:rsidRPr="003D64E0">
        <w:t>karbamazepín</w:t>
      </w:r>
      <w:proofErr w:type="spellEnd"/>
      <w:r w:rsidR="00E73263" w:rsidRPr="003D64E0">
        <w:t xml:space="preserve">, </w:t>
      </w:r>
      <w:proofErr w:type="spellStart"/>
      <w:r w:rsidR="00E73263" w:rsidRPr="003D64E0">
        <w:t>primidón</w:t>
      </w:r>
      <w:proofErr w:type="spellEnd"/>
      <w:r w:rsidR="00E73263" w:rsidRPr="003D64E0">
        <w:t xml:space="preserve">) a vysoké dávky čajových </w:t>
      </w:r>
      <w:proofErr w:type="spellStart"/>
      <w:r w:rsidR="00E73263" w:rsidRPr="003D64E0">
        <w:t>katechínov</w:t>
      </w:r>
      <w:proofErr w:type="spellEnd"/>
      <w:r w:rsidR="00E73263" w:rsidRPr="003D64E0">
        <w:t xml:space="preserve"> môžu spôsobiť nedostatok </w:t>
      </w:r>
      <w:r w:rsidR="00FF7DCE">
        <w:t>kyseliny listovej</w:t>
      </w:r>
      <w:r w:rsidR="00E73263" w:rsidRPr="003D64E0">
        <w:t xml:space="preserve"> blokovaním konverzie neaktívnej formy na</w:t>
      </w:r>
      <w:r w:rsidR="00722F8F" w:rsidRPr="003D64E0">
        <w:t xml:space="preserve"> </w:t>
      </w:r>
      <w:r w:rsidR="00E73263" w:rsidRPr="003D64E0">
        <w:t>aktívnu formu kyseliny listovej</w:t>
      </w:r>
    </w:p>
    <w:p w14:paraId="3506FF68" w14:textId="087C9390" w:rsidR="001328C5" w:rsidRPr="003D64E0" w:rsidRDefault="00C17763" w:rsidP="00C35EC9">
      <w:pPr>
        <w:pStyle w:val="Odsekzoznamu"/>
        <w:numPr>
          <w:ilvl w:val="0"/>
          <w:numId w:val="41"/>
        </w:numPr>
        <w:spacing w:line="240" w:lineRule="auto"/>
        <w:jc w:val="both"/>
        <w:rPr>
          <w:szCs w:val="22"/>
        </w:rPr>
      </w:pPr>
      <w:r w:rsidRPr="003D64E0">
        <w:t xml:space="preserve">liečba </w:t>
      </w:r>
      <w:proofErr w:type="spellStart"/>
      <w:r w:rsidR="009C419F" w:rsidRPr="003D64E0">
        <w:t>rifampicínom</w:t>
      </w:r>
      <w:proofErr w:type="spellEnd"/>
      <w:r w:rsidR="009C419F" w:rsidRPr="003D64E0">
        <w:t xml:space="preserve"> znižuje koncentráciu vitamínu</w:t>
      </w:r>
      <w:r w:rsidR="00722F8F" w:rsidRPr="003D64E0">
        <w:t> </w:t>
      </w:r>
      <w:r w:rsidR="009C419F" w:rsidRPr="003D64E0">
        <w:t>D</w:t>
      </w:r>
      <w:r w:rsidRPr="003D64E0">
        <w:t>.</w:t>
      </w:r>
    </w:p>
    <w:p w14:paraId="15811F27" w14:textId="5FF0D422" w:rsidR="00D35B4C" w:rsidRPr="003D64E0" w:rsidRDefault="00D35B4C" w:rsidP="00C35EC9">
      <w:pPr>
        <w:spacing w:line="240" w:lineRule="auto"/>
        <w:rPr>
          <w:szCs w:val="22"/>
        </w:rPr>
      </w:pPr>
    </w:p>
    <w:p w14:paraId="1594C6C7" w14:textId="77777777" w:rsidR="00AF5FA7" w:rsidRPr="003D64E0" w:rsidRDefault="00CD119C" w:rsidP="00290F06">
      <w:pPr>
        <w:keepNext/>
        <w:spacing w:line="240" w:lineRule="auto"/>
        <w:rPr>
          <w:szCs w:val="22"/>
        </w:rPr>
      </w:pPr>
      <w:r w:rsidRPr="003D64E0">
        <w:t>Ďalšie interakcie:</w:t>
      </w:r>
    </w:p>
    <w:p w14:paraId="6DB43D35" w14:textId="684CAF36" w:rsidR="00E73263" w:rsidRPr="003D64E0" w:rsidRDefault="00E73263" w:rsidP="00C35EC9">
      <w:pPr>
        <w:pStyle w:val="Odsekzoznamu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D64E0">
        <w:t xml:space="preserve">Kyselina listová môže interferovať s účinnosťou niektorých </w:t>
      </w:r>
      <w:proofErr w:type="spellStart"/>
      <w:r w:rsidRPr="003D64E0">
        <w:t>antikonvulzív</w:t>
      </w:r>
      <w:proofErr w:type="spellEnd"/>
      <w:r w:rsidRPr="003D64E0">
        <w:t xml:space="preserve">, napr. </w:t>
      </w:r>
      <w:proofErr w:type="spellStart"/>
      <w:r w:rsidRPr="003D64E0">
        <w:t>fenobarbitalu</w:t>
      </w:r>
      <w:proofErr w:type="spellEnd"/>
      <w:r w:rsidRPr="003D64E0">
        <w:t xml:space="preserve">, </w:t>
      </w:r>
      <w:proofErr w:type="spellStart"/>
      <w:r w:rsidRPr="003D64E0">
        <w:t>fenytoínu</w:t>
      </w:r>
      <w:proofErr w:type="spellEnd"/>
      <w:r w:rsidRPr="003D64E0">
        <w:t xml:space="preserve">, </w:t>
      </w:r>
      <w:proofErr w:type="spellStart"/>
      <w:r w:rsidRPr="003D64E0">
        <w:t>fosfenytoínu</w:t>
      </w:r>
      <w:proofErr w:type="spellEnd"/>
      <w:r w:rsidRPr="003D64E0">
        <w:t xml:space="preserve"> a </w:t>
      </w:r>
      <w:proofErr w:type="spellStart"/>
      <w:r w:rsidRPr="003D64E0">
        <w:t>primidónu</w:t>
      </w:r>
      <w:proofErr w:type="spellEnd"/>
      <w:r w:rsidRPr="003D64E0">
        <w:t>, čo</w:t>
      </w:r>
      <w:r w:rsidR="00722F8F" w:rsidRPr="003D64E0">
        <w:t xml:space="preserve"> </w:t>
      </w:r>
      <w:r w:rsidRPr="003D64E0">
        <w:t>vedie k zvýšeniu frekvencie výskytu záchvatov.</w:t>
      </w:r>
    </w:p>
    <w:p w14:paraId="3B71E6E6" w14:textId="5D318509" w:rsidR="001328C5" w:rsidRPr="003D64E0" w:rsidRDefault="00076CF8" w:rsidP="00C35EC9">
      <w:pPr>
        <w:pStyle w:val="Odsekzoznamu"/>
        <w:numPr>
          <w:ilvl w:val="0"/>
          <w:numId w:val="42"/>
        </w:numPr>
        <w:spacing w:line="240" w:lineRule="auto"/>
      </w:pPr>
      <w:r w:rsidRPr="003D64E0">
        <w:t xml:space="preserve">Vysoké hladiny kyseliny listovej môžu viesť k zvýšeniu </w:t>
      </w:r>
      <w:proofErr w:type="spellStart"/>
      <w:r w:rsidRPr="003D64E0">
        <w:t>cytotoxicity</w:t>
      </w:r>
      <w:proofErr w:type="spellEnd"/>
      <w:r w:rsidRPr="003D64E0">
        <w:t xml:space="preserve"> chemoterapií na</w:t>
      </w:r>
      <w:r w:rsidR="00722F8F" w:rsidRPr="003D64E0">
        <w:t xml:space="preserve"> </w:t>
      </w:r>
      <w:r w:rsidRPr="003D64E0">
        <w:t xml:space="preserve">báze </w:t>
      </w:r>
      <w:proofErr w:type="spellStart"/>
      <w:r w:rsidRPr="003D64E0">
        <w:t>fluórpyrimidínu</w:t>
      </w:r>
      <w:proofErr w:type="spellEnd"/>
      <w:r w:rsidRPr="003D64E0">
        <w:t>.</w:t>
      </w:r>
    </w:p>
    <w:p w14:paraId="37384788" w14:textId="0452EDA8" w:rsidR="00B171B9" w:rsidRDefault="00CD119C" w:rsidP="00C35EC9">
      <w:pPr>
        <w:pStyle w:val="Odsekzoznamu"/>
        <w:numPr>
          <w:ilvl w:val="0"/>
          <w:numId w:val="43"/>
        </w:numPr>
        <w:spacing w:line="240" w:lineRule="auto"/>
      </w:pPr>
      <w:proofErr w:type="spellStart"/>
      <w:r w:rsidRPr="00A463FE">
        <w:t>Deferoxamín</w:t>
      </w:r>
      <w:proofErr w:type="spellEnd"/>
      <w:r w:rsidRPr="00681D01">
        <w:t>:</w:t>
      </w:r>
      <w:r w:rsidRPr="003D64E0">
        <w:t xml:space="preserve"> </w:t>
      </w:r>
      <w:r w:rsidR="00C17763" w:rsidRPr="003D64E0">
        <w:t xml:space="preserve">zvýšené </w:t>
      </w:r>
      <w:r w:rsidRPr="003D64E0">
        <w:t>riziko srdcového zlyhania vyvolaného železom v dôsledku zvýšenej mobilizácie železa spôsobenej dopĺňaním vitamínu</w:t>
      </w:r>
      <w:r w:rsidR="00722F8F" w:rsidRPr="003D64E0">
        <w:t> </w:t>
      </w:r>
      <w:r w:rsidRPr="003D64E0">
        <w:t>C</w:t>
      </w:r>
      <w:r w:rsidR="00722F8F" w:rsidRPr="003D64E0">
        <w:t xml:space="preserve"> </w:t>
      </w:r>
      <w:r w:rsidRPr="003D64E0">
        <w:t>(&gt;</w:t>
      </w:r>
      <w:r w:rsidR="00722F8F" w:rsidRPr="003D64E0">
        <w:t> </w:t>
      </w:r>
      <w:r w:rsidRPr="003D64E0">
        <w:t xml:space="preserve">500 mg). Informácie o špecifických opatreniach nájdete v informáciách o lieku </w:t>
      </w:r>
      <w:r w:rsidR="005F4D4A">
        <w:t xml:space="preserve">obsahujúcom liečivo </w:t>
      </w:r>
      <w:proofErr w:type="spellStart"/>
      <w:r w:rsidRPr="003D64E0">
        <w:t>deferoxamín</w:t>
      </w:r>
      <w:proofErr w:type="spellEnd"/>
      <w:r w:rsidRPr="003D64E0">
        <w:t>.</w:t>
      </w:r>
    </w:p>
    <w:p w14:paraId="72260D11" w14:textId="151AF41F" w:rsidR="00143B08" w:rsidRPr="003D64E0" w:rsidRDefault="00143B08" w:rsidP="00C35EC9">
      <w:pPr>
        <w:pStyle w:val="Odsekzoznamu"/>
        <w:numPr>
          <w:ilvl w:val="0"/>
          <w:numId w:val="43"/>
        </w:numPr>
        <w:spacing w:line="240" w:lineRule="auto"/>
      </w:pPr>
      <w:proofErr w:type="spellStart"/>
      <w:r>
        <w:t>Viant</w:t>
      </w:r>
      <w:proofErr w:type="spellEnd"/>
      <w:r>
        <w:t xml:space="preserve"> obsahuje vitamín A, ktorý </w:t>
      </w:r>
      <w:r w:rsidRPr="00F43E53">
        <w:t xml:space="preserve">môže </w:t>
      </w:r>
      <w:r w:rsidRPr="00AC7F31">
        <w:t>viesť k </w:t>
      </w:r>
      <w:proofErr w:type="spellStart"/>
      <w:r w:rsidRPr="00AC7F31">
        <w:t>idiopatickej</w:t>
      </w:r>
      <w:proofErr w:type="spellEnd"/>
      <w:r w:rsidRPr="00AC7F31">
        <w:t xml:space="preserve"> </w:t>
      </w:r>
      <w:proofErr w:type="spellStart"/>
      <w:r w:rsidRPr="00AC7F31">
        <w:t>intrakraniálnej</w:t>
      </w:r>
      <w:proofErr w:type="spellEnd"/>
      <w:r w:rsidRPr="00AC7F31">
        <w:t xml:space="preserve"> hypertenzii pri</w:t>
      </w:r>
      <w:r>
        <w:t xml:space="preserve"> používaní v kombinácii s liekmi, ktoré môžu spôsobovať </w:t>
      </w:r>
      <w:proofErr w:type="spellStart"/>
      <w:r>
        <w:t>idiopatickú</w:t>
      </w:r>
      <w:proofErr w:type="spellEnd"/>
      <w:r>
        <w:t xml:space="preserve"> </w:t>
      </w:r>
      <w:proofErr w:type="spellStart"/>
      <w:r>
        <w:t>intrakraniálnu</w:t>
      </w:r>
      <w:proofErr w:type="spellEnd"/>
      <w:r>
        <w:t xml:space="preserve"> hypertenziu (napr. niektoré tetracyklíny).</w:t>
      </w:r>
    </w:p>
    <w:p w14:paraId="5DF87E16" w14:textId="2308E27F" w:rsidR="001328C5" w:rsidRPr="003D64E0" w:rsidRDefault="0072489E" w:rsidP="00C35EC9">
      <w:pPr>
        <w:pStyle w:val="Odsekzoznamu"/>
        <w:numPr>
          <w:ilvl w:val="0"/>
          <w:numId w:val="43"/>
        </w:num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obsahuje vitamín</w:t>
      </w:r>
      <w:r w:rsidR="00722F8F" w:rsidRPr="003D64E0">
        <w:t> </w:t>
      </w:r>
      <w:r w:rsidRPr="003D64E0">
        <w:t>K,</w:t>
      </w:r>
      <w:r w:rsidR="00722F8F" w:rsidRPr="003D64E0">
        <w:t xml:space="preserve"> </w:t>
      </w:r>
      <w:r w:rsidRPr="003D64E0">
        <w:t xml:space="preserve">ktorý môže oslabiť účinok </w:t>
      </w:r>
      <w:proofErr w:type="spellStart"/>
      <w:r w:rsidRPr="003D64E0">
        <w:t>antikoagulačnej</w:t>
      </w:r>
      <w:proofErr w:type="spellEnd"/>
      <w:r w:rsidRPr="003D64E0">
        <w:t xml:space="preserve"> liečby derivátmi </w:t>
      </w:r>
      <w:proofErr w:type="spellStart"/>
      <w:r w:rsidRPr="003D64E0">
        <w:t>kumarínu</w:t>
      </w:r>
      <w:proofErr w:type="spellEnd"/>
      <w:r w:rsidRPr="003D64E0">
        <w:t xml:space="preserve"> (napr</w:t>
      </w:r>
      <w:r w:rsidR="00722F8F" w:rsidRPr="003D64E0">
        <w:t>.</w:t>
      </w:r>
      <w:r w:rsidRPr="003D64E0">
        <w:t xml:space="preserve"> </w:t>
      </w:r>
      <w:proofErr w:type="spellStart"/>
      <w:r w:rsidRPr="003D64E0">
        <w:t>acenokumarol</w:t>
      </w:r>
      <w:proofErr w:type="spellEnd"/>
      <w:r w:rsidRPr="003D64E0">
        <w:t xml:space="preserve">, </w:t>
      </w:r>
      <w:proofErr w:type="spellStart"/>
      <w:r w:rsidRPr="003D64E0">
        <w:t>warfarín</w:t>
      </w:r>
      <w:proofErr w:type="spellEnd"/>
      <w:r w:rsidRPr="003D64E0">
        <w:t xml:space="preserve">, </w:t>
      </w:r>
      <w:proofErr w:type="spellStart"/>
      <w:r w:rsidRPr="003D64E0">
        <w:t>fenoprokumón</w:t>
      </w:r>
      <w:proofErr w:type="spellEnd"/>
      <w:r w:rsidRPr="003D64E0">
        <w:t>). Preto je</w:t>
      </w:r>
      <w:r w:rsidR="00722F8F" w:rsidRPr="003D64E0">
        <w:t xml:space="preserve"> </w:t>
      </w:r>
      <w:r w:rsidRPr="003D64E0">
        <w:t xml:space="preserve">potrebné počas liečby </w:t>
      </w:r>
      <w:proofErr w:type="spellStart"/>
      <w:r w:rsidRPr="003D64E0">
        <w:t>antikoagulanciami</w:t>
      </w:r>
      <w:proofErr w:type="spellEnd"/>
      <w:r w:rsidRPr="003D64E0">
        <w:t xml:space="preserve"> tohto typu častejšie </w:t>
      </w:r>
      <w:r w:rsidR="00722F8F" w:rsidRPr="003D64E0">
        <w:t xml:space="preserve">pozorne </w:t>
      </w:r>
      <w:r w:rsidRPr="003D64E0">
        <w:t>monitorovať krvné koagulačné faktory (</w:t>
      </w:r>
      <w:proofErr w:type="spellStart"/>
      <w:r w:rsidR="00722F8F" w:rsidRPr="003D64E0">
        <w:t>protrombínový</w:t>
      </w:r>
      <w:proofErr w:type="spellEnd"/>
      <w:r w:rsidR="00722F8F" w:rsidRPr="003D64E0">
        <w:t xml:space="preserve"> čas (</w:t>
      </w:r>
      <w:r w:rsidRPr="003D64E0">
        <w:t>PT)/medzinárodný normalizovaný pomer (INR)</w:t>
      </w:r>
      <w:r w:rsidR="00722F8F" w:rsidRPr="003D64E0">
        <w:t>)</w:t>
      </w:r>
      <w:r w:rsidRPr="003D64E0">
        <w:t>.</w:t>
      </w:r>
    </w:p>
    <w:p w14:paraId="63F69F20" w14:textId="0737CE1B" w:rsidR="005C0F06" w:rsidRPr="003D64E0" w:rsidRDefault="005C0F06" w:rsidP="00C35EC9">
      <w:pPr>
        <w:pStyle w:val="Odsekzoznamu"/>
        <w:numPr>
          <w:ilvl w:val="0"/>
          <w:numId w:val="43"/>
        </w:numPr>
        <w:spacing w:line="240" w:lineRule="auto"/>
      </w:pPr>
      <w:proofErr w:type="spellStart"/>
      <w:r w:rsidRPr="003D64E0">
        <w:t>Tipranavir</w:t>
      </w:r>
      <w:proofErr w:type="spellEnd"/>
      <w:r w:rsidRPr="003D64E0">
        <w:t xml:space="preserve"> perorálny roztok: obsahuje 116 IU/ml</w:t>
      </w:r>
      <w:r w:rsidR="00722F8F" w:rsidRPr="003D64E0">
        <w:t xml:space="preserve"> </w:t>
      </w:r>
      <w:r w:rsidRPr="003D64E0">
        <w:t>vitamínu</w:t>
      </w:r>
      <w:r w:rsidR="00722F8F" w:rsidRPr="003D64E0">
        <w:t> </w:t>
      </w:r>
      <w:r w:rsidRPr="003D64E0">
        <w:t>E,</w:t>
      </w:r>
      <w:r w:rsidR="00722F8F" w:rsidRPr="003D64E0">
        <w:t xml:space="preserve"> </w:t>
      </w:r>
      <w:r w:rsidRPr="003D64E0">
        <w:t>čo</w:t>
      </w:r>
      <w:r w:rsidR="00722F8F" w:rsidRPr="003D64E0">
        <w:t xml:space="preserve"> </w:t>
      </w:r>
      <w:r w:rsidRPr="003D64E0">
        <w:t>presahuje odporúčaný denný príjem.</w:t>
      </w:r>
    </w:p>
    <w:p w14:paraId="43D225C7" w14:textId="77777777" w:rsidR="005C0F06" w:rsidRPr="003D64E0" w:rsidRDefault="005C0F06" w:rsidP="00C35EC9">
      <w:pPr>
        <w:spacing w:line="240" w:lineRule="auto"/>
        <w:ind w:left="360"/>
        <w:rPr>
          <w:szCs w:val="22"/>
        </w:rPr>
      </w:pPr>
    </w:p>
    <w:p w14:paraId="5F92540A" w14:textId="031326FC" w:rsidR="005C0F06" w:rsidRPr="003D64E0" w:rsidRDefault="005C0F06" w:rsidP="00C35EC9">
      <w:pPr>
        <w:spacing w:line="240" w:lineRule="auto"/>
        <w:rPr>
          <w:u w:val="single"/>
        </w:rPr>
      </w:pPr>
      <w:r w:rsidRPr="003D64E0">
        <w:rPr>
          <w:u w:val="single"/>
        </w:rPr>
        <w:t xml:space="preserve">Interakcie </w:t>
      </w:r>
      <w:r w:rsidR="00722F8F" w:rsidRPr="003D64E0">
        <w:rPr>
          <w:u w:val="single"/>
        </w:rPr>
        <w:t>s</w:t>
      </w:r>
      <w:r w:rsidR="00711BF4">
        <w:rPr>
          <w:u w:val="single"/>
        </w:rPr>
        <w:t> </w:t>
      </w:r>
      <w:r w:rsidR="00722F8F" w:rsidRPr="003D64E0">
        <w:rPr>
          <w:u w:val="single"/>
        </w:rPr>
        <w:t>dodatočn</w:t>
      </w:r>
      <w:r w:rsidR="00711BF4">
        <w:rPr>
          <w:u w:val="single"/>
        </w:rPr>
        <w:t xml:space="preserve">ou </w:t>
      </w:r>
      <w:proofErr w:type="spellStart"/>
      <w:r w:rsidR="00711BF4">
        <w:rPr>
          <w:u w:val="single"/>
        </w:rPr>
        <w:t>suplementáciou</w:t>
      </w:r>
      <w:proofErr w:type="spellEnd"/>
      <w:r w:rsidRPr="003D64E0">
        <w:rPr>
          <w:u w:val="single"/>
        </w:rPr>
        <w:t xml:space="preserve"> vitamínov:</w:t>
      </w:r>
    </w:p>
    <w:p w14:paraId="23566406" w14:textId="0EB9776E" w:rsidR="005C0F06" w:rsidRPr="003D64E0" w:rsidRDefault="005C0F06" w:rsidP="00C35EC9">
      <w:pPr>
        <w:spacing w:line="240" w:lineRule="auto"/>
      </w:pPr>
      <w:r w:rsidRPr="003D64E0">
        <w:t xml:space="preserve">Niektoré lieky môžu </w:t>
      </w:r>
      <w:proofErr w:type="spellStart"/>
      <w:r w:rsidRPr="003D64E0">
        <w:t>interagovať</w:t>
      </w:r>
      <w:proofErr w:type="spellEnd"/>
      <w:r w:rsidRPr="003D64E0">
        <w:t xml:space="preserve"> s určitými vitamínmi pri dávkach výrazne vyšších, ako sú</w:t>
      </w:r>
      <w:r w:rsidR="00722F8F" w:rsidRPr="003D64E0">
        <w:t xml:space="preserve"> </w:t>
      </w:r>
      <w:r w:rsidRPr="003D64E0">
        <w:t xml:space="preserve">dávky, ktoré poskytuje </w:t>
      </w:r>
      <w:r w:rsidR="002F2138">
        <w:t xml:space="preserve">liek </w:t>
      </w:r>
      <w:proofErr w:type="spellStart"/>
      <w:r w:rsidRPr="003D64E0">
        <w:t>Viant</w:t>
      </w:r>
      <w:proofErr w:type="spellEnd"/>
      <w:r w:rsidRPr="003D64E0">
        <w:t>. Toto je</w:t>
      </w:r>
      <w:r w:rsidR="00722F8F" w:rsidRPr="003D64E0">
        <w:t xml:space="preserve"> </w:t>
      </w:r>
      <w:r w:rsidRPr="003D64E0">
        <w:t>potrebné vziať do</w:t>
      </w:r>
      <w:r w:rsidR="00722F8F" w:rsidRPr="003D64E0">
        <w:t xml:space="preserve"> </w:t>
      </w:r>
      <w:r w:rsidRPr="003D64E0">
        <w:t xml:space="preserve">úvahy u pacientov, ktorí dostávajú vitamíny z viacerých zdrojov. </w:t>
      </w:r>
      <w:r w:rsidR="00722F8F" w:rsidRPr="003D64E0">
        <w:t>Keď je to potrebné, pacienti</w:t>
      </w:r>
      <w:r w:rsidRPr="003D64E0">
        <w:t xml:space="preserve"> </w:t>
      </w:r>
      <w:r w:rsidR="00722F8F" w:rsidRPr="003D64E0">
        <w:t>sa majú</w:t>
      </w:r>
      <w:r w:rsidRPr="003D64E0">
        <w:t xml:space="preserve"> monitorovať </w:t>
      </w:r>
      <w:r w:rsidR="00722F8F" w:rsidRPr="003D64E0">
        <w:t>ohľadne</w:t>
      </w:r>
      <w:r w:rsidRPr="003D64E0">
        <w:t xml:space="preserve"> takýchto interakcií a</w:t>
      </w:r>
      <w:r w:rsidR="00722F8F" w:rsidRPr="003D64E0">
        <w:t> liečba sa má primerane nastaviť</w:t>
      </w:r>
      <w:r w:rsidRPr="003D64E0">
        <w:t>.</w:t>
      </w:r>
    </w:p>
    <w:p w14:paraId="5A15D0F0" w14:textId="2C250B3A" w:rsidR="005C0F06" w:rsidRPr="003D64E0" w:rsidRDefault="005C0F06" w:rsidP="00C35EC9">
      <w:pPr>
        <w:spacing w:line="240" w:lineRule="auto"/>
      </w:pPr>
    </w:p>
    <w:p w14:paraId="07BB3556" w14:textId="133537AD" w:rsidR="00DA2774" w:rsidRPr="003D64E0" w:rsidRDefault="00DA2774" w:rsidP="00C35EC9">
      <w:pPr>
        <w:pStyle w:val="Nadpis2"/>
        <w:spacing w:before="0" w:line="240" w:lineRule="auto"/>
      </w:pPr>
      <w:r w:rsidRPr="003D64E0">
        <w:t>4.6</w:t>
      </w:r>
      <w:r w:rsidRPr="003D64E0">
        <w:tab/>
      </w:r>
      <w:proofErr w:type="spellStart"/>
      <w:r w:rsidRPr="003D64E0">
        <w:t>Fertilita</w:t>
      </w:r>
      <w:proofErr w:type="spellEnd"/>
      <w:r w:rsidRPr="003D64E0">
        <w:t>, gravidita a laktácia</w:t>
      </w:r>
    </w:p>
    <w:p w14:paraId="33F9D22D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49455221" w14:textId="7E22C12F" w:rsidR="005B1A63" w:rsidRPr="003D64E0" w:rsidRDefault="005B1A63" w:rsidP="00C35EC9">
      <w:pPr>
        <w:spacing w:line="240" w:lineRule="auto"/>
      </w:pPr>
      <w:r w:rsidRPr="003D64E0">
        <w:t xml:space="preserve">Lekári musia starostlivo zvážiť potenciálne riziká a prínosy pre každého konkrétneho pacienta predtým, ako predpíšu </w:t>
      </w:r>
      <w:proofErr w:type="spellStart"/>
      <w:r w:rsidRPr="003D64E0">
        <w:t>Viant</w:t>
      </w:r>
      <w:proofErr w:type="spellEnd"/>
      <w:r w:rsidRPr="003D64E0">
        <w:t>.</w:t>
      </w:r>
    </w:p>
    <w:p w14:paraId="794C45B5" w14:textId="77777777" w:rsidR="005B1A63" w:rsidRPr="003D64E0" w:rsidRDefault="005B1A63" w:rsidP="00C35EC9">
      <w:pPr>
        <w:spacing w:line="240" w:lineRule="auto"/>
        <w:rPr>
          <w:iCs/>
          <w:szCs w:val="22"/>
          <w:u w:val="single"/>
        </w:rPr>
      </w:pPr>
    </w:p>
    <w:p w14:paraId="1200C917" w14:textId="66F72D17" w:rsidR="00DA2774" w:rsidRPr="003D64E0" w:rsidRDefault="00AF7083" w:rsidP="00C35EC9">
      <w:pPr>
        <w:spacing w:line="240" w:lineRule="auto"/>
        <w:rPr>
          <w:iCs/>
          <w:szCs w:val="22"/>
          <w:u w:val="single"/>
        </w:rPr>
      </w:pPr>
      <w:r w:rsidRPr="003D64E0">
        <w:rPr>
          <w:u w:val="single"/>
        </w:rPr>
        <w:t>Gravidita</w:t>
      </w:r>
    </w:p>
    <w:p w14:paraId="432F286F" w14:textId="10CB4972" w:rsidR="00E841CF" w:rsidRPr="003D64E0" w:rsidRDefault="00AF7083" w:rsidP="00C35EC9">
      <w:pPr>
        <w:spacing w:line="240" w:lineRule="auto"/>
        <w:rPr>
          <w:szCs w:val="22"/>
        </w:rPr>
      </w:pPr>
      <w:r w:rsidRPr="003D64E0">
        <w:t>Nie sú</w:t>
      </w:r>
      <w:r w:rsidR="00722F8F" w:rsidRPr="003D64E0">
        <w:t xml:space="preserve"> </w:t>
      </w:r>
      <w:r w:rsidRPr="003D64E0">
        <w:t xml:space="preserve">k dispozícii </w:t>
      </w:r>
      <w:r w:rsidR="00084E89">
        <w:t xml:space="preserve">žiadne </w:t>
      </w:r>
      <w:r w:rsidRPr="003D64E0">
        <w:t>alebo</w:t>
      </w:r>
      <w:r w:rsidR="00722F8F" w:rsidRPr="003D64E0">
        <w:t xml:space="preserve"> </w:t>
      </w:r>
      <w:r w:rsidRPr="003D64E0">
        <w:t xml:space="preserve">iba obmedzené množstvo údajov o použití lieku </w:t>
      </w:r>
      <w:proofErr w:type="spellStart"/>
      <w:r w:rsidRPr="003D64E0">
        <w:t>Viant</w:t>
      </w:r>
      <w:proofErr w:type="spellEnd"/>
      <w:r w:rsidRPr="003D64E0">
        <w:t xml:space="preserve"> u gravidných žien.</w:t>
      </w:r>
    </w:p>
    <w:p w14:paraId="032F0331" w14:textId="55E5DD3F" w:rsidR="00246021" w:rsidRPr="003D64E0" w:rsidRDefault="00AF7083" w:rsidP="00C35EC9">
      <w:pPr>
        <w:spacing w:line="240" w:lineRule="auto"/>
        <w:rPr>
          <w:szCs w:val="22"/>
        </w:rPr>
      </w:pPr>
      <w:r w:rsidRPr="003D64E0">
        <w:t>Štúdie na</w:t>
      </w:r>
      <w:r w:rsidR="00722F8F" w:rsidRPr="003D64E0">
        <w:t xml:space="preserve"> </w:t>
      </w:r>
      <w:r w:rsidRPr="003D64E0">
        <w:t>zvieratách sú</w:t>
      </w:r>
      <w:r w:rsidR="00722F8F" w:rsidRPr="003D64E0">
        <w:t xml:space="preserve"> </w:t>
      </w:r>
      <w:r w:rsidRPr="003D64E0">
        <w:t>nedostatočné z hľadiska reprodukčnej toxicity (pozri časť 5.3).</w:t>
      </w:r>
    </w:p>
    <w:p w14:paraId="1BC84B2C" w14:textId="62521EDC" w:rsidR="005B1A63" w:rsidRPr="003D64E0" w:rsidRDefault="00031A36" w:rsidP="00C35EC9">
      <w:pPr>
        <w:spacing w:line="240" w:lineRule="auto"/>
        <w:rPr>
          <w:szCs w:val="22"/>
        </w:rPr>
      </w:pPr>
      <w:r w:rsidRPr="003D64E0">
        <w:t xml:space="preserve">V prípade potreby možno zvážiť použitie lieku </w:t>
      </w:r>
      <w:proofErr w:type="spellStart"/>
      <w:r w:rsidRPr="003D64E0">
        <w:t>Viant</w:t>
      </w:r>
      <w:proofErr w:type="spellEnd"/>
      <w:r w:rsidRPr="003D64E0">
        <w:t xml:space="preserve"> počas gravidity za predpokladu, že</w:t>
      </w:r>
      <w:r w:rsidR="00722F8F" w:rsidRPr="003D64E0">
        <w:t xml:space="preserve"> </w:t>
      </w:r>
      <w:r w:rsidRPr="003D64E0">
        <w:t>sa</w:t>
      </w:r>
      <w:r w:rsidR="00722F8F" w:rsidRPr="003D64E0">
        <w:t xml:space="preserve"> dodržiavajú</w:t>
      </w:r>
      <w:r w:rsidRPr="003D64E0">
        <w:t xml:space="preserve"> indikácie a dávky, aby sa</w:t>
      </w:r>
      <w:r w:rsidR="005E1E30" w:rsidRPr="003D64E0">
        <w:t xml:space="preserve"> </w:t>
      </w:r>
      <w:r w:rsidRPr="003D64E0">
        <w:t>zabránilo predávkovaniu vitamínmi.</w:t>
      </w:r>
    </w:p>
    <w:p w14:paraId="74A7EE3B" w14:textId="77777777" w:rsidR="005B1A63" w:rsidRPr="003D64E0" w:rsidRDefault="005B1A63" w:rsidP="00C35EC9">
      <w:pPr>
        <w:spacing w:line="240" w:lineRule="auto"/>
        <w:rPr>
          <w:szCs w:val="22"/>
        </w:rPr>
      </w:pPr>
    </w:p>
    <w:p w14:paraId="3D9A329D" w14:textId="600D2213" w:rsidR="00246021" w:rsidRPr="003D64E0" w:rsidRDefault="005B48BF" w:rsidP="00C35EC9">
      <w:pPr>
        <w:spacing w:line="240" w:lineRule="auto"/>
        <w:rPr>
          <w:szCs w:val="22"/>
        </w:rPr>
      </w:pPr>
      <w:r w:rsidRPr="003D64E0">
        <w:rPr>
          <w:b/>
          <w:u w:val="single"/>
        </w:rPr>
        <w:t>Odporúčaná denná dávka sa</w:t>
      </w:r>
      <w:r w:rsidR="005E1E30" w:rsidRPr="003D64E0">
        <w:rPr>
          <w:b/>
          <w:u w:val="single"/>
        </w:rPr>
        <w:t xml:space="preserve"> </w:t>
      </w:r>
      <w:r w:rsidRPr="003D64E0">
        <w:rPr>
          <w:b/>
          <w:u w:val="single"/>
        </w:rPr>
        <w:t>nemá prekročiť, pretože vysoké dávky vitamínu</w:t>
      </w:r>
      <w:r w:rsidR="005E1E30" w:rsidRPr="003D64E0">
        <w:rPr>
          <w:b/>
          <w:u w:val="single"/>
        </w:rPr>
        <w:t> </w:t>
      </w:r>
      <w:r w:rsidRPr="003D64E0">
        <w:rPr>
          <w:b/>
          <w:u w:val="single"/>
        </w:rPr>
        <w:t>A</w:t>
      </w:r>
      <w:r w:rsidR="005E1E30" w:rsidRPr="003D64E0">
        <w:rPr>
          <w:b/>
          <w:u w:val="single"/>
        </w:rPr>
        <w:t xml:space="preserve"> </w:t>
      </w:r>
      <w:r w:rsidRPr="003D64E0">
        <w:rPr>
          <w:b/>
          <w:u w:val="single"/>
        </w:rPr>
        <w:t xml:space="preserve">počas gravidity môžu spôsobiť </w:t>
      </w:r>
      <w:proofErr w:type="spellStart"/>
      <w:r w:rsidRPr="003D64E0">
        <w:rPr>
          <w:b/>
          <w:u w:val="single"/>
        </w:rPr>
        <w:t>malformácie</w:t>
      </w:r>
      <w:proofErr w:type="spellEnd"/>
      <w:r w:rsidRPr="003D64E0">
        <w:rPr>
          <w:b/>
          <w:u w:val="single"/>
        </w:rPr>
        <w:t xml:space="preserve"> plodu.</w:t>
      </w:r>
    </w:p>
    <w:p w14:paraId="5F947346" w14:textId="77777777" w:rsidR="00AB26C4" w:rsidRPr="003D64E0" w:rsidRDefault="00AB26C4" w:rsidP="00C35EC9">
      <w:pPr>
        <w:spacing w:line="240" w:lineRule="auto"/>
        <w:rPr>
          <w:iCs/>
          <w:szCs w:val="22"/>
          <w:u w:val="single"/>
        </w:rPr>
      </w:pPr>
    </w:p>
    <w:p w14:paraId="5D1724C9" w14:textId="73830E70" w:rsidR="00DA2774" w:rsidRPr="003D64E0" w:rsidRDefault="00AF7083" w:rsidP="00C35EC9">
      <w:pPr>
        <w:spacing w:line="240" w:lineRule="auto"/>
        <w:rPr>
          <w:iCs/>
          <w:szCs w:val="22"/>
          <w:u w:val="single"/>
        </w:rPr>
      </w:pPr>
      <w:r w:rsidRPr="003D64E0">
        <w:rPr>
          <w:u w:val="single"/>
        </w:rPr>
        <w:t>Dojčenie</w:t>
      </w:r>
    </w:p>
    <w:p w14:paraId="17F63608" w14:textId="61CD6139" w:rsidR="001328C5" w:rsidRPr="003D64E0" w:rsidRDefault="0072489E" w:rsidP="00C35EC9">
      <w:pPr>
        <w:spacing w:line="240" w:lineRule="auto"/>
        <w:rPr>
          <w:szCs w:val="22"/>
        </w:rPr>
      </w:pPr>
      <w:proofErr w:type="spellStart"/>
      <w:r w:rsidRPr="003D64E0">
        <w:t>Viant</w:t>
      </w:r>
      <w:proofErr w:type="spellEnd"/>
      <w:r w:rsidRPr="003D64E0">
        <w:t xml:space="preserve"> a jeho </w:t>
      </w:r>
      <w:proofErr w:type="spellStart"/>
      <w:r w:rsidRPr="003D64E0">
        <w:t>metabolity</w:t>
      </w:r>
      <w:proofErr w:type="spellEnd"/>
      <w:r w:rsidRPr="003D64E0">
        <w:t xml:space="preserve"> sa</w:t>
      </w:r>
      <w:r w:rsidR="005E1E30" w:rsidRPr="003D64E0">
        <w:t xml:space="preserve"> </w:t>
      </w:r>
      <w:r w:rsidRPr="003D64E0">
        <w:t>vylučujú do </w:t>
      </w:r>
      <w:r w:rsidR="00084E89">
        <w:t>materského</w:t>
      </w:r>
      <w:r w:rsidRPr="003D64E0">
        <w:t xml:space="preserve"> mlieka.</w:t>
      </w:r>
    </w:p>
    <w:p w14:paraId="66BD3E89" w14:textId="4DB542D5" w:rsidR="00AB26C4" w:rsidRPr="003D64E0" w:rsidRDefault="00DC382F" w:rsidP="00C35EC9">
      <w:pPr>
        <w:spacing w:line="240" w:lineRule="auto"/>
        <w:rPr>
          <w:szCs w:val="22"/>
          <w:u w:val="single"/>
        </w:rPr>
      </w:pPr>
      <w:r w:rsidRPr="003D64E0">
        <w:t xml:space="preserve">Používanie lieku </w:t>
      </w:r>
      <w:proofErr w:type="spellStart"/>
      <w:r w:rsidRPr="003D64E0">
        <w:t>Viant</w:t>
      </w:r>
      <w:proofErr w:type="spellEnd"/>
      <w:r w:rsidRPr="003D64E0">
        <w:t xml:space="preserve"> sa</w:t>
      </w:r>
      <w:r w:rsidR="005E1E30" w:rsidRPr="003D64E0">
        <w:t xml:space="preserve"> </w:t>
      </w:r>
      <w:r w:rsidRPr="003D64E0">
        <w:t>počas dojčenia neodporúča z dôvodu rizika predávkovania vitamínom</w:t>
      </w:r>
      <w:r w:rsidR="005E1E30" w:rsidRPr="003D64E0">
        <w:t> </w:t>
      </w:r>
      <w:r w:rsidRPr="003D64E0">
        <w:t>A</w:t>
      </w:r>
      <w:r w:rsidR="005E1E30" w:rsidRPr="003D64E0">
        <w:t xml:space="preserve"> </w:t>
      </w:r>
      <w:r w:rsidRPr="003D64E0">
        <w:t>u novorodencov.</w:t>
      </w:r>
    </w:p>
    <w:p w14:paraId="60F5216B" w14:textId="77777777" w:rsidR="00DC382F" w:rsidRPr="003D64E0" w:rsidRDefault="00DC382F" w:rsidP="00C35EC9">
      <w:pPr>
        <w:spacing w:line="240" w:lineRule="auto"/>
        <w:rPr>
          <w:szCs w:val="22"/>
          <w:u w:val="single"/>
        </w:rPr>
      </w:pPr>
    </w:p>
    <w:p w14:paraId="0514FC98" w14:textId="451D1764" w:rsidR="002A1337" w:rsidRPr="003D64E0" w:rsidRDefault="00AF7083" w:rsidP="00C35EC9">
      <w:pPr>
        <w:spacing w:line="240" w:lineRule="auto"/>
        <w:rPr>
          <w:szCs w:val="22"/>
          <w:u w:val="single"/>
        </w:rPr>
      </w:pPr>
      <w:proofErr w:type="spellStart"/>
      <w:r w:rsidRPr="003D64E0">
        <w:rPr>
          <w:u w:val="single"/>
        </w:rPr>
        <w:t>Fertilita</w:t>
      </w:r>
      <w:proofErr w:type="spellEnd"/>
    </w:p>
    <w:p w14:paraId="112AF923" w14:textId="77777777" w:rsidR="00E841CF" w:rsidRPr="003D64E0" w:rsidRDefault="00E841CF" w:rsidP="00C35EC9">
      <w:pPr>
        <w:spacing w:line="240" w:lineRule="auto"/>
        <w:rPr>
          <w:szCs w:val="22"/>
        </w:rPr>
      </w:pPr>
      <w:r w:rsidRPr="003D64E0">
        <w:t>Nie sú k dispozícii žiadne údaje.</w:t>
      </w:r>
    </w:p>
    <w:p w14:paraId="6BD642D0" w14:textId="77777777" w:rsidR="00C35EC9" w:rsidRPr="003D64E0" w:rsidRDefault="00C35EC9" w:rsidP="00C35EC9">
      <w:pPr>
        <w:spacing w:line="240" w:lineRule="auto"/>
        <w:rPr>
          <w:szCs w:val="22"/>
        </w:rPr>
      </w:pPr>
    </w:p>
    <w:p w14:paraId="38A463BF" w14:textId="49B0711A" w:rsidR="00DA2774" w:rsidRPr="003D64E0" w:rsidRDefault="00DA2774" w:rsidP="00C35EC9">
      <w:pPr>
        <w:pStyle w:val="Nadpis2"/>
        <w:spacing w:before="0" w:line="240" w:lineRule="auto"/>
      </w:pPr>
      <w:r w:rsidRPr="003D64E0">
        <w:t>4.7</w:t>
      </w:r>
      <w:r w:rsidRPr="003D64E0">
        <w:tab/>
        <w:t>Ovplyvnenie schopnosti viesť vozidlá a obsluhovať stroje</w:t>
      </w:r>
    </w:p>
    <w:p w14:paraId="15935A6D" w14:textId="77777777" w:rsidR="00DA2774" w:rsidRPr="003D64E0" w:rsidRDefault="00DA2774" w:rsidP="00C35EC9">
      <w:pPr>
        <w:spacing w:line="240" w:lineRule="auto"/>
      </w:pPr>
    </w:p>
    <w:p w14:paraId="61D05A5F" w14:textId="3DD1BE9E" w:rsidR="001328C5" w:rsidRPr="003D64E0" w:rsidRDefault="0072489E" w:rsidP="00C35EC9">
      <w:pPr>
        <w:spacing w:line="240" w:lineRule="auto"/>
      </w:pPr>
      <w:proofErr w:type="spellStart"/>
      <w:r w:rsidRPr="003D64E0">
        <w:t>Viant</w:t>
      </w:r>
      <w:proofErr w:type="spellEnd"/>
      <w:r w:rsidRPr="003D64E0">
        <w:t xml:space="preserve"> nemá žiadny alebo má</w:t>
      </w:r>
      <w:r w:rsidR="00375618" w:rsidRPr="003D64E0">
        <w:t xml:space="preserve"> </w:t>
      </w:r>
      <w:r w:rsidRPr="003D64E0">
        <w:t>zanedbateľný vplyv na schopnosť viesť vozidlá a obsluhovať stroje.</w:t>
      </w:r>
    </w:p>
    <w:p w14:paraId="15CE05EC" w14:textId="77777777" w:rsidR="00C35EC9" w:rsidRPr="003D64E0" w:rsidRDefault="00C35EC9" w:rsidP="00C35EC9">
      <w:pPr>
        <w:spacing w:line="240" w:lineRule="auto"/>
      </w:pPr>
    </w:p>
    <w:p w14:paraId="23AE1E3B" w14:textId="3A6D4528" w:rsidR="00DA2774" w:rsidRPr="003D64E0" w:rsidRDefault="00DA2774" w:rsidP="00C35EC9">
      <w:pPr>
        <w:pStyle w:val="Nadpis2"/>
        <w:spacing w:before="0" w:line="240" w:lineRule="auto"/>
      </w:pPr>
      <w:r w:rsidRPr="003D64E0">
        <w:t>4.8</w:t>
      </w:r>
      <w:r w:rsidRPr="003D64E0">
        <w:tab/>
        <w:t>Nežiaduce účinky</w:t>
      </w:r>
    </w:p>
    <w:p w14:paraId="69CA91BA" w14:textId="77777777" w:rsidR="00DA2774" w:rsidRPr="003D64E0" w:rsidRDefault="00DA2774" w:rsidP="00C35EC9">
      <w:pPr>
        <w:spacing w:line="240" w:lineRule="auto"/>
      </w:pPr>
    </w:p>
    <w:p w14:paraId="1B4573AD" w14:textId="4464DD4A" w:rsidR="00DA2774" w:rsidRPr="003D64E0" w:rsidRDefault="00DA2774" w:rsidP="00C35EC9">
      <w:pPr>
        <w:autoSpaceDE w:val="0"/>
        <w:autoSpaceDN w:val="0"/>
        <w:adjustRightInd w:val="0"/>
        <w:spacing w:line="240" w:lineRule="auto"/>
      </w:pPr>
      <w:r w:rsidRPr="003D64E0">
        <w:t>Po</w:t>
      </w:r>
      <w:r w:rsidR="005E1E30" w:rsidRPr="003D64E0">
        <w:t xml:space="preserve"> </w:t>
      </w:r>
      <w:proofErr w:type="spellStart"/>
      <w:r w:rsidR="006E6C52">
        <w:t>parenterálnom</w:t>
      </w:r>
      <w:proofErr w:type="spellEnd"/>
      <w:r w:rsidR="006E6C52">
        <w:t xml:space="preserve"> </w:t>
      </w:r>
      <w:r w:rsidRPr="003D64E0">
        <w:t xml:space="preserve">podaní multivitamínu </w:t>
      </w:r>
      <w:r w:rsidR="006E6C52">
        <w:t>boli hlásené</w:t>
      </w:r>
      <w:r w:rsidRPr="003D64E0">
        <w:t xml:space="preserve"> zriedkavé prípady </w:t>
      </w:r>
      <w:proofErr w:type="spellStart"/>
      <w:r w:rsidRPr="003D64E0">
        <w:t>anafylaktoidných</w:t>
      </w:r>
      <w:proofErr w:type="spellEnd"/>
      <w:r w:rsidRPr="003D64E0">
        <w:t xml:space="preserve"> reakcií. Zriedkavé </w:t>
      </w:r>
      <w:r w:rsidR="00C32C42" w:rsidRPr="003D64E0">
        <w:t xml:space="preserve">prípady </w:t>
      </w:r>
      <w:proofErr w:type="spellStart"/>
      <w:r w:rsidRPr="003D64E0">
        <w:t>anafylaktoidných</w:t>
      </w:r>
      <w:proofErr w:type="spellEnd"/>
      <w:r w:rsidRPr="003D64E0">
        <w:t xml:space="preserve"> reakcií boli tiež hlásené po</w:t>
      </w:r>
      <w:r w:rsidR="00C32C42" w:rsidRPr="003D64E0">
        <w:t xml:space="preserve"> </w:t>
      </w:r>
      <w:r w:rsidRPr="003D64E0">
        <w:t>v</w:t>
      </w:r>
      <w:r w:rsidR="00C32C42" w:rsidRPr="003D64E0">
        <w:t>ysokých</w:t>
      </w:r>
      <w:r w:rsidRPr="003D64E0">
        <w:t xml:space="preserve"> intravenóznych dávkach </w:t>
      </w:r>
      <w:proofErr w:type="spellStart"/>
      <w:r w:rsidRPr="003D64E0">
        <w:t>tiamínu</w:t>
      </w:r>
      <w:proofErr w:type="spellEnd"/>
      <w:r w:rsidR="006E6C52">
        <w:t>,</w:t>
      </w:r>
      <w:r w:rsidRPr="003D64E0">
        <w:t xml:space="preserve"> hlavne u pacientov </w:t>
      </w:r>
      <w:r w:rsidR="006E6C52">
        <w:t xml:space="preserve">s </w:t>
      </w:r>
      <w:proofErr w:type="spellStart"/>
      <w:r w:rsidR="006E6C52">
        <w:t>predispozíciou</w:t>
      </w:r>
      <w:proofErr w:type="spellEnd"/>
      <w:r w:rsidRPr="003D64E0">
        <w:t xml:space="preserve"> na</w:t>
      </w:r>
      <w:r w:rsidR="00C32C42" w:rsidRPr="003D64E0">
        <w:t xml:space="preserve"> </w:t>
      </w:r>
      <w:r w:rsidRPr="003D64E0">
        <w:t>alergické reakcie. Riziko je</w:t>
      </w:r>
      <w:r w:rsidR="00C32C42" w:rsidRPr="003D64E0">
        <w:t xml:space="preserve"> </w:t>
      </w:r>
      <w:r w:rsidRPr="003D64E0">
        <w:t>však zanedbateľné, ak</w:t>
      </w:r>
      <w:r w:rsidR="00C32C42" w:rsidRPr="003D64E0">
        <w:t xml:space="preserve"> </w:t>
      </w:r>
      <w:r w:rsidRPr="003D64E0">
        <w:t>sa</w:t>
      </w:r>
      <w:r w:rsidR="00C32C42" w:rsidRPr="003D64E0">
        <w:t xml:space="preserve"> </w:t>
      </w:r>
      <w:proofErr w:type="spellStart"/>
      <w:r w:rsidRPr="003D64E0">
        <w:t>tiamín</w:t>
      </w:r>
      <w:proofErr w:type="spellEnd"/>
      <w:r w:rsidRPr="003D64E0">
        <w:t xml:space="preserve"> podáva súbežne s inými vitamínmi skupiny</w:t>
      </w:r>
      <w:r w:rsidR="00C32C42" w:rsidRPr="003D64E0">
        <w:t> </w:t>
      </w:r>
      <w:r w:rsidRPr="003D64E0">
        <w:t>B.</w:t>
      </w:r>
    </w:p>
    <w:p w14:paraId="527364ED" w14:textId="77777777" w:rsidR="00DA2774" w:rsidRPr="003D64E0" w:rsidRDefault="00DA2774" w:rsidP="00C35EC9">
      <w:pPr>
        <w:spacing w:line="240" w:lineRule="auto"/>
      </w:pPr>
    </w:p>
    <w:p w14:paraId="2FF3B0F7" w14:textId="77777777" w:rsidR="00520B97" w:rsidRPr="003D64E0" w:rsidRDefault="00520B97" w:rsidP="00290F06">
      <w:pPr>
        <w:keepNext/>
        <w:spacing w:line="240" w:lineRule="auto"/>
        <w:jc w:val="both"/>
        <w:rPr>
          <w:szCs w:val="24"/>
        </w:rPr>
      </w:pPr>
      <w:r w:rsidRPr="003D64E0">
        <w:t>Zoznam nežiaducich účinkov</w:t>
      </w:r>
    </w:p>
    <w:p w14:paraId="32D8B78B" w14:textId="420C93E8" w:rsidR="00520B97" w:rsidRPr="003D64E0" w:rsidRDefault="00AF7083" w:rsidP="00290F06">
      <w:pPr>
        <w:keepNext/>
        <w:spacing w:line="240" w:lineRule="auto"/>
        <w:jc w:val="both"/>
        <w:rPr>
          <w:szCs w:val="24"/>
        </w:rPr>
      </w:pPr>
      <w:r w:rsidRPr="003D64E0">
        <w:t>Nežiaduce účinky sú</w:t>
      </w:r>
      <w:r w:rsidR="00C32C42" w:rsidRPr="003D64E0">
        <w:t xml:space="preserve"> </w:t>
      </w:r>
      <w:r w:rsidRPr="003D64E0">
        <w:t>uvedené podľa frekvencie ich výskytu nasledovne:</w:t>
      </w:r>
    </w:p>
    <w:p w14:paraId="3F0611BC" w14:textId="7793056B" w:rsidR="00520B97" w:rsidRPr="003D64E0" w:rsidRDefault="00AF7083" w:rsidP="00290F06">
      <w:pPr>
        <w:keepNext/>
        <w:spacing w:line="240" w:lineRule="auto"/>
        <w:jc w:val="both"/>
        <w:rPr>
          <w:szCs w:val="24"/>
        </w:rPr>
      </w:pPr>
      <w:r w:rsidRPr="003D64E0">
        <w:t>Veľmi časté:</w:t>
      </w:r>
      <w:r w:rsidRPr="003D64E0">
        <w:tab/>
      </w:r>
      <w:r w:rsidRPr="003D64E0">
        <w:tab/>
      </w:r>
      <w:r w:rsidR="00C17763" w:rsidRPr="003D64E0">
        <w:tab/>
      </w:r>
      <w:r w:rsidRPr="003D64E0">
        <w:t>(≥</w:t>
      </w:r>
      <w:r w:rsidR="00C32C42" w:rsidRPr="003D64E0">
        <w:t> </w:t>
      </w:r>
      <w:r w:rsidRPr="003D64E0">
        <w:t>1/10)</w:t>
      </w:r>
    </w:p>
    <w:p w14:paraId="66E322A6" w14:textId="69461CC6" w:rsidR="00520B97" w:rsidRPr="003D64E0" w:rsidRDefault="00AF7083" w:rsidP="00C35EC9">
      <w:pPr>
        <w:spacing w:line="240" w:lineRule="auto"/>
        <w:jc w:val="both"/>
        <w:rPr>
          <w:szCs w:val="24"/>
        </w:rPr>
      </w:pPr>
      <w:r w:rsidRPr="003D64E0">
        <w:t>Časté:</w:t>
      </w:r>
      <w:r w:rsidRPr="003D64E0">
        <w:tab/>
      </w:r>
      <w:r w:rsidRPr="003D64E0">
        <w:tab/>
      </w:r>
      <w:r w:rsidRPr="003D64E0">
        <w:tab/>
      </w:r>
      <w:r w:rsidR="004568D4" w:rsidRPr="003D64E0">
        <w:tab/>
      </w:r>
      <w:r w:rsidRPr="003D64E0">
        <w:t>(≥</w:t>
      </w:r>
      <w:r w:rsidR="00C32C42" w:rsidRPr="003D64E0">
        <w:t> </w:t>
      </w:r>
      <w:r w:rsidRPr="003D64E0">
        <w:t>1/100 až </w:t>
      </w:r>
      <w:r w:rsidR="004568D4" w:rsidRPr="003D64E0">
        <w:t>&lt;</w:t>
      </w:r>
      <w:r w:rsidRPr="003D64E0">
        <w:t>1/10)</w:t>
      </w:r>
    </w:p>
    <w:p w14:paraId="32B533D7" w14:textId="41CACE04" w:rsidR="00520B97" w:rsidRPr="003D64E0" w:rsidRDefault="00AF7083" w:rsidP="00C35EC9">
      <w:pPr>
        <w:spacing w:line="240" w:lineRule="auto"/>
        <w:jc w:val="both"/>
        <w:rPr>
          <w:szCs w:val="24"/>
        </w:rPr>
      </w:pPr>
      <w:r w:rsidRPr="003D64E0">
        <w:t>Menej časté:</w:t>
      </w:r>
      <w:r w:rsidRPr="003D64E0">
        <w:tab/>
      </w:r>
      <w:r w:rsidRPr="003D64E0">
        <w:tab/>
      </w:r>
      <w:r w:rsidRPr="003D64E0">
        <w:tab/>
        <w:t>(≥</w:t>
      </w:r>
      <w:r w:rsidR="00C32C42" w:rsidRPr="003D64E0">
        <w:t> </w:t>
      </w:r>
      <w:r w:rsidRPr="003D64E0">
        <w:t>1/1 000 až &lt; 1/100)</w:t>
      </w:r>
    </w:p>
    <w:p w14:paraId="6C928A68" w14:textId="03E58255" w:rsidR="00520B97" w:rsidRPr="003D64E0" w:rsidRDefault="00AF7083" w:rsidP="00C35EC9">
      <w:pPr>
        <w:spacing w:line="240" w:lineRule="auto"/>
        <w:jc w:val="both"/>
        <w:rPr>
          <w:szCs w:val="24"/>
        </w:rPr>
      </w:pPr>
      <w:r w:rsidRPr="003D64E0">
        <w:t>Zriedkavé:</w:t>
      </w:r>
      <w:r w:rsidRPr="003D64E0">
        <w:tab/>
      </w:r>
      <w:r w:rsidRPr="003D64E0">
        <w:tab/>
      </w:r>
      <w:r w:rsidRPr="003D64E0">
        <w:tab/>
        <w:t>(≥</w:t>
      </w:r>
      <w:r w:rsidR="00C32C42" w:rsidRPr="003D64E0">
        <w:t> </w:t>
      </w:r>
      <w:r w:rsidRPr="003D64E0">
        <w:t>1/10 000 až &lt; 1/</w:t>
      </w:r>
      <w:r w:rsidR="005E5061" w:rsidRPr="003D64E0">
        <w:t>1 </w:t>
      </w:r>
      <w:r w:rsidRPr="003D64E0">
        <w:t>000)</w:t>
      </w:r>
    </w:p>
    <w:p w14:paraId="4CD4A6AD" w14:textId="28AF51A8" w:rsidR="00520B97" w:rsidRPr="003D64E0" w:rsidRDefault="00AF7083" w:rsidP="00C35EC9">
      <w:pPr>
        <w:spacing w:line="240" w:lineRule="auto"/>
        <w:jc w:val="both"/>
        <w:rPr>
          <w:szCs w:val="24"/>
        </w:rPr>
      </w:pPr>
      <w:r w:rsidRPr="003D64E0">
        <w:t>Veľmi zriedkavé:</w:t>
      </w:r>
      <w:r w:rsidRPr="003D64E0">
        <w:tab/>
      </w:r>
      <w:r w:rsidRPr="003D64E0">
        <w:tab/>
        <w:t>(&lt;</w:t>
      </w:r>
      <w:r w:rsidR="00C17763" w:rsidRPr="003D64E0">
        <w:t> </w:t>
      </w:r>
      <w:r w:rsidRPr="003D64E0">
        <w:t>1/1</w:t>
      </w:r>
      <w:r w:rsidR="005E5061" w:rsidRPr="003D64E0">
        <w:t>0 </w:t>
      </w:r>
      <w:r w:rsidRPr="003D64E0">
        <w:t>000)</w:t>
      </w:r>
    </w:p>
    <w:p w14:paraId="150B0E19" w14:textId="36B948E1" w:rsidR="00520B97" w:rsidRPr="003D64E0" w:rsidRDefault="00AF7083" w:rsidP="00C35EC9">
      <w:pPr>
        <w:tabs>
          <w:tab w:val="left" w:pos="8352"/>
        </w:tabs>
        <w:spacing w:line="240" w:lineRule="auto"/>
        <w:ind w:left="2268" w:hanging="2268"/>
        <w:jc w:val="both"/>
        <w:rPr>
          <w:szCs w:val="24"/>
        </w:rPr>
      </w:pPr>
      <w:r w:rsidRPr="003D64E0">
        <w:t>Neznáme:</w:t>
      </w:r>
      <w:r w:rsidRPr="003D64E0">
        <w:tab/>
        <w:t>(z dostupných údajov)</w:t>
      </w:r>
    </w:p>
    <w:p w14:paraId="642880FD" w14:textId="77777777" w:rsidR="00520B97" w:rsidRPr="003D64E0" w:rsidRDefault="00520B97" w:rsidP="00C35EC9">
      <w:pPr>
        <w:autoSpaceDE w:val="0"/>
        <w:autoSpaceDN w:val="0"/>
        <w:adjustRightInd w:val="0"/>
        <w:spacing w:line="240" w:lineRule="auto"/>
      </w:pPr>
    </w:p>
    <w:p w14:paraId="00E954B0" w14:textId="53159FCB" w:rsidR="00094CC8" w:rsidRPr="003D64E0" w:rsidRDefault="00AF7083" w:rsidP="00C35EC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</w:rPr>
      </w:pPr>
      <w:r w:rsidRPr="003D64E0">
        <w:rPr>
          <w:b/>
          <w:i/>
        </w:rPr>
        <w:t xml:space="preserve">Poruchy </w:t>
      </w:r>
      <w:proofErr w:type="spellStart"/>
      <w:r w:rsidRPr="003D64E0">
        <w:rPr>
          <w:b/>
          <w:i/>
        </w:rPr>
        <w:t>gastrointestinálneho</w:t>
      </w:r>
      <w:proofErr w:type="spellEnd"/>
      <w:r w:rsidRPr="003D64E0">
        <w:rPr>
          <w:b/>
          <w:i/>
        </w:rPr>
        <w:t xml:space="preserve"> traktu</w:t>
      </w:r>
    </w:p>
    <w:p w14:paraId="12629133" w14:textId="0538D237" w:rsidR="00094CC8" w:rsidRPr="003D64E0" w:rsidRDefault="00AF7083" w:rsidP="00C35EC9">
      <w:pPr>
        <w:autoSpaceDE w:val="0"/>
        <w:autoSpaceDN w:val="0"/>
        <w:adjustRightInd w:val="0"/>
        <w:spacing w:line="240" w:lineRule="auto"/>
        <w:rPr>
          <w:bCs/>
          <w:iCs/>
          <w:szCs w:val="22"/>
        </w:rPr>
      </w:pPr>
      <w:r w:rsidRPr="003D64E0">
        <w:rPr>
          <w:u w:val="single"/>
        </w:rPr>
        <w:t>Neznáme:</w:t>
      </w:r>
      <w:r w:rsidRPr="003D64E0">
        <w:tab/>
      </w:r>
      <w:r w:rsidRPr="003D64E0">
        <w:tab/>
      </w:r>
      <w:r w:rsidRPr="003D64E0">
        <w:tab/>
        <w:t>Nevoľnosť, vracanie, hnačka</w:t>
      </w:r>
    </w:p>
    <w:p w14:paraId="6A68F9EA" w14:textId="77777777" w:rsidR="00094CC8" w:rsidRPr="003D64E0" w:rsidRDefault="00094CC8" w:rsidP="00C35EC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84867AD" w14:textId="0897AB78" w:rsidR="00094CC8" w:rsidRPr="003D64E0" w:rsidRDefault="00AF7083" w:rsidP="00C35EC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</w:rPr>
      </w:pPr>
      <w:r w:rsidRPr="003D64E0">
        <w:rPr>
          <w:b/>
          <w:i/>
        </w:rPr>
        <w:t>Celkové poruchy a reakcie v mieste podania</w:t>
      </w:r>
    </w:p>
    <w:p w14:paraId="6CBE3BF3" w14:textId="6E0C516B" w:rsidR="00094CC8" w:rsidRPr="003D64E0" w:rsidRDefault="00AF7083" w:rsidP="00C35EC9">
      <w:pPr>
        <w:autoSpaceDE w:val="0"/>
        <w:autoSpaceDN w:val="0"/>
        <w:adjustRightInd w:val="0"/>
        <w:spacing w:line="240" w:lineRule="auto"/>
        <w:rPr>
          <w:bCs/>
          <w:iCs/>
          <w:szCs w:val="22"/>
        </w:rPr>
      </w:pPr>
      <w:r w:rsidRPr="003D64E0">
        <w:rPr>
          <w:u w:val="single"/>
        </w:rPr>
        <w:t>Neznáme:</w:t>
      </w:r>
      <w:r w:rsidRPr="003D64E0">
        <w:tab/>
      </w:r>
      <w:r w:rsidRPr="003D64E0">
        <w:tab/>
      </w:r>
      <w:r w:rsidRPr="003D64E0">
        <w:tab/>
        <w:t>Reakcie v mieste vpichu</w:t>
      </w:r>
      <w:r w:rsidR="00C32C42" w:rsidRPr="003D64E0">
        <w:t xml:space="preserve"> injekcie</w:t>
      </w:r>
      <w:r w:rsidRPr="003D64E0">
        <w:t>, napr. pocit pálenia, vyrážka</w:t>
      </w:r>
    </w:p>
    <w:p w14:paraId="590ECCE4" w14:textId="77777777" w:rsidR="00094CC8" w:rsidRPr="003D64E0" w:rsidDel="00520B97" w:rsidRDefault="00094CC8" w:rsidP="00C35EC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7D72B29" w14:textId="2D102983" w:rsidR="00DA2774" w:rsidRPr="003D64E0" w:rsidRDefault="00AF7083" w:rsidP="00C35EC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</w:rPr>
      </w:pPr>
      <w:r w:rsidRPr="003D64E0">
        <w:rPr>
          <w:b/>
          <w:i/>
        </w:rPr>
        <w:t>Poruchy imunitného systému</w:t>
      </w:r>
    </w:p>
    <w:p w14:paraId="049F7FB1" w14:textId="0D28C7A4" w:rsidR="00DA2774" w:rsidRPr="003D64E0" w:rsidRDefault="00AF7083" w:rsidP="00C35EC9">
      <w:pPr>
        <w:spacing w:line="240" w:lineRule="auto"/>
        <w:rPr>
          <w:szCs w:val="22"/>
        </w:rPr>
      </w:pPr>
      <w:r w:rsidRPr="003D64E0">
        <w:rPr>
          <w:u w:val="single"/>
        </w:rPr>
        <w:t>Neznáme:</w:t>
      </w:r>
      <w:r w:rsidRPr="003D64E0">
        <w:t xml:space="preserve"> </w:t>
      </w:r>
      <w:r w:rsidRPr="003D64E0">
        <w:tab/>
      </w:r>
      <w:r w:rsidRPr="003D64E0">
        <w:tab/>
      </w:r>
      <w:r w:rsidRPr="003D64E0">
        <w:tab/>
        <w:t>Precitlivenosť až</w:t>
      </w:r>
      <w:r w:rsidR="00C32C42" w:rsidRPr="003D64E0">
        <w:t xml:space="preserve"> </w:t>
      </w:r>
      <w:proofErr w:type="spellStart"/>
      <w:r w:rsidRPr="003D64E0">
        <w:t>anafylaktický</w:t>
      </w:r>
      <w:proofErr w:type="spellEnd"/>
      <w:r w:rsidRPr="003D64E0">
        <w:t xml:space="preserve"> šok</w:t>
      </w:r>
    </w:p>
    <w:p w14:paraId="75F25AD3" w14:textId="77777777" w:rsidR="00DA2774" w:rsidRPr="003D64E0" w:rsidRDefault="00DA2774" w:rsidP="00C35EC9">
      <w:pPr>
        <w:spacing w:line="240" w:lineRule="auto"/>
        <w:rPr>
          <w:szCs w:val="22"/>
        </w:rPr>
      </w:pPr>
    </w:p>
    <w:p w14:paraId="6D935353" w14:textId="4F1C9A13" w:rsidR="00267A48" w:rsidRPr="003D64E0" w:rsidRDefault="00AF7083" w:rsidP="00C35EC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</w:rPr>
      </w:pPr>
      <w:r w:rsidRPr="003D64E0">
        <w:rPr>
          <w:b/>
          <w:i/>
        </w:rPr>
        <w:t>Laboratórne a funkčné vyšetrenia</w:t>
      </w:r>
    </w:p>
    <w:p w14:paraId="47F08EF6" w14:textId="3BC1FA28" w:rsidR="00607BBE" w:rsidRPr="003D64E0" w:rsidRDefault="00AF7083" w:rsidP="00C35EC9">
      <w:pPr>
        <w:autoSpaceDE w:val="0"/>
        <w:autoSpaceDN w:val="0"/>
        <w:adjustRightInd w:val="0"/>
        <w:spacing w:line="240" w:lineRule="auto"/>
        <w:ind w:left="2265" w:hanging="2265"/>
        <w:rPr>
          <w:bCs/>
          <w:iCs/>
          <w:szCs w:val="22"/>
          <w:u w:val="single"/>
        </w:rPr>
      </w:pPr>
      <w:r w:rsidRPr="003D64E0">
        <w:rPr>
          <w:u w:val="single"/>
        </w:rPr>
        <w:t>Neznáme:</w:t>
      </w:r>
      <w:r w:rsidRPr="003D64E0">
        <w:tab/>
        <w:t xml:space="preserve">Zvýšené </w:t>
      </w:r>
      <w:r w:rsidR="00FE3190">
        <w:t xml:space="preserve">hladiny </w:t>
      </w:r>
      <w:proofErr w:type="spellStart"/>
      <w:r w:rsidRPr="003D64E0">
        <w:t>transamináz</w:t>
      </w:r>
      <w:proofErr w:type="spellEnd"/>
      <w:r w:rsidRPr="003D64E0">
        <w:t xml:space="preserve">, zvýšená </w:t>
      </w:r>
      <w:r w:rsidR="00CB4C0F">
        <w:t xml:space="preserve">hladina </w:t>
      </w:r>
      <w:proofErr w:type="spellStart"/>
      <w:r w:rsidRPr="003D64E0">
        <w:t>alanínaminotransferáz</w:t>
      </w:r>
      <w:r w:rsidR="00CB4C0F">
        <w:t>y</w:t>
      </w:r>
      <w:proofErr w:type="spellEnd"/>
      <w:r w:rsidRPr="003D64E0">
        <w:t>, zvýšen</w:t>
      </w:r>
      <w:r w:rsidR="00CB4C0F">
        <w:t>ý</w:t>
      </w:r>
      <w:r w:rsidRPr="003D64E0">
        <w:t xml:space="preserve"> celkov</w:t>
      </w:r>
      <w:r w:rsidR="00CB4C0F">
        <w:t>ý</w:t>
      </w:r>
      <w:r w:rsidRPr="003D64E0">
        <w:t xml:space="preserve"> </w:t>
      </w:r>
      <w:r w:rsidR="00CB4C0F">
        <w:t xml:space="preserve">obsah </w:t>
      </w:r>
      <w:r w:rsidRPr="003D64E0">
        <w:t>žlčov</w:t>
      </w:r>
      <w:r w:rsidR="00CB4C0F">
        <w:t>ých</w:t>
      </w:r>
      <w:r w:rsidRPr="003D64E0">
        <w:t xml:space="preserve"> kysel</w:t>
      </w:r>
      <w:r w:rsidR="00CB4C0F">
        <w:t>ín</w:t>
      </w:r>
      <w:r w:rsidRPr="003D64E0">
        <w:t>, zvýšená</w:t>
      </w:r>
      <w:r w:rsidR="00CB4C0F">
        <w:t xml:space="preserve"> hladina</w:t>
      </w:r>
      <w:r w:rsidRPr="003D64E0">
        <w:t xml:space="preserve"> </w:t>
      </w:r>
      <w:proofErr w:type="spellStart"/>
      <w:r w:rsidRPr="003D64E0">
        <w:lastRenderedPageBreak/>
        <w:t>gamaglutamyltransferáz</w:t>
      </w:r>
      <w:r w:rsidR="00CB4C0F">
        <w:t>y</w:t>
      </w:r>
      <w:proofErr w:type="spellEnd"/>
      <w:r w:rsidRPr="003D64E0">
        <w:t xml:space="preserve">, zvýšená </w:t>
      </w:r>
      <w:r w:rsidR="00CB4C0F">
        <w:t xml:space="preserve">hladina </w:t>
      </w:r>
      <w:proofErr w:type="spellStart"/>
      <w:r w:rsidRPr="003D64E0">
        <w:t>glutamátdehydrogenáz</w:t>
      </w:r>
      <w:r w:rsidR="00CB4C0F">
        <w:t>y</w:t>
      </w:r>
      <w:proofErr w:type="spellEnd"/>
      <w:r w:rsidRPr="003D64E0">
        <w:t xml:space="preserve">, zvýšená </w:t>
      </w:r>
      <w:r w:rsidR="00CB4C0F">
        <w:t xml:space="preserve">hladina </w:t>
      </w:r>
      <w:r w:rsidRPr="003D64E0">
        <w:t>alkalick</w:t>
      </w:r>
      <w:r w:rsidR="00CB4C0F">
        <w:t>ej</w:t>
      </w:r>
      <w:r w:rsidRPr="003D64E0">
        <w:t xml:space="preserve"> </w:t>
      </w:r>
      <w:proofErr w:type="spellStart"/>
      <w:r w:rsidRPr="003D64E0">
        <w:t>fosfatáz</w:t>
      </w:r>
      <w:r w:rsidR="00CB4C0F">
        <w:t>y</w:t>
      </w:r>
      <w:proofErr w:type="spellEnd"/>
      <w:r w:rsidRPr="003D64E0">
        <w:t xml:space="preserve"> v krvi</w:t>
      </w:r>
    </w:p>
    <w:p w14:paraId="72A95E49" w14:textId="77777777" w:rsidR="002614E0" w:rsidRPr="003D64E0" w:rsidRDefault="002614E0" w:rsidP="00C35EC9">
      <w:pPr>
        <w:autoSpaceDE w:val="0"/>
        <w:autoSpaceDN w:val="0"/>
        <w:adjustRightInd w:val="0"/>
        <w:spacing w:line="240" w:lineRule="auto"/>
        <w:rPr>
          <w:bCs/>
          <w:iCs/>
          <w:sz w:val="24"/>
          <w:szCs w:val="24"/>
        </w:rPr>
      </w:pPr>
    </w:p>
    <w:p w14:paraId="4E7A1FFD" w14:textId="77777777" w:rsidR="00ED3A3C" w:rsidRPr="003D64E0" w:rsidRDefault="00ED3A3C" w:rsidP="007C721D">
      <w:pPr>
        <w:spacing w:line="240" w:lineRule="auto"/>
        <w:rPr>
          <w:szCs w:val="24"/>
        </w:rPr>
      </w:pPr>
    </w:p>
    <w:p w14:paraId="35039BB6" w14:textId="066EDA07" w:rsidR="00014658" w:rsidRPr="003D64E0" w:rsidRDefault="00AF7083" w:rsidP="00C35EC9">
      <w:pPr>
        <w:tabs>
          <w:tab w:val="right" w:pos="4253"/>
        </w:tabs>
        <w:spacing w:line="240" w:lineRule="auto"/>
        <w:rPr>
          <w:szCs w:val="24"/>
          <w:u w:val="single"/>
        </w:rPr>
      </w:pPr>
      <w:r w:rsidRPr="003D64E0">
        <w:rPr>
          <w:u w:val="single"/>
        </w:rPr>
        <w:t>Hlásenie podozrení na nežiaduce reakcie</w:t>
      </w:r>
    </w:p>
    <w:p w14:paraId="6679539B" w14:textId="1BA69638" w:rsidR="00014658" w:rsidRPr="003D64E0" w:rsidRDefault="00AF7083" w:rsidP="00C35EC9">
      <w:pPr>
        <w:tabs>
          <w:tab w:val="right" w:pos="4253"/>
        </w:tabs>
        <w:spacing w:line="240" w:lineRule="auto"/>
        <w:rPr>
          <w:szCs w:val="24"/>
        </w:rPr>
      </w:pPr>
      <w:r w:rsidRPr="003D64E0">
        <w:t>Hlásenie podozrení na nežiaduce reakcie po registrácii lieku je dôležité. Umožňuje priebežné monitorovanie pomeru prínosu a rizika lieku. Od zdravotníckych pracovníkov sa</w:t>
      </w:r>
      <w:r w:rsidR="00290F06" w:rsidRPr="003D64E0">
        <w:t xml:space="preserve"> </w:t>
      </w:r>
      <w:r w:rsidRPr="003D64E0">
        <w:t xml:space="preserve">vyžaduje, aby hlásili akékoľvek podozrenia na nežiaduce reakcie </w:t>
      </w:r>
      <w:r w:rsidR="00C32C42" w:rsidRPr="003D64E0">
        <w:t>na</w:t>
      </w:r>
      <w:r w:rsidRPr="003D64E0">
        <w:t xml:space="preserve"> </w:t>
      </w:r>
      <w:r w:rsidRPr="003D64E0">
        <w:rPr>
          <w:shd w:val="clear" w:color="auto" w:fill="BFBFBF" w:themeFill="background1" w:themeFillShade="BF"/>
        </w:rPr>
        <w:t xml:space="preserve">národné </w:t>
      </w:r>
      <w:r w:rsidR="00C32C42" w:rsidRPr="003D64E0">
        <w:rPr>
          <w:shd w:val="clear" w:color="auto" w:fill="BFBFBF" w:themeFill="background1" w:themeFillShade="BF"/>
        </w:rPr>
        <w:t>centrum</w:t>
      </w:r>
      <w:r w:rsidRPr="003D64E0">
        <w:rPr>
          <w:shd w:val="clear" w:color="auto" w:fill="BFBFBF" w:themeFill="background1" w:themeFillShade="BF"/>
        </w:rPr>
        <w:t xml:space="preserve"> hlásenia uvedené v</w:t>
      </w:r>
      <w:r w:rsidR="00FC2441" w:rsidRPr="003D64E0">
        <w:rPr>
          <w:shd w:val="clear" w:color="auto" w:fill="BFBFBF" w:themeFill="background1" w:themeFillShade="BF"/>
        </w:rPr>
        <w:t> </w:t>
      </w:r>
      <w:hyperlink r:id="rId9" w:history="1">
        <w:r w:rsidR="00FC2441" w:rsidRPr="003D64E0">
          <w:rPr>
            <w:rStyle w:val="Hypertextovprepojenie"/>
            <w:noProof/>
            <w:szCs w:val="22"/>
            <w:shd w:val="clear" w:color="auto" w:fill="BFBFBF" w:themeFill="background1" w:themeFillShade="BF"/>
          </w:rPr>
          <w:t>Prílohe V</w:t>
        </w:r>
      </w:hyperlink>
      <w:r w:rsidRPr="003D64E0">
        <w:t>.</w:t>
      </w:r>
    </w:p>
    <w:p w14:paraId="3E2A180F" w14:textId="77777777" w:rsidR="00ED3A3C" w:rsidRDefault="00ED3A3C" w:rsidP="00C35EC9">
      <w:pPr>
        <w:tabs>
          <w:tab w:val="right" w:pos="4253"/>
        </w:tabs>
        <w:spacing w:line="240" w:lineRule="auto"/>
        <w:rPr>
          <w:szCs w:val="24"/>
        </w:rPr>
      </w:pPr>
    </w:p>
    <w:p w14:paraId="57894DE1" w14:textId="2EF7D74B" w:rsidR="00DA2774" w:rsidRPr="003D64E0" w:rsidRDefault="00DA2774" w:rsidP="00C35EC9">
      <w:pPr>
        <w:pStyle w:val="Nadpis2"/>
        <w:spacing w:before="0" w:line="240" w:lineRule="auto"/>
      </w:pPr>
      <w:r w:rsidRPr="003D64E0">
        <w:t>4.9</w:t>
      </w:r>
      <w:r w:rsidRPr="003D64E0">
        <w:tab/>
        <w:t>Predávkovanie</w:t>
      </w:r>
    </w:p>
    <w:p w14:paraId="497D9225" w14:textId="77777777" w:rsidR="00DA2774" w:rsidRPr="003D64E0" w:rsidRDefault="00DA2774" w:rsidP="00C35EC9">
      <w:pPr>
        <w:spacing w:line="240" w:lineRule="auto"/>
      </w:pPr>
    </w:p>
    <w:p w14:paraId="715C745F" w14:textId="2E4F50FF" w:rsidR="00272E84" w:rsidRPr="003D64E0" w:rsidRDefault="00272E84" w:rsidP="00C35EC9">
      <w:pPr>
        <w:spacing w:line="240" w:lineRule="auto"/>
      </w:pPr>
      <w:r w:rsidRPr="003D64E0">
        <w:t>Riziko predávkovania je</w:t>
      </w:r>
      <w:r w:rsidR="00C32C42" w:rsidRPr="003D64E0">
        <w:t xml:space="preserve"> </w:t>
      </w:r>
      <w:r w:rsidRPr="003D64E0">
        <w:t>obzvlášť vysoké, ak</w:t>
      </w:r>
      <w:r w:rsidR="00C32C42" w:rsidRPr="003D64E0">
        <w:t xml:space="preserve"> </w:t>
      </w:r>
      <w:r w:rsidRPr="003D64E0">
        <w:t>pacient dostáva vitamíny z viacerých zdrojov alebo celkov</w:t>
      </w:r>
      <w:r w:rsidR="0048623E">
        <w:t>á</w:t>
      </w:r>
      <w:r w:rsidRPr="003D64E0">
        <w:t xml:space="preserve"> </w:t>
      </w:r>
      <w:proofErr w:type="spellStart"/>
      <w:r w:rsidR="0048623E">
        <w:t>suplementácia</w:t>
      </w:r>
      <w:proofErr w:type="spellEnd"/>
      <w:r w:rsidRPr="003D64E0">
        <w:t xml:space="preserve"> niektorého vitamínu nezodpovedá individuálnym potrebám pacienta</w:t>
      </w:r>
      <w:r w:rsidR="0048623E">
        <w:t xml:space="preserve"> alebo</w:t>
      </w:r>
      <w:r w:rsidRPr="003D64E0">
        <w:t xml:space="preserve"> u pacientov so</w:t>
      </w:r>
      <w:r w:rsidR="00C32C42" w:rsidRPr="003D64E0">
        <w:t xml:space="preserve"> </w:t>
      </w:r>
      <w:r w:rsidRPr="003D64E0">
        <w:t>zvýšenou citlivosťou na</w:t>
      </w:r>
      <w:r w:rsidR="00C32C42" w:rsidRPr="003D64E0">
        <w:t xml:space="preserve"> </w:t>
      </w:r>
      <w:proofErr w:type="spellStart"/>
      <w:r w:rsidRPr="003D64E0">
        <w:t>hypervitaminózu</w:t>
      </w:r>
      <w:proofErr w:type="spellEnd"/>
      <w:r w:rsidRPr="003D64E0">
        <w:t xml:space="preserve"> (napr. pacienti s</w:t>
      </w:r>
      <w:r w:rsidR="00C32C42" w:rsidRPr="003D64E0">
        <w:t> poruchou</w:t>
      </w:r>
      <w:r w:rsidRPr="003D64E0">
        <w:t xml:space="preserve"> funkci</w:t>
      </w:r>
      <w:r w:rsidR="00C32C42" w:rsidRPr="003D64E0">
        <w:t>e</w:t>
      </w:r>
      <w:r w:rsidRPr="003D64E0">
        <w:t xml:space="preserve"> pečene alebo obličiek) (pozri </w:t>
      </w:r>
      <w:r w:rsidR="005E5061" w:rsidRPr="003D64E0">
        <w:t>časť </w:t>
      </w:r>
      <w:r w:rsidRPr="003D64E0">
        <w:t>4.4).</w:t>
      </w:r>
    </w:p>
    <w:p w14:paraId="02E9660A" w14:textId="77777777" w:rsidR="00272E84" w:rsidRPr="003D64E0" w:rsidRDefault="00272E84" w:rsidP="00C35EC9">
      <w:pPr>
        <w:spacing w:line="240" w:lineRule="auto"/>
      </w:pPr>
    </w:p>
    <w:p w14:paraId="4EFC351F" w14:textId="42205CDD" w:rsidR="00272E84" w:rsidRPr="003D64E0" w:rsidRDefault="00272E84" w:rsidP="00C35EC9">
      <w:pPr>
        <w:spacing w:line="240" w:lineRule="auto"/>
        <w:rPr>
          <w:b/>
          <w:i/>
          <w:szCs w:val="22"/>
        </w:rPr>
      </w:pPr>
      <w:r w:rsidRPr="003D64E0">
        <w:rPr>
          <w:b/>
          <w:i/>
        </w:rPr>
        <w:t>Príznaky predávkovania:</w:t>
      </w:r>
    </w:p>
    <w:p w14:paraId="3C8EB58A" w14:textId="597293EA" w:rsidR="00C47537" w:rsidRPr="003D64E0" w:rsidRDefault="00C47537" w:rsidP="00C35EC9">
      <w:pPr>
        <w:spacing w:line="240" w:lineRule="auto"/>
        <w:rPr>
          <w:szCs w:val="22"/>
        </w:rPr>
      </w:pPr>
      <w:r w:rsidRPr="003D64E0">
        <w:t>Najčastejšie predávkovania multivitamínmi sú</w:t>
      </w:r>
      <w:r w:rsidR="00C32C42" w:rsidRPr="003D64E0">
        <w:t xml:space="preserve"> </w:t>
      </w:r>
      <w:r w:rsidRPr="003D64E0">
        <w:t>spojené s nevoľnosťou, vracaním a hnačkou.</w:t>
      </w:r>
    </w:p>
    <w:p w14:paraId="49D7405B" w14:textId="658FF057" w:rsidR="00C74F60" w:rsidRPr="003D64E0" w:rsidRDefault="00C47537" w:rsidP="00C35EC9">
      <w:pPr>
        <w:spacing w:line="240" w:lineRule="auto"/>
      </w:pPr>
      <w:r w:rsidRPr="003D64E0">
        <w:t xml:space="preserve">Okrem toho akútne alebo chronické predávkovanie vitamínmi môže spôsobiť symptomatickú </w:t>
      </w:r>
      <w:proofErr w:type="spellStart"/>
      <w:r w:rsidRPr="003D64E0">
        <w:t>hypervitaminózu</w:t>
      </w:r>
      <w:proofErr w:type="spellEnd"/>
      <w:r w:rsidRPr="003D64E0">
        <w:t xml:space="preserve"> s príznakmi, ako sú napríklad:</w:t>
      </w:r>
    </w:p>
    <w:p w14:paraId="61CCB900" w14:textId="03DCEF11" w:rsidR="00DA2774" w:rsidRPr="003D64E0" w:rsidRDefault="00C74F60" w:rsidP="003D64E0">
      <w:pPr>
        <w:spacing w:line="240" w:lineRule="auto"/>
        <w:ind w:left="1247" w:hanging="1247"/>
        <w:rPr>
          <w:szCs w:val="22"/>
        </w:rPr>
      </w:pPr>
      <w:r w:rsidRPr="003D64E0">
        <w:t xml:space="preserve">- </w:t>
      </w:r>
      <w:r w:rsidRPr="003D64E0">
        <w:rPr>
          <w:b/>
        </w:rPr>
        <w:t xml:space="preserve">Vitamín </w:t>
      </w:r>
      <w:r w:rsidR="005E5061" w:rsidRPr="003D64E0">
        <w:rPr>
          <w:b/>
        </w:rPr>
        <w:t>A:</w:t>
      </w:r>
      <w:r w:rsidR="00C32C42" w:rsidRPr="003D64E0">
        <w:rPr>
          <w:b/>
        </w:rPr>
        <w:t xml:space="preserve"> </w:t>
      </w:r>
      <w:r w:rsidRPr="003D64E0">
        <w:t>suchá, odlupujúca sa</w:t>
      </w:r>
      <w:r w:rsidR="00C32C42" w:rsidRPr="003D64E0">
        <w:t xml:space="preserve"> </w:t>
      </w:r>
      <w:r w:rsidRPr="003D64E0">
        <w:t>koža a pr</w:t>
      </w:r>
      <w:r w:rsidR="00C32C42" w:rsidRPr="003D64E0">
        <w:t>ejavy</w:t>
      </w:r>
      <w:r w:rsidRPr="003D64E0">
        <w:t xml:space="preserve"> zvýšeného </w:t>
      </w:r>
      <w:proofErr w:type="spellStart"/>
      <w:r w:rsidRPr="003D64E0">
        <w:t>intrakraniálneho</w:t>
      </w:r>
      <w:proofErr w:type="spellEnd"/>
      <w:r w:rsidRPr="003D64E0">
        <w:t xml:space="preserve"> tlaku; poškodenie pečene môže spôsobiť žltačku a </w:t>
      </w:r>
      <w:proofErr w:type="spellStart"/>
      <w:r w:rsidRPr="003D64E0">
        <w:t>ascites</w:t>
      </w:r>
      <w:proofErr w:type="spellEnd"/>
    </w:p>
    <w:p w14:paraId="05E21BF5" w14:textId="33E32546" w:rsidR="00C74F60" w:rsidRPr="003D64E0" w:rsidRDefault="00C74F60" w:rsidP="003D64E0">
      <w:pPr>
        <w:spacing w:line="240" w:lineRule="auto"/>
        <w:ind w:left="1247" w:hanging="1247"/>
        <w:rPr>
          <w:szCs w:val="22"/>
        </w:rPr>
      </w:pPr>
      <w:r w:rsidRPr="003D64E0">
        <w:t xml:space="preserve">- </w:t>
      </w:r>
      <w:r w:rsidRPr="003D64E0">
        <w:rPr>
          <w:b/>
        </w:rPr>
        <w:t xml:space="preserve">Vitamín </w:t>
      </w:r>
      <w:r w:rsidR="005E5061" w:rsidRPr="003D64E0">
        <w:rPr>
          <w:b/>
        </w:rPr>
        <w:t>C:</w:t>
      </w:r>
      <w:r w:rsidR="00C32C42" w:rsidRPr="003D64E0">
        <w:rPr>
          <w:b/>
        </w:rPr>
        <w:t xml:space="preserve"> </w:t>
      </w:r>
      <w:r w:rsidRPr="003D64E0">
        <w:t xml:space="preserve">kryštály </w:t>
      </w:r>
      <w:proofErr w:type="spellStart"/>
      <w:r w:rsidR="00845FE2">
        <w:t>šťaveľanu</w:t>
      </w:r>
      <w:proofErr w:type="spellEnd"/>
      <w:r w:rsidRPr="003D64E0">
        <w:t xml:space="preserve"> vápenatého môžu spôsobiť akútne zlyhanie obličiek alebo chronickú </w:t>
      </w:r>
      <w:proofErr w:type="spellStart"/>
      <w:r w:rsidRPr="003D64E0">
        <w:t>nefropatiu</w:t>
      </w:r>
      <w:proofErr w:type="spellEnd"/>
    </w:p>
    <w:p w14:paraId="4E572925" w14:textId="288CE6FF" w:rsidR="00C74F60" w:rsidRPr="003D64E0" w:rsidRDefault="00D878E6" w:rsidP="00C35EC9">
      <w:pPr>
        <w:spacing w:line="240" w:lineRule="auto"/>
        <w:rPr>
          <w:szCs w:val="22"/>
        </w:rPr>
      </w:pPr>
      <w:r w:rsidRPr="003D64E0">
        <w:rPr>
          <w:b/>
        </w:rPr>
        <w:t xml:space="preserve">- Vitamín </w:t>
      </w:r>
      <w:r w:rsidR="005E5061" w:rsidRPr="003D64E0">
        <w:rPr>
          <w:b/>
        </w:rPr>
        <w:t>D:</w:t>
      </w:r>
      <w:r w:rsidR="00C32C42" w:rsidRPr="003D64E0">
        <w:rPr>
          <w:b/>
        </w:rPr>
        <w:t xml:space="preserve"> </w:t>
      </w:r>
      <w:proofErr w:type="spellStart"/>
      <w:r w:rsidRPr="003D64E0">
        <w:t>hyperkalciémia</w:t>
      </w:r>
      <w:proofErr w:type="spellEnd"/>
    </w:p>
    <w:p w14:paraId="70943B2C" w14:textId="408698EE" w:rsidR="00A272C3" w:rsidRPr="003D64E0" w:rsidRDefault="00D878E6" w:rsidP="00C35EC9">
      <w:pPr>
        <w:spacing w:line="240" w:lineRule="auto"/>
        <w:rPr>
          <w:szCs w:val="22"/>
        </w:rPr>
      </w:pPr>
      <w:r w:rsidRPr="003D64E0">
        <w:rPr>
          <w:b/>
        </w:rPr>
        <w:t xml:space="preserve">- Vitamín </w:t>
      </w:r>
      <w:r w:rsidR="005E5061" w:rsidRPr="003D64E0">
        <w:rPr>
          <w:b/>
        </w:rPr>
        <w:t>E:</w:t>
      </w:r>
      <w:r w:rsidR="00C32C42" w:rsidRPr="003D64E0">
        <w:rPr>
          <w:b/>
        </w:rPr>
        <w:t xml:space="preserve"> </w:t>
      </w:r>
      <w:r w:rsidRPr="003D64E0">
        <w:t>nevoľnosť, bolesť hlavy, slabosť</w:t>
      </w:r>
    </w:p>
    <w:p w14:paraId="17DD1B99" w14:textId="06A5C991" w:rsidR="00261E2C" w:rsidRPr="003D64E0" w:rsidRDefault="00261E2C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-</w:t>
      </w:r>
      <w:r w:rsidRPr="003D64E0">
        <w:t xml:space="preserve"> </w:t>
      </w:r>
      <w:r w:rsidRPr="003D64E0">
        <w:rPr>
          <w:b/>
        </w:rPr>
        <w:t xml:space="preserve">Vitamín </w:t>
      </w:r>
      <w:r w:rsidR="005E5061" w:rsidRPr="003D64E0">
        <w:rPr>
          <w:b/>
        </w:rPr>
        <w:t>K:</w:t>
      </w:r>
      <w:r w:rsidR="00C32C42" w:rsidRPr="003D64E0">
        <w:rPr>
          <w:b/>
        </w:rPr>
        <w:t xml:space="preserve"> </w:t>
      </w:r>
      <w:r w:rsidRPr="003D64E0">
        <w:t>môže spôsobiť poruchy koagulácie</w:t>
      </w:r>
    </w:p>
    <w:p w14:paraId="1F8F5149" w14:textId="23DC8108" w:rsidR="007B37FC" w:rsidRPr="003D64E0" w:rsidRDefault="00D878E6" w:rsidP="00C35EC9">
      <w:pPr>
        <w:spacing w:line="240" w:lineRule="auto"/>
        <w:rPr>
          <w:szCs w:val="22"/>
        </w:rPr>
      </w:pPr>
      <w:r w:rsidRPr="003D64E0">
        <w:rPr>
          <w:b/>
        </w:rPr>
        <w:t>- Vitamín B</w:t>
      </w:r>
      <w:r w:rsidRPr="003D64E0">
        <w:rPr>
          <w:b/>
          <w:vertAlign w:val="subscript"/>
        </w:rPr>
        <w:t>6</w:t>
      </w:r>
      <w:r w:rsidRPr="003D64E0">
        <w:rPr>
          <w:b/>
        </w:rPr>
        <w:t xml:space="preserve">: </w:t>
      </w:r>
      <w:r w:rsidRPr="003D64E0">
        <w:t xml:space="preserve">periférna </w:t>
      </w:r>
      <w:proofErr w:type="spellStart"/>
      <w:r w:rsidRPr="003D64E0">
        <w:t>neuropatia</w:t>
      </w:r>
      <w:proofErr w:type="spellEnd"/>
    </w:p>
    <w:p w14:paraId="582E26CD" w14:textId="2C19B1B8" w:rsidR="007B37FC" w:rsidRPr="003D64E0" w:rsidRDefault="00D878E6" w:rsidP="00C35EC9">
      <w:pPr>
        <w:spacing w:line="240" w:lineRule="auto"/>
        <w:rPr>
          <w:szCs w:val="22"/>
        </w:rPr>
      </w:pPr>
      <w:r w:rsidRPr="003D64E0">
        <w:rPr>
          <w:b/>
        </w:rPr>
        <w:t>- Vitamín B</w:t>
      </w:r>
      <w:r w:rsidRPr="003D64E0">
        <w:rPr>
          <w:b/>
          <w:vertAlign w:val="subscript"/>
        </w:rPr>
        <w:t>2</w:t>
      </w:r>
      <w:r w:rsidRPr="003D64E0">
        <w:rPr>
          <w:b/>
        </w:rPr>
        <w:t>:</w:t>
      </w:r>
      <w:r w:rsidRPr="003D64E0">
        <w:t xml:space="preserve"> môže spôsobiť žlt</w:t>
      </w:r>
      <w:r w:rsidR="000E1B42">
        <w:t>é</w:t>
      </w:r>
      <w:r w:rsidRPr="003D64E0">
        <w:t xml:space="preserve"> </w:t>
      </w:r>
      <w:r w:rsidR="000E1B42">
        <w:t xml:space="preserve">sfarbenie </w:t>
      </w:r>
      <w:r w:rsidRPr="003D64E0">
        <w:t>pot</w:t>
      </w:r>
      <w:r w:rsidR="000E1B42">
        <w:t>u</w:t>
      </w:r>
    </w:p>
    <w:p w14:paraId="41F28BB1" w14:textId="213270C2" w:rsidR="001328C5" w:rsidRPr="003D64E0" w:rsidRDefault="007B37FC" w:rsidP="00C35EC9">
      <w:pPr>
        <w:spacing w:line="240" w:lineRule="auto"/>
        <w:rPr>
          <w:szCs w:val="22"/>
        </w:rPr>
      </w:pPr>
      <w:r w:rsidRPr="003D64E0">
        <w:t xml:space="preserve">- </w:t>
      </w:r>
      <w:r w:rsidRPr="003D64E0">
        <w:rPr>
          <w:b/>
        </w:rPr>
        <w:t xml:space="preserve">Vitamíny skupiny </w:t>
      </w:r>
      <w:r w:rsidR="005E5061" w:rsidRPr="003D64E0">
        <w:rPr>
          <w:b/>
        </w:rPr>
        <w:t>B:</w:t>
      </w:r>
      <w:r w:rsidR="00C32C42" w:rsidRPr="003D64E0">
        <w:rPr>
          <w:b/>
        </w:rPr>
        <w:t xml:space="preserve"> </w:t>
      </w:r>
      <w:r w:rsidRPr="003D64E0">
        <w:t>môžu zintenzívniť žltú farbu moču</w:t>
      </w:r>
    </w:p>
    <w:p w14:paraId="1990C276" w14:textId="1127E115" w:rsidR="00F61CBA" w:rsidRPr="003D64E0" w:rsidRDefault="00F61CBA" w:rsidP="00C35EC9">
      <w:pPr>
        <w:spacing w:line="240" w:lineRule="auto"/>
        <w:rPr>
          <w:szCs w:val="22"/>
        </w:rPr>
      </w:pPr>
    </w:p>
    <w:p w14:paraId="6180E1BC" w14:textId="77777777" w:rsidR="00DA2774" w:rsidRPr="003D64E0" w:rsidRDefault="00DA2774" w:rsidP="00C35EC9">
      <w:pPr>
        <w:spacing w:line="240" w:lineRule="auto"/>
        <w:rPr>
          <w:b/>
          <w:bCs/>
          <w:i/>
          <w:iCs/>
          <w:szCs w:val="22"/>
        </w:rPr>
      </w:pPr>
      <w:r w:rsidRPr="003D64E0">
        <w:rPr>
          <w:b/>
          <w:i/>
        </w:rPr>
        <w:t>Liečba:</w:t>
      </w:r>
    </w:p>
    <w:p w14:paraId="2860E455" w14:textId="77777777" w:rsidR="00C7061D" w:rsidRPr="003D64E0" w:rsidRDefault="00C7061D" w:rsidP="00C35EC9">
      <w:pPr>
        <w:spacing w:line="240" w:lineRule="auto"/>
        <w:rPr>
          <w:szCs w:val="22"/>
        </w:rPr>
      </w:pPr>
      <w:r w:rsidRPr="003D64E0">
        <w:t>Liečba predávkovania vitamínmi zvyčajne pozostáva z vysadenia príslušného vitamínu a ďalších opatrení v súlade s klinickými indikáciami.</w:t>
      </w:r>
    </w:p>
    <w:p w14:paraId="6FE9C78C" w14:textId="77777777" w:rsidR="00ED3A3C" w:rsidRPr="003D64E0" w:rsidRDefault="00ED3A3C" w:rsidP="00C35EC9">
      <w:pPr>
        <w:spacing w:line="240" w:lineRule="auto"/>
        <w:rPr>
          <w:szCs w:val="22"/>
        </w:rPr>
      </w:pPr>
    </w:p>
    <w:p w14:paraId="09421083" w14:textId="271C74FB" w:rsidR="00AF4A49" w:rsidRPr="003D64E0" w:rsidRDefault="00AF4A49">
      <w:pPr>
        <w:spacing w:line="240" w:lineRule="auto"/>
        <w:rPr>
          <w:bCs/>
          <w:iCs/>
          <w:caps/>
          <w:noProof/>
        </w:rPr>
      </w:pPr>
    </w:p>
    <w:p w14:paraId="28244E19" w14:textId="6E8BEE4E" w:rsidR="00DA2774" w:rsidRPr="003D64E0" w:rsidRDefault="00DA2774" w:rsidP="00C35EC9">
      <w:pPr>
        <w:pStyle w:val="Nadpis1"/>
        <w:spacing w:before="0" w:line="240" w:lineRule="auto"/>
      </w:pPr>
      <w:r w:rsidRPr="003D64E0">
        <w:t>5.</w:t>
      </w:r>
      <w:r w:rsidRPr="003D64E0">
        <w:tab/>
        <w:t>Farmakologické vlastnosti</w:t>
      </w:r>
    </w:p>
    <w:p w14:paraId="6C61BC30" w14:textId="77777777" w:rsidR="00ED3A3C" w:rsidRPr="003D64E0" w:rsidRDefault="00ED3A3C" w:rsidP="00ED3A3C"/>
    <w:p w14:paraId="13D4D7EC" w14:textId="53F5720C" w:rsidR="00DA2774" w:rsidRPr="003D64E0" w:rsidRDefault="00DA2774" w:rsidP="00C35EC9">
      <w:pPr>
        <w:pStyle w:val="Nadpis2"/>
        <w:spacing w:before="0" w:line="240" w:lineRule="auto"/>
      </w:pPr>
      <w:r w:rsidRPr="003D64E0">
        <w:t>5.1</w:t>
      </w:r>
      <w:r w:rsidRPr="003D64E0">
        <w:tab/>
      </w:r>
      <w:proofErr w:type="spellStart"/>
      <w:r w:rsidRPr="003D64E0">
        <w:t>Farmakodynamické</w:t>
      </w:r>
      <w:proofErr w:type="spellEnd"/>
      <w:r w:rsidRPr="003D64E0">
        <w:t xml:space="preserve"> vlastnosti</w:t>
      </w:r>
    </w:p>
    <w:p w14:paraId="676C2D1B" w14:textId="77777777" w:rsidR="00DA2774" w:rsidRPr="003D64E0" w:rsidRDefault="00DA2774" w:rsidP="00C35EC9">
      <w:pPr>
        <w:spacing w:line="240" w:lineRule="auto"/>
      </w:pPr>
    </w:p>
    <w:p w14:paraId="3C0B63BD" w14:textId="58F757F6" w:rsidR="00DA2774" w:rsidRPr="003D64E0" w:rsidRDefault="00AF7083" w:rsidP="00C35EC9">
      <w:pPr>
        <w:spacing w:line="240" w:lineRule="auto"/>
      </w:pPr>
      <w:proofErr w:type="spellStart"/>
      <w:r w:rsidRPr="003D64E0">
        <w:t>Farmakoterapeutická</w:t>
      </w:r>
      <w:proofErr w:type="spellEnd"/>
      <w:r w:rsidRPr="003D64E0">
        <w:t xml:space="preserve"> skupina: </w:t>
      </w:r>
      <w:r w:rsidR="00DC2D5D">
        <w:t>prídavky do intravenóznych roztokov,</w:t>
      </w:r>
      <w:r w:rsidRPr="003D64E0">
        <w:t xml:space="preserve"> vitamíny</w:t>
      </w:r>
    </w:p>
    <w:p w14:paraId="1BFE17F6" w14:textId="7B871399" w:rsidR="00DA2774" w:rsidRPr="003D64E0" w:rsidRDefault="00AF7083" w:rsidP="00C35EC9">
      <w:pPr>
        <w:spacing w:line="240" w:lineRule="auto"/>
      </w:pPr>
      <w:r w:rsidRPr="003D64E0">
        <w:t>ATC kód: B05XC</w:t>
      </w:r>
    </w:p>
    <w:p w14:paraId="7DEA0B16" w14:textId="23F65E0C" w:rsidR="00DA2774" w:rsidRPr="003D64E0" w:rsidRDefault="00DA2774" w:rsidP="00C35EC9">
      <w:pPr>
        <w:spacing w:line="240" w:lineRule="auto"/>
      </w:pPr>
      <w:r w:rsidRPr="003D64E0">
        <w:t>Vitamíny sú</w:t>
      </w:r>
      <w:r w:rsidR="00D73016" w:rsidRPr="003D64E0">
        <w:t xml:space="preserve"> </w:t>
      </w:r>
      <w:r w:rsidRPr="003D64E0">
        <w:t xml:space="preserve">nenahraditeľnou </w:t>
      </w:r>
      <w:r w:rsidR="0068298C">
        <w:t>zložkou</w:t>
      </w:r>
      <w:r w:rsidRPr="003D64E0">
        <w:t xml:space="preserve"> výživy. Slúžia na</w:t>
      </w:r>
      <w:r w:rsidR="00D73016" w:rsidRPr="003D64E0">
        <w:t xml:space="preserve"> </w:t>
      </w:r>
      <w:r w:rsidRPr="003D64E0">
        <w:t>udržiavanie integrity organizmu a telesných funkcií.</w:t>
      </w:r>
    </w:p>
    <w:p w14:paraId="16B83937" w14:textId="5F52B355" w:rsidR="00DA2774" w:rsidRPr="003D64E0" w:rsidRDefault="00DA2774" w:rsidP="00C35EC9">
      <w:pPr>
        <w:spacing w:line="240" w:lineRule="auto"/>
      </w:pPr>
      <w:proofErr w:type="spellStart"/>
      <w:r w:rsidRPr="003D64E0">
        <w:t>Parenterálne</w:t>
      </w:r>
      <w:proofErr w:type="spellEnd"/>
      <w:r w:rsidRPr="003D64E0">
        <w:t xml:space="preserve"> podávané vitamíny zabraňujú klinickým následkom </w:t>
      </w:r>
      <w:r w:rsidR="0068298C">
        <w:t xml:space="preserve">z </w:t>
      </w:r>
      <w:r w:rsidRPr="003D64E0">
        <w:t>nedostatku vitamínu v situáciách, keď potraviny nemôžu alebo nesmú byť podávané perorálne.</w:t>
      </w:r>
    </w:p>
    <w:p w14:paraId="7C7D67C2" w14:textId="77777777" w:rsidR="00ED3A3C" w:rsidRPr="003D64E0" w:rsidRDefault="00ED3A3C" w:rsidP="00C35EC9">
      <w:pPr>
        <w:spacing w:line="240" w:lineRule="auto"/>
      </w:pPr>
    </w:p>
    <w:p w14:paraId="3477ADF3" w14:textId="5C2AC606" w:rsidR="00DA2774" w:rsidRPr="003D64E0" w:rsidRDefault="00DA2774" w:rsidP="00C35EC9">
      <w:pPr>
        <w:pStyle w:val="Nadpis2"/>
        <w:spacing w:before="0" w:line="240" w:lineRule="auto"/>
      </w:pPr>
      <w:r w:rsidRPr="003D64E0">
        <w:t>5.2</w:t>
      </w:r>
      <w:r w:rsidRPr="003D64E0">
        <w:tab/>
      </w:r>
      <w:proofErr w:type="spellStart"/>
      <w:r w:rsidRPr="003D64E0">
        <w:t>Farmakokinetické</w:t>
      </w:r>
      <w:proofErr w:type="spellEnd"/>
      <w:r w:rsidRPr="003D64E0">
        <w:t xml:space="preserve"> vlastnosti</w:t>
      </w:r>
    </w:p>
    <w:p w14:paraId="6E591B3E" w14:textId="77777777" w:rsidR="00DA2774" w:rsidRPr="003D64E0" w:rsidRDefault="00DA2774" w:rsidP="00C35EC9">
      <w:pPr>
        <w:spacing w:line="240" w:lineRule="auto"/>
      </w:pPr>
    </w:p>
    <w:p w14:paraId="6B76FCCD" w14:textId="6CD26314" w:rsidR="00E0748B" w:rsidRPr="003D64E0" w:rsidRDefault="00AF7083" w:rsidP="00C35EC9">
      <w:pPr>
        <w:spacing w:line="240" w:lineRule="auto"/>
        <w:rPr>
          <w:i/>
        </w:rPr>
      </w:pPr>
      <w:r w:rsidRPr="003D64E0">
        <w:rPr>
          <w:i/>
        </w:rPr>
        <w:t>Absorpcia</w:t>
      </w:r>
    </w:p>
    <w:p w14:paraId="4ECD383C" w14:textId="5B932781" w:rsidR="00DA2774" w:rsidRPr="003D64E0" w:rsidRDefault="00AF7083" w:rsidP="00C35EC9">
      <w:pPr>
        <w:spacing w:line="240" w:lineRule="auto"/>
      </w:pPr>
      <w:r w:rsidRPr="003D64E0">
        <w:t>Liečivá obsiahnuté v tomto lieku sú</w:t>
      </w:r>
      <w:r w:rsidR="00D73016" w:rsidRPr="003D64E0">
        <w:t xml:space="preserve"> </w:t>
      </w:r>
      <w:r w:rsidRPr="003D64E0">
        <w:t>fyziologickými zložkami organizmu a</w:t>
      </w:r>
      <w:r w:rsidR="00D73016" w:rsidRPr="003D64E0">
        <w:t> </w:t>
      </w:r>
      <w:r w:rsidRPr="003D64E0">
        <w:t>sú</w:t>
      </w:r>
      <w:r w:rsidR="00D73016" w:rsidRPr="003D64E0">
        <w:t xml:space="preserve"> </w:t>
      </w:r>
      <w:r w:rsidRPr="003D64E0">
        <w:t>100 % biologicky dostupné v dôsledku podávania intravenóznou cestou.</w:t>
      </w:r>
    </w:p>
    <w:p w14:paraId="3F382336" w14:textId="77777777" w:rsidR="00532D88" w:rsidRPr="003D64E0" w:rsidRDefault="00532D88" w:rsidP="00C35EC9">
      <w:pPr>
        <w:spacing w:line="240" w:lineRule="auto"/>
      </w:pPr>
    </w:p>
    <w:p w14:paraId="67ABA3E2" w14:textId="55215487" w:rsidR="00007C07" w:rsidRPr="003D64E0" w:rsidRDefault="00AF7083" w:rsidP="00C35EC9">
      <w:pPr>
        <w:spacing w:line="240" w:lineRule="auto"/>
        <w:rPr>
          <w:i/>
        </w:rPr>
      </w:pPr>
      <w:r w:rsidRPr="003D64E0">
        <w:rPr>
          <w:i/>
        </w:rPr>
        <w:t>Distribúcia a metabolizmus</w:t>
      </w:r>
    </w:p>
    <w:p w14:paraId="3EBB0A11" w14:textId="5AEC9436" w:rsidR="00DA2774" w:rsidRPr="003D64E0" w:rsidRDefault="00CF3384" w:rsidP="00C35EC9">
      <w:pPr>
        <w:spacing w:line="240" w:lineRule="auto"/>
      </w:pPr>
      <w:r w:rsidRPr="003D64E0">
        <w:t>Vitamíny sa</w:t>
      </w:r>
      <w:r w:rsidR="00D73016" w:rsidRPr="003D64E0">
        <w:t xml:space="preserve"> </w:t>
      </w:r>
      <w:r w:rsidRPr="003D64E0">
        <w:t>distribuujú v </w:t>
      </w:r>
      <w:r w:rsidR="00C73557">
        <w:t>tele</w:t>
      </w:r>
      <w:r w:rsidRPr="003D64E0">
        <w:t xml:space="preserve"> rovnakým spôsobom ako vitamíny </w:t>
      </w:r>
      <w:r w:rsidR="00C73557">
        <w:t>prijaté</w:t>
      </w:r>
      <w:r w:rsidRPr="003D64E0">
        <w:t> jedl</w:t>
      </w:r>
      <w:r w:rsidR="00D73016" w:rsidRPr="003D64E0">
        <w:t>om</w:t>
      </w:r>
      <w:r w:rsidRPr="003D64E0">
        <w:t xml:space="preserve"> konzumovaným perorálne. To</w:t>
      </w:r>
      <w:r w:rsidR="00D73016" w:rsidRPr="003D64E0">
        <w:t xml:space="preserve"> </w:t>
      </w:r>
      <w:r w:rsidRPr="003D64E0">
        <w:t>isté platí aj</w:t>
      </w:r>
      <w:r w:rsidR="00D73016" w:rsidRPr="003D64E0">
        <w:t xml:space="preserve"> </w:t>
      </w:r>
      <w:r w:rsidRPr="003D64E0">
        <w:t>pre všetky metabolické procesy.</w:t>
      </w:r>
    </w:p>
    <w:p w14:paraId="287DF669" w14:textId="77777777" w:rsidR="00B14165" w:rsidRPr="003D64E0" w:rsidRDefault="00B14165" w:rsidP="00C35EC9">
      <w:pPr>
        <w:spacing w:line="240" w:lineRule="auto"/>
      </w:pPr>
    </w:p>
    <w:p w14:paraId="0362D185" w14:textId="40FEBEAC" w:rsidR="00007C07" w:rsidRPr="003D64E0" w:rsidRDefault="00C73557" w:rsidP="00C35EC9">
      <w:pPr>
        <w:spacing w:line="240" w:lineRule="auto"/>
        <w:rPr>
          <w:i/>
        </w:rPr>
      </w:pPr>
      <w:r>
        <w:rPr>
          <w:i/>
        </w:rPr>
        <w:lastRenderedPageBreak/>
        <w:t>Eliminácia</w:t>
      </w:r>
    </w:p>
    <w:p w14:paraId="5B07D845" w14:textId="10E8474B" w:rsidR="001328C5" w:rsidRPr="003D64E0" w:rsidRDefault="000B3614" w:rsidP="00C35EC9">
      <w:pPr>
        <w:pStyle w:val="Nadpis2"/>
        <w:spacing w:before="0" w:line="240" w:lineRule="auto"/>
        <w:ind w:left="0" w:firstLine="0"/>
        <w:rPr>
          <w:b w:val="0"/>
          <w:color w:val="000000"/>
          <w:szCs w:val="22"/>
        </w:rPr>
      </w:pPr>
      <w:r w:rsidRPr="003D64E0">
        <w:rPr>
          <w:b w:val="0"/>
          <w:color w:val="000000"/>
        </w:rPr>
        <w:t>Vitamíny rozpustné v tukoch sa</w:t>
      </w:r>
      <w:r w:rsidR="00D73016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primárne ukladajú v pečeni a tukovom tkanive. S výnimkou vitamínu</w:t>
      </w:r>
      <w:r w:rsidR="00D73016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K</w:t>
      </w:r>
      <w:r w:rsidR="00D73016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sa</w:t>
      </w:r>
      <w:r w:rsidR="00D73016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 xml:space="preserve">vitamíny rozpustné v tukoch všeobecne </w:t>
      </w:r>
      <w:r w:rsidR="00C73557">
        <w:rPr>
          <w:b w:val="0"/>
          <w:color w:val="000000"/>
        </w:rPr>
        <w:t>eliminujú</w:t>
      </w:r>
      <w:r w:rsidRPr="003D64E0">
        <w:rPr>
          <w:b w:val="0"/>
          <w:color w:val="000000"/>
        </w:rPr>
        <w:t xml:space="preserve"> pomalšie ako vitamíny rozpustné vo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vode a</w:t>
      </w:r>
      <w:r w:rsidR="00B43508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vitamíny</w:t>
      </w:r>
      <w:r w:rsidR="00B43508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A</w:t>
      </w:r>
      <w:r w:rsidR="00B43508" w:rsidRPr="003D64E0">
        <w:rPr>
          <w:b w:val="0"/>
          <w:color w:val="000000"/>
        </w:rPr>
        <w:t xml:space="preserve"> </w:t>
      </w:r>
      <w:proofErr w:type="spellStart"/>
      <w:r w:rsidRPr="003D64E0">
        <w:rPr>
          <w:b w:val="0"/>
          <w:color w:val="000000"/>
        </w:rPr>
        <w:t>a</w:t>
      </w:r>
      <w:proofErr w:type="spellEnd"/>
      <w:r w:rsidR="00B43508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D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sa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 xml:space="preserve">môžu hromadiť a spôsobiť toxické účinky v tele. </w:t>
      </w:r>
      <w:r w:rsidRPr="003D64E0">
        <w:rPr>
          <w:b w:val="0"/>
        </w:rPr>
        <w:t>Vitamín</w:t>
      </w:r>
      <w:r w:rsidR="00B43508" w:rsidRPr="003D64E0">
        <w:rPr>
          <w:b w:val="0"/>
        </w:rPr>
        <w:t> </w:t>
      </w:r>
      <w:r w:rsidRPr="003D64E0">
        <w:rPr>
          <w:b w:val="0"/>
        </w:rPr>
        <w:t>K</w:t>
      </w:r>
      <w:r w:rsidR="00B43508" w:rsidRPr="003D64E0">
        <w:rPr>
          <w:b w:val="0"/>
        </w:rPr>
        <w:t xml:space="preserve"> </w:t>
      </w:r>
      <w:r w:rsidRPr="003D64E0">
        <w:rPr>
          <w:b w:val="0"/>
        </w:rPr>
        <w:t>sa</w:t>
      </w:r>
      <w:r w:rsidR="00B43508" w:rsidRPr="003D64E0">
        <w:rPr>
          <w:b w:val="0"/>
        </w:rPr>
        <w:t xml:space="preserve"> </w:t>
      </w:r>
      <w:r w:rsidRPr="003D64E0">
        <w:rPr>
          <w:b w:val="0"/>
        </w:rPr>
        <w:t>hromadí hlavne v pečeni, ale ukladá sa</w:t>
      </w:r>
      <w:r w:rsidR="00B43508" w:rsidRPr="003D64E0">
        <w:rPr>
          <w:b w:val="0"/>
        </w:rPr>
        <w:t xml:space="preserve"> </w:t>
      </w:r>
      <w:r w:rsidRPr="003D64E0">
        <w:rPr>
          <w:b w:val="0"/>
        </w:rPr>
        <w:t xml:space="preserve">v tele len krátkodobo. </w:t>
      </w:r>
      <w:r w:rsidRPr="003D64E0">
        <w:rPr>
          <w:b w:val="0"/>
          <w:color w:val="000000"/>
        </w:rPr>
        <w:t>Vitamíny rozpustné vo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vode, ako napríklad vitamín</w:t>
      </w:r>
      <w:r w:rsidR="00B43508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C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a</w:t>
      </w:r>
      <w:r w:rsidR="00B43508" w:rsidRPr="003D64E0">
        <w:rPr>
          <w:b w:val="0"/>
          <w:color w:val="000000"/>
        </w:rPr>
        <w:t> </w:t>
      </w:r>
      <w:r w:rsidRPr="003D64E0">
        <w:rPr>
          <w:b w:val="0"/>
          <w:color w:val="000000"/>
        </w:rPr>
        <w:t>vitamíny</w:t>
      </w:r>
      <w:r w:rsidR="00B43508" w:rsidRPr="003D64E0">
        <w:rPr>
          <w:b w:val="0"/>
          <w:color w:val="000000"/>
        </w:rPr>
        <w:t> </w:t>
      </w:r>
      <w:r w:rsidR="00C73557">
        <w:rPr>
          <w:b w:val="0"/>
          <w:color w:val="000000"/>
        </w:rPr>
        <w:t xml:space="preserve">skupiny </w:t>
      </w:r>
      <w:r w:rsidR="00B43508" w:rsidRPr="003D64E0">
        <w:rPr>
          <w:b w:val="0"/>
          <w:color w:val="000000"/>
        </w:rPr>
        <w:t>B</w:t>
      </w:r>
      <w:r w:rsidRPr="003D64E0">
        <w:rPr>
          <w:b w:val="0"/>
          <w:color w:val="000000"/>
        </w:rPr>
        <w:t>,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sa</w:t>
      </w:r>
      <w:r w:rsidR="00B43508" w:rsidRPr="003D64E0">
        <w:rPr>
          <w:b w:val="0"/>
          <w:color w:val="000000"/>
        </w:rPr>
        <w:t xml:space="preserve"> </w:t>
      </w:r>
      <w:r w:rsidRPr="003D64E0">
        <w:rPr>
          <w:b w:val="0"/>
          <w:color w:val="000000"/>
        </w:rPr>
        <w:t>ukladajú v tele iba krátkodobo a následne sa</w:t>
      </w:r>
      <w:r w:rsidR="00B43508" w:rsidRPr="003D64E0">
        <w:rPr>
          <w:b w:val="0"/>
          <w:color w:val="000000"/>
        </w:rPr>
        <w:t xml:space="preserve"> </w:t>
      </w:r>
      <w:r w:rsidR="00C73557">
        <w:rPr>
          <w:b w:val="0"/>
          <w:color w:val="000000"/>
        </w:rPr>
        <w:t>eliminujú</w:t>
      </w:r>
      <w:r w:rsidRPr="003D64E0">
        <w:rPr>
          <w:b w:val="0"/>
          <w:color w:val="000000"/>
        </w:rPr>
        <w:t xml:space="preserve"> močom.</w:t>
      </w:r>
    </w:p>
    <w:p w14:paraId="72027416" w14:textId="77777777" w:rsidR="00ED3A3C" w:rsidRPr="003D64E0" w:rsidRDefault="00ED3A3C" w:rsidP="00ED3A3C"/>
    <w:p w14:paraId="5B24E407" w14:textId="69391134" w:rsidR="00DA2774" w:rsidRPr="003D64E0" w:rsidRDefault="00DA2774" w:rsidP="00C35EC9">
      <w:pPr>
        <w:pStyle w:val="Nadpis2"/>
        <w:spacing w:before="0" w:line="240" w:lineRule="auto"/>
      </w:pPr>
      <w:r w:rsidRPr="003D64E0">
        <w:t>5.3</w:t>
      </w:r>
      <w:r w:rsidRPr="003D64E0">
        <w:tab/>
        <w:t>Predklinické údaje o bezpečnosti</w:t>
      </w:r>
    </w:p>
    <w:p w14:paraId="314CC240" w14:textId="77777777" w:rsidR="00DA2774" w:rsidRPr="003D64E0" w:rsidRDefault="00DA2774" w:rsidP="00C35EC9">
      <w:pPr>
        <w:spacing w:line="240" w:lineRule="auto"/>
      </w:pPr>
    </w:p>
    <w:p w14:paraId="68C4F128" w14:textId="530FD205" w:rsidR="00DA2774" w:rsidRPr="003D64E0" w:rsidRDefault="00AF7083" w:rsidP="00C35EC9">
      <w:pPr>
        <w:spacing w:line="240" w:lineRule="auto"/>
      </w:pPr>
      <w:r w:rsidRPr="003D64E0">
        <w:t>Účinky v predklinických štúdiách sa</w:t>
      </w:r>
      <w:r w:rsidR="00B43508" w:rsidRPr="003D64E0">
        <w:t xml:space="preserve"> </w:t>
      </w:r>
      <w:r w:rsidRPr="003D64E0">
        <w:t>pozorovali iba pri expozíciách považovaných za</w:t>
      </w:r>
      <w:r w:rsidR="00B43508" w:rsidRPr="003D64E0">
        <w:t xml:space="preserve"> </w:t>
      </w:r>
      <w:r w:rsidRPr="003D64E0">
        <w:t>dostatočne vyššie, ako je</w:t>
      </w:r>
      <w:r w:rsidR="00B43508" w:rsidRPr="003D64E0">
        <w:t xml:space="preserve"> </w:t>
      </w:r>
      <w:r w:rsidRPr="003D64E0">
        <w:t>maximálna expozícia u ľudí, čo</w:t>
      </w:r>
      <w:r w:rsidR="00B43508" w:rsidRPr="003D64E0">
        <w:t xml:space="preserve"> </w:t>
      </w:r>
      <w:r w:rsidRPr="003D64E0">
        <w:t>poukazuje na</w:t>
      </w:r>
      <w:r w:rsidR="00B43508" w:rsidRPr="003D64E0">
        <w:t xml:space="preserve"> </w:t>
      </w:r>
      <w:r w:rsidRPr="003D64E0">
        <w:t>malý význam týchto zistení pre klinické použitie. Podrobnosti sú</w:t>
      </w:r>
      <w:r w:rsidR="00B43508" w:rsidRPr="003D64E0">
        <w:t xml:space="preserve"> </w:t>
      </w:r>
      <w:r w:rsidRPr="003D64E0">
        <w:t>uvedené nižšie:</w:t>
      </w:r>
    </w:p>
    <w:p w14:paraId="6664788D" w14:textId="77777777" w:rsidR="00DA2774" w:rsidRPr="003D64E0" w:rsidRDefault="00DA2774" w:rsidP="00C35EC9">
      <w:pPr>
        <w:spacing w:line="240" w:lineRule="auto"/>
      </w:pPr>
    </w:p>
    <w:p w14:paraId="37719E14" w14:textId="7627806D" w:rsidR="00DA2774" w:rsidRPr="003D64E0" w:rsidRDefault="00DA2774" w:rsidP="00C35EC9">
      <w:pPr>
        <w:spacing w:line="240" w:lineRule="auto"/>
      </w:pPr>
      <w:r w:rsidRPr="003D64E0">
        <w:t>a)</w:t>
      </w:r>
      <w:r w:rsidR="003D64E0">
        <w:t xml:space="preserve"> </w:t>
      </w:r>
      <w:r w:rsidRPr="003D64E0">
        <w:t>Toxicita</w:t>
      </w:r>
    </w:p>
    <w:p w14:paraId="1CCA2B7A" w14:textId="116D30D3" w:rsidR="00DD4AF6" w:rsidRPr="003D64E0" w:rsidRDefault="00DD4AF6" w:rsidP="00C35EC9">
      <w:pPr>
        <w:spacing w:line="240" w:lineRule="auto"/>
      </w:pPr>
      <w:r w:rsidRPr="003D64E0">
        <w:t>Toxicita liečiv po</w:t>
      </w:r>
      <w:r w:rsidR="00B43508" w:rsidRPr="003D64E0">
        <w:t xml:space="preserve"> </w:t>
      </w:r>
      <w:r w:rsidRPr="003D64E0">
        <w:t>jedn</w:t>
      </w:r>
      <w:r w:rsidR="00B43508" w:rsidRPr="003D64E0">
        <w:t>orazovej</w:t>
      </w:r>
      <w:r w:rsidRPr="003D64E0">
        <w:t xml:space="preserve"> dávke a opakovaných dávkach je</w:t>
      </w:r>
      <w:r w:rsidR="00B43508" w:rsidRPr="003D64E0">
        <w:t xml:space="preserve"> </w:t>
      </w:r>
      <w:r w:rsidRPr="003D64E0">
        <w:t>veľmi nízka. Dostupné údaje nenaznačujú žiadne potenciálne riziko pre ľudí.</w:t>
      </w:r>
    </w:p>
    <w:p w14:paraId="12F2A25E" w14:textId="77777777" w:rsidR="006F532F" w:rsidRPr="003D64E0" w:rsidRDefault="006F532F" w:rsidP="00C35EC9">
      <w:pPr>
        <w:spacing w:line="240" w:lineRule="auto"/>
      </w:pPr>
    </w:p>
    <w:p w14:paraId="014BA8B9" w14:textId="3A03B7D4" w:rsidR="00DA2774" w:rsidRPr="003D64E0" w:rsidRDefault="003D64E0" w:rsidP="00C35EC9">
      <w:pPr>
        <w:spacing w:line="240" w:lineRule="auto"/>
      </w:pPr>
      <w:r>
        <w:t xml:space="preserve">b) </w:t>
      </w:r>
      <w:r w:rsidR="00DD4AF6" w:rsidRPr="003D64E0">
        <w:t xml:space="preserve">Mutagénny alebo </w:t>
      </w:r>
      <w:r w:rsidR="007E5868">
        <w:t>karcinogénny</w:t>
      </w:r>
      <w:r w:rsidR="00DD4AF6" w:rsidRPr="003D64E0">
        <w:t xml:space="preserve"> potenciál</w:t>
      </w:r>
    </w:p>
    <w:p w14:paraId="4E947A01" w14:textId="3BB0009B" w:rsidR="00DA2774" w:rsidRPr="003D64E0" w:rsidRDefault="00DA2774" w:rsidP="00C35EC9">
      <w:pPr>
        <w:spacing w:line="240" w:lineRule="auto"/>
      </w:pPr>
      <w:r w:rsidRPr="003D64E0">
        <w:t>Nie sú</w:t>
      </w:r>
      <w:r w:rsidR="00B43508" w:rsidRPr="003D64E0">
        <w:t xml:space="preserve"> </w:t>
      </w:r>
      <w:r w:rsidRPr="003D64E0">
        <w:t>dostupné žiadne predklinické štúdie týkajúce sa</w:t>
      </w:r>
      <w:r w:rsidR="00B43508" w:rsidRPr="003D64E0">
        <w:t xml:space="preserve"> </w:t>
      </w:r>
      <w:r w:rsidRPr="003D64E0">
        <w:t xml:space="preserve">mutagénneho alebo </w:t>
      </w:r>
      <w:r w:rsidR="007E5868">
        <w:t xml:space="preserve">karcinogénneho </w:t>
      </w:r>
      <w:r w:rsidRPr="003D64E0">
        <w:t xml:space="preserve">potenciálu lieku </w:t>
      </w:r>
      <w:proofErr w:type="spellStart"/>
      <w:r w:rsidRPr="003D64E0">
        <w:t>Viant</w:t>
      </w:r>
      <w:proofErr w:type="spellEnd"/>
      <w:r w:rsidRPr="003D64E0">
        <w:t>.</w:t>
      </w:r>
    </w:p>
    <w:p w14:paraId="31194611" w14:textId="7308F9E3" w:rsidR="00DD4AF6" w:rsidRPr="003D64E0" w:rsidRDefault="00DD4AF6" w:rsidP="00C35EC9">
      <w:pPr>
        <w:spacing w:line="240" w:lineRule="auto"/>
      </w:pPr>
      <w:r w:rsidRPr="003D64E0">
        <w:t>Mutagénne a karcinogénne účinky liečiv sa</w:t>
      </w:r>
      <w:r w:rsidR="00B43508" w:rsidRPr="003D64E0">
        <w:t xml:space="preserve"> </w:t>
      </w:r>
      <w:r w:rsidRPr="003D64E0">
        <w:t>v podmienkach klinického používania neočakávajú.</w:t>
      </w:r>
    </w:p>
    <w:p w14:paraId="31A1C6FA" w14:textId="77777777" w:rsidR="00DD4AF6" w:rsidRPr="003D64E0" w:rsidRDefault="00DD4AF6" w:rsidP="00C35EC9">
      <w:pPr>
        <w:spacing w:line="240" w:lineRule="auto"/>
      </w:pPr>
    </w:p>
    <w:p w14:paraId="5150C773" w14:textId="27938A8A" w:rsidR="001328C5" w:rsidRPr="003D64E0" w:rsidRDefault="003D64E0" w:rsidP="00C35EC9">
      <w:pPr>
        <w:spacing w:line="240" w:lineRule="auto"/>
      </w:pPr>
      <w:r>
        <w:t xml:space="preserve">c) </w:t>
      </w:r>
      <w:proofErr w:type="spellStart"/>
      <w:r w:rsidR="00DD4AF6" w:rsidRPr="003D64E0">
        <w:t>Teratog</w:t>
      </w:r>
      <w:r w:rsidR="00B43508" w:rsidRPr="003D64E0">
        <w:t>enita</w:t>
      </w:r>
      <w:proofErr w:type="spellEnd"/>
    </w:p>
    <w:p w14:paraId="623C4B69" w14:textId="2447127F" w:rsidR="001328C5" w:rsidRPr="003D64E0" w:rsidRDefault="00DD4AF6" w:rsidP="00C35EC9">
      <w:pPr>
        <w:spacing w:line="240" w:lineRule="auto"/>
      </w:pPr>
      <w:r w:rsidRPr="003D64E0">
        <w:t>Nie sú</w:t>
      </w:r>
      <w:r w:rsidR="00B43508" w:rsidRPr="003D64E0">
        <w:t xml:space="preserve"> </w:t>
      </w:r>
      <w:r w:rsidRPr="003D64E0">
        <w:t>dostupné žiadne štúdie týkajúce sa</w:t>
      </w:r>
      <w:r w:rsidR="00B43508" w:rsidRPr="003D64E0">
        <w:t xml:space="preserve"> </w:t>
      </w:r>
      <w:r w:rsidRPr="003D64E0">
        <w:t xml:space="preserve">reprodukčnej a vývojovej toxicity lieku </w:t>
      </w:r>
      <w:proofErr w:type="spellStart"/>
      <w:r w:rsidRPr="003D64E0">
        <w:t>Viant</w:t>
      </w:r>
      <w:proofErr w:type="spellEnd"/>
      <w:r w:rsidRPr="003D64E0">
        <w:t>.</w:t>
      </w:r>
    </w:p>
    <w:p w14:paraId="50342D82" w14:textId="11FC763D" w:rsidR="001328C5" w:rsidRPr="003D64E0" w:rsidRDefault="00DD4AF6" w:rsidP="00C35EC9">
      <w:pPr>
        <w:spacing w:line="240" w:lineRule="auto"/>
      </w:pPr>
      <w:r w:rsidRPr="003D64E0">
        <w:t>V štúdiách testujúcich vysoké dávky jednotlivých vitamínov bol</w:t>
      </w:r>
      <w:r w:rsidR="00B43508" w:rsidRPr="003D64E0">
        <w:t>i</w:t>
      </w:r>
      <w:r w:rsidRPr="003D64E0">
        <w:t xml:space="preserve"> hlásen</w:t>
      </w:r>
      <w:r w:rsidR="00B43508" w:rsidRPr="003D64E0">
        <w:t>é</w:t>
      </w:r>
      <w:r w:rsidRPr="003D64E0">
        <w:t xml:space="preserve"> zmen</w:t>
      </w:r>
      <w:r w:rsidR="00B43508" w:rsidRPr="003D64E0">
        <w:t>y</w:t>
      </w:r>
      <w:r w:rsidRPr="003D64E0">
        <w:t xml:space="preserve"> vývoj</w:t>
      </w:r>
      <w:r w:rsidR="00B43508" w:rsidRPr="003D64E0">
        <w:t>a</w:t>
      </w:r>
      <w:r w:rsidRPr="003D64E0">
        <w:t xml:space="preserve"> plodu.</w:t>
      </w:r>
    </w:p>
    <w:p w14:paraId="22ED9FC3" w14:textId="3E25EE4F" w:rsidR="006F532F" w:rsidRPr="003D64E0" w:rsidRDefault="006F532F" w:rsidP="00C35EC9">
      <w:pPr>
        <w:spacing w:line="240" w:lineRule="auto"/>
      </w:pPr>
    </w:p>
    <w:p w14:paraId="1116B311" w14:textId="6D0AF014" w:rsidR="00DA2774" w:rsidRPr="003D64E0" w:rsidRDefault="003D64E0" w:rsidP="00C35EC9">
      <w:pPr>
        <w:spacing w:line="240" w:lineRule="auto"/>
      </w:pPr>
      <w:r>
        <w:t xml:space="preserve">d) </w:t>
      </w:r>
      <w:r w:rsidR="00DD4AF6" w:rsidRPr="003D64E0">
        <w:t>Reprodukčná toxicita</w:t>
      </w:r>
    </w:p>
    <w:p w14:paraId="51C5290E" w14:textId="3DADF05E" w:rsidR="001328C5" w:rsidRPr="003D64E0" w:rsidRDefault="00DA2774" w:rsidP="00C35EC9">
      <w:pPr>
        <w:spacing w:line="240" w:lineRule="auto"/>
      </w:pPr>
      <w:r w:rsidRPr="003D64E0">
        <w:t xml:space="preserve">Štúdie </w:t>
      </w:r>
      <w:proofErr w:type="spellStart"/>
      <w:r w:rsidRPr="003D64E0">
        <w:t>embryotoxicity</w:t>
      </w:r>
      <w:proofErr w:type="spellEnd"/>
      <w:r w:rsidRPr="003D64E0">
        <w:t xml:space="preserve"> lieku </w:t>
      </w:r>
      <w:proofErr w:type="spellStart"/>
      <w:r w:rsidRPr="003D64E0">
        <w:t>Viant</w:t>
      </w:r>
      <w:proofErr w:type="spellEnd"/>
      <w:r w:rsidRPr="003D64E0">
        <w:t xml:space="preserve"> </w:t>
      </w:r>
      <w:r w:rsidR="00B43508" w:rsidRPr="003D64E0">
        <w:t xml:space="preserve">sa </w:t>
      </w:r>
      <w:r w:rsidRPr="003D64E0">
        <w:t>nevykona</w:t>
      </w:r>
      <w:r w:rsidR="00B43508" w:rsidRPr="003D64E0">
        <w:t>li</w:t>
      </w:r>
      <w:r w:rsidRPr="003D64E0">
        <w:t>.</w:t>
      </w:r>
    </w:p>
    <w:p w14:paraId="051788AF" w14:textId="6A1403D0" w:rsidR="001328C5" w:rsidRPr="003D64E0" w:rsidRDefault="00B43508" w:rsidP="00C35EC9">
      <w:pPr>
        <w:spacing w:line="240" w:lineRule="auto"/>
      </w:pPr>
      <w:r w:rsidRPr="003D64E0">
        <w:t>S</w:t>
      </w:r>
      <w:r w:rsidR="00DA2774" w:rsidRPr="003D64E0">
        <w:t>kúma</w:t>
      </w:r>
      <w:r w:rsidRPr="003D64E0">
        <w:t>la</w:t>
      </w:r>
      <w:r w:rsidR="00DA2774" w:rsidRPr="003D64E0">
        <w:t xml:space="preserve"> </w:t>
      </w:r>
      <w:r w:rsidRPr="003D64E0">
        <w:t xml:space="preserve">sa </w:t>
      </w:r>
      <w:proofErr w:type="spellStart"/>
      <w:r w:rsidR="002465DF">
        <w:t>matrix</w:t>
      </w:r>
      <w:proofErr w:type="spellEnd"/>
      <w:r w:rsidR="00DA2774" w:rsidRPr="003D64E0">
        <w:t xml:space="preserve"> – tzv. zmiešané </w:t>
      </w:r>
      <w:proofErr w:type="spellStart"/>
      <w:r w:rsidR="00DA2774" w:rsidRPr="003D64E0">
        <w:t>micely</w:t>
      </w:r>
      <w:proofErr w:type="spellEnd"/>
      <w:r w:rsidR="00DA2774" w:rsidRPr="003D64E0">
        <w:t xml:space="preserve"> (kyselina </w:t>
      </w:r>
      <w:proofErr w:type="spellStart"/>
      <w:r w:rsidR="00DA2774" w:rsidRPr="003D64E0">
        <w:t>glykocholová</w:t>
      </w:r>
      <w:proofErr w:type="spellEnd"/>
      <w:r w:rsidR="00DA2774" w:rsidRPr="003D64E0">
        <w:t xml:space="preserve"> + lecitín).</w:t>
      </w:r>
    </w:p>
    <w:p w14:paraId="55409A52" w14:textId="2CA50424" w:rsidR="00DA2774" w:rsidRPr="003D64E0" w:rsidRDefault="00DA2774" w:rsidP="00C35EC9">
      <w:pPr>
        <w:spacing w:line="240" w:lineRule="auto"/>
      </w:pPr>
      <w:r w:rsidRPr="003D64E0">
        <w:t xml:space="preserve">Štúdie </w:t>
      </w:r>
      <w:proofErr w:type="spellStart"/>
      <w:r w:rsidRPr="003D64E0">
        <w:t>embryotoxicity</w:t>
      </w:r>
      <w:proofErr w:type="spellEnd"/>
      <w:r w:rsidRPr="003D64E0">
        <w:t xml:space="preserve"> </w:t>
      </w:r>
      <w:r w:rsidR="00B56522">
        <w:t>na</w:t>
      </w:r>
      <w:r w:rsidRPr="003D64E0">
        <w:t> potkano</w:t>
      </w:r>
      <w:r w:rsidR="00B56522">
        <w:t>ch</w:t>
      </w:r>
      <w:r w:rsidRPr="003D64E0">
        <w:t xml:space="preserve"> a králiko</w:t>
      </w:r>
      <w:r w:rsidR="00B56522">
        <w:t>ch</w:t>
      </w:r>
      <w:r w:rsidRPr="003D64E0">
        <w:t xml:space="preserve"> neviedli k žiadnym výsledkom, ktoré by</w:t>
      </w:r>
      <w:r w:rsidR="00B43508" w:rsidRPr="003D64E0">
        <w:t xml:space="preserve"> </w:t>
      </w:r>
      <w:r w:rsidRPr="003D64E0">
        <w:t xml:space="preserve">naznačovali </w:t>
      </w:r>
      <w:proofErr w:type="spellStart"/>
      <w:r w:rsidRPr="003D64E0">
        <w:t>teratog</w:t>
      </w:r>
      <w:r w:rsidR="00B43508" w:rsidRPr="003D64E0">
        <w:t>enitu</w:t>
      </w:r>
      <w:proofErr w:type="spellEnd"/>
      <w:r w:rsidRPr="003D64E0">
        <w:t>.</w:t>
      </w:r>
    </w:p>
    <w:p w14:paraId="2A6D176E" w14:textId="71C5DBDB" w:rsidR="00DA2774" w:rsidRPr="003D64E0" w:rsidRDefault="00D7660A" w:rsidP="00C35EC9">
      <w:pPr>
        <w:spacing w:line="240" w:lineRule="auto"/>
      </w:pPr>
      <w:r>
        <w:t>U</w:t>
      </w:r>
      <w:r w:rsidR="00DA2774" w:rsidRPr="003D64E0">
        <w:t xml:space="preserve"> králikov </w:t>
      </w:r>
      <w:r>
        <w:t xml:space="preserve">viedol </w:t>
      </w:r>
      <w:r w:rsidRPr="003D64E0">
        <w:t>10</w:t>
      </w:r>
      <w:r w:rsidRPr="003D64E0">
        <w:noBreakHyphen/>
        <w:t xml:space="preserve">násobok terapeutickej dávky </w:t>
      </w:r>
      <w:r w:rsidR="00DA2774" w:rsidRPr="003D64E0">
        <w:t>k spontánnym potratom. Podávanie približne 10</w:t>
      </w:r>
      <w:r w:rsidR="00B43508" w:rsidRPr="003D64E0">
        <w:noBreakHyphen/>
      </w:r>
      <w:r w:rsidR="00DA2774" w:rsidRPr="003D64E0">
        <w:t xml:space="preserve"> až</w:t>
      </w:r>
      <w:r w:rsidR="00B43508" w:rsidRPr="003D64E0">
        <w:t xml:space="preserve"> </w:t>
      </w:r>
      <w:r w:rsidR="00DA2774" w:rsidRPr="003D64E0">
        <w:t>20</w:t>
      </w:r>
      <w:r w:rsidR="00B43508" w:rsidRPr="003D64E0">
        <w:noBreakHyphen/>
      </w:r>
      <w:r w:rsidR="00DA2774" w:rsidRPr="003D64E0">
        <w:t xml:space="preserve">násobku terapeutickej dávky potkanom počas </w:t>
      </w:r>
      <w:proofErr w:type="spellStart"/>
      <w:r w:rsidR="00DA2774" w:rsidRPr="003D64E0">
        <w:t>peri</w:t>
      </w:r>
      <w:r>
        <w:t>natálneho</w:t>
      </w:r>
      <w:proofErr w:type="spellEnd"/>
      <w:r w:rsidR="00DA2774" w:rsidRPr="003D64E0">
        <w:t xml:space="preserve"> a </w:t>
      </w:r>
      <w:proofErr w:type="spellStart"/>
      <w:r w:rsidR="00DA2774" w:rsidRPr="003D64E0">
        <w:t>postnatálneho</w:t>
      </w:r>
      <w:proofErr w:type="spellEnd"/>
      <w:r w:rsidR="00DA2774" w:rsidRPr="003D64E0">
        <w:t xml:space="preserve"> obdobia viedlo k zvýšenej mortalite potomstva.</w:t>
      </w:r>
    </w:p>
    <w:p w14:paraId="632C5E82" w14:textId="77777777" w:rsidR="00ED3A3C" w:rsidRPr="003D64E0" w:rsidRDefault="00ED3A3C" w:rsidP="00C35EC9">
      <w:pPr>
        <w:spacing w:line="240" w:lineRule="auto"/>
      </w:pPr>
    </w:p>
    <w:p w14:paraId="38329E6F" w14:textId="77777777" w:rsidR="00ED3A3C" w:rsidRPr="003D64E0" w:rsidRDefault="00ED3A3C" w:rsidP="00C35EC9">
      <w:pPr>
        <w:spacing w:line="240" w:lineRule="auto"/>
      </w:pPr>
    </w:p>
    <w:p w14:paraId="3628900F" w14:textId="77777777" w:rsidR="00DA2774" w:rsidRPr="003D64E0" w:rsidRDefault="00DA2774" w:rsidP="00C35EC9">
      <w:pPr>
        <w:pStyle w:val="Nadpis1"/>
        <w:spacing w:before="0" w:line="240" w:lineRule="auto"/>
      </w:pPr>
      <w:r w:rsidRPr="003D64E0">
        <w:t>6.</w:t>
      </w:r>
      <w:r w:rsidRPr="003D64E0">
        <w:tab/>
        <w:t>Farmaceutické informácie</w:t>
      </w:r>
    </w:p>
    <w:p w14:paraId="08F4CFCF" w14:textId="77777777" w:rsidR="00ED3A3C" w:rsidRPr="003D64E0" w:rsidRDefault="00ED3A3C" w:rsidP="00ED3A3C"/>
    <w:p w14:paraId="4D2B52A9" w14:textId="6EDD2F7A" w:rsidR="00DA2774" w:rsidRPr="003D64E0" w:rsidRDefault="00DA2774" w:rsidP="00C35EC9">
      <w:pPr>
        <w:pStyle w:val="Nadpis2"/>
        <w:spacing w:before="0" w:line="240" w:lineRule="auto"/>
      </w:pPr>
      <w:r w:rsidRPr="003D64E0">
        <w:t>6.1</w:t>
      </w:r>
      <w:r w:rsidRPr="003D64E0">
        <w:tab/>
        <w:t>Zoznam pomocných látok</w:t>
      </w:r>
    </w:p>
    <w:p w14:paraId="120EF49D" w14:textId="77777777" w:rsidR="00DA2774" w:rsidRPr="003D64E0" w:rsidRDefault="00DA2774" w:rsidP="00C35EC9">
      <w:pPr>
        <w:spacing w:line="240" w:lineRule="auto"/>
      </w:pPr>
    </w:p>
    <w:p w14:paraId="1476BA17" w14:textId="3D013C6E" w:rsidR="001328C5" w:rsidRPr="003D64E0" w:rsidRDefault="00B43508" w:rsidP="00C35EC9">
      <w:pPr>
        <w:spacing w:line="240" w:lineRule="auto"/>
      </w:pPr>
      <w:proofErr w:type="spellStart"/>
      <w:r w:rsidRPr="003D64E0">
        <w:t>g</w:t>
      </w:r>
      <w:r w:rsidR="00DA2774" w:rsidRPr="003D64E0">
        <w:t>lycín</w:t>
      </w:r>
      <w:proofErr w:type="spellEnd"/>
    </w:p>
    <w:p w14:paraId="49E7BB9F" w14:textId="61AFF2E9" w:rsidR="009C0F8E" w:rsidRPr="003D64E0" w:rsidRDefault="00B43508" w:rsidP="00C35EC9">
      <w:pPr>
        <w:spacing w:line="240" w:lineRule="auto"/>
      </w:pPr>
      <w:r w:rsidRPr="003D64E0">
        <w:t>k</w:t>
      </w:r>
      <w:r w:rsidR="009C0F8E" w:rsidRPr="003D64E0">
        <w:t>yselina chlorovodíková (na</w:t>
      </w:r>
      <w:r w:rsidRPr="003D64E0">
        <w:t xml:space="preserve"> </w:t>
      </w:r>
      <w:r w:rsidR="009C0F8E" w:rsidRPr="003D64E0">
        <w:t>úpravu pH)</w:t>
      </w:r>
    </w:p>
    <w:p w14:paraId="5514EC69" w14:textId="4E9067F4" w:rsidR="001328C5" w:rsidRPr="00240D4A" w:rsidRDefault="00B43508" w:rsidP="00C35EC9">
      <w:pPr>
        <w:spacing w:line="240" w:lineRule="auto"/>
      </w:pPr>
      <w:proofErr w:type="spellStart"/>
      <w:r w:rsidRPr="00240D4A">
        <w:t>g</w:t>
      </w:r>
      <w:r w:rsidR="00AF7083" w:rsidRPr="00240D4A">
        <w:t>lykochol</w:t>
      </w:r>
      <w:r w:rsidR="00240D4A">
        <w:t>an</w:t>
      </w:r>
      <w:proofErr w:type="spellEnd"/>
      <w:r w:rsidR="00AF7083" w:rsidRPr="00240D4A">
        <w:t xml:space="preserve"> sodný</w:t>
      </w:r>
    </w:p>
    <w:p w14:paraId="08336D03" w14:textId="3DC76A06" w:rsidR="001328C5" w:rsidRPr="003D64E0" w:rsidRDefault="00B43508" w:rsidP="00C35EC9">
      <w:pPr>
        <w:spacing w:line="240" w:lineRule="auto"/>
      </w:pPr>
      <w:r w:rsidRPr="00240D4A">
        <w:t>s</w:t>
      </w:r>
      <w:r w:rsidR="00750341" w:rsidRPr="00240D4A">
        <w:t xml:space="preserve">ójový </w:t>
      </w:r>
      <w:proofErr w:type="spellStart"/>
      <w:r w:rsidR="00750341" w:rsidRPr="00240D4A">
        <w:t>fosfatidylcholín</w:t>
      </w:r>
      <w:proofErr w:type="spellEnd"/>
    </w:p>
    <w:p w14:paraId="2187D8C5" w14:textId="49AE5382" w:rsidR="00DA2774" w:rsidRPr="003D64E0" w:rsidRDefault="00B43508" w:rsidP="00C35EC9">
      <w:pPr>
        <w:spacing w:line="240" w:lineRule="auto"/>
      </w:pPr>
      <w:r w:rsidRPr="003D64E0">
        <w:t>h</w:t>
      </w:r>
      <w:r w:rsidR="00AF7083" w:rsidRPr="003D64E0">
        <w:t>ydroxid sodný (na</w:t>
      </w:r>
      <w:r w:rsidRPr="003D64E0">
        <w:t xml:space="preserve"> </w:t>
      </w:r>
      <w:r w:rsidR="00AF7083" w:rsidRPr="003D64E0">
        <w:t>úpravu pH)</w:t>
      </w:r>
    </w:p>
    <w:p w14:paraId="7393C1D3" w14:textId="77777777" w:rsidR="00DA2774" w:rsidRPr="003D64E0" w:rsidRDefault="00DA2774" w:rsidP="00C35EC9">
      <w:pPr>
        <w:spacing w:line="240" w:lineRule="auto"/>
      </w:pPr>
    </w:p>
    <w:p w14:paraId="067FA7B4" w14:textId="7113D75B" w:rsidR="00DA2774" w:rsidRPr="003D64E0" w:rsidRDefault="00DA2774" w:rsidP="00C35EC9">
      <w:pPr>
        <w:pStyle w:val="Nadpis2"/>
        <w:spacing w:before="0" w:line="240" w:lineRule="auto"/>
      </w:pPr>
      <w:r w:rsidRPr="003D64E0">
        <w:t>6.2</w:t>
      </w:r>
      <w:r w:rsidRPr="003D64E0">
        <w:tab/>
        <w:t>Inkompatibility</w:t>
      </w:r>
    </w:p>
    <w:p w14:paraId="6A51552B" w14:textId="77777777" w:rsidR="00DA2774" w:rsidRPr="003D64E0" w:rsidRDefault="00DA2774" w:rsidP="00C35EC9">
      <w:pPr>
        <w:spacing w:line="240" w:lineRule="auto"/>
      </w:pPr>
    </w:p>
    <w:p w14:paraId="1F8916C7" w14:textId="7788125A" w:rsidR="001328C5" w:rsidRPr="003D64E0" w:rsidRDefault="006D6CFB" w:rsidP="00C35EC9">
      <w:pPr>
        <w:spacing w:line="240" w:lineRule="auto"/>
      </w:pPr>
      <w:r w:rsidRPr="003D64E0">
        <w:t>Tento liek sa</w:t>
      </w:r>
      <w:r w:rsidR="00B43508" w:rsidRPr="003D64E0">
        <w:t xml:space="preserve"> </w:t>
      </w:r>
      <w:r w:rsidRPr="003D64E0">
        <w:t>nesmie miešať s inými liekmi, ak</w:t>
      </w:r>
      <w:r w:rsidR="00B43508" w:rsidRPr="003D64E0">
        <w:t xml:space="preserve"> </w:t>
      </w:r>
      <w:r w:rsidRPr="003D64E0">
        <w:t>sa</w:t>
      </w:r>
      <w:r w:rsidR="00B43508" w:rsidRPr="003D64E0">
        <w:t xml:space="preserve"> </w:t>
      </w:r>
      <w:r w:rsidRPr="003D64E0">
        <w:t>nepreukázal</w:t>
      </w:r>
      <w:r w:rsidR="00B43508" w:rsidRPr="003D64E0">
        <w:t>i</w:t>
      </w:r>
      <w:r w:rsidRPr="003D64E0">
        <w:t xml:space="preserve"> kompatibilita a stabilita. Pre </w:t>
      </w:r>
      <w:r w:rsidR="00E537FD">
        <w:t>viac</w:t>
      </w:r>
      <w:r w:rsidRPr="003D64E0">
        <w:t xml:space="preserve"> informáci</w:t>
      </w:r>
      <w:r w:rsidR="00E537FD">
        <w:t>í</w:t>
      </w:r>
      <w:r w:rsidRPr="003D64E0">
        <w:t xml:space="preserve">, pozri </w:t>
      </w:r>
      <w:r w:rsidR="005E5061" w:rsidRPr="003D64E0">
        <w:t>časť </w:t>
      </w:r>
      <w:r w:rsidRPr="003D64E0">
        <w:t>6.6.</w:t>
      </w:r>
    </w:p>
    <w:p w14:paraId="5B33C8DA" w14:textId="77777777" w:rsidR="004663BD" w:rsidRDefault="004663BD" w:rsidP="00143B08">
      <w:pPr>
        <w:spacing w:line="240" w:lineRule="auto"/>
      </w:pPr>
    </w:p>
    <w:p w14:paraId="6A01F213" w14:textId="7E882A89" w:rsidR="00143B08" w:rsidRPr="003D64E0" w:rsidRDefault="00143B08" w:rsidP="00143B08">
      <w:pPr>
        <w:spacing w:line="240" w:lineRule="auto"/>
      </w:pPr>
      <w:r w:rsidRPr="003D64E0">
        <w:t xml:space="preserve">Ak je potrebné súbežné podávanie liekov, ktoré sú inkompatibilné s liekom </w:t>
      </w:r>
      <w:proofErr w:type="spellStart"/>
      <w:r w:rsidRPr="003D64E0">
        <w:t>Viant</w:t>
      </w:r>
      <w:proofErr w:type="spellEnd"/>
      <w:r w:rsidRPr="003D64E0">
        <w:t>, majú sa podávať cez samostatný intravenózny prístup.</w:t>
      </w:r>
    </w:p>
    <w:p w14:paraId="67B0A3C8" w14:textId="77777777" w:rsidR="00143B08" w:rsidRPr="003D64E0" w:rsidRDefault="00143B08" w:rsidP="00143B08">
      <w:pPr>
        <w:spacing w:line="240" w:lineRule="auto"/>
      </w:pPr>
    </w:p>
    <w:p w14:paraId="53A81BA3" w14:textId="06D30129" w:rsidR="006613C3" w:rsidRPr="003D64E0" w:rsidRDefault="00D73016" w:rsidP="00C35EC9">
      <w:pPr>
        <w:spacing w:line="240" w:lineRule="auto"/>
      </w:pPr>
      <w:proofErr w:type="spellStart"/>
      <w:r w:rsidRPr="003D64E0">
        <w:t>Aditíva</w:t>
      </w:r>
      <w:proofErr w:type="spellEnd"/>
      <w:r w:rsidR="006613C3" w:rsidRPr="003D64E0">
        <w:t xml:space="preserve"> môžu byť inkompatibilné s </w:t>
      </w:r>
      <w:proofErr w:type="spellStart"/>
      <w:r w:rsidR="006613C3" w:rsidRPr="003D64E0">
        <w:t>parenterálnou</w:t>
      </w:r>
      <w:proofErr w:type="spellEnd"/>
      <w:r w:rsidR="006613C3" w:rsidRPr="003D64E0">
        <w:t xml:space="preserve"> výživou obsahujúcou </w:t>
      </w:r>
      <w:proofErr w:type="spellStart"/>
      <w:r w:rsidR="006613C3" w:rsidRPr="003D64E0">
        <w:t>Viant</w:t>
      </w:r>
      <w:proofErr w:type="spellEnd"/>
      <w:r w:rsidR="006613C3" w:rsidRPr="003D64E0">
        <w:t>.</w:t>
      </w:r>
    </w:p>
    <w:p w14:paraId="6493F783" w14:textId="77777777" w:rsidR="006613C3" w:rsidRPr="003D64E0" w:rsidRDefault="006613C3" w:rsidP="00C35EC9">
      <w:pPr>
        <w:spacing w:line="240" w:lineRule="auto"/>
      </w:pPr>
    </w:p>
    <w:p w14:paraId="1B8B5334" w14:textId="5DCDD7F1" w:rsidR="006613C3" w:rsidRPr="003D64E0" w:rsidRDefault="006613C3" w:rsidP="00C35EC9">
      <w:pPr>
        <w:spacing w:line="240" w:lineRule="auto"/>
      </w:pPr>
      <w:r w:rsidRPr="003D64E0">
        <w:lastRenderedPageBreak/>
        <w:t>Vitamín</w:t>
      </w:r>
      <w:r w:rsidR="00B43508" w:rsidRPr="003D64E0">
        <w:t> </w:t>
      </w:r>
      <w:r w:rsidRPr="003D64E0">
        <w:t>A</w:t>
      </w:r>
      <w:r w:rsidR="00B43508" w:rsidRPr="003D64E0">
        <w:t xml:space="preserve"> </w:t>
      </w:r>
      <w:proofErr w:type="spellStart"/>
      <w:r w:rsidRPr="003D64E0">
        <w:t>a</w:t>
      </w:r>
      <w:proofErr w:type="spellEnd"/>
      <w:r w:rsidRPr="003D64E0">
        <w:t> </w:t>
      </w:r>
      <w:proofErr w:type="spellStart"/>
      <w:r w:rsidRPr="003D64E0">
        <w:t>tiamín</w:t>
      </w:r>
      <w:proofErr w:type="spellEnd"/>
      <w:r w:rsidRPr="003D64E0">
        <w:t xml:space="preserve"> obsiahnuté v lieku </w:t>
      </w:r>
      <w:proofErr w:type="spellStart"/>
      <w:r w:rsidRPr="003D64E0">
        <w:t>Viant</w:t>
      </w:r>
      <w:proofErr w:type="spellEnd"/>
      <w:r w:rsidRPr="003D64E0">
        <w:t xml:space="preserve"> môžu reagovať s </w:t>
      </w:r>
      <w:proofErr w:type="spellStart"/>
      <w:r w:rsidR="000F7985">
        <w:t>disiričitanmi</w:t>
      </w:r>
      <w:proofErr w:type="spellEnd"/>
      <w:r w:rsidRPr="003D64E0">
        <w:t xml:space="preserve"> v</w:t>
      </w:r>
      <w:r w:rsidR="000F7985">
        <w:t xml:space="preserve"> roztokoch na </w:t>
      </w:r>
      <w:proofErr w:type="spellStart"/>
      <w:r w:rsidR="000F7985">
        <w:t>parenterálnu</w:t>
      </w:r>
      <w:proofErr w:type="spellEnd"/>
      <w:r w:rsidR="000F7985">
        <w:t xml:space="preserve"> výživu</w:t>
      </w:r>
      <w:r w:rsidRPr="003D64E0">
        <w:t xml:space="preserve"> (napr</w:t>
      </w:r>
      <w:r w:rsidR="00B43508" w:rsidRPr="003D64E0">
        <w:t>.</w:t>
      </w:r>
      <w:r w:rsidRPr="003D64E0">
        <w:t xml:space="preserve"> </w:t>
      </w:r>
      <w:r w:rsidR="000F7985">
        <w:t>ako</w:t>
      </w:r>
      <w:r w:rsidRPr="003D64E0">
        <w:t> dôsled</w:t>
      </w:r>
      <w:r w:rsidR="000F7985">
        <w:t>o</w:t>
      </w:r>
      <w:r w:rsidRPr="003D64E0">
        <w:t>k pr</w:t>
      </w:r>
      <w:r w:rsidR="000F7985">
        <w:t>imiešania</w:t>
      </w:r>
      <w:r w:rsidR="00240D4A">
        <w:t xml:space="preserve"> prímesí</w:t>
      </w:r>
      <w:r w:rsidRPr="003D64E0">
        <w:t>), čo</w:t>
      </w:r>
      <w:r w:rsidR="00B43508" w:rsidRPr="003D64E0">
        <w:t xml:space="preserve"> </w:t>
      </w:r>
      <w:r w:rsidRPr="003D64E0">
        <w:t>vedie k degradácii vitamínu</w:t>
      </w:r>
      <w:r w:rsidR="00B43508" w:rsidRPr="003D64E0">
        <w:t> </w:t>
      </w:r>
      <w:r w:rsidRPr="003D64E0">
        <w:t>A</w:t>
      </w:r>
      <w:r w:rsidR="00B43508" w:rsidRPr="003D64E0">
        <w:t xml:space="preserve"> </w:t>
      </w:r>
      <w:proofErr w:type="spellStart"/>
      <w:r w:rsidRPr="003D64E0">
        <w:t>a</w:t>
      </w:r>
      <w:proofErr w:type="spellEnd"/>
      <w:r w:rsidRPr="003D64E0">
        <w:t> </w:t>
      </w:r>
      <w:proofErr w:type="spellStart"/>
      <w:r w:rsidRPr="003D64E0">
        <w:t>tiamínu</w:t>
      </w:r>
      <w:proofErr w:type="spellEnd"/>
      <w:r w:rsidRPr="003D64E0">
        <w:t>.</w:t>
      </w:r>
    </w:p>
    <w:p w14:paraId="4B03B9F9" w14:textId="77777777" w:rsidR="006613C3" w:rsidRPr="003D64E0" w:rsidRDefault="006613C3" w:rsidP="00C35EC9">
      <w:pPr>
        <w:spacing w:line="240" w:lineRule="auto"/>
      </w:pPr>
    </w:p>
    <w:p w14:paraId="69025541" w14:textId="0ADFEB3A" w:rsidR="006613C3" w:rsidRPr="003D64E0" w:rsidRDefault="006613C3" w:rsidP="00C35EC9">
      <w:pPr>
        <w:spacing w:line="240" w:lineRule="auto"/>
      </w:pPr>
      <w:r w:rsidRPr="003D64E0">
        <w:t>Zvýšenie pH</w:t>
      </w:r>
      <w:r w:rsidR="00B43508" w:rsidRPr="003D64E0">
        <w:t xml:space="preserve"> </w:t>
      </w:r>
      <w:r w:rsidRPr="003D64E0">
        <w:t>roztoku môže zvýšiť degradáciu niektorých vitamínov. To</w:t>
      </w:r>
      <w:r w:rsidR="00B43508" w:rsidRPr="003D64E0">
        <w:t xml:space="preserve"> </w:t>
      </w:r>
      <w:r w:rsidRPr="003D64E0">
        <w:t>treba zvážiť pri pridávaní alkalických roztokov do</w:t>
      </w:r>
      <w:r w:rsidR="00B43508" w:rsidRPr="003D64E0">
        <w:t xml:space="preserve"> zmesi</w:t>
      </w:r>
      <w:r w:rsidRPr="003D64E0">
        <w:t xml:space="preserve"> obsahujúcej </w:t>
      </w:r>
      <w:proofErr w:type="spellStart"/>
      <w:r w:rsidRPr="003D64E0">
        <w:t>Viant</w:t>
      </w:r>
      <w:proofErr w:type="spellEnd"/>
      <w:r w:rsidRPr="003D64E0">
        <w:t>.</w:t>
      </w:r>
    </w:p>
    <w:p w14:paraId="198D899D" w14:textId="77777777" w:rsidR="00D15C86" w:rsidRPr="003D64E0" w:rsidRDefault="00D15C86" w:rsidP="00C35EC9">
      <w:pPr>
        <w:spacing w:line="240" w:lineRule="auto"/>
      </w:pPr>
    </w:p>
    <w:p w14:paraId="65E50E32" w14:textId="2449504A" w:rsidR="00D15C86" w:rsidRPr="003D64E0" w:rsidRDefault="00D15C86" w:rsidP="00C35EC9">
      <w:pPr>
        <w:spacing w:line="240" w:lineRule="auto"/>
      </w:pPr>
      <w:r w:rsidRPr="003D64E0">
        <w:t>Pri zvýšených koncentráciách vápnika v </w:t>
      </w:r>
      <w:r w:rsidR="00B43508" w:rsidRPr="003D64E0">
        <w:t>z</w:t>
      </w:r>
      <w:r w:rsidRPr="003D64E0">
        <w:t>mesi môže dôjsť k zníženiu stability kyseliny listovej.</w:t>
      </w:r>
    </w:p>
    <w:p w14:paraId="232275B6" w14:textId="77777777" w:rsidR="006D6CFB" w:rsidRPr="003D64E0" w:rsidRDefault="006D6CFB" w:rsidP="00C35EC9">
      <w:pPr>
        <w:spacing w:line="240" w:lineRule="auto"/>
      </w:pPr>
    </w:p>
    <w:p w14:paraId="1F5E7CEB" w14:textId="46B06732" w:rsidR="00DA2774" w:rsidRPr="003D64E0" w:rsidRDefault="00DA2774" w:rsidP="00C35EC9">
      <w:pPr>
        <w:pStyle w:val="Nadpis2"/>
        <w:spacing w:before="0" w:line="240" w:lineRule="auto"/>
      </w:pPr>
      <w:r w:rsidRPr="003D64E0">
        <w:t>6.3</w:t>
      </w:r>
      <w:r w:rsidRPr="003D64E0">
        <w:tab/>
        <w:t>Čas použiteľnosti</w:t>
      </w:r>
    </w:p>
    <w:p w14:paraId="32D4F69E" w14:textId="77777777" w:rsidR="00ED3A3C" w:rsidRPr="003D64E0" w:rsidRDefault="00ED3A3C" w:rsidP="00ED3A3C"/>
    <w:p w14:paraId="06EAF44E" w14:textId="77777777" w:rsidR="00DA2774" w:rsidRPr="003D64E0" w:rsidRDefault="00AE2EE0" w:rsidP="00C35EC9">
      <w:pPr>
        <w:numPr>
          <w:ilvl w:val="0"/>
          <w:numId w:val="37"/>
        </w:numPr>
        <w:tabs>
          <w:tab w:val="clear" w:pos="2138"/>
          <w:tab w:val="num" w:pos="567"/>
        </w:tabs>
        <w:spacing w:line="240" w:lineRule="auto"/>
        <w:ind w:left="567" w:hanging="567"/>
        <w:rPr>
          <w:i/>
          <w:iCs/>
        </w:rPr>
      </w:pPr>
      <w:r w:rsidRPr="003D64E0">
        <w:rPr>
          <w:i/>
        </w:rPr>
        <w:t>neotvorený obal</w:t>
      </w:r>
    </w:p>
    <w:p w14:paraId="2E8DC7F6" w14:textId="0D532815" w:rsidR="001328C5" w:rsidRPr="003D64E0" w:rsidRDefault="00AF7083" w:rsidP="00C35EC9">
      <w:pPr>
        <w:spacing w:line="240" w:lineRule="auto"/>
        <w:ind w:left="567"/>
      </w:pPr>
      <w:r w:rsidRPr="003D64E0">
        <w:t>2 roky</w:t>
      </w:r>
    </w:p>
    <w:p w14:paraId="0AE47278" w14:textId="3CE2323C" w:rsidR="001328C5" w:rsidRPr="003D64E0" w:rsidRDefault="00DA2774" w:rsidP="00C35EC9">
      <w:pPr>
        <w:numPr>
          <w:ilvl w:val="0"/>
          <w:numId w:val="37"/>
        </w:numPr>
        <w:tabs>
          <w:tab w:val="clear" w:pos="2138"/>
          <w:tab w:val="num" w:pos="567"/>
        </w:tabs>
        <w:spacing w:line="240" w:lineRule="auto"/>
        <w:ind w:left="567" w:hanging="567"/>
        <w:rPr>
          <w:i/>
          <w:iCs/>
        </w:rPr>
      </w:pPr>
      <w:r w:rsidRPr="003D64E0">
        <w:rPr>
          <w:i/>
        </w:rPr>
        <w:t>po rekonštitúcii a</w:t>
      </w:r>
      <w:r w:rsidR="004052AC">
        <w:rPr>
          <w:i/>
        </w:rPr>
        <w:t> </w:t>
      </w:r>
      <w:r w:rsidRPr="003D64E0">
        <w:rPr>
          <w:i/>
        </w:rPr>
        <w:t>riedení</w:t>
      </w:r>
    </w:p>
    <w:p w14:paraId="3A55EF05" w14:textId="4CAE0109" w:rsidR="00DA2774" w:rsidRPr="003D64E0" w:rsidRDefault="004052AC" w:rsidP="00C35EC9">
      <w:pPr>
        <w:spacing w:line="240" w:lineRule="auto"/>
        <w:ind w:left="567"/>
      </w:pPr>
      <w:r w:rsidRPr="00B85886">
        <w:rPr>
          <w:szCs w:val="22"/>
          <w:lang w:bidi="ar-SA"/>
        </w:rPr>
        <w:t>Rekonštituovaný a riedený liek</w:t>
      </w:r>
      <w:r w:rsidR="0072489E" w:rsidRPr="003D64E0">
        <w:t xml:space="preserve"> sa má použiť ihneď.</w:t>
      </w:r>
    </w:p>
    <w:p w14:paraId="2F05CAA4" w14:textId="77777777" w:rsidR="00ED3A3C" w:rsidRPr="003D64E0" w:rsidRDefault="00ED3A3C" w:rsidP="00ED3A3C">
      <w:pPr>
        <w:spacing w:line="240" w:lineRule="auto"/>
      </w:pPr>
    </w:p>
    <w:p w14:paraId="0DBF6A30" w14:textId="29D0FD3E" w:rsidR="00DA2774" w:rsidRPr="003D64E0" w:rsidRDefault="00DA2774" w:rsidP="00C35EC9">
      <w:pPr>
        <w:pStyle w:val="Nadpis2"/>
        <w:spacing w:before="0" w:line="240" w:lineRule="auto"/>
      </w:pPr>
      <w:r w:rsidRPr="003D64E0">
        <w:t>6.4</w:t>
      </w:r>
      <w:r w:rsidRPr="003D64E0">
        <w:tab/>
        <w:t>Špeciálne upozornenia na uchovávanie</w:t>
      </w:r>
    </w:p>
    <w:p w14:paraId="03596D5C" w14:textId="77777777" w:rsidR="00DA2774" w:rsidRPr="003D64E0" w:rsidRDefault="00DA2774" w:rsidP="00C35EC9">
      <w:pPr>
        <w:spacing w:line="240" w:lineRule="auto"/>
      </w:pPr>
    </w:p>
    <w:p w14:paraId="18C5258F" w14:textId="4FF28DA5" w:rsidR="00DA2774" w:rsidRPr="003D64E0" w:rsidRDefault="00AF7083" w:rsidP="00C35EC9">
      <w:pPr>
        <w:spacing w:line="240" w:lineRule="auto"/>
      </w:pPr>
      <w:r w:rsidRPr="003D64E0">
        <w:t>Uchovávajte v chladničke (2 °C </w:t>
      </w:r>
      <w:r w:rsidR="00E46C16" w:rsidRPr="003D64E0">
        <w:noBreakHyphen/>
      </w:r>
      <w:r w:rsidRPr="003D64E0">
        <w:t> 8 °C). Pri izbovej teplote (neprevyšujúcej 25 °C)</w:t>
      </w:r>
      <w:r w:rsidR="00B43508" w:rsidRPr="003D64E0">
        <w:t xml:space="preserve"> </w:t>
      </w:r>
      <w:r w:rsidRPr="003D64E0">
        <w:t>exspiruje po</w:t>
      </w:r>
      <w:r w:rsidR="00B43508" w:rsidRPr="003D64E0">
        <w:t xml:space="preserve"> </w:t>
      </w:r>
      <w:r w:rsidRPr="003D64E0">
        <w:t>3 mesiacoch.</w:t>
      </w:r>
    </w:p>
    <w:p w14:paraId="0C3BB4BF" w14:textId="77777777" w:rsidR="00ED3A3C" w:rsidRPr="003D64E0" w:rsidRDefault="00ED3A3C" w:rsidP="00C35EC9">
      <w:pPr>
        <w:spacing w:line="240" w:lineRule="auto"/>
      </w:pPr>
    </w:p>
    <w:p w14:paraId="25D3FF9C" w14:textId="2B5CFC4C" w:rsidR="00DA2774" w:rsidRPr="003D64E0" w:rsidRDefault="00DA2774" w:rsidP="00C35EC9">
      <w:pPr>
        <w:pStyle w:val="Nadpis2"/>
        <w:spacing w:before="0" w:line="240" w:lineRule="auto"/>
      </w:pPr>
      <w:r w:rsidRPr="003D64E0">
        <w:t>6.5</w:t>
      </w:r>
      <w:r w:rsidRPr="003D64E0">
        <w:tab/>
        <w:t>Druh obalu a obsah balenia</w:t>
      </w:r>
    </w:p>
    <w:p w14:paraId="5101D378" w14:textId="77777777" w:rsidR="00DA2774" w:rsidRPr="003D64E0" w:rsidRDefault="00DA2774" w:rsidP="00C35EC9">
      <w:pPr>
        <w:spacing w:line="240" w:lineRule="auto"/>
      </w:pPr>
    </w:p>
    <w:p w14:paraId="4E1A8D97" w14:textId="56C54DB4" w:rsidR="00DA2774" w:rsidRPr="003D64E0" w:rsidRDefault="00AF7083" w:rsidP="00C35EC9">
      <w:pPr>
        <w:spacing w:line="240" w:lineRule="auto"/>
      </w:pPr>
      <w:r w:rsidRPr="003D64E0">
        <w:t>Injekčné liekovky z jantárového skla typu</w:t>
      </w:r>
      <w:r w:rsidR="00B43508" w:rsidRPr="003D64E0">
        <w:t> </w:t>
      </w:r>
      <w:r w:rsidRPr="003D64E0">
        <w:t>I</w:t>
      </w:r>
      <w:r w:rsidR="00B43508" w:rsidRPr="003D64E0">
        <w:t xml:space="preserve"> </w:t>
      </w:r>
      <w:r w:rsidRPr="003D64E0">
        <w:t xml:space="preserve">(Európsky liekopis) </w:t>
      </w:r>
      <w:r w:rsidR="005A2202" w:rsidRPr="003D64E0">
        <w:t>uzavreté</w:t>
      </w:r>
      <w:r w:rsidRPr="003D64E0">
        <w:t xml:space="preserve"> zátkami z</w:t>
      </w:r>
      <w:r w:rsidR="00762C76">
        <w:t> </w:t>
      </w:r>
      <w:proofErr w:type="spellStart"/>
      <w:r w:rsidRPr="003D64E0">
        <w:t>brómbutylov</w:t>
      </w:r>
      <w:r w:rsidR="00762C76">
        <w:t>ej</w:t>
      </w:r>
      <w:proofErr w:type="spellEnd"/>
      <w:r w:rsidR="00762C76">
        <w:t xml:space="preserve"> gumy</w:t>
      </w:r>
      <w:r w:rsidRPr="003D64E0">
        <w:t>, obsah: 932 mg</w:t>
      </w:r>
      <w:r w:rsidR="005A2202" w:rsidRPr="003D64E0">
        <w:t xml:space="preserve"> </w:t>
      </w:r>
      <w:r w:rsidRPr="003D64E0">
        <w:t>suchého prášku.</w:t>
      </w:r>
    </w:p>
    <w:p w14:paraId="6BB6C261" w14:textId="2C029190" w:rsidR="00DA2774" w:rsidRPr="003D64E0" w:rsidRDefault="00DA2774" w:rsidP="00C35EC9">
      <w:pPr>
        <w:spacing w:line="240" w:lineRule="auto"/>
      </w:pPr>
      <w:r w:rsidRPr="003D64E0">
        <w:t>K dispozícii v baleniach s</w:t>
      </w:r>
      <w:r w:rsidR="005A2202" w:rsidRPr="003D64E0">
        <w:t> </w:t>
      </w:r>
      <w:r w:rsidRPr="003D64E0">
        <w:t>5</w:t>
      </w:r>
      <w:r w:rsidR="005A2202" w:rsidRPr="003D64E0">
        <w:t xml:space="preserve"> </w:t>
      </w:r>
      <w:r w:rsidRPr="003D64E0">
        <w:t>a 10 injekčnými liekovkami</w:t>
      </w:r>
      <w:r w:rsidR="00C702B8">
        <w:t>.</w:t>
      </w:r>
    </w:p>
    <w:p w14:paraId="5D4BEBFD" w14:textId="61D36900" w:rsidR="00DA2774" w:rsidRPr="003D64E0" w:rsidRDefault="00AF7083" w:rsidP="00C35EC9">
      <w:pPr>
        <w:spacing w:line="240" w:lineRule="auto"/>
      </w:pPr>
      <w:r w:rsidRPr="003D64E0">
        <w:t>Na</w:t>
      </w:r>
      <w:r w:rsidR="005A2202" w:rsidRPr="003D64E0">
        <w:t xml:space="preserve"> </w:t>
      </w:r>
      <w:r w:rsidRPr="003D64E0">
        <w:t>trh nemusia byť uvedené všetky veľkosti balenia.</w:t>
      </w:r>
    </w:p>
    <w:p w14:paraId="6991BB95" w14:textId="77777777" w:rsidR="00ED3A3C" w:rsidRPr="003D64E0" w:rsidRDefault="00ED3A3C" w:rsidP="00C35EC9">
      <w:pPr>
        <w:spacing w:line="240" w:lineRule="auto"/>
      </w:pPr>
    </w:p>
    <w:p w14:paraId="44A9205A" w14:textId="41A7B63D" w:rsidR="00DA2774" w:rsidRPr="003D64E0" w:rsidRDefault="00DA2774" w:rsidP="00C35EC9">
      <w:pPr>
        <w:pStyle w:val="Nadpis2"/>
        <w:spacing w:before="0" w:line="240" w:lineRule="auto"/>
        <w:ind w:left="0" w:firstLine="0"/>
      </w:pPr>
      <w:r w:rsidRPr="003D64E0">
        <w:t>6.6</w:t>
      </w:r>
      <w:r w:rsidRPr="003D64E0">
        <w:tab/>
        <w:t>Špeciálne opatrenia na likvidáciu a iné zaobchádzanie s liekom</w:t>
      </w:r>
    </w:p>
    <w:p w14:paraId="274AF590" w14:textId="77777777" w:rsidR="00DA2774" w:rsidRPr="003D64E0" w:rsidRDefault="00DA2774" w:rsidP="00C35EC9">
      <w:pPr>
        <w:spacing w:line="240" w:lineRule="auto"/>
      </w:pPr>
    </w:p>
    <w:p w14:paraId="01BB5920" w14:textId="06701EC3" w:rsidR="00DA2774" w:rsidRPr="003D64E0" w:rsidRDefault="00DA2774" w:rsidP="00C35EC9">
      <w:pPr>
        <w:spacing w:line="240" w:lineRule="auto"/>
        <w:rPr>
          <w:b/>
          <w:bCs/>
          <w:i/>
          <w:iCs/>
        </w:rPr>
      </w:pPr>
      <w:r w:rsidRPr="003D64E0">
        <w:rPr>
          <w:b/>
          <w:i/>
        </w:rPr>
        <w:t>Opatrenia na</w:t>
      </w:r>
      <w:r w:rsidR="005A2202" w:rsidRPr="003D64E0">
        <w:rPr>
          <w:b/>
          <w:i/>
        </w:rPr>
        <w:t xml:space="preserve"> </w:t>
      </w:r>
      <w:r w:rsidRPr="003D64E0">
        <w:rPr>
          <w:b/>
          <w:i/>
        </w:rPr>
        <w:t>likvidáciu</w:t>
      </w:r>
    </w:p>
    <w:p w14:paraId="1F4A01A5" w14:textId="697D941A" w:rsidR="00DA2774" w:rsidRPr="003D64E0" w:rsidRDefault="00DA2774" w:rsidP="00C35EC9">
      <w:pPr>
        <w:spacing w:line="240" w:lineRule="auto"/>
      </w:pPr>
      <w:r w:rsidRPr="00FF0BD5">
        <w:t>Všetok nepoužitý liek alebo odpad vzniknutý z lieku sa</w:t>
      </w:r>
      <w:r w:rsidR="005A2202" w:rsidRPr="00FF0BD5">
        <w:t xml:space="preserve"> </w:t>
      </w:r>
      <w:r w:rsidRPr="00FF0BD5">
        <w:t>má</w:t>
      </w:r>
      <w:r w:rsidR="005A2202" w:rsidRPr="00FF0BD5">
        <w:t xml:space="preserve"> </w:t>
      </w:r>
      <w:r w:rsidRPr="00FF0BD5">
        <w:t>zlikvidovať v súlade s národnými požiadavkam</w:t>
      </w:r>
      <w:r w:rsidRPr="00AD0244">
        <w:t>i</w:t>
      </w:r>
      <w:r w:rsidRPr="00BB5105">
        <w:t>.</w:t>
      </w:r>
    </w:p>
    <w:p w14:paraId="752DDABD" w14:textId="77777777" w:rsidR="00DA2774" w:rsidRPr="003D64E0" w:rsidRDefault="00DA2774" w:rsidP="00C35EC9">
      <w:pPr>
        <w:spacing w:line="240" w:lineRule="auto"/>
      </w:pPr>
    </w:p>
    <w:p w14:paraId="7B2D845F" w14:textId="11A7A42E" w:rsidR="00DA2774" w:rsidRPr="003D64E0" w:rsidRDefault="00DA2774" w:rsidP="00C35EC9">
      <w:pPr>
        <w:spacing w:line="240" w:lineRule="auto"/>
        <w:rPr>
          <w:b/>
          <w:bCs/>
          <w:i/>
          <w:iCs/>
        </w:rPr>
      </w:pPr>
      <w:r w:rsidRPr="003D64E0">
        <w:rPr>
          <w:b/>
          <w:i/>
        </w:rPr>
        <w:t>Pokyny na</w:t>
      </w:r>
      <w:r w:rsidR="005A2202" w:rsidRPr="003D64E0">
        <w:rPr>
          <w:b/>
          <w:i/>
        </w:rPr>
        <w:t xml:space="preserve"> </w:t>
      </w:r>
      <w:r w:rsidRPr="003D64E0">
        <w:rPr>
          <w:b/>
          <w:i/>
        </w:rPr>
        <w:t>zaobchádzanie</w:t>
      </w:r>
    </w:p>
    <w:p w14:paraId="495CFAB1" w14:textId="560C5D0A" w:rsidR="001328C5" w:rsidRPr="003D64E0" w:rsidRDefault="00C12AB5" w:rsidP="00C35EC9">
      <w:pPr>
        <w:spacing w:line="240" w:lineRule="auto"/>
        <w:rPr>
          <w:szCs w:val="22"/>
        </w:rPr>
      </w:pPr>
      <w:r w:rsidRPr="003D64E0">
        <w:t>Pri rekonštitúcii a riedení lieku vo</w:t>
      </w:r>
      <w:r w:rsidR="005A2202" w:rsidRPr="003D64E0">
        <w:t xml:space="preserve"> </w:t>
      </w:r>
      <w:r w:rsidRPr="003D64E0">
        <w:t xml:space="preserve">vhodnom </w:t>
      </w:r>
      <w:r w:rsidR="005A2202" w:rsidRPr="003D64E0">
        <w:t xml:space="preserve">infúznom </w:t>
      </w:r>
      <w:r w:rsidRPr="003D64E0">
        <w:t>roztoku/</w:t>
      </w:r>
      <w:r w:rsidR="005A2202" w:rsidRPr="003D64E0">
        <w:t xml:space="preserve">infúznej </w:t>
      </w:r>
      <w:r w:rsidRPr="003D64E0">
        <w:t>emulzii sa</w:t>
      </w:r>
      <w:r w:rsidR="005A2202" w:rsidRPr="003D64E0">
        <w:t xml:space="preserve"> </w:t>
      </w:r>
      <w:r w:rsidRPr="003D64E0">
        <w:t>musia dodržiavať prísne aseptické opatrenia.</w:t>
      </w:r>
    </w:p>
    <w:p w14:paraId="22ED3619" w14:textId="55E57ED2" w:rsidR="007F0257" w:rsidRPr="003D64E0" w:rsidRDefault="00DA2774" w:rsidP="00C35EC9">
      <w:pPr>
        <w:spacing w:line="240" w:lineRule="auto"/>
        <w:rPr>
          <w:szCs w:val="22"/>
        </w:rPr>
      </w:pPr>
      <w:r w:rsidRPr="003D64E0">
        <w:t xml:space="preserve">Obsah injekčnej liekovky </w:t>
      </w:r>
      <w:r w:rsidR="0029799E">
        <w:t>sa má</w:t>
      </w:r>
      <w:r w:rsidRPr="003D64E0">
        <w:t xml:space="preserve"> rozpustiť pridaním 5 ml</w:t>
      </w:r>
      <w:r w:rsidR="005A2202" w:rsidRPr="003D64E0">
        <w:t xml:space="preserve"> </w:t>
      </w:r>
      <w:r w:rsidRPr="003D64E0">
        <w:t>vhodného rozpúšťadla (voda na</w:t>
      </w:r>
      <w:r w:rsidR="005A2202" w:rsidRPr="003D64E0">
        <w:t xml:space="preserve"> </w:t>
      </w:r>
      <w:r w:rsidRPr="003D64E0">
        <w:t>injekci</w:t>
      </w:r>
      <w:r w:rsidR="0029799E">
        <w:t>e</w:t>
      </w:r>
      <w:r w:rsidRPr="003D64E0">
        <w:t xml:space="preserve"> alebo roztok glukózy 50 mg/ml</w:t>
      </w:r>
      <w:r w:rsidR="005A2202" w:rsidRPr="003D64E0">
        <w:t xml:space="preserve"> </w:t>
      </w:r>
      <w:r w:rsidRPr="003D64E0">
        <w:t>alebo chloridu sodného 9 mg/ml) a jemn</w:t>
      </w:r>
      <w:r w:rsidR="0029799E">
        <w:t>e</w:t>
      </w:r>
      <w:r w:rsidRPr="003D64E0">
        <w:t xml:space="preserve"> trepa</w:t>
      </w:r>
      <w:r w:rsidR="0029799E">
        <w:t>ť</w:t>
      </w:r>
      <w:r w:rsidRPr="003D64E0">
        <w:t>, aby sa</w:t>
      </w:r>
      <w:r w:rsidR="005A2202" w:rsidRPr="003D64E0">
        <w:t xml:space="preserve"> </w:t>
      </w:r>
      <w:r w:rsidRPr="003D64E0">
        <w:t xml:space="preserve">rozpustil </w:t>
      </w:r>
      <w:proofErr w:type="spellStart"/>
      <w:r w:rsidRPr="003D64E0">
        <w:t>lyofilizovaný</w:t>
      </w:r>
      <w:proofErr w:type="spellEnd"/>
      <w:r w:rsidRPr="003D64E0">
        <w:t xml:space="preserve"> prášok. Nepoužívajte, pokiaľ nie je</w:t>
      </w:r>
      <w:r w:rsidR="005A2202" w:rsidRPr="003D64E0">
        <w:t xml:space="preserve"> </w:t>
      </w:r>
      <w:r w:rsidRPr="003D64E0">
        <w:t>rekonštituovaný roztok číry a žltooranžový. Rekonštituovaný roztok sa</w:t>
      </w:r>
      <w:r w:rsidR="005A2202" w:rsidRPr="003D64E0">
        <w:t xml:space="preserve"> </w:t>
      </w:r>
      <w:r w:rsidRPr="003D64E0">
        <w:t>musí použiť okamžite.</w:t>
      </w:r>
    </w:p>
    <w:p w14:paraId="510A5BB2" w14:textId="77777777" w:rsidR="007F0257" w:rsidRPr="003D64E0" w:rsidRDefault="007F0257" w:rsidP="00C35EC9">
      <w:pPr>
        <w:spacing w:line="240" w:lineRule="auto"/>
        <w:rPr>
          <w:szCs w:val="22"/>
        </w:rPr>
      </w:pPr>
    </w:p>
    <w:p w14:paraId="131BB8CF" w14:textId="52A17ADD" w:rsidR="001328C5" w:rsidRDefault="00246E6B" w:rsidP="00C35EC9">
      <w:pPr>
        <w:spacing w:line="240" w:lineRule="auto"/>
      </w:pPr>
      <w:r w:rsidRPr="003D64E0">
        <w:t>Prášok musí byť úplne rozpustený pred prenesením do</w:t>
      </w:r>
      <w:r w:rsidR="004052AC">
        <w:t>:</w:t>
      </w:r>
    </w:p>
    <w:p w14:paraId="367350DA" w14:textId="603F15A7" w:rsidR="004052AC" w:rsidRPr="00B85886" w:rsidRDefault="004052AC" w:rsidP="004052AC">
      <w:pPr>
        <w:pStyle w:val="Odsekzoznamu"/>
        <w:numPr>
          <w:ilvl w:val="0"/>
          <w:numId w:val="43"/>
        </w:numPr>
        <w:rPr>
          <w:szCs w:val="22"/>
        </w:rPr>
      </w:pPr>
      <w:r w:rsidRPr="00B85886">
        <w:rPr>
          <w:szCs w:val="22"/>
        </w:rPr>
        <w:t>roztok</w:t>
      </w:r>
      <w:r>
        <w:rPr>
          <w:szCs w:val="22"/>
        </w:rPr>
        <w:t>u</w:t>
      </w:r>
      <w:r w:rsidRPr="00B85886">
        <w:rPr>
          <w:szCs w:val="22"/>
        </w:rPr>
        <w:t xml:space="preserve"> glukózy 50 mg/ml</w:t>
      </w:r>
    </w:p>
    <w:p w14:paraId="00F18FF2" w14:textId="6F2E9FED" w:rsidR="004052AC" w:rsidRPr="00B85886" w:rsidRDefault="004052AC" w:rsidP="004052AC">
      <w:pPr>
        <w:pStyle w:val="Odsekzoznamu"/>
        <w:numPr>
          <w:ilvl w:val="0"/>
          <w:numId w:val="43"/>
        </w:numPr>
        <w:rPr>
          <w:szCs w:val="22"/>
        </w:rPr>
      </w:pPr>
      <w:r w:rsidRPr="00B85886">
        <w:rPr>
          <w:szCs w:val="22"/>
        </w:rPr>
        <w:t>chlorid</w:t>
      </w:r>
      <w:r>
        <w:rPr>
          <w:szCs w:val="22"/>
        </w:rPr>
        <w:t>u</w:t>
      </w:r>
      <w:r w:rsidRPr="00B85886">
        <w:rPr>
          <w:szCs w:val="22"/>
        </w:rPr>
        <w:t xml:space="preserve"> sodn</w:t>
      </w:r>
      <w:r>
        <w:rPr>
          <w:szCs w:val="22"/>
        </w:rPr>
        <w:t>ého</w:t>
      </w:r>
      <w:r w:rsidRPr="00B85886">
        <w:rPr>
          <w:szCs w:val="22"/>
        </w:rPr>
        <w:t xml:space="preserve"> 9 mg/ml</w:t>
      </w:r>
    </w:p>
    <w:p w14:paraId="4E2BD4BC" w14:textId="6ABA3564" w:rsidR="004052AC" w:rsidRPr="00B85886" w:rsidRDefault="004052AC" w:rsidP="004052AC">
      <w:pPr>
        <w:pStyle w:val="Odsekzoznamu"/>
        <w:numPr>
          <w:ilvl w:val="0"/>
          <w:numId w:val="43"/>
        </w:numPr>
        <w:rPr>
          <w:szCs w:val="22"/>
        </w:rPr>
      </w:pPr>
      <w:proofErr w:type="spellStart"/>
      <w:r w:rsidRPr="00B85886">
        <w:rPr>
          <w:szCs w:val="22"/>
        </w:rPr>
        <w:t>lipidov</w:t>
      </w:r>
      <w:r>
        <w:rPr>
          <w:szCs w:val="22"/>
        </w:rPr>
        <w:t>ej</w:t>
      </w:r>
      <w:proofErr w:type="spellEnd"/>
      <w:r w:rsidRPr="00B85886">
        <w:rPr>
          <w:szCs w:val="22"/>
        </w:rPr>
        <w:t xml:space="preserve"> emulzi</w:t>
      </w:r>
      <w:r>
        <w:rPr>
          <w:szCs w:val="22"/>
        </w:rPr>
        <w:t>e</w:t>
      </w:r>
    </w:p>
    <w:p w14:paraId="028D1561" w14:textId="640A0CA6" w:rsidR="004052AC" w:rsidRPr="00B85886" w:rsidRDefault="004052AC" w:rsidP="004052AC">
      <w:pPr>
        <w:pStyle w:val="Odsekzoznamu"/>
        <w:numPr>
          <w:ilvl w:val="0"/>
          <w:numId w:val="43"/>
        </w:numPr>
        <w:rPr>
          <w:szCs w:val="22"/>
        </w:rPr>
      </w:pPr>
      <w:r w:rsidRPr="00B85886">
        <w:rPr>
          <w:szCs w:val="22"/>
        </w:rPr>
        <w:t>binárn</w:t>
      </w:r>
      <w:r>
        <w:rPr>
          <w:szCs w:val="22"/>
        </w:rPr>
        <w:t>ej</w:t>
      </w:r>
      <w:r w:rsidRPr="00B85886">
        <w:rPr>
          <w:szCs w:val="22"/>
        </w:rPr>
        <w:t xml:space="preserve"> </w:t>
      </w:r>
      <w:r w:rsidR="0029799E">
        <w:rPr>
          <w:szCs w:val="22"/>
        </w:rPr>
        <w:t xml:space="preserve">zmesi na </w:t>
      </w:r>
      <w:proofErr w:type="spellStart"/>
      <w:r w:rsidRPr="00B85886">
        <w:rPr>
          <w:szCs w:val="22"/>
        </w:rPr>
        <w:t>parenteráln</w:t>
      </w:r>
      <w:r w:rsidR="0029799E">
        <w:rPr>
          <w:szCs w:val="22"/>
        </w:rPr>
        <w:t>u</w:t>
      </w:r>
      <w:proofErr w:type="spellEnd"/>
      <w:r w:rsidRPr="00B85886">
        <w:rPr>
          <w:szCs w:val="22"/>
        </w:rPr>
        <w:t xml:space="preserve"> výživ</w:t>
      </w:r>
      <w:r w:rsidR="0029799E">
        <w:rPr>
          <w:szCs w:val="22"/>
        </w:rPr>
        <w:t>u</w:t>
      </w:r>
      <w:r w:rsidR="00980F7B">
        <w:rPr>
          <w:szCs w:val="22"/>
        </w:rPr>
        <w:t xml:space="preserve"> </w:t>
      </w:r>
      <w:r w:rsidRPr="00B85886">
        <w:rPr>
          <w:szCs w:val="22"/>
        </w:rPr>
        <w:t>kombin</w:t>
      </w:r>
      <w:r w:rsidR="00980F7B">
        <w:rPr>
          <w:szCs w:val="22"/>
        </w:rPr>
        <w:t>ujúcej</w:t>
      </w:r>
      <w:r w:rsidRPr="00B85886">
        <w:rPr>
          <w:szCs w:val="22"/>
        </w:rPr>
        <w:t xml:space="preserve"> glukóz</w:t>
      </w:r>
      <w:r w:rsidR="00980F7B">
        <w:rPr>
          <w:szCs w:val="22"/>
        </w:rPr>
        <w:t>u</w:t>
      </w:r>
      <w:r w:rsidRPr="00B85886">
        <w:rPr>
          <w:szCs w:val="22"/>
        </w:rPr>
        <w:t>, elektrolyt</w:t>
      </w:r>
      <w:r w:rsidR="00980F7B">
        <w:rPr>
          <w:szCs w:val="22"/>
        </w:rPr>
        <w:t>y</w:t>
      </w:r>
      <w:r w:rsidRPr="00B85886">
        <w:rPr>
          <w:szCs w:val="22"/>
        </w:rPr>
        <w:t xml:space="preserve"> a aminokysel</w:t>
      </w:r>
      <w:r w:rsidR="00980F7B">
        <w:rPr>
          <w:szCs w:val="22"/>
        </w:rPr>
        <w:t>iny</w:t>
      </w:r>
    </w:p>
    <w:p w14:paraId="62281325" w14:textId="1A46D799" w:rsidR="004052AC" w:rsidRPr="008C7455" w:rsidRDefault="004052AC" w:rsidP="004052AC">
      <w:pPr>
        <w:pStyle w:val="Odsekzoznamu"/>
        <w:numPr>
          <w:ilvl w:val="0"/>
          <w:numId w:val="43"/>
        </w:numPr>
        <w:spacing w:line="240" w:lineRule="auto"/>
        <w:rPr>
          <w:szCs w:val="22"/>
        </w:rPr>
      </w:pPr>
      <w:r w:rsidRPr="008C7455">
        <w:rPr>
          <w:szCs w:val="22"/>
        </w:rPr>
        <w:t xml:space="preserve">alebo </w:t>
      </w:r>
      <w:proofErr w:type="spellStart"/>
      <w:r w:rsidRPr="008C7455">
        <w:rPr>
          <w:szCs w:val="22"/>
        </w:rPr>
        <w:t>ternárnej</w:t>
      </w:r>
      <w:proofErr w:type="spellEnd"/>
      <w:r w:rsidRPr="008C7455">
        <w:rPr>
          <w:szCs w:val="22"/>
        </w:rPr>
        <w:t xml:space="preserve"> </w:t>
      </w:r>
      <w:r w:rsidR="00623AE2">
        <w:rPr>
          <w:szCs w:val="22"/>
        </w:rPr>
        <w:t xml:space="preserve">zmesi na </w:t>
      </w:r>
      <w:proofErr w:type="spellStart"/>
      <w:r w:rsidRPr="008C7455">
        <w:rPr>
          <w:szCs w:val="22"/>
        </w:rPr>
        <w:t>parenteráln</w:t>
      </w:r>
      <w:r w:rsidR="00623AE2">
        <w:rPr>
          <w:szCs w:val="22"/>
        </w:rPr>
        <w:t>u</w:t>
      </w:r>
      <w:proofErr w:type="spellEnd"/>
      <w:r w:rsidRPr="008C7455">
        <w:rPr>
          <w:szCs w:val="22"/>
        </w:rPr>
        <w:t xml:space="preserve"> výživ</w:t>
      </w:r>
      <w:r w:rsidR="00623AE2">
        <w:rPr>
          <w:szCs w:val="22"/>
        </w:rPr>
        <w:t>u</w:t>
      </w:r>
      <w:r w:rsidRPr="008C7455">
        <w:rPr>
          <w:szCs w:val="22"/>
        </w:rPr>
        <w:t xml:space="preserve"> kombin</w:t>
      </w:r>
      <w:r w:rsidR="00980F7B" w:rsidRPr="008C7455">
        <w:rPr>
          <w:szCs w:val="22"/>
        </w:rPr>
        <w:t>ujúcej</w:t>
      </w:r>
      <w:r w:rsidRPr="008C7455">
        <w:rPr>
          <w:szCs w:val="22"/>
        </w:rPr>
        <w:t xml:space="preserve"> glukóz</w:t>
      </w:r>
      <w:r w:rsidR="00980F7B" w:rsidRPr="008C7455">
        <w:rPr>
          <w:szCs w:val="22"/>
        </w:rPr>
        <w:t>u</w:t>
      </w:r>
      <w:r w:rsidRPr="008C7455">
        <w:rPr>
          <w:szCs w:val="22"/>
        </w:rPr>
        <w:t>, elektrolyt</w:t>
      </w:r>
      <w:r w:rsidR="00980F7B" w:rsidRPr="008C7455">
        <w:rPr>
          <w:szCs w:val="22"/>
        </w:rPr>
        <w:t>y</w:t>
      </w:r>
      <w:r w:rsidRPr="008C7455">
        <w:rPr>
          <w:szCs w:val="22"/>
        </w:rPr>
        <w:t>, roztok</w:t>
      </w:r>
      <w:r w:rsidR="00980F7B" w:rsidRPr="008C7455">
        <w:rPr>
          <w:szCs w:val="22"/>
        </w:rPr>
        <w:t>y</w:t>
      </w:r>
      <w:r w:rsidRPr="008C7455">
        <w:rPr>
          <w:szCs w:val="22"/>
        </w:rPr>
        <w:t xml:space="preserve"> aminokyselín a lipidy.</w:t>
      </w:r>
    </w:p>
    <w:p w14:paraId="12C22A67" w14:textId="0F0A2435" w:rsidR="00454703" w:rsidRPr="003D64E0" w:rsidRDefault="00454703" w:rsidP="00C35EC9">
      <w:pPr>
        <w:spacing w:line="240" w:lineRule="auto"/>
        <w:rPr>
          <w:szCs w:val="22"/>
        </w:rPr>
      </w:pPr>
    </w:p>
    <w:p w14:paraId="4896E4FF" w14:textId="1B7F17C0" w:rsidR="007F0257" w:rsidRPr="003D64E0" w:rsidRDefault="00623AE2" w:rsidP="00C35EC9">
      <w:pPr>
        <w:spacing w:line="240" w:lineRule="auto"/>
        <w:rPr>
          <w:szCs w:val="22"/>
        </w:rPr>
      </w:pPr>
      <w:r>
        <w:t>Výsledný</w:t>
      </w:r>
      <w:r w:rsidR="007F0257" w:rsidRPr="003D64E0">
        <w:t xml:space="preserve"> roztok dôkladne premiešajte.</w:t>
      </w:r>
    </w:p>
    <w:p w14:paraId="36C61097" w14:textId="348D2A7E" w:rsidR="001328C5" w:rsidRPr="003D64E0" w:rsidRDefault="007F0257" w:rsidP="00C35EC9">
      <w:pPr>
        <w:spacing w:line="240" w:lineRule="auto"/>
        <w:rPr>
          <w:szCs w:val="22"/>
        </w:rPr>
      </w:pPr>
      <w:r w:rsidRPr="003D64E0">
        <w:t>Po</w:t>
      </w:r>
      <w:r w:rsidR="005A2202" w:rsidRPr="003D64E0">
        <w:t xml:space="preserve"> </w:t>
      </w:r>
      <w:r w:rsidRPr="003D64E0">
        <w:t xml:space="preserve">pridaní lieku </w:t>
      </w:r>
      <w:proofErr w:type="spellStart"/>
      <w:r w:rsidRPr="003D64E0">
        <w:t>Viant</w:t>
      </w:r>
      <w:proofErr w:type="spellEnd"/>
      <w:r w:rsidRPr="003D64E0">
        <w:t xml:space="preserve"> do</w:t>
      </w:r>
      <w:r w:rsidR="005A2202" w:rsidRPr="003D64E0">
        <w:t xml:space="preserve"> </w:t>
      </w:r>
      <w:r w:rsidRPr="003D64E0">
        <w:t xml:space="preserve">roztoku </w:t>
      </w:r>
      <w:r w:rsidR="00587428">
        <w:t xml:space="preserve">na </w:t>
      </w:r>
      <w:proofErr w:type="spellStart"/>
      <w:r w:rsidRPr="003D64E0">
        <w:t>parenteráln</w:t>
      </w:r>
      <w:r w:rsidR="00587428">
        <w:t>u</w:t>
      </w:r>
      <w:proofErr w:type="spellEnd"/>
      <w:r w:rsidRPr="003D64E0">
        <w:t xml:space="preserve"> výživ</w:t>
      </w:r>
      <w:r w:rsidR="00587428">
        <w:t>u</w:t>
      </w:r>
      <w:r w:rsidRPr="003D64E0">
        <w:t xml:space="preserve"> skontrolujte prípadné abnormálne zmeny farby a/alebo vznik </w:t>
      </w:r>
      <w:proofErr w:type="spellStart"/>
      <w:r w:rsidRPr="003D64E0">
        <w:t>precipitátov</w:t>
      </w:r>
      <w:proofErr w:type="spellEnd"/>
      <w:r w:rsidRPr="003D64E0">
        <w:t>, nerozpustných komplexov alebo kryštálikov.</w:t>
      </w:r>
    </w:p>
    <w:p w14:paraId="1CF79B63" w14:textId="298D8F7A" w:rsidR="007F0257" w:rsidRPr="003D64E0" w:rsidRDefault="007F0257" w:rsidP="00C35EC9">
      <w:pPr>
        <w:spacing w:line="240" w:lineRule="auto"/>
        <w:rPr>
          <w:iCs/>
          <w:szCs w:val="22"/>
        </w:rPr>
      </w:pPr>
    </w:p>
    <w:p w14:paraId="46DBE25D" w14:textId="59293653" w:rsidR="007F0257" w:rsidRPr="003D64E0" w:rsidRDefault="000D6B38" w:rsidP="00C35EC9">
      <w:pPr>
        <w:spacing w:line="240" w:lineRule="auto"/>
        <w:rPr>
          <w:szCs w:val="22"/>
        </w:rPr>
      </w:pPr>
      <w:r w:rsidRPr="003D64E0">
        <w:t>Tento liek sa</w:t>
      </w:r>
      <w:r w:rsidR="005A2202" w:rsidRPr="003D64E0">
        <w:t xml:space="preserve"> </w:t>
      </w:r>
      <w:r w:rsidRPr="003D64E0">
        <w:t>nesmie miešať s inými liekmi</w:t>
      </w:r>
      <w:r w:rsidR="004052AC">
        <w:t xml:space="preserve"> </w:t>
      </w:r>
      <w:r w:rsidR="004052AC" w:rsidRPr="00B85886">
        <w:rPr>
          <w:szCs w:val="22"/>
          <w:lang w:bidi="ar-SA"/>
        </w:rPr>
        <w:t>okrem tých, ktoré sú uvedené vyššie</w:t>
      </w:r>
      <w:r w:rsidRPr="003D64E0">
        <w:t>, pokiaľ sa</w:t>
      </w:r>
      <w:r w:rsidR="005A2202" w:rsidRPr="003D64E0">
        <w:t xml:space="preserve"> </w:t>
      </w:r>
      <w:r w:rsidRPr="003D64E0">
        <w:t>nepreukázala kompatibilita a stabilita.</w:t>
      </w:r>
    </w:p>
    <w:p w14:paraId="4B361C6B" w14:textId="77777777" w:rsidR="00C91E30" w:rsidRPr="003D64E0" w:rsidRDefault="00C91E30" w:rsidP="00C35EC9">
      <w:pPr>
        <w:spacing w:line="240" w:lineRule="auto"/>
        <w:rPr>
          <w:szCs w:val="22"/>
        </w:rPr>
      </w:pPr>
    </w:p>
    <w:p w14:paraId="40BDD2F3" w14:textId="7584C8FB" w:rsidR="001328C5" w:rsidRPr="003D64E0" w:rsidRDefault="0096367A" w:rsidP="00C35EC9">
      <w:pPr>
        <w:spacing w:line="240" w:lineRule="auto"/>
        <w:rPr>
          <w:szCs w:val="22"/>
        </w:rPr>
      </w:pPr>
      <w:r w:rsidRPr="00BB5105">
        <w:lastRenderedPageBreak/>
        <w:t>Používajte len vtedy, keď je</w:t>
      </w:r>
      <w:r w:rsidR="005A2202" w:rsidRPr="00BB5105">
        <w:t xml:space="preserve"> </w:t>
      </w:r>
      <w:r w:rsidRPr="00BB5105">
        <w:t>pôvodn</w:t>
      </w:r>
      <w:r w:rsidR="005A2202" w:rsidRPr="00BB5105">
        <w:t>ý uzáver</w:t>
      </w:r>
      <w:r w:rsidRPr="00BB5105">
        <w:t xml:space="preserve"> neporušen</w:t>
      </w:r>
      <w:r w:rsidR="005A2202" w:rsidRPr="00BB5105">
        <w:t>ý</w:t>
      </w:r>
      <w:r w:rsidRPr="00BB5105">
        <w:t xml:space="preserve">, </w:t>
      </w:r>
      <w:r w:rsidR="00016FB6" w:rsidRPr="00BB5105">
        <w:t>ak</w:t>
      </w:r>
      <w:r w:rsidR="00D058C1" w:rsidRPr="00BB5105">
        <w:t xml:space="preserve"> má </w:t>
      </w:r>
      <w:r w:rsidRPr="00BB5105">
        <w:t>koláč alebo prášok</w:t>
      </w:r>
      <w:r w:rsidR="005A2202" w:rsidRPr="00BB5105">
        <w:t xml:space="preserve"> </w:t>
      </w:r>
      <w:r w:rsidRPr="00BB5105">
        <w:t>žltooranžov</w:t>
      </w:r>
      <w:r w:rsidR="00D058C1" w:rsidRPr="00BB5105">
        <w:t>ú farbu</w:t>
      </w:r>
      <w:r w:rsidR="00762C76">
        <w:t xml:space="preserve"> </w:t>
      </w:r>
      <w:r w:rsidRPr="00BB5105">
        <w:t>a</w:t>
      </w:r>
      <w:r w:rsidR="00016FB6" w:rsidRPr="00BB5105">
        <w:t xml:space="preserve"> ak je </w:t>
      </w:r>
      <w:r w:rsidRPr="00BB5105">
        <w:t>obal nepoškodený.</w:t>
      </w:r>
    </w:p>
    <w:p w14:paraId="253FCC6D" w14:textId="742EC162" w:rsidR="005C6D9A" w:rsidRPr="003D64E0" w:rsidRDefault="005C6D9A" w:rsidP="00C35EC9">
      <w:pPr>
        <w:spacing w:line="240" w:lineRule="auto"/>
        <w:rPr>
          <w:szCs w:val="22"/>
        </w:rPr>
      </w:pPr>
    </w:p>
    <w:p w14:paraId="1B922F91" w14:textId="2E6A9DAD" w:rsidR="004F6CBB" w:rsidRPr="003D64E0" w:rsidRDefault="004F6CBB" w:rsidP="00C35EC9">
      <w:pPr>
        <w:tabs>
          <w:tab w:val="left" w:pos="3943"/>
        </w:tabs>
        <w:spacing w:line="240" w:lineRule="auto"/>
        <w:rPr>
          <w:szCs w:val="22"/>
        </w:rPr>
      </w:pPr>
      <w:r w:rsidRPr="003D64E0">
        <w:t>Len na</w:t>
      </w:r>
      <w:r w:rsidR="005A2202" w:rsidRPr="003D64E0">
        <w:t xml:space="preserve"> </w:t>
      </w:r>
      <w:r w:rsidRPr="003D64E0">
        <w:t>jednorazové použitie. Obal a všetky nepoužité zvyšky sa</w:t>
      </w:r>
      <w:r w:rsidR="005A2202" w:rsidRPr="003D64E0">
        <w:t xml:space="preserve"> </w:t>
      </w:r>
      <w:r w:rsidRPr="003D64E0">
        <w:t>musia po</w:t>
      </w:r>
      <w:r w:rsidR="005A2202" w:rsidRPr="003D64E0">
        <w:t xml:space="preserve"> </w:t>
      </w:r>
      <w:r w:rsidRPr="003D64E0">
        <w:t xml:space="preserve">použití zlikvidovať. </w:t>
      </w:r>
      <w:r w:rsidRPr="00FF0BD5">
        <w:t>Všetok nepoužitý liek alebo odpad vzniknutý z lieku sa</w:t>
      </w:r>
      <w:r w:rsidR="005A2202" w:rsidRPr="00FF0BD5">
        <w:t xml:space="preserve"> </w:t>
      </w:r>
      <w:r w:rsidRPr="00FF0BD5">
        <w:t>má</w:t>
      </w:r>
      <w:r w:rsidR="005A2202" w:rsidRPr="00FF0BD5">
        <w:t xml:space="preserve"> </w:t>
      </w:r>
      <w:r w:rsidRPr="00FF0BD5">
        <w:t>zlikvidovať v súlade s národnými požiadavkami.</w:t>
      </w:r>
    </w:p>
    <w:p w14:paraId="53ED02B5" w14:textId="77777777" w:rsidR="00ED3A3C" w:rsidRPr="003D64E0" w:rsidRDefault="00ED3A3C" w:rsidP="00C35EC9">
      <w:pPr>
        <w:tabs>
          <w:tab w:val="left" w:pos="3943"/>
        </w:tabs>
        <w:spacing w:line="240" w:lineRule="auto"/>
        <w:rPr>
          <w:szCs w:val="22"/>
        </w:rPr>
      </w:pPr>
    </w:p>
    <w:p w14:paraId="468DBD8F" w14:textId="77777777" w:rsidR="00ED3A3C" w:rsidRPr="003D64E0" w:rsidDel="004F6CBB" w:rsidRDefault="00ED3A3C" w:rsidP="00C35EC9">
      <w:pPr>
        <w:tabs>
          <w:tab w:val="left" w:pos="3943"/>
        </w:tabs>
        <w:spacing w:line="240" w:lineRule="auto"/>
        <w:rPr>
          <w:szCs w:val="22"/>
        </w:rPr>
      </w:pPr>
    </w:p>
    <w:p w14:paraId="52378978" w14:textId="734162FA" w:rsidR="00DA2774" w:rsidRPr="003D64E0" w:rsidRDefault="00DA2774" w:rsidP="00C35EC9">
      <w:pPr>
        <w:pStyle w:val="Nadpis1"/>
        <w:spacing w:before="0" w:line="240" w:lineRule="auto"/>
      </w:pPr>
      <w:r w:rsidRPr="003D64E0">
        <w:t>7.</w:t>
      </w:r>
      <w:r w:rsidRPr="003D64E0">
        <w:tab/>
        <w:t>DRŽITEĽ ROZHODNUTIA O REGISTRÁCII</w:t>
      </w:r>
    </w:p>
    <w:p w14:paraId="37A1987C" w14:textId="77777777" w:rsidR="008034A9" w:rsidRPr="003D64E0" w:rsidRDefault="008034A9" w:rsidP="00C35EC9">
      <w:pPr>
        <w:spacing w:line="240" w:lineRule="auto"/>
        <w:rPr>
          <w:szCs w:val="22"/>
        </w:rPr>
      </w:pPr>
    </w:p>
    <w:p w14:paraId="4D63A95C" w14:textId="77777777" w:rsidR="00731A27" w:rsidRPr="003D64E0" w:rsidRDefault="00731A27" w:rsidP="00C35EC9">
      <w:pPr>
        <w:spacing w:line="240" w:lineRule="auto"/>
        <w:rPr>
          <w:szCs w:val="22"/>
        </w:rPr>
      </w:pPr>
      <w:r w:rsidRPr="003D64E0">
        <w:t>B. </w:t>
      </w:r>
      <w:proofErr w:type="spellStart"/>
      <w:r w:rsidRPr="003D64E0">
        <w:t>Braun</w:t>
      </w:r>
      <w:proofErr w:type="spellEnd"/>
      <w:r w:rsidRPr="003D64E0">
        <w:t xml:space="preserve"> </w:t>
      </w:r>
      <w:proofErr w:type="spellStart"/>
      <w:r w:rsidRPr="003D64E0">
        <w:t>Melsungen</w:t>
      </w:r>
      <w:proofErr w:type="spellEnd"/>
      <w:r w:rsidRPr="003D64E0">
        <w:t xml:space="preserve"> AG</w:t>
      </w:r>
    </w:p>
    <w:p w14:paraId="03C642AE" w14:textId="2397AD52" w:rsidR="0081086D" w:rsidRPr="003D64E0" w:rsidRDefault="00610B9F" w:rsidP="00C35EC9">
      <w:pPr>
        <w:spacing w:line="240" w:lineRule="auto"/>
        <w:rPr>
          <w:noProof/>
        </w:rPr>
      </w:pPr>
      <w:proofErr w:type="spellStart"/>
      <w:r w:rsidRPr="003D64E0">
        <w:rPr>
          <w:szCs w:val="22"/>
        </w:rPr>
        <w:t>Carl-Braun-Straße</w:t>
      </w:r>
      <w:proofErr w:type="spellEnd"/>
      <w:r w:rsidRPr="003D64E0">
        <w:t> 1</w:t>
      </w:r>
    </w:p>
    <w:p w14:paraId="54B8D27F" w14:textId="4C5E391C" w:rsidR="00731A27" w:rsidRPr="003D64E0" w:rsidRDefault="0081086D" w:rsidP="00C35EC9">
      <w:pPr>
        <w:spacing w:line="240" w:lineRule="auto"/>
        <w:rPr>
          <w:szCs w:val="22"/>
        </w:rPr>
      </w:pPr>
      <w:r w:rsidRPr="003D64E0">
        <w:t>34212 </w:t>
      </w:r>
      <w:proofErr w:type="spellStart"/>
      <w:r w:rsidRPr="003D64E0">
        <w:t>Melsungen</w:t>
      </w:r>
      <w:proofErr w:type="spellEnd"/>
      <w:r w:rsidRPr="003D64E0">
        <w:t>, Nemecko</w:t>
      </w:r>
    </w:p>
    <w:p w14:paraId="51702CB9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5770A633" w14:textId="77777777" w:rsidR="00731A27" w:rsidRPr="003D64E0" w:rsidRDefault="00731A27" w:rsidP="00C35EC9">
      <w:pPr>
        <w:spacing w:line="240" w:lineRule="auto"/>
        <w:rPr>
          <w:szCs w:val="22"/>
        </w:rPr>
      </w:pPr>
      <w:r w:rsidRPr="003D64E0">
        <w:t>Poštová adresa</w:t>
      </w:r>
    </w:p>
    <w:p w14:paraId="17A4C913" w14:textId="77777777" w:rsidR="00731A27" w:rsidRPr="003D64E0" w:rsidRDefault="00731A27" w:rsidP="00C35EC9">
      <w:pPr>
        <w:spacing w:line="240" w:lineRule="auto"/>
        <w:rPr>
          <w:szCs w:val="22"/>
        </w:rPr>
      </w:pPr>
      <w:r w:rsidRPr="003D64E0">
        <w:t>34209 </w:t>
      </w:r>
      <w:proofErr w:type="spellStart"/>
      <w:r w:rsidRPr="003D64E0">
        <w:t>Melsungen</w:t>
      </w:r>
      <w:proofErr w:type="spellEnd"/>
      <w:r w:rsidRPr="003D64E0">
        <w:t>, Nemecko</w:t>
      </w:r>
    </w:p>
    <w:p w14:paraId="27C28983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6D22357D" w14:textId="0F087D67" w:rsidR="00731A27" w:rsidRPr="003D64E0" w:rsidRDefault="00731A27" w:rsidP="00C35EC9">
      <w:pPr>
        <w:spacing w:line="240" w:lineRule="auto"/>
        <w:rPr>
          <w:szCs w:val="22"/>
        </w:rPr>
      </w:pPr>
      <w:r w:rsidRPr="003D64E0">
        <w:t>Telefón:</w:t>
      </w:r>
      <w:r w:rsidRPr="003D64E0">
        <w:tab/>
        <w:t>+49</w:t>
      </w:r>
      <w:r w:rsidR="00AF1C69" w:rsidRPr="003D64E0">
        <w:t> </w:t>
      </w:r>
      <w:r w:rsidRPr="003D64E0">
        <w:t>5661</w:t>
      </w:r>
      <w:r w:rsidR="00AF1C69" w:rsidRPr="003D64E0">
        <w:t> </w:t>
      </w:r>
      <w:r w:rsidRPr="003D64E0">
        <w:t>71</w:t>
      </w:r>
      <w:r w:rsidR="00AF1C69" w:rsidRPr="003D64E0">
        <w:t> </w:t>
      </w:r>
      <w:r w:rsidRPr="003D64E0">
        <w:t>0</w:t>
      </w:r>
    </w:p>
    <w:p w14:paraId="546AE083" w14:textId="23CC7CB2" w:rsidR="00731A27" w:rsidRPr="003D64E0" w:rsidRDefault="00731A27" w:rsidP="00C35EC9">
      <w:pPr>
        <w:spacing w:line="240" w:lineRule="auto"/>
        <w:rPr>
          <w:szCs w:val="22"/>
        </w:rPr>
      </w:pPr>
      <w:r w:rsidRPr="003D64E0">
        <w:t>Fax:</w:t>
      </w:r>
      <w:r w:rsidRPr="003D64E0">
        <w:tab/>
      </w:r>
      <w:r w:rsidR="00AF1C69" w:rsidRPr="003D64E0">
        <w:tab/>
      </w:r>
      <w:r w:rsidRPr="003D64E0">
        <w:t>+49</w:t>
      </w:r>
      <w:r w:rsidR="00AF1C69" w:rsidRPr="003D64E0">
        <w:t> </w:t>
      </w:r>
      <w:r w:rsidRPr="003D64E0">
        <w:t>5661</w:t>
      </w:r>
      <w:r w:rsidR="00AF1C69" w:rsidRPr="003D64E0">
        <w:t> </w:t>
      </w:r>
      <w:r w:rsidRPr="003D64E0">
        <w:t>71</w:t>
      </w:r>
      <w:r w:rsidR="00AF1C69" w:rsidRPr="003D64E0">
        <w:t> </w:t>
      </w:r>
      <w:r w:rsidRPr="003D64E0">
        <w:t>4567</w:t>
      </w:r>
    </w:p>
    <w:p w14:paraId="2333F535" w14:textId="77777777" w:rsidR="00731A27" w:rsidRPr="003D64E0" w:rsidRDefault="00731A27" w:rsidP="00C35EC9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0617B03E" w14:textId="77777777" w:rsidR="00F8355A" w:rsidRPr="003D64E0" w:rsidRDefault="00F8355A" w:rsidP="00C35EC9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1B52B026" w14:textId="0CAEAACA" w:rsidR="00731A27" w:rsidRPr="003D64E0" w:rsidRDefault="00731A27" w:rsidP="00C35EC9">
      <w:pPr>
        <w:spacing w:line="240" w:lineRule="auto"/>
        <w:rPr>
          <w:b/>
          <w:szCs w:val="22"/>
        </w:rPr>
      </w:pPr>
      <w:r w:rsidRPr="003D64E0">
        <w:rPr>
          <w:b/>
        </w:rPr>
        <w:t>8.</w:t>
      </w:r>
      <w:r w:rsidRPr="003D64E0">
        <w:rPr>
          <w:b/>
        </w:rPr>
        <w:tab/>
        <w:t>REGISTRAČNÉ ČÍSLO</w:t>
      </w:r>
    </w:p>
    <w:p w14:paraId="7BD43A7F" w14:textId="7016BF80" w:rsidR="00731A27" w:rsidRPr="003D64E0" w:rsidRDefault="00731A27" w:rsidP="00C35EC9">
      <w:pPr>
        <w:spacing w:line="240" w:lineRule="auto"/>
        <w:rPr>
          <w:szCs w:val="22"/>
        </w:rPr>
      </w:pPr>
    </w:p>
    <w:p w14:paraId="17D51C71" w14:textId="548A6943" w:rsidR="00731A27" w:rsidRDefault="00DA6AAF" w:rsidP="00C35EC9">
      <w:pPr>
        <w:spacing w:line="240" w:lineRule="auto"/>
        <w:rPr>
          <w:szCs w:val="22"/>
        </w:rPr>
      </w:pPr>
      <w:r w:rsidRPr="00DA6AAF">
        <w:rPr>
          <w:szCs w:val="22"/>
        </w:rPr>
        <w:t>86/0333/18-S</w:t>
      </w:r>
    </w:p>
    <w:p w14:paraId="5CF50ECC" w14:textId="77777777" w:rsidR="00DA6AAF" w:rsidRPr="003D64E0" w:rsidRDefault="00DA6AAF" w:rsidP="00C35EC9">
      <w:pPr>
        <w:spacing w:line="240" w:lineRule="auto"/>
        <w:rPr>
          <w:szCs w:val="22"/>
        </w:rPr>
      </w:pPr>
    </w:p>
    <w:p w14:paraId="65B0C9BB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4A37EAFE" w14:textId="15C24731" w:rsidR="00731A27" w:rsidRPr="003D64E0" w:rsidRDefault="00731A27" w:rsidP="009B0507">
      <w:pPr>
        <w:spacing w:line="240" w:lineRule="auto"/>
        <w:ind w:left="567" w:hanging="567"/>
        <w:rPr>
          <w:b/>
          <w:szCs w:val="22"/>
        </w:rPr>
      </w:pPr>
      <w:r w:rsidRPr="003D64E0">
        <w:rPr>
          <w:b/>
        </w:rPr>
        <w:t>9.</w:t>
      </w:r>
      <w:r w:rsidRPr="003D64E0">
        <w:rPr>
          <w:b/>
        </w:rPr>
        <w:tab/>
        <w:t>DÁTUM PRV</w:t>
      </w:r>
      <w:r w:rsidR="005A2202" w:rsidRPr="003D64E0">
        <w:rPr>
          <w:b/>
        </w:rPr>
        <w:t>EJ REGISTRÁCIE/</w:t>
      </w:r>
      <w:r w:rsidRPr="003D64E0">
        <w:rPr>
          <w:b/>
        </w:rPr>
        <w:t xml:space="preserve">PREDĹŽENIA </w:t>
      </w:r>
      <w:r w:rsidR="005A2202" w:rsidRPr="003D64E0">
        <w:rPr>
          <w:b/>
        </w:rPr>
        <w:t>REGISTRÁCIE</w:t>
      </w:r>
    </w:p>
    <w:p w14:paraId="5E3EE6DE" w14:textId="77777777" w:rsidR="00731A27" w:rsidRPr="003D64E0" w:rsidRDefault="00731A27" w:rsidP="00C35EC9">
      <w:pPr>
        <w:spacing w:line="240" w:lineRule="auto"/>
        <w:rPr>
          <w:bCs/>
          <w:szCs w:val="22"/>
        </w:rPr>
      </w:pPr>
    </w:p>
    <w:p w14:paraId="5CEF644C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66E791F9" w14:textId="33BD8F25" w:rsidR="00731A27" w:rsidRPr="003D64E0" w:rsidRDefault="00731A27" w:rsidP="00C35EC9">
      <w:pPr>
        <w:spacing w:line="240" w:lineRule="auto"/>
        <w:rPr>
          <w:szCs w:val="22"/>
        </w:rPr>
      </w:pPr>
      <w:r w:rsidRPr="003D64E0">
        <w:t xml:space="preserve">Dátum prvej registrácie: </w:t>
      </w:r>
    </w:p>
    <w:p w14:paraId="5CD7D98B" w14:textId="0A296087" w:rsidR="00731A27" w:rsidRPr="003D64E0" w:rsidRDefault="00AF7083" w:rsidP="00C35EC9">
      <w:pPr>
        <w:spacing w:line="240" w:lineRule="auto"/>
        <w:rPr>
          <w:szCs w:val="22"/>
        </w:rPr>
      </w:pPr>
      <w:r w:rsidRPr="003D64E0">
        <w:t xml:space="preserve">Dátum posledného predĺženia registrácie: </w:t>
      </w:r>
    </w:p>
    <w:p w14:paraId="5FC18C66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1F341C45" w14:textId="77777777" w:rsidR="00731A27" w:rsidRPr="003D64E0" w:rsidRDefault="00731A27" w:rsidP="00C35EC9">
      <w:pPr>
        <w:spacing w:line="240" w:lineRule="auto"/>
        <w:rPr>
          <w:szCs w:val="22"/>
        </w:rPr>
      </w:pPr>
    </w:p>
    <w:p w14:paraId="2D2D362B" w14:textId="77777777" w:rsidR="00731A27" w:rsidRPr="003D64E0" w:rsidRDefault="00731A27" w:rsidP="00C35EC9">
      <w:pPr>
        <w:spacing w:line="240" w:lineRule="auto"/>
        <w:rPr>
          <w:b/>
          <w:caps/>
          <w:szCs w:val="22"/>
        </w:rPr>
      </w:pPr>
      <w:r w:rsidRPr="003D64E0">
        <w:rPr>
          <w:b/>
        </w:rPr>
        <w:t>10.</w:t>
      </w:r>
      <w:r w:rsidRPr="003D64E0">
        <w:rPr>
          <w:b/>
        </w:rPr>
        <w:tab/>
        <w:t>D</w:t>
      </w:r>
      <w:r w:rsidRPr="003D64E0">
        <w:rPr>
          <w:b/>
          <w:caps/>
        </w:rPr>
        <w:t>átum revízie textu</w:t>
      </w:r>
    </w:p>
    <w:p w14:paraId="3A83E4D1" w14:textId="77777777" w:rsidR="00731A27" w:rsidRPr="003D64E0" w:rsidRDefault="00731A27" w:rsidP="00C35EC9">
      <w:pPr>
        <w:spacing w:line="240" w:lineRule="auto"/>
        <w:rPr>
          <w:b/>
          <w:szCs w:val="22"/>
        </w:rPr>
      </w:pPr>
    </w:p>
    <w:p w14:paraId="1C7ABAAA" w14:textId="021F3D99" w:rsidR="00731A27" w:rsidRPr="003D64E0" w:rsidRDefault="00240D4A" w:rsidP="00C35EC9">
      <w:pPr>
        <w:spacing w:line="240" w:lineRule="auto"/>
        <w:rPr>
          <w:szCs w:val="22"/>
        </w:rPr>
      </w:pPr>
      <w:r>
        <w:t>10</w:t>
      </w:r>
      <w:r w:rsidR="004052AC">
        <w:t>/</w:t>
      </w:r>
      <w:r w:rsidR="004052AC" w:rsidRPr="004052AC">
        <w:t>2018</w:t>
      </w:r>
    </w:p>
    <w:sectPr w:rsidR="00731A27" w:rsidRPr="003D64E0" w:rsidSect="00494F42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CAC6A" w16cid:durableId="1EAEEC52"/>
  <w16cid:commentId w16cid:paraId="05CE8EF2" w16cid:durableId="1EAEECAF"/>
  <w16cid:commentId w16cid:paraId="69982364" w16cid:durableId="1EAEED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6B46" w14:textId="77777777" w:rsidR="007E2B17" w:rsidRDefault="007E2B17">
      <w:pPr>
        <w:spacing w:line="240" w:lineRule="auto"/>
      </w:pPr>
      <w:r>
        <w:separator/>
      </w:r>
    </w:p>
  </w:endnote>
  <w:endnote w:type="continuationSeparator" w:id="0">
    <w:p w14:paraId="20F522EF" w14:textId="77777777" w:rsidR="007E2B17" w:rsidRDefault="007E2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7576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6C90A1A" w14:textId="5046BBC6" w:rsidR="00416793" w:rsidRPr="00BB5105" w:rsidRDefault="0041679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B5105">
          <w:rPr>
            <w:rFonts w:ascii="Times New Roman" w:hAnsi="Times New Roman"/>
            <w:sz w:val="18"/>
            <w:szCs w:val="18"/>
          </w:rPr>
          <w:fldChar w:fldCharType="begin"/>
        </w:r>
        <w:r w:rsidRPr="00BB510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B5105">
          <w:rPr>
            <w:rFonts w:ascii="Times New Roman" w:hAnsi="Times New Roman"/>
            <w:sz w:val="18"/>
            <w:szCs w:val="18"/>
          </w:rPr>
          <w:fldChar w:fldCharType="separate"/>
        </w:r>
        <w:r w:rsidR="00997860">
          <w:rPr>
            <w:rFonts w:ascii="Times New Roman" w:hAnsi="Times New Roman"/>
            <w:noProof/>
            <w:sz w:val="18"/>
            <w:szCs w:val="18"/>
          </w:rPr>
          <w:t>10</w:t>
        </w:r>
        <w:r w:rsidRPr="00BB510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EB142BC" w14:textId="424D9E91" w:rsidR="00143B08" w:rsidRDefault="00143B0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14:paraId="0AE99C6F" w14:textId="77777777" w:rsidR="00143B08" w:rsidRDefault="00143B08" w:rsidP="00B964A7">
        <w:pPr>
          <w:pStyle w:val="Pta"/>
          <w:ind w:left="4536" w:firstLine="3969"/>
        </w:pPr>
        <w:r>
          <w:t>[Zadajte text]</w:t>
        </w:r>
      </w:p>
    </w:sdtContent>
  </w:sdt>
  <w:p w14:paraId="3F231355" w14:textId="77777777" w:rsidR="00143B08" w:rsidRDefault="00143B0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54467" w14:textId="77777777" w:rsidR="007E2B17" w:rsidRDefault="007E2B17">
      <w:pPr>
        <w:spacing w:line="240" w:lineRule="auto"/>
      </w:pPr>
      <w:r>
        <w:separator/>
      </w:r>
    </w:p>
  </w:footnote>
  <w:footnote w:type="continuationSeparator" w:id="0">
    <w:p w14:paraId="4AE7561D" w14:textId="77777777" w:rsidR="007E2B17" w:rsidRDefault="007E2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75F91" w14:textId="79F43A7F" w:rsidR="00143B08" w:rsidRPr="00BE5E15" w:rsidRDefault="00BE5E15">
    <w:pPr>
      <w:pStyle w:val="Hlavika"/>
      <w:rPr>
        <w:rFonts w:ascii="Times New Roman" w:hAnsi="Times New Roman"/>
        <w:sz w:val="18"/>
        <w:szCs w:val="18"/>
        <w:lang w:val="cs-CZ"/>
      </w:rPr>
    </w:pPr>
    <w:r w:rsidRPr="00BE5E15">
      <w:rPr>
        <w:rFonts w:ascii="Times New Roman" w:hAnsi="Times New Roman"/>
        <w:sz w:val="18"/>
        <w:szCs w:val="18"/>
        <w:lang w:val="cs-CZ"/>
      </w:rPr>
      <w:t>Schválený text k </w:t>
    </w:r>
    <w:proofErr w:type="spellStart"/>
    <w:r>
      <w:rPr>
        <w:rFonts w:ascii="Times New Roman" w:hAnsi="Times New Roman"/>
        <w:sz w:val="18"/>
        <w:szCs w:val="18"/>
        <w:lang w:val="cs-CZ"/>
      </w:rPr>
      <w:t>rozho</w:t>
    </w:r>
    <w:r w:rsidRPr="00BE5E15">
      <w:rPr>
        <w:rFonts w:ascii="Times New Roman" w:hAnsi="Times New Roman"/>
        <w:sz w:val="18"/>
        <w:szCs w:val="18"/>
        <w:lang w:val="cs-CZ"/>
      </w:rPr>
      <w:t>dnutiu</w:t>
    </w:r>
    <w:proofErr w:type="spellEnd"/>
    <w:r w:rsidRPr="00BE5E15">
      <w:rPr>
        <w:rFonts w:ascii="Times New Roman" w:hAnsi="Times New Roman"/>
        <w:sz w:val="18"/>
        <w:szCs w:val="18"/>
        <w:lang w:val="cs-CZ"/>
      </w:rPr>
      <w:t xml:space="preserve"> o </w:t>
    </w:r>
    <w:proofErr w:type="spellStart"/>
    <w:r w:rsidRPr="00BE5E15">
      <w:rPr>
        <w:rFonts w:ascii="Times New Roman" w:hAnsi="Times New Roman"/>
        <w:sz w:val="18"/>
        <w:szCs w:val="18"/>
        <w:lang w:val="cs-CZ"/>
      </w:rPr>
      <w:t>registrácii</w:t>
    </w:r>
    <w:proofErr w:type="spellEnd"/>
    <w:r w:rsidRPr="00BE5E15">
      <w:rPr>
        <w:rFonts w:ascii="Times New Roman" w:hAnsi="Times New Roman"/>
        <w:sz w:val="18"/>
        <w:szCs w:val="18"/>
        <w:lang w:val="cs-CZ"/>
      </w:rPr>
      <w:t>, ev.</w:t>
    </w:r>
    <w:r w:rsidR="00B46EFD">
      <w:rPr>
        <w:rFonts w:ascii="Times New Roman" w:hAnsi="Times New Roman"/>
        <w:sz w:val="18"/>
        <w:szCs w:val="18"/>
        <w:lang w:val="cs-CZ"/>
      </w:rPr>
      <w:t xml:space="preserve"> </w:t>
    </w:r>
    <w:r w:rsidRPr="00BE5E15">
      <w:rPr>
        <w:rFonts w:ascii="Times New Roman" w:hAnsi="Times New Roman"/>
        <w:sz w:val="18"/>
        <w:szCs w:val="18"/>
        <w:lang w:val="cs-CZ"/>
      </w:rPr>
      <w:t>č.: 2017/01863-REG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3641189"/>
    <w:multiLevelType w:val="hybridMultilevel"/>
    <w:tmpl w:val="D5E8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C1E96"/>
    <w:multiLevelType w:val="hybridMultilevel"/>
    <w:tmpl w:val="1DE8BA90"/>
    <w:lvl w:ilvl="0" w:tplc="BDDE7C96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0201225"/>
    <w:multiLevelType w:val="hybridMultilevel"/>
    <w:tmpl w:val="C30C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E4C93"/>
    <w:multiLevelType w:val="hybridMultilevel"/>
    <w:tmpl w:val="92DE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5941F3"/>
    <w:multiLevelType w:val="hybridMultilevel"/>
    <w:tmpl w:val="B700EACE"/>
    <w:lvl w:ilvl="0" w:tplc="EDF8C688">
      <w:start w:val="1"/>
      <w:numFmt w:val="bullet"/>
      <w:lvlText w:val="●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0B7CC5"/>
    <w:multiLevelType w:val="hybridMultilevel"/>
    <w:tmpl w:val="C6346E1E"/>
    <w:lvl w:ilvl="0" w:tplc="EDF8C688">
      <w:start w:val="1"/>
      <w:numFmt w:val="bullet"/>
      <w:lvlText w:val="●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1">
    <w:nsid w:val="7B5F4494"/>
    <w:multiLevelType w:val="hybridMultilevel"/>
    <w:tmpl w:val="66F4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2"/>
  </w:num>
  <w:num w:numId="6">
    <w:abstractNumId w:val="24"/>
  </w:num>
  <w:num w:numId="7">
    <w:abstractNumId w:val="21"/>
  </w:num>
  <w:num w:numId="8">
    <w:abstractNumId w:val="8"/>
  </w:num>
  <w:num w:numId="9">
    <w:abstractNumId w:val="34"/>
  </w:num>
  <w:num w:numId="10">
    <w:abstractNumId w:val="35"/>
  </w:num>
  <w:num w:numId="11">
    <w:abstractNumId w:val="17"/>
  </w:num>
  <w:num w:numId="12">
    <w:abstractNumId w:val="14"/>
  </w:num>
  <w:num w:numId="13">
    <w:abstractNumId w:val="2"/>
  </w:num>
  <w:num w:numId="14">
    <w:abstractNumId w:val="33"/>
  </w:num>
  <w:num w:numId="15">
    <w:abstractNumId w:val="19"/>
  </w:num>
  <w:num w:numId="16">
    <w:abstractNumId w:val="39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26"/>
  </w:num>
  <w:num w:numId="25">
    <w:abstractNumId w:val="13"/>
  </w:num>
  <w:num w:numId="26">
    <w:abstractNumId w:val="11"/>
  </w:num>
  <w:num w:numId="27">
    <w:abstractNumId w:val="20"/>
  </w:num>
  <w:num w:numId="28">
    <w:abstractNumId w:val="25"/>
  </w:num>
  <w:num w:numId="29">
    <w:abstractNumId w:val="15"/>
  </w:num>
  <w:num w:numId="30">
    <w:abstractNumId w:val="10"/>
  </w:num>
  <w:num w:numId="31">
    <w:abstractNumId w:val="30"/>
  </w:num>
  <w:num w:numId="32">
    <w:abstractNumId w:val="31"/>
  </w:num>
  <w:num w:numId="33">
    <w:abstractNumId w:val="29"/>
  </w:num>
  <w:num w:numId="34">
    <w:abstractNumId w:val="16"/>
  </w:num>
  <w:num w:numId="35">
    <w:abstractNumId w:val="4"/>
  </w:num>
  <w:num w:numId="36">
    <w:abstractNumId w:val="40"/>
  </w:num>
  <w:num w:numId="37">
    <w:abstractNumId w:val="38"/>
  </w:num>
  <w:num w:numId="38">
    <w:abstractNumId w:val="6"/>
  </w:num>
  <w:num w:numId="39">
    <w:abstractNumId w:val="27"/>
  </w:num>
  <w:num w:numId="40">
    <w:abstractNumId w:val="23"/>
  </w:num>
  <w:num w:numId="41">
    <w:abstractNumId w:val="41"/>
  </w:num>
  <w:num w:numId="42">
    <w:abstractNumId w:val="22"/>
  </w:num>
  <w:num w:numId="4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Marcakova">
    <w15:presenceInfo w15:providerId="AD" w15:userId="S-1-5-21-615410526-663892902-1072911152-74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554C81"/>
    <w:rsid w:val="00002824"/>
    <w:rsid w:val="0000690A"/>
    <w:rsid w:val="00006A98"/>
    <w:rsid w:val="00007C07"/>
    <w:rsid w:val="00012325"/>
    <w:rsid w:val="00012AB9"/>
    <w:rsid w:val="00014658"/>
    <w:rsid w:val="00016FB6"/>
    <w:rsid w:val="000216A4"/>
    <w:rsid w:val="00021A3A"/>
    <w:rsid w:val="000224F3"/>
    <w:rsid w:val="00022FE4"/>
    <w:rsid w:val="0002623D"/>
    <w:rsid w:val="00030749"/>
    <w:rsid w:val="00030E73"/>
    <w:rsid w:val="00031A36"/>
    <w:rsid w:val="00034622"/>
    <w:rsid w:val="00035877"/>
    <w:rsid w:val="00036456"/>
    <w:rsid w:val="00036A3C"/>
    <w:rsid w:val="00040469"/>
    <w:rsid w:val="00042F32"/>
    <w:rsid w:val="00044B27"/>
    <w:rsid w:val="0004543A"/>
    <w:rsid w:val="0004596C"/>
    <w:rsid w:val="000513A2"/>
    <w:rsid w:val="000558E4"/>
    <w:rsid w:val="00061754"/>
    <w:rsid w:val="00063A33"/>
    <w:rsid w:val="00067A01"/>
    <w:rsid w:val="00070FE6"/>
    <w:rsid w:val="00076CF8"/>
    <w:rsid w:val="00080EB6"/>
    <w:rsid w:val="000828C5"/>
    <w:rsid w:val="00083E3F"/>
    <w:rsid w:val="00084E89"/>
    <w:rsid w:val="00084F4D"/>
    <w:rsid w:val="00085F39"/>
    <w:rsid w:val="00087BEF"/>
    <w:rsid w:val="00090621"/>
    <w:rsid w:val="00094CC8"/>
    <w:rsid w:val="0009500E"/>
    <w:rsid w:val="000A0E16"/>
    <w:rsid w:val="000A2911"/>
    <w:rsid w:val="000A468A"/>
    <w:rsid w:val="000A5C8A"/>
    <w:rsid w:val="000A776E"/>
    <w:rsid w:val="000B03D3"/>
    <w:rsid w:val="000B0CB3"/>
    <w:rsid w:val="000B2FEB"/>
    <w:rsid w:val="000B335D"/>
    <w:rsid w:val="000B3614"/>
    <w:rsid w:val="000B39B2"/>
    <w:rsid w:val="000B44CE"/>
    <w:rsid w:val="000C1DCE"/>
    <w:rsid w:val="000C2F23"/>
    <w:rsid w:val="000C59F2"/>
    <w:rsid w:val="000C7BE3"/>
    <w:rsid w:val="000D2346"/>
    <w:rsid w:val="000D4F20"/>
    <w:rsid w:val="000D5803"/>
    <w:rsid w:val="000D5FD3"/>
    <w:rsid w:val="000D6B38"/>
    <w:rsid w:val="000E13DD"/>
    <w:rsid w:val="000E1B42"/>
    <w:rsid w:val="000E58B0"/>
    <w:rsid w:val="000E75CA"/>
    <w:rsid w:val="000F1636"/>
    <w:rsid w:val="000F1787"/>
    <w:rsid w:val="000F7985"/>
    <w:rsid w:val="001035B7"/>
    <w:rsid w:val="001070C9"/>
    <w:rsid w:val="00116221"/>
    <w:rsid w:val="001174D7"/>
    <w:rsid w:val="001223C9"/>
    <w:rsid w:val="0012358C"/>
    <w:rsid w:val="001236F8"/>
    <w:rsid w:val="00125BE1"/>
    <w:rsid w:val="001316A3"/>
    <w:rsid w:val="001328C5"/>
    <w:rsid w:val="00132C59"/>
    <w:rsid w:val="00134F40"/>
    <w:rsid w:val="00135867"/>
    <w:rsid w:val="00143B08"/>
    <w:rsid w:val="0014541A"/>
    <w:rsid w:val="0014551E"/>
    <w:rsid w:val="0014615C"/>
    <w:rsid w:val="001501B7"/>
    <w:rsid w:val="001510CE"/>
    <w:rsid w:val="00152C61"/>
    <w:rsid w:val="0015602C"/>
    <w:rsid w:val="00160D56"/>
    <w:rsid w:val="00164F3C"/>
    <w:rsid w:val="0016595E"/>
    <w:rsid w:val="00165990"/>
    <w:rsid w:val="00176049"/>
    <w:rsid w:val="00176949"/>
    <w:rsid w:val="00180759"/>
    <w:rsid w:val="00180C9A"/>
    <w:rsid w:val="001823B8"/>
    <w:rsid w:val="0019168D"/>
    <w:rsid w:val="001954BA"/>
    <w:rsid w:val="0019643B"/>
    <w:rsid w:val="001A0BA0"/>
    <w:rsid w:val="001A1D90"/>
    <w:rsid w:val="001A3204"/>
    <w:rsid w:val="001B0026"/>
    <w:rsid w:val="001B0266"/>
    <w:rsid w:val="001B2AA9"/>
    <w:rsid w:val="001B3D7D"/>
    <w:rsid w:val="001C0A27"/>
    <w:rsid w:val="001C58AE"/>
    <w:rsid w:val="001C6D8D"/>
    <w:rsid w:val="001D49AE"/>
    <w:rsid w:val="001E1FFB"/>
    <w:rsid w:val="001E2012"/>
    <w:rsid w:val="001E2264"/>
    <w:rsid w:val="001E4231"/>
    <w:rsid w:val="001E44AD"/>
    <w:rsid w:val="001F22FD"/>
    <w:rsid w:val="001F2AF7"/>
    <w:rsid w:val="001F665A"/>
    <w:rsid w:val="0020261A"/>
    <w:rsid w:val="00206365"/>
    <w:rsid w:val="0021046F"/>
    <w:rsid w:val="00211E46"/>
    <w:rsid w:val="00215F09"/>
    <w:rsid w:val="00217982"/>
    <w:rsid w:val="0022038C"/>
    <w:rsid w:val="002217E1"/>
    <w:rsid w:val="00221B6A"/>
    <w:rsid w:val="002267BB"/>
    <w:rsid w:val="00237CD9"/>
    <w:rsid w:val="00240D4A"/>
    <w:rsid w:val="0024143A"/>
    <w:rsid w:val="00241E77"/>
    <w:rsid w:val="002424AD"/>
    <w:rsid w:val="0024280B"/>
    <w:rsid w:val="00244E3F"/>
    <w:rsid w:val="00246021"/>
    <w:rsid w:val="002465DF"/>
    <w:rsid w:val="00246E6B"/>
    <w:rsid w:val="00253116"/>
    <w:rsid w:val="00254E84"/>
    <w:rsid w:val="00254F20"/>
    <w:rsid w:val="00255109"/>
    <w:rsid w:val="0025771C"/>
    <w:rsid w:val="002614E0"/>
    <w:rsid w:val="00261E2C"/>
    <w:rsid w:val="00264E36"/>
    <w:rsid w:val="00265179"/>
    <w:rsid w:val="00267A48"/>
    <w:rsid w:val="00272E84"/>
    <w:rsid w:val="00275C82"/>
    <w:rsid w:val="00277735"/>
    <w:rsid w:val="00282D98"/>
    <w:rsid w:val="00283B2B"/>
    <w:rsid w:val="00283BD2"/>
    <w:rsid w:val="00285439"/>
    <w:rsid w:val="00290F06"/>
    <w:rsid w:val="00292D78"/>
    <w:rsid w:val="00294584"/>
    <w:rsid w:val="00295D1B"/>
    <w:rsid w:val="0029799E"/>
    <w:rsid w:val="002A1337"/>
    <w:rsid w:val="002B2F75"/>
    <w:rsid w:val="002B34D6"/>
    <w:rsid w:val="002C0AA5"/>
    <w:rsid w:val="002C3056"/>
    <w:rsid w:val="002C532F"/>
    <w:rsid w:val="002D18A2"/>
    <w:rsid w:val="002D3BAD"/>
    <w:rsid w:val="002D4C7F"/>
    <w:rsid w:val="002D6E22"/>
    <w:rsid w:val="002E7060"/>
    <w:rsid w:val="002F0687"/>
    <w:rsid w:val="002F2138"/>
    <w:rsid w:val="002F3913"/>
    <w:rsid w:val="002F58CE"/>
    <w:rsid w:val="002F5924"/>
    <w:rsid w:val="002F6265"/>
    <w:rsid w:val="002F79C6"/>
    <w:rsid w:val="003121A6"/>
    <w:rsid w:val="00315204"/>
    <w:rsid w:val="00316F08"/>
    <w:rsid w:val="003209DB"/>
    <w:rsid w:val="00321630"/>
    <w:rsid w:val="003218D3"/>
    <w:rsid w:val="00322970"/>
    <w:rsid w:val="00322A86"/>
    <w:rsid w:val="00322E66"/>
    <w:rsid w:val="003318E9"/>
    <w:rsid w:val="00331D92"/>
    <w:rsid w:val="00334ED1"/>
    <w:rsid w:val="00335E8C"/>
    <w:rsid w:val="00337E63"/>
    <w:rsid w:val="0034271D"/>
    <w:rsid w:val="003437DC"/>
    <w:rsid w:val="00343AE2"/>
    <w:rsid w:val="00353C38"/>
    <w:rsid w:val="003549A3"/>
    <w:rsid w:val="00355286"/>
    <w:rsid w:val="003570D6"/>
    <w:rsid w:val="00360BC7"/>
    <w:rsid w:val="003663EF"/>
    <w:rsid w:val="00366DB3"/>
    <w:rsid w:val="00370DDE"/>
    <w:rsid w:val="00371CC0"/>
    <w:rsid w:val="00371CEF"/>
    <w:rsid w:val="00372399"/>
    <w:rsid w:val="00373B49"/>
    <w:rsid w:val="00373E43"/>
    <w:rsid w:val="0037536B"/>
    <w:rsid w:val="00375618"/>
    <w:rsid w:val="00375D3D"/>
    <w:rsid w:val="00383060"/>
    <w:rsid w:val="0038550B"/>
    <w:rsid w:val="003918CB"/>
    <w:rsid w:val="00393B88"/>
    <w:rsid w:val="003A4130"/>
    <w:rsid w:val="003A511E"/>
    <w:rsid w:val="003A7C38"/>
    <w:rsid w:val="003B066A"/>
    <w:rsid w:val="003B5521"/>
    <w:rsid w:val="003B62B3"/>
    <w:rsid w:val="003B6B63"/>
    <w:rsid w:val="003B761D"/>
    <w:rsid w:val="003C36B1"/>
    <w:rsid w:val="003C4AC2"/>
    <w:rsid w:val="003C7338"/>
    <w:rsid w:val="003D58B3"/>
    <w:rsid w:val="003D5C7E"/>
    <w:rsid w:val="003D64E0"/>
    <w:rsid w:val="003D6AE7"/>
    <w:rsid w:val="003E72BB"/>
    <w:rsid w:val="003F146E"/>
    <w:rsid w:val="003F1E92"/>
    <w:rsid w:val="003F5E51"/>
    <w:rsid w:val="003F6298"/>
    <w:rsid w:val="00402EF0"/>
    <w:rsid w:val="004052AC"/>
    <w:rsid w:val="0040595F"/>
    <w:rsid w:val="0041131B"/>
    <w:rsid w:val="00416793"/>
    <w:rsid w:val="0042126F"/>
    <w:rsid w:val="0043278F"/>
    <w:rsid w:val="00433218"/>
    <w:rsid w:val="00437038"/>
    <w:rsid w:val="004417B6"/>
    <w:rsid w:val="004438A5"/>
    <w:rsid w:val="004464EF"/>
    <w:rsid w:val="0045033E"/>
    <w:rsid w:val="00451FB3"/>
    <w:rsid w:val="004531C1"/>
    <w:rsid w:val="00454703"/>
    <w:rsid w:val="004568D4"/>
    <w:rsid w:val="00462A87"/>
    <w:rsid w:val="004663BD"/>
    <w:rsid w:val="004665F1"/>
    <w:rsid w:val="00467B74"/>
    <w:rsid w:val="00476835"/>
    <w:rsid w:val="00483858"/>
    <w:rsid w:val="0048587F"/>
    <w:rsid w:val="0048623E"/>
    <w:rsid w:val="004865BA"/>
    <w:rsid w:val="00487643"/>
    <w:rsid w:val="00487940"/>
    <w:rsid w:val="00491761"/>
    <w:rsid w:val="004923A3"/>
    <w:rsid w:val="004945AD"/>
    <w:rsid w:val="00494F42"/>
    <w:rsid w:val="004A1114"/>
    <w:rsid w:val="004A5A92"/>
    <w:rsid w:val="004B075D"/>
    <w:rsid w:val="004B6FA4"/>
    <w:rsid w:val="004B6FB9"/>
    <w:rsid w:val="004C3AAF"/>
    <w:rsid w:val="004C5284"/>
    <w:rsid w:val="004D057F"/>
    <w:rsid w:val="004D2E9D"/>
    <w:rsid w:val="004E1A3C"/>
    <w:rsid w:val="004E58AE"/>
    <w:rsid w:val="004E5D4F"/>
    <w:rsid w:val="004E6D32"/>
    <w:rsid w:val="004F1172"/>
    <w:rsid w:val="004F2A98"/>
    <w:rsid w:val="004F4404"/>
    <w:rsid w:val="004F58F4"/>
    <w:rsid w:val="004F6CBB"/>
    <w:rsid w:val="004F7BFF"/>
    <w:rsid w:val="004F7F52"/>
    <w:rsid w:val="00503777"/>
    <w:rsid w:val="0050573A"/>
    <w:rsid w:val="00506967"/>
    <w:rsid w:val="0051149B"/>
    <w:rsid w:val="00511CC5"/>
    <w:rsid w:val="0051401E"/>
    <w:rsid w:val="00516F71"/>
    <w:rsid w:val="00520B97"/>
    <w:rsid w:val="00526B53"/>
    <w:rsid w:val="00530C98"/>
    <w:rsid w:val="00532D88"/>
    <w:rsid w:val="00536BBA"/>
    <w:rsid w:val="005400B8"/>
    <w:rsid w:val="0054106B"/>
    <w:rsid w:val="005424A3"/>
    <w:rsid w:val="00545E67"/>
    <w:rsid w:val="0055018F"/>
    <w:rsid w:val="00550B6D"/>
    <w:rsid w:val="005531A9"/>
    <w:rsid w:val="00554C81"/>
    <w:rsid w:val="0055623A"/>
    <w:rsid w:val="0055654D"/>
    <w:rsid w:val="0056012C"/>
    <w:rsid w:val="00566598"/>
    <w:rsid w:val="0056694A"/>
    <w:rsid w:val="0056721D"/>
    <w:rsid w:val="00567B92"/>
    <w:rsid w:val="00572E8B"/>
    <w:rsid w:val="005762DE"/>
    <w:rsid w:val="00580BAA"/>
    <w:rsid w:val="0058425E"/>
    <w:rsid w:val="00587428"/>
    <w:rsid w:val="00590F31"/>
    <w:rsid w:val="005929A5"/>
    <w:rsid w:val="005935CB"/>
    <w:rsid w:val="005943C4"/>
    <w:rsid w:val="005A2202"/>
    <w:rsid w:val="005A4C3C"/>
    <w:rsid w:val="005A5DCC"/>
    <w:rsid w:val="005A7B7D"/>
    <w:rsid w:val="005B1A63"/>
    <w:rsid w:val="005B1EBD"/>
    <w:rsid w:val="005B48BF"/>
    <w:rsid w:val="005B505C"/>
    <w:rsid w:val="005C0F06"/>
    <w:rsid w:val="005C4585"/>
    <w:rsid w:val="005C4FA5"/>
    <w:rsid w:val="005C50E5"/>
    <w:rsid w:val="005C55E5"/>
    <w:rsid w:val="005C6849"/>
    <w:rsid w:val="005C6D9A"/>
    <w:rsid w:val="005D31AC"/>
    <w:rsid w:val="005D74CE"/>
    <w:rsid w:val="005D775D"/>
    <w:rsid w:val="005E1E30"/>
    <w:rsid w:val="005E48F2"/>
    <w:rsid w:val="005E5061"/>
    <w:rsid w:val="005F0D36"/>
    <w:rsid w:val="005F1DE4"/>
    <w:rsid w:val="005F4D4A"/>
    <w:rsid w:val="005F515E"/>
    <w:rsid w:val="005F7D1D"/>
    <w:rsid w:val="00605C3B"/>
    <w:rsid w:val="00606EBB"/>
    <w:rsid w:val="00607BBE"/>
    <w:rsid w:val="00610B9F"/>
    <w:rsid w:val="00612968"/>
    <w:rsid w:val="0061331A"/>
    <w:rsid w:val="00615BC6"/>
    <w:rsid w:val="00616918"/>
    <w:rsid w:val="00621EDF"/>
    <w:rsid w:val="006221C8"/>
    <w:rsid w:val="00623AE2"/>
    <w:rsid w:val="00625185"/>
    <w:rsid w:val="006271E3"/>
    <w:rsid w:val="0063000C"/>
    <w:rsid w:val="00635E19"/>
    <w:rsid w:val="00637A96"/>
    <w:rsid w:val="00637B44"/>
    <w:rsid w:val="00642664"/>
    <w:rsid w:val="00646CA2"/>
    <w:rsid w:val="00650635"/>
    <w:rsid w:val="00651590"/>
    <w:rsid w:val="00651DCE"/>
    <w:rsid w:val="00652276"/>
    <w:rsid w:val="00652606"/>
    <w:rsid w:val="00653F9E"/>
    <w:rsid w:val="00655D15"/>
    <w:rsid w:val="006613C3"/>
    <w:rsid w:val="00661BFD"/>
    <w:rsid w:val="00666270"/>
    <w:rsid w:val="006711BE"/>
    <w:rsid w:val="006715F5"/>
    <w:rsid w:val="00672261"/>
    <w:rsid w:val="00672C42"/>
    <w:rsid w:val="00675DCE"/>
    <w:rsid w:val="00676A54"/>
    <w:rsid w:val="00676D82"/>
    <w:rsid w:val="00677599"/>
    <w:rsid w:val="00681282"/>
    <w:rsid w:val="00681D01"/>
    <w:rsid w:val="0068298C"/>
    <w:rsid w:val="00682D0C"/>
    <w:rsid w:val="006855F6"/>
    <w:rsid w:val="00691267"/>
    <w:rsid w:val="00692975"/>
    <w:rsid w:val="00695452"/>
    <w:rsid w:val="006A0DCC"/>
    <w:rsid w:val="006A64C0"/>
    <w:rsid w:val="006A7458"/>
    <w:rsid w:val="006A7618"/>
    <w:rsid w:val="006A7A15"/>
    <w:rsid w:val="006B5199"/>
    <w:rsid w:val="006B5A5B"/>
    <w:rsid w:val="006C2258"/>
    <w:rsid w:val="006C5646"/>
    <w:rsid w:val="006D1194"/>
    <w:rsid w:val="006D2663"/>
    <w:rsid w:val="006D3C68"/>
    <w:rsid w:val="006D4D9C"/>
    <w:rsid w:val="006D6CFB"/>
    <w:rsid w:val="006E046C"/>
    <w:rsid w:val="006E1D72"/>
    <w:rsid w:val="006E22D3"/>
    <w:rsid w:val="006E24D5"/>
    <w:rsid w:val="006E546B"/>
    <w:rsid w:val="006E553D"/>
    <w:rsid w:val="006E624F"/>
    <w:rsid w:val="006E6C52"/>
    <w:rsid w:val="006E7B1F"/>
    <w:rsid w:val="006F0B31"/>
    <w:rsid w:val="006F1AA7"/>
    <w:rsid w:val="006F3648"/>
    <w:rsid w:val="006F3D37"/>
    <w:rsid w:val="006F532F"/>
    <w:rsid w:val="006F6515"/>
    <w:rsid w:val="00701623"/>
    <w:rsid w:val="007047CF"/>
    <w:rsid w:val="00707F8C"/>
    <w:rsid w:val="00711BF4"/>
    <w:rsid w:val="0071284C"/>
    <w:rsid w:val="00717480"/>
    <w:rsid w:val="00722F8F"/>
    <w:rsid w:val="00723587"/>
    <w:rsid w:val="0072489E"/>
    <w:rsid w:val="00725B9C"/>
    <w:rsid w:val="00725BB1"/>
    <w:rsid w:val="00730559"/>
    <w:rsid w:val="0073146E"/>
    <w:rsid w:val="00731A27"/>
    <w:rsid w:val="007346A6"/>
    <w:rsid w:val="007349F8"/>
    <w:rsid w:val="00735EAA"/>
    <w:rsid w:val="007366EB"/>
    <w:rsid w:val="00742755"/>
    <w:rsid w:val="0074360A"/>
    <w:rsid w:val="00745D0A"/>
    <w:rsid w:val="00750341"/>
    <w:rsid w:val="0075649C"/>
    <w:rsid w:val="0076107D"/>
    <w:rsid w:val="00762C76"/>
    <w:rsid w:val="0077644F"/>
    <w:rsid w:val="00790EA5"/>
    <w:rsid w:val="00792F58"/>
    <w:rsid w:val="00793127"/>
    <w:rsid w:val="007A0E37"/>
    <w:rsid w:val="007A3E73"/>
    <w:rsid w:val="007B23CF"/>
    <w:rsid w:val="007B29AB"/>
    <w:rsid w:val="007B37FC"/>
    <w:rsid w:val="007B39EB"/>
    <w:rsid w:val="007B58D7"/>
    <w:rsid w:val="007B683B"/>
    <w:rsid w:val="007B6A80"/>
    <w:rsid w:val="007C2099"/>
    <w:rsid w:val="007C3D8F"/>
    <w:rsid w:val="007C44DB"/>
    <w:rsid w:val="007C64A9"/>
    <w:rsid w:val="007C721D"/>
    <w:rsid w:val="007D30ED"/>
    <w:rsid w:val="007E2B17"/>
    <w:rsid w:val="007E5868"/>
    <w:rsid w:val="007E6A18"/>
    <w:rsid w:val="007F0257"/>
    <w:rsid w:val="007F1AD6"/>
    <w:rsid w:val="008034A9"/>
    <w:rsid w:val="008101D8"/>
    <w:rsid w:val="0081086D"/>
    <w:rsid w:val="00811511"/>
    <w:rsid w:val="00813032"/>
    <w:rsid w:val="00821800"/>
    <w:rsid w:val="008258D6"/>
    <w:rsid w:val="00827E6D"/>
    <w:rsid w:val="00830C4D"/>
    <w:rsid w:val="00841127"/>
    <w:rsid w:val="008432EE"/>
    <w:rsid w:val="008458EA"/>
    <w:rsid w:val="00845FE2"/>
    <w:rsid w:val="00850B9E"/>
    <w:rsid w:val="00854358"/>
    <w:rsid w:val="00855374"/>
    <w:rsid w:val="00857B4E"/>
    <w:rsid w:val="00857EA5"/>
    <w:rsid w:val="008620C1"/>
    <w:rsid w:val="00862102"/>
    <w:rsid w:val="00863046"/>
    <w:rsid w:val="00863B17"/>
    <w:rsid w:val="00865096"/>
    <w:rsid w:val="008654BB"/>
    <w:rsid w:val="0086730A"/>
    <w:rsid w:val="008678D3"/>
    <w:rsid w:val="00871F86"/>
    <w:rsid w:val="008745D6"/>
    <w:rsid w:val="008774DF"/>
    <w:rsid w:val="00877576"/>
    <w:rsid w:val="00891913"/>
    <w:rsid w:val="00894C81"/>
    <w:rsid w:val="00895AB8"/>
    <w:rsid w:val="00897E0F"/>
    <w:rsid w:val="008A02BC"/>
    <w:rsid w:val="008A11DE"/>
    <w:rsid w:val="008A3D45"/>
    <w:rsid w:val="008A7354"/>
    <w:rsid w:val="008A787F"/>
    <w:rsid w:val="008B43B3"/>
    <w:rsid w:val="008C0002"/>
    <w:rsid w:val="008C0DFA"/>
    <w:rsid w:val="008C7455"/>
    <w:rsid w:val="008C7D3A"/>
    <w:rsid w:val="008D408A"/>
    <w:rsid w:val="008D6B85"/>
    <w:rsid w:val="008E02DA"/>
    <w:rsid w:val="008E717E"/>
    <w:rsid w:val="008E7C5C"/>
    <w:rsid w:val="008F5111"/>
    <w:rsid w:val="008F7BFD"/>
    <w:rsid w:val="0090122D"/>
    <w:rsid w:val="00903845"/>
    <w:rsid w:val="00911C55"/>
    <w:rsid w:val="00912836"/>
    <w:rsid w:val="00915A10"/>
    <w:rsid w:val="00921784"/>
    <w:rsid w:val="0092297D"/>
    <w:rsid w:val="00923FC2"/>
    <w:rsid w:val="0092639F"/>
    <w:rsid w:val="00931649"/>
    <w:rsid w:val="009337C4"/>
    <w:rsid w:val="00935530"/>
    <w:rsid w:val="00937DE3"/>
    <w:rsid w:val="00940F86"/>
    <w:rsid w:val="009464AD"/>
    <w:rsid w:val="009471C8"/>
    <w:rsid w:val="00947DE5"/>
    <w:rsid w:val="00950D0A"/>
    <w:rsid w:val="00952054"/>
    <w:rsid w:val="00954735"/>
    <w:rsid w:val="0095658B"/>
    <w:rsid w:val="00957EED"/>
    <w:rsid w:val="00961633"/>
    <w:rsid w:val="0096367A"/>
    <w:rsid w:val="00976BD2"/>
    <w:rsid w:val="00980F7B"/>
    <w:rsid w:val="00980FEC"/>
    <w:rsid w:val="00983B1F"/>
    <w:rsid w:val="00984450"/>
    <w:rsid w:val="009857C1"/>
    <w:rsid w:val="009977F2"/>
    <w:rsid w:val="00997860"/>
    <w:rsid w:val="009A789F"/>
    <w:rsid w:val="009A79D9"/>
    <w:rsid w:val="009B0507"/>
    <w:rsid w:val="009B5F80"/>
    <w:rsid w:val="009B6DE4"/>
    <w:rsid w:val="009C0F8E"/>
    <w:rsid w:val="009C419F"/>
    <w:rsid w:val="009E40C6"/>
    <w:rsid w:val="009E4620"/>
    <w:rsid w:val="009E6AA9"/>
    <w:rsid w:val="009E6E58"/>
    <w:rsid w:val="009E6FD8"/>
    <w:rsid w:val="009F25DC"/>
    <w:rsid w:val="009F30B2"/>
    <w:rsid w:val="009F3316"/>
    <w:rsid w:val="009F51AD"/>
    <w:rsid w:val="00A01266"/>
    <w:rsid w:val="00A02D5A"/>
    <w:rsid w:val="00A03405"/>
    <w:rsid w:val="00A03E96"/>
    <w:rsid w:val="00A077D9"/>
    <w:rsid w:val="00A11C83"/>
    <w:rsid w:val="00A13F13"/>
    <w:rsid w:val="00A22EA7"/>
    <w:rsid w:val="00A23325"/>
    <w:rsid w:val="00A23C16"/>
    <w:rsid w:val="00A26D96"/>
    <w:rsid w:val="00A272C3"/>
    <w:rsid w:val="00A27D62"/>
    <w:rsid w:val="00A33DDC"/>
    <w:rsid w:val="00A34E9F"/>
    <w:rsid w:val="00A40B7D"/>
    <w:rsid w:val="00A40FB6"/>
    <w:rsid w:val="00A41AAF"/>
    <w:rsid w:val="00A45B32"/>
    <w:rsid w:val="00A463FE"/>
    <w:rsid w:val="00A533F8"/>
    <w:rsid w:val="00A612DF"/>
    <w:rsid w:val="00A6247C"/>
    <w:rsid w:val="00A624E6"/>
    <w:rsid w:val="00A62CD6"/>
    <w:rsid w:val="00A63279"/>
    <w:rsid w:val="00A63A11"/>
    <w:rsid w:val="00A64380"/>
    <w:rsid w:val="00A64FB4"/>
    <w:rsid w:val="00A806D8"/>
    <w:rsid w:val="00A807A1"/>
    <w:rsid w:val="00A80F13"/>
    <w:rsid w:val="00A82817"/>
    <w:rsid w:val="00A838C6"/>
    <w:rsid w:val="00A84810"/>
    <w:rsid w:val="00A851A2"/>
    <w:rsid w:val="00A8522F"/>
    <w:rsid w:val="00A858CE"/>
    <w:rsid w:val="00A86B56"/>
    <w:rsid w:val="00A87E8F"/>
    <w:rsid w:val="00A907B0"/>
    <w:rsid w:val="00A91209"/>
    <w:rsid w:val="00A9498E"/>
    <w:rsid w:val="00A9518E"/>
    <w:rsid w:val="00A96296"/>
    <w:rsid w:val="00A96B81"/>
    <w:rsid w:val="00AA53F2"/>
    <w:rsid w:val="00AA5820"/>
    <w:rsid w:val="00AA7062"/>
    <w:rsid w:val="00AB26C4"/>
    <w:rsid w:val="00AB2B43"/>
    <w:rsid w:val="00AB6B0A"/>
    <w:rsid w:val="00AB7F03"/>
    <w:rsid w:val="00AC18C1"/>
    <w:rsid w:val="00AC2980"/>
    <w:rsid w:val="00AC7F31"/>
    <w:rsid w:val="00AD00D0"/>
    <w:rsid w:val="00AD0244"/>
    <w:rsid w:val="00AD3158"/>
    <w:rsid w:val="00AD519C"/>
    <w:rsid w:val="00AD52CE"/>
    <w:rsid w:val="00AD6261"/>
    <w:rsid w:val="00AE003C"/>
    <w:rsid w:val="00AE0177"/>
    <w:rsid w:val="00AE2EE0"/>
    <w:rsid w:val="00AE744B"/>
    <w:rsid w:val="00AF079F"/>
    <w:rsid w:val="00AF1C69"/>
    <w:rsid w:val="00AF4A49"/>
    <w:rsid w:val="00AF4EE2"/>
    <w:rsid w:val="00AF5412"/>
    <w:rsid w:val="00AF5F04"/>
    <w:rsid w:val="00AF5FA7"/>
    <w:rsid w:val="00AF6D5C"/>
    <w:rsid w:val="00AF7083"/>
    <w:rsid w:val="00B04689"/>
    <w:rsid w:val="00B14165"/>
    <w:rsid w:val="00B16B51"/>
    <w:rsid w:val="00B171B9"/>
    <w:rsid w:val="00B217AB"/>
    <w:rsid w:val="00B239E0"/>
    <w:rsid w:val="00B24B0F"/>
    <w:rsid w:val="00B256C1"/>
    <w:rsid w:val="00B269D6"/>
    <w:rsid w:val="00B26D40"/>
    <w:rsid w:val="00B26FB1"/>
    <w:rsid w:val="00B27E43"/>
    <w:rsid w:val="00B34441"/>
    <w:rsid w:val="00B42D83"/>
    <w:rsid w:val="00B43508"/>
    <w:rsid w:val="00B44C3F"/>
    <w:rsid w:val="00B456F5"/>
    <w:rsid w:val="00B464F7"/>
    <w:rsid w:val="00B46EFD"/>
    <w:rsid w:val="00B5227B"/>
    <w:rsid w:val="00B55432"/>
    <w:rsid w:val="00B55AE4"/>
    <w:rsid w:val="00B56522"/>
    <w:rsid w:val="00B57EA0"/>
    <w:rsid w:val="00B63116"/>
    <w:rsid w:val="00B64690"/>
    <w:rsid w:val="00B65CB6"/>
    <w:rsid w:val="00B66173"/>
    <w:rsid w:val="00B66CB9"/>
    <w:rsid w:val="00B71EB9"/>
    <w:rsid w:val="00B73034"/>
    <w:rsid w:val="00B73BCB"/>
    <w:rsid w:val="00B85875"/>
    <w:rsid w:val="00B858B6"/>
    <w:rsid w:val="00B874D6"/>
    <w:rsid w:val="00B93DB4"/>
    <w:rsid w:val="00B964A7"/>
    <w:rsid w:val="00BA1F3B"/>
    <w:rsid w:val="00BA2188"/>
    <w:rsid w:val="00BA7B0C"/>
    <w:rsid w:val="00BA7BE7"/>
    <w:rsid w:val="00BB24D5"/>
    <w:rsid w:val="00BB3DA0"/>
    <w:rsid w:val="00BB5105"/>
    <w:rsid w:val="00BC3F97"/>
    <w:rsid w:val="00BC5D9C"/>
    <w:rsid w:val="00BD0A1B"/>
    <w:rsid w:val="00BD1DF7"/>
    <w:rsid w:val="00BD2CCA"/>
    <w:rsid w:val="00BD3213"/>
    <w:rsid w:val="00BD637E"/>
    <w:rsid w:val="00BE0F01"/>
    <w:rsid w:val="00BE5058"/>
    <w:rsid w:val="00BE5E15"/>
    <w:rsid w:val="00BF2803"/>
    <w:rsid w:val="00BF425D"/>
    <w:rsid w:val="00BF7ABE"/>
    <w:rsid w:val="00C00D99"/>
    <w:rsid w:val="00C01888"/>
    <w:rsid w:val="00C04A7F"/>
    <w:rsid w:val="00C052F9"/>
    <w:rsid w:val="00C12AB5"/>
    <w:rsid w:val="00C137D0"/>
    <w:rsid w:val="00C15592"/>
    <w:rsid w:val="00C17763"/>
    <w:rsid w:val="00C20A85"/>
    <w:rsid w:val="00C25018"/>
    <w:rsid w:val="00C32C42"/>
    <w:rsid w:val="00C35528"/>
    <w:rsid w:val="00C35BAA"/>
    <w:rsid w:val="00C35EC9"/>
    <w:rsid w:val="00C46853"/>
    <w:rsid w:val="00C47537"/>
    <w:rsid w:val="00C50521"/>
    <w:rsid w:val="00C54340"/>
    <w:rsid w:val="00C6088F"/>
    <w:rsid w:val="00C62E9F"/>
    <w:rsid w:val="00C702B8"/>
    <w:rsid w:val="00C7061D"/>
    <w:rsid w:val="00C71141"/>
    <w:rsid w:val="00C73557"/>
    <w:rsid w:val="00C74F60"/>
    <w:rsid w:val="00C754FE"/>
    <w:rsid w:val="00C759C3"/>
    <w:rsid w:val="00C83817"/>
    <w:rsid w:val="00C83832"/>
    <w:rsid w:val="00C86F66"/>
    <w:rsid w:val="00C91E30"/>
    <w:rsid w:val="00C9619F"/>
    <w:rsid w:val="00CA0C0F"/>
    <w:rsid w:val="00CA14D8"/>
    <w:rsid w:val="00CA4239"/>
    <w:rsid w:val="00CB47D5"/>
    <w:rsid w:val="00CB4C0F"/>
    <w:rsid w:val="00CB5AB7"/>
    <w:rsid w:val="00CB6975"/>
    <w:rsid w:val="00CB7079"/>
    <w:rsid w:val="00CC2630"/>
    <w:rsid w:val="00CD0210"/>
    <w:rsid w:val="00CD119C"/>
    <w:rsid w:val="00CD1D4E"/>
    <w:rsid w:val="00CD4381"/>
    <w:rsid w:val="00CD70ED"/>
    <w:rsid w:val="00CE27BA"/>
    <w:rsid w:val="00CE4446"/>
    <w:rsid w:val="00CE4968"/>
    <w:rsid w:val="00CE6E7E"/>
    <w:rsid w:val="00CF20BD"/>
    <w:rsid w:val="00CF26B4"/>
    <w:rsid w:val="00CF2DDD"/>
    <w:rsid w:val="00CF3384"/>
    <w:rsid w:val="00CF71F9"/>
    <w:rsid w:val="00D00424"/>
    <w:rsid w:val="00D0205E"/>
    <w:rsid w:val="00D058C1"/>
    <w:rsid w:val="00D07A68"/>
    <w:rsid w:val="00D10456"/>
    <w:rsid w:val="00D1100A"/>
    <w:rsid w:val="00D15C86"/>
    <w:rsid w:val="00D26416"/>
    <w:rsid w:val="00D26668"/>
    <w:rsid w:val="00D30418"/>
    <w:rsid w:val="00D3170D"/>
    <w:rsid w:val="00D321FE"/>
    <w:rsid w:val="00D34BD5"/>
    <w:rsid w:val="00D34C55"/>
    <w:rsid w:val="00D35B4C"/>
    <w:rsid w:val="00D41287"/>
    <w:rsid w:val="00D42929"/>
    <w:rsid w:val="00D42B15"/>
    <w:rsid w:val="00D4381E"/>
    <w:rsid w:val="00D532E2"/>
    <w:rsid w:val="00D62B45"/>
    <w:rsid w:val="00D73016"/>
    <w:rsid w:val="00D75745"/>
    <w:rsid w:val="00D7660A"/>
    <w:rsid w:val="00D800DC"/>
    <w:rsid w:val="00D807CF"/>
    <w:rsid w:val="00D8119B"/>
    <w:rsid w:val="00D85688"/>
    <w:rsid w:val="00D85972"/>
    <w:rsid w:val="00D859C9"/>
    <w:rsid w:val="00D868DD"/>
    <w:rsid w:val="00D87712"/>
    <w:rsid w:val="00D878E6"/>
    <w:rsid w:val="00D90741"/>
    <w:rsid w:val="00D926C3"/>
    <w:rsid w:val="00D927CC"/>
    <w:rsid w:val="00D948FD"/>
    <w:rsid w:val="00D96D4F"/>
    <w:rsid w:val="00DA0817"/>
    <w:rsid w:val="00DA1877"/>
    <w:rsid w:val="00DA2304"/>
    <w:rsid w:val="00DA2774"/>
    <w:rsid w:val="00DA4033"/>
    <w:rsid w:val="00DA6AAF"/>
    <w:rsid w:val="00DB07F2"/>
    <w:rsid w:val="00DB216F"/>
    <w:rsid w:val="00DB4615"/>
    <w:rsid w:val="00DB53DD"/>
    <w:rsid w:val="00DB6B5B"/>
    <w:rsid w:val="00DC111D"/>
    <w:rsid w:val="00DC2D5D"/>
    <w:rsid w:val="00DC382F"/>
    <w:rsid w:val="00DC499A"/>
    <w:rsid w:val="00DC5C0A"/>
    <w:rsid w:val="00DC7AEA"/>
    <w:rsid w:val="00DD0A83"/>
    <w:rsid w:val="00DD24D5"/>
    <w:rsid w:val="00DD442B"/>
    <w:rsid w:val="00DD45EB"/>
    <w:rsid w:val="00DD4AF6"/>
    <w:rsid w:val="00DD5D74"/>
    <w:rsid w:val="00DD720B"/>
    <w:rsid w:val="00DE1B96"/>
    <w:rsid w:val="00DE44FF"/>
    <w:rsid w:val="00DE5474"/>
    <w:rsid w:val="00DE5E18"/>
    <w:rsid w:val="00DE6CF3"/>
    <w:rsid w:val="00DF1154"/>
    <w:rsid w:val="00DF39CC"/>
    <w:rsid w:val="00DF6263"/>
    <w:rsid w:val="00DF689D"/>
    <w:rsid w:val="00DF7D31"/>
    <w:rsid w:val="00E00646"/>
    <w:rsid w:val="00E025CE"/>
    <w:rsid w:val="00E02B6B"/>
    <w:rsid w:val="00E0302B"/>
    <w:rsid w:val="00E03659"/>
    <w:rsid w:val="00E051FB"/>
    <w:rsid w:val="00E0748B"/>
    <w:rsid w:val="00E07BAD"/>
    <w:rsid w:val="00E178CD"/>
    <w:rsid w:val="00E17DFC"/>
    <w:rsid w:val="00E17EAB"/>
    <w:rsid w:val="00E22B99"/>
    <w:rsid w:val="00E23CE3"/>
    <w:rsid w:val="00E25496"/>
    <w:rsid w:val="00E30749"/>
    <w:rsid w:val="00E32632"/>
    <w:rsid w:val="00E40B96"/>
    <w:rsid w:val="00E41CDB"/>
    <w:rsid w:val="00E46C16"/>
    <w:rsid w:val="00E47D07"/>
    <w:rsid w:val="00E51F66"/>
    <w:rsid w:val="00E52612"/>
    <w:rsid w:val="00E537FD"/>
    <w:rsid w:val="00E60B1A"/>
    <w:rsid w:val="00E6188A"/>
    <w:rsid w:val="00E63F1C"/>
    <w:rsid w:val="00E65204"/>
    <w:rsid w:val="00E6634D"/>
    <w:rsid w:val="00E70DE1"/>
    <w:rsid w:val="00E73263"/>
    <w:rsid w:val="00E74DFD"/>
    <w:rsid w:val="00E75A3E"/>
    <w:rsid w:val="00E76782"/>
    <w:rsid w:val="00E83FBA"/>
    <w:rsid w:val="00E841CF"/>
    <w:rsid w:val="00E9130F"/>
    <w:rsid w:val="00E92694"/>
    <w:rsid w:val="00E93486"/>
    <w:rsid w:val="00E93F5F"/>
    <w:rsid w:val="00E94A26"/>
    <w:rsid w:val="00E9708C"/>
    <w:rsid w:val="00E97927"/>
    <w:rsid w:val="00EA1F99"/>
    <w:rsid w:val="00EA30D1"/>
    <w:rsid w:val="00EA46CE"/>
    <w:rsid w:val="00EA67CC"/>
    <w:rsid w:val="00EB05D3"/>
    <w:rsid w:val="00EC252A"/>
    <w:rsid w:val="00EC2785"/>
    <w:rsid w:val="00EC42F2"/>
    <w:rsid w:val="00ED046F"/>
    <w:rsid w:val="00ED3A3C"/>
    <w:rsid w:val="00ED7E0F"/>
    <w:rsid w:val="00EE1BCD"/>
    <w:rsid w:val="00EE42F4"/>
    <w:rsid w:val="00EE4B00"/>
    <w:rsid w:val="00EE6B3E"/>
    <w:rsid w:val="00EF4B0C"/>
    <w:rsid w:val="00EF56F6"/>
    <w:rsid w:val="00EF5970"/>
    <w:rsid w:val="00EF6B39"/>
    <w:rsid w:val="00F003F4"/>
    <w:rsid w:val="00F04C32"/>
    <w:rsid w:val="00F069EF"/>
    <w:rsid w:val="00F06CCF"/>
    <w:rsid w:val="00F0781F"/>
    <w:rsid w:val="00F144B0"/>
    <w:rsid w:val="00F14C46"/>
    <w:rsid w:val="00F2039A"/>
    <w:rsid w:val="00F27559"/>
    <w:rsid w:val="00F30832"/>
    <w:rsid w:val="00F32ED7"/>
    <w:rsid w:val="00F332F2"/>
    <w:rsid w:val="00F35B48"/>
    <w:rsid w:val="00F43E53"/>
    <w:rsid w:val="00F4780E"/>
    <w:rsid w:val="00F5237C"/>
    <w:rsid w:val="00F61CBA"/>
    <w:rsid w:val="00F6483F"/>
    <w:rsid w:val="00F72CB1"/>
    <w:rsid w:val="00F75B3F"/>
    <w:rsid w:val="00F81BBD"/>
    <w:rsid w:val="00F8355A"/>
    <w:rsid w:val="00F836D2"/>
    <w:rsid w:val="00F84842"/>
    <w:rsid w:val="00F84DE7"/>
    <w:rsid w:val="00F85E5F"/>
    <w:rsid w:val="00F87CA5"/>
    <w:rsid w:val="00F91ECE"/>
    <w:rsid w:val="00F93447"/>
    <w:rsid w:val="00F95142"/>
    <w:rsid w:val="00F951CA"/>
    <w:rsid w:val="00F96DF8"/>
    <w:rsid w:val="00FA0072"/>
    <w:rsid w:val="00FA6006"/>
    <w:rsid w:val="00FA7C0E"/>
    <w:rsid w:val="00FB4307"/>
    <w:rsid w:val="00FB468F"/>
    <w:rsid w:val="00FB652B"/>
    <w:rsid w:val="00FC08FB"/>
    <w:rsid w:val="00FC2441"/>
    <w:rsid w:val="00FC5629"/>
    <w:rsid w:val="00FC738A"/>
    <w:rsid w:val="00FD04EC"/>
    <w:rsid w:val="00FD0B8D"/>
    <w:rsid w:val="00FD364A"/>
    <w:rsid w:val="00FD3F6B"/>
    <w:rsid w:val="00FD71A1"/>
    <w:rsid w:val="00FD7315"/>
    <w:rsid w:val="00FD7563"/>
    <w:rsid w:val="00FE1FE6"/>
    <w:rsid w:val="00FE3190"/>
    <w:rsid w:val="00FF0BD5"/>
    <w:rsid w:val="00FF3D50"/>
    <w:rsid w:val="00FF5728"/>
    <w:rsid w:val="00FF69F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71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24D5"/>
    <w:pPr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DD24D5"/>
    <w:pPr>
      <w:keepNext/>
      <w:widowControl w:val="0"/>
      <w:spacing w:before="480"/>
      <w:ind w:left="567" w:hanging="567"/>
      <w:outlineLvl w:val="0"/>
    </w:pPr>
    <w:rPr>
      <w:b/>
      <w:bCs/>
      <w:iCs/>
      <w:caps/>
      <w:noProof/>
    </w:rPr>
  </w:style>
  <w:style w:type="paragraph" w:styleId="Nadpis2">
    <w:name w:val="heading 2"/>
    <w:basedOn w:val="Normlny"/>
    <w:next w:val="Normlny"/>
    <w:qFormat/>
    <w:rsid w:val="00DD24D5"/>
    <w:pPr>
      <w:keepNext/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D24D5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DD24D5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DD24D5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DD24D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DD24D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DD24D5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DD24D5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D24D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DD24D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DD24D5"/>
  </w:style>
  <w:style w:type="paragraph" w:styleId="Zarkazkladnhotextu">
    <w:name w:val="Body Text Indent"/>
    <w:basedOn w:val="Normlny"/>
    <w:rsid w:val="00DD24D5"/>
    <w:pPr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DD24D5"/>
    <w:pPr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DD24D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DD24D5"/>
    <w:pPr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DD24D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DD24D5"/>
    <w:rPr>
      <w:sz w:val="16"/>
      <w:szCs w:val="16"/>
    </w:rPr>
  </w:style>
  <w:style w:type="paragraph" w:styleId="Textkomentra">
    <w:name w:val="annotation text"/>
    <w:basedOn w:val="Normlny"/>
    <w:semiHidden/>
    <w:rsid w:val="00DD24D5"/>
    <w:rPr>
      <w:sz w:val="20"/>
    </w:rPr>
  </w:style>
  <w:style w:type="paragraph" w:customStyle="1" w:styleId="EMEAEnBodyText">
    <w:name w:val="EMEA En Body Text"/>
    <w:basedOn w:val="Normlny"/>
    <w:rsid w:val="00DD24D5"/>
    <w:pPr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DD24D5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basedOn w:val="Predvolenpsmoodseku"/>
    <w:rsid w:val="00DD24D5"/>
    <w:rPr>
      <w:color w:val="0000FF"/>
      <w:u w:val="single"/>
    </w:rPr>
  </w:style>
  <w:style w:type="paragraph" w:customStyle="1" w:styleId="AHeader1">
    <w:name w:val="AHeader 1"/>
    <w:basedOn w:val="Normlny"/>
    <w:rsid w:val="00DD24D5"/>
    <w:pPr>
      <w:numPr>
        <w:numId w:val="30"/>
      </w:numPr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D24D5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DD24D5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DD24D5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D24D5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DD24D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basedOn w:val="Predvolenpsmoodseku"/>
    <w:rsid w:val="00DD24D5"/>
    <w:rPr>
      <w:color w:val="800080"/>
      <w:u w:val="single"/>
    </w:rPr>
  </w:style>
  <w:style w:type="paragraph" w:customStyle="1" w:styleId="Default">
    <w:name w:val="Default"/>
    <w:rsid w:val="00DD24D5"/>
    <w:pPr>
      <w:autoSpaceDE w:val="0"/>
      <w:autoSpaceDN w:val="0"/>
      <w:adjustRightInd w:val="0"/>
    </w:pPr>
  </w:style>
  <w:style w:type="table" w:styleId="Mriekatabuky">
    <w:name w:val="Table Grid"/>
    <w:basedOn w:val="Normlnatabuka"/>
    <w:rsid w:val="00DD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D24D5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DD24D5"/>
    <w:rPr>
      <w:b/>
      <w:bCs/>
    </w:rPr>
  </w:style>
  <w:style w:type="paragraph" w:styleId="Revzia">
    <w:name w:val="Revision"/>
    <w:hidden/>
    <w:uiPriority w:val="99"/>
    <w:semiHidden/>
    <w:rsid w:val="009A789F"/>
    <w:rPr>
      <w:sz w:val="22"/>
    </w:rPr>
  </w:style>
  <w:style w:type="paragraph" w:styleId="Odsekzoznamu">
    <w:name w:val="List Paragraph"/>
    <w:basedOn w:val="Normlny"/>
    <w:uiPriority w:val="34"/>
    <w:qFormat/>
    <w:rsid w:val="00AF5FA7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894C81"/>
  </w:style>
  <w:style w:type="character" w:styleId="Zvraznenie">
    <w:name w:val="Emphasis"/>
    <w:basedOn w:val="Predvolenpsmoodseku"/>
    <w:uiPriority w:val="20"/>
    <w:qFormat/>
    <w:rsid w:val="00F84DE7"/>
    <w:rPr>
      <w:i/>
      <w:iCs/>
    </w:rPr>
  </w:style>
  <w:style w:type="paragraph" w:customStyle="1" w:styleId="CoverPageHeadline">
    <w:name w:val="CoverPageHeadline"/>
    <w:basedOn w:val="Normlny"/>
    <w:rsid w:val="00D948FD"/>
    <w:pPr>
      <w:spacing w:before="240" w:line="240" w:lineRule="auto"/>
    </w:pPr>
    <w:rPr>
      <w:b/>
      <w:sz w:val="24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964A7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24D5"/>
    <w:pPr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DD24D5"/>
    <w:pPr>
      <w:keepNext/>
      <w:widowControl w:val="0"/>
      <w:spacing w:before="480"/>
      <w:ind w:left="567" w:hanging="567"/>
      <w:outlineLvl w:val="0"/>
    </w:pPr>
    <w:rPr>
      <w:b/>
      <w:bCs/>
      <w:iCs/>
      <w:caps/>
      <w:noProof/>
    </w:rPr>
  </w:style>
  <w:style w:type="paragraph" w:styleId="Nadpis2">
    <w:name w:val="heading 2"/>
    <w:basedOn w:val="Normlny"/>
    <w:next w:val="Normlny"/>
    <w:qFormat/>
    <w:rsid w:val="00DD24D5"/>
    <w:pPr>
      <w:keepNext/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D24D5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DD24D5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DD24D5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DD24D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DD24D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DD24D5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DD24D5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D24D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DD24D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DD24D5"/>
  </w:style>
  <w:style w:type="paragraph" w:styleId="Zarkazkladnhotextu">
    <w:name w:val="Body Text Indent"/>
    <w:basedOn w:val="Normlny"/>
    <w:rsid w:val="00DD24D5"/>
    <w:pPr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DD24D5"/>
    <w:pPr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DD24D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DD24D5"/>
    <w:pPr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DD24D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DD24D5"/>
    <w:rPr>
      <w:sz w:val="16"/>
      <w:szCs w:val="16"/>
    </w:rPr>
  </w:style>
  <w:style w:type="paragraph" w:styleId="Textkomentra">
    <w:name w:val="annotation text"/>
    <w:basedOn w:val="Normlny"/>
    <w:semiHidden/>
    <w:rsid w:val="00DD24D5"/>
    <w:rPr>
      <w:sz w:val="20"/>
    </w:rPr>
  </w:style>
  <w:style w:type="paragraph" w:customStyle="1" w:styleId="EMEAEnBodyText">
    <w:name w:val="EMEA En Body Text"/>
    <w:basedOn w:val="Normlny"/>
    <w:rsid w:val="00DD24D5"/>
    <w:pPr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DD24D5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basedOn w:val="Predvolenpsmoodseku"/>
    <w:rsid w:val="00DD24D5"/>
    <w:rPr>
      <w:color w:val="0000FF"/>
      <w:u w:val="single"/>
    </w:rPr>
  </w:style>
  <w:style w:type="paragraph" w:customStyle="1" w:styleId="AHeader1">
    <w:name w:val="AHeader 1"/>
    <w:basedOn w:val="Normlny"/>
    <w:rsid w:val="00DD24D5"/>
    <w:pPr>
      <w:numPr>
        <w:numId w:val="30"/>
      </w:numPr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D24D5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DD24D5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DD24D5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D24D5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DD24D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basedOn w:val="Predvolenpsmoodseku"/>
    <w:rsid w:val="00DD24D5"/>
    <w:rPr>
      <w:color w:val="800080"/>
      <w:u w:val="single"/>
    </w:rPr>
  </w:style>
  <w:style w:type="paragraph" w:customStyle="1" w:styleId="Default">
    <w:name w:val="Default"/>
    <w:rsid w:val="00DD24D5"/>
    <w:pPr>
      <w:autoSpaceDE w:val="0"/>
      <w:autoSpaceDN w:val="0"/>
      <w:adjustRightInd w:val="0"/>
    </w:pPr>
  </w:style>
  <w:style w:type="table" w:styleId="Mriekatabuky">
    <w:name w:val="Table Grid"/>
    <w:basedOn w:val="Normlnatabuka"/>
    <w:rsid w:val="00DD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D24D5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DD24D5"/>
    <w:rPr>
      <w:b/>
      <w:bCs/>
    </w:rPr>
  </w:style>
  <w:style w:type="paragraph" w:styleId="Revzia">
    <w:name w:val="Revision"/>
    <w:hidden/>
    <w:uiPriority w:val="99"/>
    <w:semiHidden/>
    <w:rsid w:val="009A789F"/>
    <w:rPr>
      <w:sz w:val="22"/>
    </w:rPr>
  </w:style>
  <w:style w:type="paragraph" w:styleId="Odsekzoznamu">
    <w:name w:val="List Paragraph"/>
    <w:basedOn w:val="Normlny"/>
    <w:uiPriority w:val="34"/>
    <w:qFormat/>
    <w:rsid w:val="00AF5FA7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894C81"/>
  </w:style>
  <w:style w:type="character" w:styleId="Zvraznenie">
    <w:name w:val="Emphasis"/>
    <w:basedOn w:val="Predvolenpsmoodseku"/>
    <w:uiPriority w:val="20"/>
    <w:qFormat/>
    <w:rsid w:val="00F84DE7"/>
    <w:rPr>
      <w:i/>
      <w:iCs/>
    </w:rPr>
  </w:style>
  <w:style w:type="paragraph" w:customStyle="1" w:styleId="CoverPageHeadline">
    <w:name w:val="CoverPageHeadline"/>
    <w:basedOn w:val="Normlny"/>
    <w:rsid w:val="00D948FD"/>
    <w:pPr>
      <w:spacing w:before="240" w:line="240" w:lineRule="auto"/>
    </w:pPr>
    <w:rPr>
      <w:b/>
      <w:sz w:val="24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964A7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feirede\Application%20Data\Microsoft\Templates\SPC-en-QRD-2006-06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A8451-480E-446B-A626-A82D90DF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SPC-en-QRD-2006-06.dot</Template>
  <TotalTime>65</TotalTime>
  <Pages>10</Pages>
  <Words>3642</Words>
  <Characters>20760</Characters>
  <Application>Microsoft Office Word</Application>
  <DocSecurity>0</DocSecurity>
  <Lines>173</Lines>
  <Paragraphs>48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/>
      <vt:lpstr>Version 1,12/2005</vt:lpstr>
      <vt:lpstr>Version 1,12/2005</vt:lpstr>
    </vt:vector>
  </TitlesOfParts>
  <Company>mt-g</Company>
  <LinksUpToDate>false</LinksUpToDate>
  <CharactersWithSpaces>24354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Bezeková, Kamila</cp:lastModifiedBy>
  <cp:revision>9</cp:revision>
  <cp:lastPrinted>2016-06-20T10:52:00Z</cp:lastPrinted>
  <dcterms:created xsi:type="dcterms:W3CDTF">2018-10-03T06:29:00Z</dcterms:created>
  <dcterms:modified xsi:type="dcterms:W3CDTF">2018-10-03T14:03:00Z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