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F1F" w:rsidRDefault="00014F1F">
      <w:pPr>
        <w:pStyle w:val="Hlavika"/>
        <w:jc w:val="center"/>
        <w:divId w:val="1354530393"/>
        <w:rPr>
          <w:rFonts w:ascii="Times New Roman" w:hAnsi="Times New Roman"/>
          <w:b/>
          <w:sz w:val="22"/>
          <w:szCs w:val="22"/>
          <w:lang w:val="pl-PL"/>
        </w:rPr>
      </w:pPr>
      <w:r>
        <w:rPr>
          <w:rFonts w:ascii="Times New Roman" w:hAnsi="Times New Roman"/>
          <w:b/>
          <w:sz w:val="22"/>
          <w:szCs w:val="22"/>
          <w:lang w:val="pl-PL"/>
        </w:rPr>
        <w:t>SÚHRN CHARAKTERISTICKÝCH VLASTNOSTÍ LIEKU</w:t>
      </w:r>
    </w:p>
    <w:p w:rsidR="00014F1F" w:rsidRDefault="00014F1F">
      <w:pPr>
        <w:pStyle w:val="Nadpis4"/>
        <w:tabs>
          <w:tab w:val="left" w:pos="426"/>
        </w:tabs>
        <w:ind w:left="426" w:hanging="426"/>
        <w:jc w:val="left"/>
        <w:divId w:val="1354530393"/>
        <w:rPr>
          <w:sz w:val="22"/>
          <w:szCs w:val="22"/>
        </w:rPr>
      </w:pPr>
    </w:p>
    <w:p w:rsidR="00014F1F" w:rsidRDefault="00014F1F">
      <w:pPr>
        <w:divId w:val="1354530393"/>
        <w:rPr>
          <w:sz w:val="22"/>
          <w:szCs w:val="22"/>
        </w:rPr>
      </w:pPr>
    </w:p>
    <w:p w:rsidR="00014F1F" w:rsidRDefault="00014F1F">
      <w:pPr>
        <w:pStyle w:val="Nadpis4"/>
        <w:tabs>
          <w:tab w:val="left" w:pos="567"/>
        </w:tabs>
        <w:ind w:left="567" w:hanging="567"/>
        <w:jc w:val="left"/>
        <w:divId w:val="1354530393"/>
        <w:rPr>
          <w:sz w:val="22"/>
          <w:szCs w:val="22"/>
          <w:lang w:val="sk-SK"/>
        </w:rPr>
      </w:pPr>
      <w:r>
        <w:rPr>
          <w:sz w:val="22"/>
          <w:szCs w:val="22"/>
        </w:rPr>
        <w:t>1</w:t>
      </w:r>
      <w:r>
        <w:rPr>
          <w:sz w:val="22"/>
          <w:szCs w:val="22"/>
          <w:lang w:val="sk-SK"/>
        </w:rPr>
        <w:t>.</w:t>
      </w:r>
      <w:r>
        <w:rPr>
          <w:sz w:val="22"/>
          <w:szCs w:val="22"/>
          <w:lang w:val="sk-SK"/>
        </w:rPr>
        <w:tab/>
        <w:t>NÁZOV LIEKU</w:t>
      </w:r>
    </w:p>
    <w:p w:rsidR="00014F1F" w:rsidRDefault="00014F1F">
      <w:pPr>
        <w:divId w:val="1354530393"/>
        <w:rPr>
          <w:sz w:val="22"/>
          <w:szCs w:val="22"/>
          <w:lang w:val="sk-SK"/>
        </w:rPr>
      </w:pPr>
    </w:p>
    <w:p w:rsidR="00D5675B" w:rsidRDefault="00014F1F">
      <w:pPr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PROVERA</w:t>
      </w:r>
      <w:r w:rsidRPr="003546B8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5 mg</w:t>
      </w:r>
    </w:p>
    <w:p w:rsidR="00014F1F" w:rsidRDefault="00014F1F">
      <w:pPr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tablety</w:t>
      </w:r>
    </w:p>
    <w:p w:rsidR="00014F1F" w:rsidRDefault="00014F1F">
      <w:pPr>
        <w:divId w:val="1354530393"/>
        <w:rPr>
          <w:sz w:val="22"/>
          <w:szCs w:val="22"/>
          <w:lang w:val="sk-SK"/>
        </w:rPr>
      </w:pPr>
    </w:p>
    <w:p w:rsidR="00014F1F" w:rsidRDefault="00014F1F">
      <w:pPr>
        <w:divId w:val="1354530393"/>
        <w:rPr>
          <w:sz w:val="22"/>
          <w:szCs w:val="22"/>
          <w:lang w:val="sk-SK"/>
        </w:rPr>
      </w:pPr>
    </w:p>
    <w:p w:rsidR="00014F1F" w:rsidRDefault="00014F1F">
      <w:pPr>
        <w:tabs>
          <w:tab w:val="left" w:pos="567"/>
        </w:tabs>
        <w:divId w:val="1354530393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2.</w:t>
      </w:r>
      <w:r>
        <w:rPr>
          <w:b/>
          <w:sz w:val="22"/>
          <w:szCs w:val="22"/>
          <w:lang w:val="sk-SK"/>
        </w:rPr>
        <w:tab/>
        <w:t>KVALITATÍVNE A KVANTITATÍVNE ZLOŽENIE</w:t>
      </w:r>
    </w:p>
    <w:p w:rsidR="00014F1F" w:rsidRDefault="00014F1F">
      <w:pPr>
        <w:divId w:val="1354530393"/>
        <w:rPr>
          <w:sz w:val="22"/>
          <w:szCs w:val="22"/>
          <w:lang w:val="sk-SK"/>
        </w:rPr>
      </w:pPr>
    </w:p>
    <w:p w:rsidR="00014F1F" w:rsidRDefault="00014F1F">
      <w:pPr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Každá tableta obsahuje 5 mg </w:t>
      </w:r>
      <w:proofErr w:type="spellStart"/>
      <w:r>
        <w:rPr>
          <w:sz w:val="22"/>
          <w:szCs w:val="22"/>
          <w:lang w:val="sk-SK"/>
        </w:rPr>
        <w:t>medroxyprogesterónacetátu</w:t>
      </w:r>
      <w:proofErr w:type="spellEnd"/>
      <w:r>
        <w:rPr>
          <w:sz w:val="22"/>
          <w:szCs w:val="22"/>
          <w:lang w:val="sk-SK"/>
        </w:rPr>
        <w:t xml:space="preserve"> (MPA).</w:t>
      </w:r>
    </w:p>
    <w:p w:rsidR="00014F1F" w:rsidRDefault="00014F1F">
      <w:pPr>
        <w:divId w:val="1354530393"/>
        <w:rPr>
          <w:sz w:val="22"/>
          <w:szCs w:val="22"/>
          <w:lang w:val="sk-SK"/>
        </w:rPr>
      </w:pPr>
    </w:p>
    <w:p w:rsidR="00014F1F" w:rsidRDefault="00014F1F">
      <w:pPr>
        <w:divId w:val="1354530393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Pomocné látky so známym účinkom</w:t>
      </w:r>
    </w:p>
    <w:p w:rsidR="00014F1F" w:rsidRDefault="00014F1F">
      <w:pPr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Každá tableta obsahuje tiež 84,2 mg </w:t>
      </w:r>
      <w:proofErr w:type="spellStart"/>
      <w:r>
        <w:rPr>
          <w:sz w:val="22"/>
          <w:szCs w:val="22"/>
          <w:lang w:val="sk-SK"/>
        </w:rPr>
        <w:t>monohydrátu</w:t>
      </w:r>
      <w:proofErr w:type="spellEnd"/>
      <w:r>
        <w:rPr>
          <w:sz w:val="22"/>
          <w:szCs w:val="22"/>
          <w:lang w:val="sk-SK"/>
        </w:rPr>
        <w:t xml:space="preserve"> laktózy a 1,5 mg sacharózy.</w:t>
      </w:r>
    </w:p>
    <w:p w:rsidR="00A4321D" w:rsidRDefault="00A4321D">
      <w:pPr>
        <w:divId w:val="1354530393"/>
        <w:rPr>
          <w:sz w:val="22"/>
          <w:szCs w:val="22"/>
          <w:lang w:val="sk-SK"/>
        </w:rPr>
      </w:pPr>
    </w:p>
    <w:p w:rsidR="00014F1F" w:rsidRDefault="00014F1F">
      <w:pPr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Úplný zoznam pomocných látok, pozri časť 6.1.</w:t>
      </w:r>
    </w:p>
    <w:p w:rsidR="00014F1F" w:rsidRDefault="00014F1F">
      <w:pPr>
        <w:divId w:val="1354530393"/>
        <w:rPr>
          <w:sz w:val="22"/>
          <w:szCs w:val="22"/>
          <w:lang w:val="sk-SK"/>
        </w:rPr>
      </w:pPr>
    </w:p>
    <w:p w:rsidR="00014F1F" w:rsidRDefault="00014F1F">
      <w:pPr>
        <w:divId w:val="1354530393"/>
        <w:rPr>
          <w:sz w:val="22"/>
          <w:szCs w:val="22"/>
          <w:lang w:val="sk-SK"/>
        </w:rPr>
      </w:pPr>
    </w:p>
    <w:p w:rsidR="00014F1F" w:rsidRDefault="00014F1F">
      <w:pPr>
        <w:tabs>
          <w:tab w:val="left" w:pos="567"/>
        </w:tabs>
        <w:divId w:val="1354530393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3.</w:t>
      </w:r>
      <w:r>
        <w:rPr>
          <w:b/>
          <w:sz w:val="22"/>
          <w:szCs w:val="22"/>
          <w:lang w:val="sk-SK"/>
        </w:rPr>
        <w:tab/>
        <w:t>LIEKOVÁ FORMA</w:t>
      </w:r>
    </w:p>
    <w:p w:rsidR="00014F1F" w:rsidRDefault="00014F1F">
      <w:pPr>
        <w:divId w:val="1354530393"/>
        <w:rPr>
          <w:sz w:val="22"/>
          <w:szCs w:val="22"/>
          <w:lang w:val="sk-SK"/>
        </w:rPr>
      </w:pPr>
    </w:p>
    <w:p w:rsidR="00014F1F" w:rsidRDefault="00014F1F">
      <w:pPr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Tablety</w:t>
      </w:r>
    </w:p>
    <w:p w:rsidR="00014F1F" w:rsidRDefault="00014F1F">
      <w:pPr>
        <w:divId w:val="1354530393"/>
        <w:rPr>
          <w:sz w:val="22"/>
          <w:szCs w:val="22"/>
          <w:lang w:val="sk-SK"/>
        </w:rPr>
      </w:pPr>
    </w:p>
    <w:p w:rsidR="00014F1F" w:rsidRDefault="00014F1F">
      <w:pPr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Svetlomodré, okrúhle tablety. Na jednej strane je na oboch častiach rozdelených deliacou ryhou vyryté logo </w:t>
      </w:r>
      <w:r>
        <w:rPr>
          <w:sz w:val="22"/>
          <w:szCs w:val="22"/>
          <w:lang w:val="pl-PL"/>
        </w:rPr>
        <w:t>“286”. </w:t>
      </w:r>
      <w:r>
        <w:rPr>
          <w:sz w:val="22"/>
          <w:szCs w:val="22"/>
          <w:lang w:val="sk-SK"/>
        </w:rPr>
        <w:t xml:space="preserve">Na druhej strane je vyryté logo “U”.  </w:t>
      </w:r>
    </w:p>
    <w:p w:rsidR="00014F1F" w:rsidRDefault="00014F1F">
      <w:pPr>
        <w:divId w:val="1354530393"/>
        <w:rPr>
          <w:sz w:val="22"/>
          <w:szCs w:val="22"/>
          <w:lang w:val="sk-SK"/>
        </w:rPr>
      </w:pPr>
    </w:p>
    <w:p w:rsidR="00A42421" w:rsidRDefault="00A42421">
      <w:pPr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Deliaca ryha nie je určená na rozlomenie tablety.</w:t>
      </w:r>
    </w:p>
    <w:p w:rsidR="00A42421" w:rsidRDefault="00A42421">
      <w:pPr>
        <w:divId w:val="1354530393"/>
        <w:rPr>
          <w:sz w:val="22"/>
          <w:szCs w:val="22"/>
          <w:lang w:val="sk-SK"/>
        </w:rPr>
      </w:pPr>
    </w:p>
    <w:p w:rsidR="00014F1F" w:rsidRDefault="00014F1F">
      <w:pPr>
        <w:divId w:val="1354530393"/>
        <w:rPr>
          <w:sz w:val="22"/>
          <w:szCs w:val="22"/>
          <w:lang w:val="sk-SK"/>
        </w:rPr>
      </w:pPr>
    </w:p>
    <w:p w:rsidR="00014F1F" w:rsidRDefault="00014F1F">
      <w:pPr>
        <w:tabs>
          <w:tab w:val="left" w:pos="567"/>
        </w:tabs>
        <w:divId w:val="1354530393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4.</w:t>
      </w:r>
      <w:r>
        <w:rPr>
          <w:b/>
          <w:sz w:val="22"/>
          <w:szCs w:val="22"/>
          <w:lang w:val="sk-SK"/>
        </w:rPr>
        <w:tab/>
        <w:t>KLINICKÉ ÚDAJE</w:t>
      </w:r>
    </w:p>
    <w:p w:rsidR="00014F1F" w:rsidRDefault="00014F1F">
      <w:pPr>
        <w:tabs>
          <w:tab w:val="left" w:pos="851"/>
        </w:tabs>
        <w:divId w:val="1354530393"/>
        <w:rPr>
          <w:b/>
          <w:sz w:val="22"/>
          <w:szCs w:val="22"/>
          <w:lang w:val="sk-SK"/>
        </w:rPr>
      </w:pPr>
    </w:p>
    <w:p w:rsidR="00014F1F" w:rsidRDefault="00014F1F">
      <w:pPr>
        <w:tabs>
          <w:tab w:val="left" w:pos="567"/>
        </w:tabs>
        <w:divId w:val="1354530393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4.1</w:t>
      </w:r>
      <w:r>
        <w:rPr>
          <w:b/>
          <w:sz w:val="22"/>
          <w:szCs w:val="22"/>
          <w:lang w:val="sk-SK"/>
        </w:rPr>
        <w:tab/>
        <w:t>Terapeutické indikácie</w:t>
      </w:r>
    </w:p>
    <w:p w:rsidR="00C368EB" w:rsidRDefault="00C368EB">
      <w:pPr>
        <w:divId w:val="1354530393"/>
        <w:rPr>
          <w:sz w:val="22"/>
          <w:szCs w:val="22"/>
          <w:lang w:val="sk-SK"/>
        </w:rPr>
      </w:pPr>
    </w:p>
    <w:p w:rsidR="00014F1F" w:rsidRDefault="00014F1F">
      <w:pPr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PROVERA sa používa pri diagnostikovaní primárnej </w:t>
      </w:r>
      <w:proofErr w:type="spellStart"/>
      <w:r>
        <w:rPr>
          <w:sz w:val="22"/>
          <w:szCs w:val="22"/>
          <w:lang w:val="sk-SK"/>
        </w:rPr>
        <w:t>amenorey</w:t>
      </w:r>
      <w:proofErr w:type="spellEnd"/>
      <w:r>
        <w:rPr>
          <w:sz w:val="22"/>
          <w:szCs w:val="22"/>
          <w:lang w:val="sk-SK"/>
        </w:rPr>
        <w:t xml:space="preserve"> a diagnostikovaní a liečbe sekundárnej </w:t>
      </w:r>
      <w:proofErr w:type="spellStart"/>
      <w:r>
        <w:rPr>
          <w:sz w:val="22"/>
          <w:szCs w:val="22"/>
          <w:lang w:val="sk-SK"/>
        </w:rPr>
        <w:t>amenorey</w:t>
      </w:r>
      <w:proofErr w:type="spellEnd"/>
      <w:r>
        <w:rPr>
          <w:sz w:val="22"/>
          <w:szCs w:val="22"/>
          <w:lang w:val="sk-SK"/>
        </w:rPr>
        <w:t>.</w:t>
      </w:r>
    </w:p>
    <w:p w:rsidR="00014F1F" w:rsidRDefault="00014F1F">
      <w:pPr>
        <w:tabs>
          <w:tab w:val="left" w:pos="567"/>
        </w:tabs>
        <w:divId w:val="1354530393"/>
        <w:rPr>
          <w:sz w:val="22"/>
          <w:szCs w:val="22"/>
          <w:lang w:val="sk-SK"/>
        </w:rPr>
      </w:pPr>
    </w:p>
    <w:p w:rsidR="00014F1F" w:rsidRDefault="00014F1F">
      <w:pPr>
        <w:tabs>
          <w:tab w:val="left" w:pos="567"/>
        </w:tabs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PROVERA je indikovaná v nasledovných prípadoch:</w:t>
      </w:r>
    </w:p>
    <w:p w:rsidR="00014F1F" w:rsidRDefault="00014F1F">
      <w:pPr>
        <w:pStyle w:val="Zkladntext"/>
        <w:numPr>
          <w:ilvl w:val="0"/>
          <w:numId w:val="3"/>
        </w:numPr>
        <w:ind w:left="567" w:hanging="567"/>
        <w:jc w:val="left"/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liečba dysfunkčného (anovulačného) krvácania z maternice,</w:t>
      </w:r>
    </w:p>
    <w:p w:rsidR="00014F1F" w:rsidRDefault="00014F1F">
      <w:pPr>
        <w:numPr>
          <w:ilvl w:val="0"/>
          <w:numId w:val="3"/>
        </w:numPr>
        <w:ind w:left="567" w:hanging="567"/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liečba </w:t>
      </w:r>
      <w:proofErr w:type="spellStart"/>
      <w:r>
        <w:rPr>
          <w:sz w:val="22"/>
          <w:szCs w:val="22"/>
          <w:lang w:val="sk-SK"/>
        </w:rPr>
        <w:t>endometriózy</w:t>
      </w:r>
      <w:proofErr w:type="spellEnd"/>
      <w:r>
        <w:rPr>
          <w:sz w:val="22"/>
          <w:szCs w:val="22"/>
          <w:lang w:val="sk-SK"/>
        </w:rPr>
        <w:t>,</w:t>
      </w:r>
    </w:p>
    <w:p w:rsidR="00014F1F" w:rsidRDefault="00014F1F">
      <w:pPr>
        <w:numPr>
          <w:ilvl w:val="0"/>
          <w:numId w:val="3"/>
        </w:numPr>
        <w:ind w:left="567" w:hanging="567"/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potlačenie účinkov estrogénov na </w:t>
      </w:r>
      <w:proofErr w:type="spellStart"/>
      <w:r>
        <w:rPr>
          <w:sz w:val="22"/>
          <w:szCs w:val="22"/>
          <w:lang w:val="sk-SK"/>
        </w:rPr>
        <w:t>endometrium</w:t>
      </w:r>
      <w:proofErr w:type="spellEnd"/>
      <w:r>
        <w:rPr>
          <w:sz w:val="22"/>
          <w:szCs w:val="22"/>
          <w:lang w:val="sk-SK"/>
        </w:rPr>
        <w:t xml:space="preserve"> u žien po </w:t>
      </w:r>
      <w:proofErr w:type="spellStart"/>
      <w:r>
        <w:rPr>
          <w:sz w:val="22"/>
          <w:szCs w:val="22"/>
          <w:lang w:val="sk-SK"/>
        </w:rPr>
        <w:t>menopauze</w:t>
      </w:r>
      <w:proofErr w:type="spellEnd"/>
      <w:r>
        <w:rPr>
          <w:sz w:val="22"/>
          <w:szCs w:val="22"/>
          <w:lang w:val="sk-SK"/>
        </w:rPr>
        <w:t xml:space="preserve"> liečených estrogénmi (hormonálna liečba),</w:t>
      </w:r>
    </w:p>
    <w:p w:rsidR="00014F1F" w:rsidRDefault="00014F1F">
      <w:pPr>
        <w:numPr>
          <w:ilvl w:val="0"/>
          <w:numId w:val="3"/>
        </w:numPr>
        <w:ind w:left="567" w:hanging="567"/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liečba </w:t>
      </w:r>
      <w:proofErr w:type="spellStart"/>
      <w:r>
        <w:rPr>
          <w:sz w:val="22"/>
          <w:szCs w:val="22"/>
          <w:lang w:val="sk-SK"/>
        </w:rPr>
        <w:t>vazomotorických</w:t>
      </w:r>
      <w:proofErr w:type="spellEnd"/>
      <w:r>
        <w:rPr>
          <w:sz w:val="22"/>
          <w:szCs w:val="22"/>
          <w:lang w:val="sk-SK"/>
        </w:rPr>
        <w:t xml:space="preserve"> prejavov počas </w:t>
      </w:r>
      <w:proofErr w:type="spellStart"/>
      <w:r>
        <w:rPr>
          <w:sz w:val="22"/>
          <w:szCs w:val="22"/>
          <w:lang w:val="sk-SK"/>
        </w:rPr>
        <w:t>menopauzy</w:t>
      </w:r>
      <w:proofErr w:type="spellEnd"/>
      <w:r>
        <w:rPr>
          <w:sz w:val="22"/>
          <w:szCs w:val="22"/>
          <w:lang w:val="sk-SK"/>
        </w:rPr>
        <w:t>.</w:t>
      </w:r>
    </w:p>
    <w:p w:rsidR="00014F1F" w:rsidRDefault="00014F1F">
      <w:pPr>
        <w:divId w:val="1354530393"/>
        <w:rPr>
          <w:sz w:val="22"/>
          <w:szCs w:val="22"/>
          <w:lang w:val="sk-SK"/>
        </w:rPr>
      </w:pPr>
    </w:p>
    <w:p w:rsidR="00014F1F" w:rsidRDefault="00014F1F">
      <w:pPr>
        <w:pStyle w:val="Nadpis4"/>
        <w:tabs>
          <w:tab w:val="left" w:leader="underscore" w:pos="0"/>
          <w:tab w:val="left" w:pos="567"/>
          <w:tab w:val="left" w:pos="851"/>
        </w:tabs>
        <w:ind w:left="851" w:hanging="851"/>
        <w:jc w:val="left"/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4.2</w:t>
      </w:r>
      <w:r>
        <w:rPr>
          <w:sz w:val="22"/>
          <w:szCs w:val="22"/>
          <w:lang w:val="sk-SK"/>
        </w:rPr>
        <w:tab/>
        <w:t>Dávkovanie a spôsob podávania</w:t>
      </w:r>
    </w:p>
    <w:p w:rsidR="00014F1F" w:rsidRDefault="00014F1F">
      <w:pPr>
        <w:divId w:val="1354530393"/>
        <w:rPr>
          <w:sz w:val="22"/>
          <w:szCs w:val="22"/>
          <w:u w:val="single"/>
          <w:lang w:val="sk-SK"/>
        </w:rPr>
      </w:pPr>
    </w:p>
    <w:p w:rsidR="00014F1F" w:rsidRDefault="00014F1F">
      <w:pPr>
        <w:divId w:val="1354530393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Dávkovanie</w:t>
      </w:r>
    </w:p>
    <w:p w:rsidR="00C368EB" w:rsidRDefault="00C368EB">
      <w:pPr>
        <w:divId w:val="1354530393"/>
        <w:rPr>
          <w:sz w:val="22"/>
          <w:szCs w:val="22"/>
          <w:u w:val="single"/>
          <w:lang w:val="sk-SK"/>
        </w:rPr>
      </w:pPr>
    </w:p>
    <w:p w:rsidR="00014F1F" w:rsidRDefault="00014F1F">
      <w:pPr>
        <w:divId w:val="1354530393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 xml:space="preserve">Primárna a sekundárna </w:t>
      </w:r>
      <w:proofErr w:type="spellStart"/>
      <w:r>
        <w:rPr>
          <w:sz w:val="22"/>
          <w:szCs w:val="22"/>
          <w:u w:val="single"/>
          <w:lang w:val="sk-SK"/>
        </w:rPr>
        <w:t>amenorea</w:t>
      </w:r>
      <w:proofErr w:type="spellEnd"/>
    </w:p>
    <w:p w:rsidR="00014F1F" w:rsidRDefault="00014F1F">
      <w:pPr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Diagnostika: 2,5 až 10 mg denne počas 5 – 10 dní.</w:t>
      </w:r>
    </w:p>
    <w:p w:rsidR="00014F1F" w:rsidRDefault="00014F1F">
      <w:pPr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Na liečbu sekundárnej </w:t>
      </w:r>
      <w:proofErr w:type="spellStart"/>
      <w:r>
        <w:rPr>
          <w:sz w:val="22"/>
          <w:szCs w:val="22"/>
          <w:lang w:val="sk-SK"/>
        </w:rPr>
        <w:t>amenorey</w:t>
      </w:r>
      <w:proofErr w:type="spellEnd"/>
      <w:r>
        <w:rPr>
          <w:sz w:val="22"/>
          <w:szCs w:val="22"/>
          <w:lang w:val="sk-SK"/>
        </w:rPr>
        <w:t xml:space="preserve"> sa podáva 2,5 až 10 mg denne počas 5 – 10 dní po dobu 3 po</w:t>
      </w:r>
      <w:r w:rsidR="006C0AC4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 xml:space="preserve">sebe nasledujúcich cyklov. U pacientov s hypotrofiou </w:t>
      </w:r>
      <w:proofErr w:type="spellStart"/>
      <w:r>
        <w:rPr>
          <w:sz w:val="22"/>
          <w:szCs w:val="22"/>
          <w:lang w:val="sk-SK"/>
        </w:rPr>
        <w:t>endometria</w:t>
      </w:r>
      <w:proofErr w:type="spellEnd"/>
      <w:r>
        <w:rPr>
          <w:sz w:val="22"/>
          <w:szCs w:val="22"/>
          <w:lang w:val="sk-SK"/>
        </w:rPr>
        <w:t xml:space="preserve"> sa majú estrogény podávať súbežne s </w:t>
      </w:r>
      <w:r w:rsidR="0031198A">
        <w:rPr>
          <w:sz w:val="22"/>
          <w:szCs w:val="22"/>
          <w:lang w:val="sk-SK"/>
        </w:rPr>
        <w:t xml:space="preserve">liekom </w:t>
      </w:r>
      <w:r>
        <w:rPr>
          <w:sz w:val="22"/>
          <w:szCs w:val="22"/>
          <w:lang w:val="sk-SK"/>
        </w:rPr>
        <w:t>PROVER</w:t>
      </w:r>
      <w:r w:rsidR="0031198A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>.</w:t>
      </w:r>
    </w:p>
    <w:p w:rsidR="008F0419" w:rsidRDefault="008F0419">
      <w:pPr>
        <w:divId w:val="1354530393"/>
        <w:rPr>
          <w:sz w:val="22"/>
          <w:szCs w:val="22"/>
          <w:lang w:val="sk-SK"/>
        </w:rPr>
      </w:pPr>
    </w:p>
    <w:p w:rsidR="00014F1F" w:rsidRDefault="00014F1F">
      <w:pPr>
        <w:keepNext/>
        <w:divId w:val="1354530393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lastRenderedPageBreak/>
        <w:t>Dysfunkčné (anovulačné) krvácanie z maternice</w:t>
      </w:r>
    </w:p>
    <w:p w:rsidR="00014F1F" w:rsidRDefault="00014F1F">
      <w:pPr>
        <w:keepNext/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2,5 až 10 mg denne počas 5 – 10 dní po dobu 2 až 3 cyklov a potom sa má liečba vysadiť, aby sa zistilo, či dysfunkcia ustúpila. Ak dôjde ku krvácaniu zo slabo </w:t>
      </w:r>
      <w:proofErr w:type="spellStart"/>
      <w:r>
        <w:rPr>
          <w:sz w:val="22"/>
          <w:szCs w:val="22"/>
          <w:lang w:val="sk-SK"/>
        </w:rPr>
        <w:t>proliferatívneho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endometria</w:t>
      </w:r>
      <w:proofErr w:type="spellEnd"/>
      <w:r>
        <w:rPr>
          <w:sz w:val="22"/>
          <w:szCs w:val="22"/>
          <w:lang w:val="sk-SK"/>
        </w:rPr>
        <w:t>, estrogény sa majú podávať súbežne s lie</w:t>
      </w:r>
      <w:r w:rsidR="002C0CE3">
        <w:rPr>
          <w:sz w:val="22"/>
          <w:szCs w:val="22"/>
          <w:lang w:val="sk-SK"/>
        </w:rPr>
        <w:t>kom</w:t>
      </w:r>
      <w:r>
        <w:rPr>
          <w:sz w:val="22"/>
          <w:szCs w:val="22"/>
          <w:lang w:val="sk-SK"/>
        </w:rPr>
        <w:t xml:space="preserve"> PROVER</w:t>
      </w:r>
      <w:r w:rsidR="002C0CE3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>.</w:t>
      </w:r>
    </w:p>
    <w:p w:rsidR="00014F1F" w:rsidRDefault="00014F1F">
      <w:pPr>
        <w:divId w:val="1354530393"/>
        <w:rPr>
          <w:sz w:val="22"/>
          <w:szCs w:val="22"/>
          <w:lang w:val="sk-SK"/>
        </w:rPr>
      </w:pPr>
    </w:p>
    <w:p w:rsidR="00014F1F" w:rsidRDefault="00014F1F">
      <w:pPr>
        <w:divId w:val="1354530393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 xml:space="preserve">Potlačenie </w:t>
      </w:r>
      <w:proofErr w:type="spellStart"/>
      <w:r>
        <w:rPr>
          <w:sz w:val="22"/>
          <w:szCs w:val="22"/>
          <w:u w:val="single"/>
          <w:lang w:val="sk-SK"/>
        </w:rPr>
        <w:t>endometriálneho</w:t>
      </w:r>
      <w:proofErr w:type="spellEnd"/>
      <w:r>
        <w:rPr>
          <w:sz w:val="22"/>
          <w:szCs w:val="22"/>
          <w:u w:val="single"/>
          <w:lang w:val="sk-SK"/>
        </w:rPr>
        <w:t xml:space="preserve"> účinku estrogénu u </w:t>
      </w:r>
      <w:proofErr w:type="spellStart"/>
      <w:r>
        <w:rPr>
          <w:sz w:val="22"/>
          <w:szCs w:val="22"/>
          <w:u w:val="single"/>
          <w:lang w:val="sk-SK"/>
        </w:rPr>
        <w:t>postmenopauzálnych</w:t>
      </w:r>
      <w:proofErr w:type="spellEnd"/>
      <w:r>
        <w:rPr>
          <w:sz w:val="22"/>
          <w:szCs w:val="22"/>
          <w:u w:val="single"/>
          <w:lang w:val="sk-SK"/>
        </w:rPr>
        <w:t xml:space="preserve"> žien liečených estrogénmi (hormonálna liečba).</w:t>
      </w:r>
    </w:p>
    <w:p w:rsidR="00014F1F" w:rsidRDefault="00014F1F">
      <w:pPr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Ženám, ktoré užívajú 0,625 mg </w:t>
      </w:r>
      <w:proofErr w:type="spellStart"/>
      <w:r>
        <w:rPr>
          <w:sz w:val="22"/>
          <w:szCs w:val="22"/>
          <w:lang w:val="sk-SK"/>
        </w:rPr>
        <w:t>konjugovaného</w:t>
      </w:r>
      <w:proofErr w:type="spellEnd"/>
      <w:r>
        <w:rPr>
          <w:sz w:val="22"/>
          <w:szCs w:val="22"/>
          <w:lang w:val="sk-SK"/>
        </w:rPr>
        <w:t xml:space="preserve"> estrogénu alebo ekvivalentnú dennú dávku iného estrogénu sa tablety PROVERY môžu podávať v jednom z dvoch dávkovacích režimov:</w:t>
      </w:r>
    </w:p>
    <w:p w:rsidR="00014F1F" w:rsidRDefault="00014F1F">
      <w:pPr>
        <w:numPr>
          <w:ilvl w:val="0"/>
          <w:numId w:val="4"/>
        </w:numPr>
        <w:tabs>
          <w:tab w:val="left" w:pos="426"/>
        </w:tabs>
        <w:ind w:left="426" w:hanging="426"/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Kontinuálny režim: PROVERA 5 mg tablety 2,5 až 5 mg denne.</w:t>
      </w:r>
    </w:p>
    <w:p w:rsidR="00014F1F" w:rsidRDefault="00014F1F">
      <w:pPr>
        <w:numPr>
          <w:ilvl w:val="0"/>
          <w:numId w:val="4"/>
        </w:numPr>
        <w:tabs>
          <w:tab w:val="left" w:pos="426"/>
        </w:tabs>
        <w:ind w:left="426" w:hanging="426"/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Sekvenčný režim: PROVERA</w:t>
      </w:r>
      <w:r>
        <w:rPr>
          <w:sz w:val="22"/>
          <w:szCs w:val="22"/>
          <w:vertAlign w:val="superscript"/>
          <w:lang w:val="sk-SK"/>
        </w:rPr>
        <w:t> </w:t>
      </w:r>
      <w:r>
        <w:rPr>
          <w:sz w:val="22"/>
          <w:szCs w:val="22"/>
          <w:lang w:val="sk-SK"/>
        </w:rPr>
        <w:t xml:space="preserve">5 mg tablety 5 až 10 mg denne počas 10 – 14 po sebe nasledujúcich dní 28-dňového alebo mesačného cyklu. </w:t>
      </w:r>
    </w:p>
    <w:p w:rsidR="00014F1F" w:rsidRDefault="00014F1F">
      <w:pPr>
        <w:divId w:val="1354530393"/>
        <w:rPr>
          <w:sz w:val="22"/>
          <w:szCs w:val="22"/>
          <w:lang w:val="sk-SK"/>
        </w:rPr>
      </w:pPr>
    </w:p>
    <w:p w:rsidR="00014F1F" w:rsidRDefault="00014F1F">
      <w:pPr>
        <w:divId w:val="1354530393"/>
        <w:rPr>
          <w:sz w:val="22"/>
          <w:szCs w:val="22"/>
          <w:u w:val="single"/>
          <w:lang w:val="sk-SK"/>
        </w:rPr>
      </w:pPr>
      <w:proofErr w:type="spellStart"/>
      <w:r>
        <w:rPr>
          <w:sz w:val="22"/>
          <w:szCs w:val="22"/>
          <w:u w:val="single"/>
          <w:lang w:val="sk-SK"/>
        </w:rPr>
        <w:t>Endometrióza</w:t>
      </w:r>
      <w:proofErr w:type="spellEnd"/>
    </w:p>
    <w:p w:rsidR="00014F1F" w:rsidRDefault="00014F1F">
      <w:pPr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10 mg trikrát denne počas 90 dní počnúc 1. dňom menštruačného cyklu.</w:t>
      </w:r>
    </w:p>
    <w:p w:rsidR="00014F1F" w:rsidRDefault="00014F1F">
      <w:pPr>
        <w:divId w:val="1354530393"/>
        <w:rPr>
          <w:sz w:val="22"/>
          <w:szCs w:val="22"/>
          <w:lang w:val="sk-SK"/>
        </w:rPr>
      </w:pPr>
    </w:p>
    <w:p w:rsidR="00014F1F" w:rsidRDefault="00014F1F">
      <w:pPr>
        <w:divId w:val="1354530393"/>
        <w:rPr>
          <w:sz w:val="22"/>
          <w:szCs w:val="22"/>
          <w:u w:val="single"/>
          <w:lang w:val="sk-SK"/>
        </w:rPr>
      </w:pPr>
      <w:proofErr w:type="spellStart"/>
      <w:r>
        <w:rPr>
          <w:sz w:val="22"/>
          <w:szCs w:val="22"/>
          <w:u w:val="single"/>
          <w:lang w:val="sk-SK"/>
        </w:rPr>
        <w:t>Vazomotorické</w:t>
      </w:r>
      <w:proofErr w:type="spellEnd"/>
      <w:r>
        <w:rPr>
          <w:sz w:val="22"/>
          <w:szCs w:val="22"/>
          <w:u w:val="single"/>
          <w:lang w:val="sk-SK"/>
        </w:rPr>
        <w:t xml:space="preserve"> príznaky počas </w:t>
      </w:r>
      <w:proofErr w:type="spellStart"/>
      <w:r>
        <w:rPr>
          <w:sz w:val="22"/>
          <w:szCs w:val="22"/>
          <w:u w:val="single"/>
          <w:lang w:val="sk-SK"/>
        </w:rPr>
        <w:t>menopauzy</w:t>
      </w:r>
      <w:proofErr w:type="spellEnd"/>
    </w:p>
    <w:p w:rsidR="00014F1F" w:rsidRDefault="00014F1F">
      <w:pPr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 tejto indikácii sa odporúča kontinuálne podávanie PROVERY</w:t>
      </w:r>
      <w:r>
        <w:rPr>
          <w:sz w:val="22"/>
          <w:szCs w:val="22"/>
          <w:vertAlign w:val="superscript"/>
          <w:lang w:val="sk-SK"/>
        </w:rPr>
        <w:t xml:space="preserve"> </w:t>
      </w:r>
      <w:r>
        <w:rPr>
          <w:sz w:val="22"/>
          <w:szCs w:val="22"/>
          <w:lang w:val="sk-SK"/>
        </w:rPr>
        <w:t>v dávke 10 – 20 mg denne.</w:t>
      </w:r>
    </w:p>
    <w:p w:rsidR="00014F1F" w:rsidRDefault="00014F1F">
      <w:pPr>
        <w:tabs>
          <w:tab w:val="left" w:pos="720"/>
        </w:tabs>
        <w:divId w:val="1354530393"/>
        <w:rPr>
          <w:sz w:val="22"/>
          <w:szCs w:val="22"/>
          <w:lang w:val="sk-SK"/>
        </w:rPr>
      </w:pPr>
    </w:p>
    <w:p w:rsidR="00014F1F" w:rsidRDefault="00014F1F">
      <w:pPr>
        <w:tabs>
          <w:tab w:val="left" w:pos="720"/>
        </w:tabs>
        <w:divId w:val="1354530393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Porucha funkcie pečene</w:t>
      </w:r>
    </w:p>
    <w:p w:rsidR="00014F1F" w:rsidRDefault="00014F1F">
      <w:pPr>
        <w:tabs>
          <w:tab w:val="left" w:pos="720"/>
        </w:tabs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Žiadne klinické štúdie nehodnotili vplyv ochorenia pečene na </w:t>
      </w:r>
      <w:proofErr w:type="spellStart"/>
      <w:r>
        <w:rPr>
          <w:sz w:val="22"/>
          <w:szCs w:val="22"/>
          <w:lang w:val="sk-SK"/>
        </w:rPr>
        <w:t>farmakokinetiku</w:t>
      </w:r>
      <w:proofErr w:type="spellEnd"/>
      <w:r>
        <w:rPr>
          <w:sz w:val="22"/>
          <w:szCs w:val="22"/>
          <w:lang w:val="sk-SK"/>
        </w:rPr>
        <w:t xml:space="preserve"> MPA. Avšak, MPA sa takmer výlučne eliminuje </w:t>
      </w:r>
      <w:proofErr w:type="spellStart"/>
      <w:r>
        <w:rPr>
          <w:sz w:val="22"/>
          <w:szCs w:val="22"/>
          <w:lang w:val="sk-SK"/>
        </w:rPr>
        <w:t>hepatálnym</w:t>
      </w:r>
      <w:proofErr w:type="spellEnd"/>
      <w:r>
        <w:rPr>
          <w:sz w:val="22"/>
          <w:szCs w:val="22"/>
          <w:lang w:val="sk-SK"/>
        </w:rPr>
        <w:t xml:space="preserve"> metabolizmom a u pacientov s</w:t>
      </w:r>
      <w:r w:rsidR="00A32559">
        <w:rPr>
          <w:sz w:val="22"/>
          <w:szCs w:val="22"/>
          <w:lang w:val="sk-SK"/>
        </w:rPr>
        <w:t>o závažn</w:t>
      </w:r>
      <w:r>
        <w:rPr>
          <w:sz w:val="22"/>
          <w:szCs w:val="22"/>
          <w:lang w:val="sk-SK"/>
        </w:rPr>
        <w:t xml:space="preserve">ou pečeňovou nedostatočnosťou sa môžu </w:t>
      </w:r>
      <w:proofErr w:type="spellStart"/>
      <w:r>
        <w:rPr>
          <w:sz w:val="22"/>
          <w:szCs w:val="22"/>
          <w:lang w:val="sk-SK"/>
        </w:rPr>
        <w:t>steroidné</w:t>
      </w:r>
      <w:proofErr w:type="spellEnd"/>
      <w:r>
        <w:rPr>
          <w:sz w:val="22"/>
          <w:szCs w:val="22"/>
          <w:lang w:val="sk-SK"/>
        </w:rPr>
        <w:t xml:space="preserve"> hormóny nedostatočne metabolizovať (pozri časť 4.3 Kontraindikácie).</w:t>
      </w:r>
    </w:p>
    <w:p w:rsidR="00014F1F" w:rsidRDefault="00014F1F">
      <w:pPr>
        <w:tabs>
          <w:tab w:val="left" w:pos="720"/>
        </w:tabs>
        <w:divId w:val="1354530393"/>
        <w:rPr>
          <w:sz w:val="22"/>
          <w:szCs w:val="22"/>
          <w:lang w:val="sk-SK"/>
        </w:rPr>
      </w:pPr>
    </w:p>
    <w:p w:rsidR="00014F1F" w:rsidRDefault="00014F1F">
      <w:pPr>
        <w:tabs>
          <w:tab w:val="left" w:pos="720"/>
        </w:tabs>
        <w:divId w:val="1354530393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Porucha funkcie obličiek</w:t>
      </w:r>
    </w:p>
    <w:p w:rsidR="00014F1F" w:rsidRDefault="00014F1F">
      <w:pPr>
        <w:tabs>
          <w:tab w:val="left" w:pos="720"/>
        </w:tabs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Žiadne klinické štúdie nehodnotili vplyv ochorenia obličiek na </w:t>
      </w:r>
      <w:proofErr w:type="spellStart"/>
      <w:r>
        <w:rPr>
          <w:sz w:val="22"/>
          <w:szCs w:val="22"/>
          <w:lang w:val="sk-SK"/>
        </w:rPr>
        <w:t>farmakokinetiku</w:t>
      </w:r>
      <w:proofErr w:type="spellEnd"/>
      <w:r>
        <w:rPr>
          <w:sz w:val="22"/>
          <w:szCs w:val="22"/>
          <w:lang w:val="sk-SK"/>
        </w:rPr>
        <w:t xml:space="preserve"> MPA. Avšak, MPA sa takmer výlučne eliminuje </w:t>
      </w:r>
      <w:proofErr w:type="spellStart"/>
      <w:r>
        <w:rPr>
          <w:sz w:val="22"/>
          <w:szCs w:val="22"/>
          <w:lang w:val="sk-SK"/>
        </w:rPr>
        <w:t>hepatálnym</w:t>
      </w:r>
      <w:proofErr w:type="spellEnd"/>
      <w:r>
        <w:rPr>
          <w:sz w:val="22"/>
          <w:szCs w:val="22"/>
          <w:lang w:val="sk-SK"/>
        </w:rPr>
        <w:t xml:space="preserve"> metabolizmom, preto u pacientov s </w:t>
      </w:r>
      <w:proofErr w:type="spellStart"/>
      <w:r>
        <w:rPr>
          <w:sz w:val="22"/>
          <w:szCs w:val="22"/>
          <w:lang w:val="sk-SK"/>
        </w:rPr>
        <w:t>insuficienciou</w:t>
      </w:r>
      <w:proofErr w:type="spellEnd"/>
      <w:r>
        <w:rPr>
          <w:sz w:val="22"/>
          <w:szCs w:val="22"/>
          <w:lang w:val="sk-SK"/>
        </w:rPr>
        <w:t xml:space="preserve"> obličiek nie je potrebná žiadna úprava dávkovania.</w:t>
      </w:r>
    </w:p>
    <w:p w:rsidR="00014F1F" w:rsidRDefault="00014F1F">
      <w:pPr>
        <w:tabs>
          <w:tab w:val="left" w:pos="720"/>
        </w:tabs>
        <w:divId w:val="1354530393"/>
        <w:rPr>
          <w:sz w:val="22"/>
          <w:szCs w:val="22"/>
          <w:lang w:val="sk-SK"/>
        </w:rPr>
      </w:pPr>
    </w:p>
    <w:p w:rsidR="006C0AC4" w:rsidRPr="003546B8" w:rsidRDefault="006C0AC4">
      <w:pPr>
        <w:tabs>
          <w:tab w:val="left" w:pos="720"/>
        </w:tabs>
        <w:divId w:val="1354530393"/>
        <w:rPr>
          <w:sz w:val="22"/>
          <w:szCs w:val="22"/>
          <w:u w:val="single"/>
          <w:lang w:val="sk-SK"/>
        </w:rPr>
      </w:pPr>
      <w:r w:rsidRPr="003546B8">
        <w:rPr>
          <w:sz w:val="22"/>
          <w:szCs w:val="22"/>
          <w:u w:val="single"/>
          <w:lang w:val="sk-SK"/>
        </w:rPr>
        <w:t>Spôsob podávania</w:t>
      </w:r>
    </w:p>
    <w:p w:rsidR="006C0AC4" w:rsidRDefault="00264041">
      <w:pPr>
        <w:tabs>
          <w:tab w:val="left" w:pos="720"/>
        </w:tabs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="006C0AC4">
        <w:rPr>
          <w:sz w:val="22"/>
          <w:szCs w:val="22"/>
          <w:lang w:val="sk-SK"/>
        </w:rPr>
        <w:t>erorálne použitie.</w:t>
      </w:r>
    </w:p>
    <w:p w:rsidR="006C0AC4" w:rsidRDefault="006C0AC4">
      <w:pPr>
        <w:tabs>
          <w:tab w:val="left" w:pos="720"/>
        </w:tabs>
        <w:divId w:val="1354530393"/>
        <w:rPr>
          <w:sz w:val="22"/>
          <w:szCs w:val="22"/>
          <w:lang w:val="sk-SK"/>
        </w:rPr>
      </w:pPr>
    </w:p>
    <w:p w:rsidR="00014F1F" w:rsidRDefault="00014F1F">
      <w:pPr>
        <w:pStyle w:val="Nadpis6"/>
        <w:tabs>
          <w:tab w:val="left" w:pos="0"/>
          <w:tab w:val="left" w:pos="567"/>
        </w:tabs>
        <w:ind w:left="0"/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4.3</w:t>
      </w:r>
      <w:r>
        <w:rPr>
          <w:sz w:val="22"/>
          <w:szCs w:val="22"/>
          <w:lang w:val="sk-SK"/>
        </w:rPr>
        <w:tab/>
        <w:t>Kontraindikácie</w:t>
      </w:r>
    </w:p>
    <w:p w:rsidR="00014F1F" w:rsidRDefault="00014F1F">
      <w:pPr>
        <w:divId w:val="1354530393"/>
        <w:rPr>
          <w:sz w:val="22"/>
          <w:szCs w:val="22"/>
          <w:lang w:val="sk-SK"/>
        </w:rPr>
      </w:pPr>
    </w:p>
    <w:p w:rsidR="00014F1F" w:rsidRDefault="00014F1F">
      <w:pPr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PROVERA je u pacientov kontraindikovaná v nasledovných prípadoch:</w:t>
      </w:r>
    </w:p>
    <w:p w:rsidR="00014F1F" w:rsidRDefault="00014F1F">
      <w:pPr>
        <w:numPr>
          <w:ilvl w:val="0"/>
          <w:numId w:val="5"/>
        </w:numPr>
        <w:ind w:left="426" w:hanging="426"/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pri precitlivenosti na </w:t>
      </w:r>
      <w:r w:rsidR="00A4321D">
        <w:rPr>
          <w:sz w:val="22"/>
          <w:szCs w:val="22"/>
          <w:lang w:val="sk-SK"/>
        </w:rPr>
        <w:t>liečivo</w:t>
      </w:r>
      <w:r w:rsidR="006C4EF7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alebo na ktorúkoľvek z pomocných látok uvedených v časti 6.1,</w:t>
      </w:r>
    </w:p>
    <w:p w:rsidR="00014F1F" w:rsidRDefault="00014F1F">
      <w:pPr>
        <w:numPr>
          <w:ilvl w:val="0"/>
          <w:numId w:val="5"/>
        </w:numPr>
        <w:tabs>
          <w:tab w:val="left" w:pos="426"/>
        </w:tabs>
        <w:ind w:left="426" w:hanging="426"/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 prípade predpokladaného alebo potvrdeného tehotenstva,</w:t>
      </w:r>
    </w:p>
    <w:p w:rsidR="00014F1F" w:rsidRDefault="00014F1F">
      <w:pPr>
        <w:numPr>
          <w:ilvl w:val="0"/>
          <w:numId w:val="5"/>
        </w:numPr>
        <w:ind w:left="426" w:hanging="426"/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 prípade nediagnostikovaného vaginálneho krvácania,</w:t>
      </w:r>
    </w:p>
    <w:p w:rsidR="00014F1F" w:rsidRDefault="00014F1F">
      <w:pPr>
        <w:numPr>
          <w:ilvl w:val="0"/>
          <w:numId w:val="5"/>
        </w:numPr>
        <w:tabs>
          <w:tab w:val="left" w:pos="426"/>
        </w:tabs>
        <w:ind w:left="426" w:hanging="426"/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 poruche funkcie pečene,</w:t>
      </w:r>
    </w:p>
    <w:p w:rsidR="00014F1F" w:rsidRDefault="00014F1F">
      <w:pPr>
        <w:numPr>
          <w:ilvl w:val="0"/>
          <w:numId w:val="5"/>
        </w:numPr>
        <w:ind w:left="426" w:hanging="426"/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 nádorovom ochorení prsníka alebo rodidiel alebo pri podozrení na toto ochorenie.</w:t>
      </w:r>
    </w:p>
    <w:p w:rsidR="00014F1F" w:rsidRDefault="00014F1F">
      <w:pPr>
        <w:divId w:val="1354530393"/>
        <w:rPr>
          <w:sz w:val="22"/>
          <w:szCs w:val="22"/>
          <w:lang w:val="sk-SK"/>
        </w:rPr>
      </w:pPr>
    </w:p>
    <w:p w:rsidR="00014F1F" w:rsidRDefault="00014F1F">
      <w:pPr>
        <w:tabs>
          <w:tab w:val="left" w:pos="567"/>
        </w:tabs>
        <w:divId w:val="1354530393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4.4</w:t>
      </w:r>
      <w:r>
        <w:rPr>
          <w:b/>
          <w:sz w:val="22"/>
          <w:szCs w:val="22"/>
          <w:lang w:val="sk-SK"/>
        </w:rPr>
        <w:tab/>
        <w:t>Osobitné upozornenia a opatrenia pri používaní</w:t>
      </w:r>
    </w:p>
    <w:p w:rsidR="00014F1F" w:rsidRDefault="00014F1F">
      <w:pPr>
        <w:divId w:val="1354530393"/>
        <w:rPr>
          <w:sz w:val="22"/>
          <w:szCs w:val="22"/>
          <w:lang w:val="sk-SK"/>
        </w:rPr>
      </w:pPr>
    </w:p>
    <w:p w:rsidR="00014F1F" w:rsidRDefault="00014F1F">
      <w:pPr>
        <w:divId w:val="1354530393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Všeobecné</w:t>
      </w:r>
    </w:p>
    <w:p w:rsidR="00014F1F" w:rsidRDefault="00014F1F">
      <w:pPr>
        <w:divId w:val="1354530393"/>
        <w:rPr>
          <w:sz w:val="22"/>
          <w:szCs w:val="22"/>
          <w:lang w:val="sk-SK"/>
        </w:rPr>
      </w:pPr>
    </w:p>
    <w:p w:rsidR="00014F1F" w:rsidRDefault="00014F1F">
      <w:pPr>
        <w:numPr>
          <w:ilvl w:val="0"/>
          <w:numId w:val="6"/>
        </w:numPr>
        <w:ind w:left="567" w:hanging="567"/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Neočakávané vaginálne krvácanie, ktoré sa objaví počas liečby je potrebné vyšetriť.</w:t>
      </w:r>
    </w:p>
    <w:p w:rsidR="00014F1F" w:rsidRDefault="00014F1F">
      <w:pPr>
        <w:divId w:val="1354530393"/>
        <w:rPr>
          <w:sz w:val="22"/>
          <w:szCs w:val="22"/>
          <w:lang w:val="sk-SK"/>
        </w:rPr>
      </w:pPr>
    </w:p>
    <w:p w:rsidR="00014F1F" w:rsidRDefault="00014F1F">
      <w:pPr>
        <w:numPr>
          <w:ilvl w:val="0"/>
          <w:numId w:val="6"/>
        </w:numPr>
        <w:ind w:left="567" w:hanging="567"/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PROVERA môže spôsobiť </w:t>
      </w:r>
      <w:proofErr w:type="spellStart"/>
      <w:r>
        <w:rPr>
          <w:sz w:val="22"/>
          <w:szCs w:val="22"/>
          <w:lang w:val="sk-SK"/>
        </w:rPr>
        <w:t>retenciu</w:t>
      </w:r>
      <w:proofErr w:type="spellEnd"/>
      <w:r>
        <w:rPr>
          <w:sz w:val="22"/>
          <w:szCs w:val="22"/>
          <w:lang w:val="sk-SK"/>
        </w:rPr>
        <w:t xml:space="preserve"> tekutín, preto je potrebné s opatrnosťou postupovať u pacientov s prítomnými ochoreniami, pri ktorých je pravdepodobné zhoršenie stavu vplyvom zadržiavania tekutín.</w:t>
      </w:r>
    </w:p>
    <w:p w:rsidR="00014F1F" w:rsidRDefault="00014F1F">
      <w:pPr>
        <w:divId w:val="1354530393"/>
        <w:rPr>
          <w:sz w:val="22"/>
          <w:szCs w:val="22"/>
          <w:lang w:val="sk-SK"/>
        </w:rPr>
      </w:pPr>
    </w:p>
    <w:p w:rsidR="00014F1F" w:rsidRDefault="00014F1F">
      <w:pPr>
        <w:numPr>
          <w:ilvl w:val="0"/>
          <w:numId w:val="6"/>
        </w:numPr>
        <w:ind w:left="567" w:hanging="567"/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Pacientov s liečbou klinickej depresie v anamnéze treba pozorne sledovať počas liečby PROVEROU.</w:t>
      </w:r>
    </w:p>
    <w:p w:rsidR="00014F1F" w:rsidRDefault="00014F1F">
      <w:pPr>
        <w:divId w:val="1354530393"/>
        <w:rPr>
          <w:sz w:val="22"/>
          <w:szCs w:val="22"/>
          <w:lang w:val="sk-SK"/>
        </w:rPr>
      </w:pPr>
    </w:p>
    <w:p w:rsidR="00014F1F" w:rsidRDefault="00014F1F">
      <w:pPr>
        <w:numPr>
          <w:ilvl w:val="0"/>
          <w:numId w:val="6"/>
        </w:numPr>
        <w:ind w:left="567" w:hanging="567"/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 niektorých pacientov užívajúcich PROVERU sa môže vyskytnúť zníženie glukózovej tolerancie. Počas liečby je potrebné starostlivo sledovať pacientov s potvrdenou cukrovkou.</w:t>
      </w:r>
    </w:p>
    <w:p w:rsidR="00014F1F" w:rsidRDefault="00014F1F">
      <w:pPr>
        <w:divId w:val="1354530393"/>
        <w:rPr>
          <w:sz w:val="22"/>
          <w:szCs w:val="22"/>
          <w:lang w:val="sk-SK"/>
        </w:rPr>
      </w:pPr>
    </w:p>
    <w:p w:rsidR="00014F1F" w:rsidRDefault="00014F1F">
      <w:pPr>
        <w:numPr>
          <w:ilvl w:val="0"/>
          <w:numId w:val="6"/>
        </w:numPr>
        <w:ind w:left="567" w:hanging="567"/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Patológ má byť informovaný, že pacienti užívali PROVERU, pokiaľ bude vyšetrovať tkanivo </w:t>
      </w:r>
      <w:proofErr w:type="spellStart"/>
      <w:r>
        <w:rPr>
          <w:sz w:val="22"/>
          <w:szCs w:val="22"/>
          <w:lang w:val="sk-SK"/>
        </w:rPr>
        <w:t>endometria</w:t>
      </w:r>
      <w:proofErr w:type="spellEnd"/>
      <w:r>
        <w:rPr>
          <w:sz w:val="22"/>
          <w:szCs w:val="22"/>
          <w:lang w:val="sk-SK"/>
        </w:rPr>
        <w:t xml:space="preserve"> alebo </w:t>
      </w:r>
      <w:proofErr w:type="spellStart"/>
      <w:r>
        <w:rPr>
          <w:sz w:val="22"/>
          <w:szCs w:val="22"/>
          <w:lang w:val="sk-SK"/>
        </w:rPr>
        <w:t>cervixu</w:t>
      </w:r>
      <w:proofErr w:type="spellEnd"/>
      <w:r>
        <w:rPr>
          <w:sz w:val="22"/>
          <w:szCs w:val="22"/>
          <w:lang w:val="sk-SK"/>
        </w:rPr>
        <w:t>.</w:t>
      </w:r>
    </w:p>
    <w:p w:rsidR="00014F1F" w:rsidRDefault="00014F1F">
      <w:pPr>
        <w:divId w:val="1354530393"/>
        <w:rPr>
          <w:sz w:val="22"/>
          <w:szCs w:val="22"/>
          <w:lang w:val="sk-SK"/>
        </w:rPr>
      </w:pPr>
    </w:p>
    <w:p w:rsidR="00014F1F" w:rsidRDefault="00014F1F">
      <w:pPr>
        <w:numPr>
          <w:ilvl w:val="0"/>
          <w:numId w:val="6"/>
        </w:numPr>
        <w:ind w:left="567" w:hanging="567"/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Lekár má byť informovaný, že používanie PROVERY môže znížiť hladiny nasledovných endokrinných </w:t>
      </w:r>
      <w:proofErr w:type="spellStart"/>
      <w:r>
        <w:rPr>
          <w:sz w:val="22"/>
          <w:szCs w:val="22"/>
          <w:lang w:val="sk-SK"/>
        </w:rPr>
        <w:t>biomarkerov</w:t>
      </w:r>
      <w:proofErr w:type="spellEnd"/>
      <w:r>
        <w:rPr>
          <w:sz w:val="22"/>
          <w:szCs w:val="22"/>
          <w:lang w:val="sk-SK"/>
        </w:rPr>
        <w:t>:</w:t>
      </w:r>
    </w:p>
    <w:p w:rsidR="00014F1F" w:rsidRDefault="00014F1F">
      <w:pPr>
        <w:numPr>
          <w:ilvl w:val="0"/>
          <w:numId w:val="7"/>
        </w:numPr>
        <w:ind w:left="1134" w:hanging="567"/>
        <w:divId w:val="1354530393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Steroidov</w:t>
      </w:r>
      <w:proofErr w:type="spellEnd"/>
      <w:r>
        <w:rPr>
          <w:sz w:val="22"/>
          <w:szCs w:val="22"/>
          <w:lang w:val="sk-SK"/>
        </w:rPr>
        <w:t xml:space="preserve"> v plazme/v moči (napr. </w:t>
      </w:r>
      <w:proofErr w:type="spellStart"/>
      <w:r>
        <w:rPr>
          <w:sz w:val="22"/>
          <w:szCs w:val="22"/>
          <w:lang w:val="sk-SK"/>
        </w:rPr>
        <w:t>kortizol</w:t>
      </w:r>
      <w:proofErr w:type="spellEnd"/>
      <w:r>
        <w:rPr>
          <w:sz w:val="22"/>
          <w:szCs w:val="22"/>
          <w:lang w:val="sk-SK"/>
        </w:rPr>
        <w:t xml:space="preserve">, estrogén, </w:t>
      </w:r>
      <w:proofErr w:type="spellStart"/>
      <w:r>
        <w:rPr>
          <w:sz w:val="22"/>
          <w:szCs w:val="22"/>
          <w:lang w:val="sk-SK"/>
        </w:rPr>
        <w:t>pregnandiol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progesterón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testosterón</w:t>
      </w:r>
      <w:proofErr w:type="spellEnd"/>
      <w:r>
        <w:rPr>
          <w:sz w:val="22"/>
          <w:szCs w:val="22"/>
          <w:lang w:val="sk-SK"/>
        </w:rPr>
        <w:t>)</w:t>
      </w:r>
    </w:p>
    <w:p w:rsidR="00014F1F" w:rsidRDefault="00014F1F">
      <w:pPr>
        <w:numPr>
          <w:ilvl w:val="0"/>
          <w:numId w:val="7"/>
        </w:numPr>
        <w:ind w:left="1134" w:hanging="567"/>
        <w:divId w:val="1354530393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Gonadotropínov</w:t>
      </w:r>
      <w:proofErr w:type="spellEnd"/>
      <w:r>
        <w:rPr>
          <w:sz w:val="22"/>
          <w:szCs w:val="22"/>
          <w:lang w:val="sk-SK"/>
        </w:rPr>
        <w:t xml:space="preserve"> v plazme/v moči (napr. LH a FSH)</w:t>
      </w:r>
    </w:p>
    <w:p w:rsidR="00014F1F" w:rsidRDefault="00014F1F">
      <w:pPr>
        <w:numPr>
          <w:ilvl w:val="0"/>
          <w:numId w:val="7"/>
        </w:numPr>
        <w:ind w:left="1134" w:hanging="567"/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Globulínu viažuceho pohlavné hormóny</w:t>
      </w:r>
    </w:p>
    <w:p w:rsidR="00014F1F" w:rsidRDefault="00014F1F">
      <w:pPr>
        <w:divId w:val="1354530393"/>
        <w:rPr>
          <w:sz w:val="22"/>
          <w:szCs w:val="22"/>
          <w:lang w:val="sk-SK"/>
        </w:rPr>
      </w:pPr>
    </w:p>
    <w:p w:rsidR="00014F1F" w:rsidRDefault="00014F1F">
      <w:pPr>
        <w:numPr>
          <w:ilvl w:val="0"/>
          <w:numId w:val="6"/>
        </w:numPr>
        <w:ind w:left="567" w:hanging="567"/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Liečba sa nemá podávať v prípade náhlej čiastočnej alebo úplnej straty zraku alebo v prípade náhleho nástupu </w:t>
      </w:r>
      <w:proofErr w:type="spellStart"/>
      <w:r>
        <w:rPr>
          <w:sz w:val="22"/>
          <w:szCs w:val="22"/>
          <w:lang w:val="sk-SK"/>
        </w:rPr>
        <w:t>proptózy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diplopie</w:t>
      </w:r>
      <w:proofErr w:type="spellEnd"/>
      <w:r>
        <w:rPr>
          <w:sz w:val="22"/>
          <w:szCs w:val="22"/>
          <w:lang w:val="sk-SK"/>
        </w:rPr>
        <w:t xml:space="preserve"> alebo migrény až do vyšetrenia tohto stavu. Ak vyšetrenie odhalí edém papily alebo </w:t>
      </w:r>
      <w:proofErr w:type="spellStart"/>
      <w:r>
        <w:rPr>
          <w:sz w:val="22"/>
          <w:szCs w:val="22"/>
          <w:lang w:val="sk-SK"/>
        </w:rPr>
        <w:t>retinálne</w:t>
      </w:r>
      <w:proofErr w:type="spellEnd"/>
      <w:r>
        <w:rPr>
          <w:sz w:val="22"/>
          <w:szCs w:val="22"/>
          <w:lang w:val="sk-SK"/>
        </w:rPr>
        <w:t xml:space="preserve"> cievne lézie, liečba sa už nesmie opätovne podať.</w:t>
      </w:r>
    </w:p>
    <w:p w:rsidR="00014F1F" w:rsidRDefault="00014F1F">
      <w:pPr>
        <w:divId w:val="1354530393"/>
        <w:rPr>
          <w:sz w:val="22"/>
          <w:szCs w:val="22"/>
          <w:lang w:val="sk-SK"/>
        </w:rPr>
      </w:pPr>
    </w:p>
    <w:p w:rsidR="00014F1F" w:rsidRPr="003546B8" w:rsidRDefault="00014F1F" w:rsidP="003546B8">
      <w:pPr>
        <w:pStyle w:val="Odsekzoznamu"/>
        <w:numPr>
          <w:ilvl w:val="0"/>
          <w:numId w:val="9"/>
        </w:numPr>
        <w:ind w:left="567" w:hanging="567"/>
        <w:divId w:val="1354530393"/>
        <w:rPr>
          <w:sz w:val="22"/>
          <w:szCs w:val="22"/>
          <w:lang w:val="sk-SK"/>
        </w:rPr>
      </w:pPr>
      <w:r w:rsidRPr="003546B8">
        <w:rPr>
          <w:sz w:val="22"/>
          <w:szCs w:val="22"/>
          <w:lang w:val="sk-SK"/>
        </w:rPr>
        <w:t xml:space="preserve">Nezistila sa príčinná súvislosť medzi PROVEROU a indukciou </w:t>
      </w:r>
      <w:proofErr w:type="spellStart"/>
      <w:r w:rsidRPr="003546B8">
        <w:rPr>
          <w:sz w:val="22"/>
          <w:szCs w:val="22"/>
          <w:lang w:val="sk-SK"/>
        </w:rPr>
        <w:t>trombotických</w:t>
      </w:r>
      <w:proofErr w:type="spellEnd"/>
      <w:r w:rsidRPr="003546B8">
        <w:rPr>
          <w:sz w:val="22"/>
          <w:szCs w:val="22"/>
          <w:lang w:val="sk-SK"/>
        </w:rPr>
        <w:t xml:space="preserve"> alebo </w:t>
      </w:r>
      <w:proofErr w:type="spellStart"/>
      <w:r w:rsidRPr="003546B8">
        <w:rPr>
          <w:sz w:val="22"/>
          <w:szCs w:val="22"/>
          <w:lang w:val="sk-SK"/>
        </w:rPr>
        <w:t>tromboembolických</w:t>
      </w:r>
      <w:proofErr w:type="spellEnd"/>
      <w:r w:rsidRPr="003546B8">
        <w:rPr>
          <w:sz w:val="22"/>
          <w:szCs w:val="22"/>
          <w:lang w:val="sk-SK"/>
        </w:rPr>
        <w:t xml:space="preserve"> porúch, avšak PROVERA sa neodporúča u pacientov s anamnézou </w:t>
      </w:r>
      <w:proofErr w:type="spellStart"/>
      <w:r w:rsidRPr="003546B8">
        <w:rPr>
          <w:sz w:val="22"/>
          <w:szCs w:val="22"/>
          <w:lang w:val="sk-SK"/>
        </w:rPr>
        <w:t>venóznej</w:t>
      </w:r>
      <w:proofErr w:type="spellEnd"/>
      <w:r w:rsidRPr="003546B8">
        <w:rPr>
          <w:sz w:val="22"/>
          <w:szCs w:val="22"/>
          <w:lang w:val="sk-SK"/>
        </w:rPr>
        <w:t xml:space="preserve"> </w:t>
      </w:r>
      <w:proofErr w:type="spellStart"/>
      <w:r w:rsidRPr="003546B8">
        <w:rPr>
          <w:sz w:val="22"/>
          <w:szCs w:val="22"/>
          <w:lang w:val="sk-SK"/>
        </w:rPr>
        <w:t>tromboembólie</w:t>
      </w:r>
      <w:proofErr w:type="spellEnd"/>
      <w:r w:rsidRPr="003546B8">
        <w:rPr>
          <w:sz w:val="22"/>
          <w:szCs w:val="22"/>
          <w:lang w:val="sk-SK"/>
        </w:rPr>
        <w:t xml:space="preserve"> (VTE). Vysadenie PROVERY sa odporúča u pacientov, u</w:t>
      </w:r>
      <w:r w:rsidR="006C0AC4" w:rsidRPr="003546B8">
        <w:rPr>
          <w:sz w:val="22"/>
          <w:szCs w:val="22"/>
          <w:lang w:val="sk-SK"/>
        </w:rPr>
        <w:t> </w:t>
      </w:r>
      <w:r w:rsidRPr="003546B8">
        <w:rPr>
          <w:sz w:val="22"/>
          <w:szCs w:val="22"/>
          <w:lang w:val="sk-SK"/>
        </w:rPr>
        <w:t>ktorých sa počas liečby vyvinie VTE.</w:t>
      </w:r>
    </w:p>
    <w:p w:rsidR="00014F1F" w:rsidRDefault="00014F1F">
      <w:pPr>
        <w:divId w:val="1354530393"/>
        <w:rPr>
          <w:sz w:val="22"/>
          <w:szCs w:val="22"/>
          <w:lang w:val="sk-SK"/>
        </w:rPr>
      </w:pPr>
    </w:p>
    <w:p w:rsidR="00014F1F" w:rsidRDefault="00014F1F">
      <w:pPr>
        <w:divId w:val="1354530393"/>
        <w:rPr>
          <w:i/>
          <w:sz w:val="22"/>
          <w:szCs w:val="22"/>
          <w:u w:val="single"/>
          <w:lang w:val="sk-SK"/>
        </w:rPr>
      </w:pPr>
      <w:r>
        <w:rPr>
          <w:i/>
          <w:sz w:val="22"/>
          <w:szCs w:val="22"/>
          <w:u w:val="single"/>
          <w:lang w:val="sk-SK"/>
        </w:rPr>
        <w:t xml:space="preserve">Liečba </w:t>
      </w:r>
      <w:proofErr w:type="spellStart"/>
      <w:r>
        <w:rPr>
          <w:i/>
          <w:sz w:val="22"/>
          <w:szCs w:val="22"/>
          <w:u w:val="single"/>
          <w:lang w:val="sk-SK"/>
        </w:rPr>
        <w:t>vazomotorických</w:t>
      </w:r>
      <w:proofErr w:type="spellEnd"/>
      <w:r>
        <w:rPr>
          <w:i/>
          <w:sz w:val="22"/>
          <w:szCs w:val="22"/>
          <w:u w:val="single"/>
          <w:lang w:val="sk-SK"/>
        </w:rPr>
        <w:t xml:space="preserve"> prejavov počas </w:t>
      </w:r>
      <w:proofErr w:type="spellStart"/>
      <w:r>
        <w:rPr>
          <w:i/>
          <w:sz w:val="22"/>
          <w:szCs w:val="22"/>
          <w:u w:val="single"/>
          <w:lang w:val="sk-SK"/>
        </w:rPr>
        <w:t>menopauzy</w:t>
      </w:r>
      <w:proofErr w:type="spellEnd"/>
      <w:r>
        <w:rPr>
          <w:i/>
          <w:sz w:val="22"/>
          <w:szCs w:val="22"/>
          <w:u w:val="single"/>
          <w:lang w:val="sk-SK"/>
        </w:rPr>
        <w:t xml:space="preserve"> / Potlačenie účinkov estrogénov na</w:t>
      </w:r>
      <w:r w:rsidR="000B5721">
        <w:rPr>
          <w:i/>
          <w:sz w:val="22"/>
          <w:szCs w:val="22"/>
          <w:u w:val="single"/>
          <w:lang w:val="sk-SK"/>
        </w:rPr>
        <w:t> </w:t>
      </w:r>
      <w:proofErr w:type="spellStart"/>
      <w:r>
        <w:rPr>
          <w:i/>
          <w:sz w:val="22"/>
          <w:szCs w:val="22"/>
          <w:u w:val="single"/>
          <w:lang w:val="sk-SK"/>
        </w:rPr>
        <w:t>endometrium</w:t>
      </w:r>
      <w:proofErr w:type="spellEnd"/>
      <w:r>
        <w:rPr>
          <w:i/>
          <w:sz w:val="22"/>
          <w:szCs w:val="22"/>
          <w:u w:val="single"/>
          <w:lang w:val="sk-SK"/>
        </w:rPr>
        <w:t xml:space="preserve"> u žien po </w:t>
      </w:r>
      <w:proofErr w:type="spellStart"/>
      <w:r>
        <w:rPr>
          <w:i/>
          <w:sz w:val="22"/>
          <w:szCs w:val="22"/>
          <w:u w:val="single"/>
          <w:lang w:val="sk-SK"/>
        </w:rPr>
        <w:t>menopauze</w:t>
      </w:r>
      <w:proofErr w:type="spellEnd"/>
      <w:r>
        <w:rPr>
          <w:i/>
          <w:sz w:val="22"/>
          <w:szCs w:val="22"/>
          <w:u w:val="single"/>
          <w:lang w:val="sk-SK"/>
        </w:rPr>
        <w:t xml:space="preserve"> liečených estrogénmi (hormonálna liečba):</w:t>
      </w:r>
    </w:p>
    <w:p w:rsidR="00014F1F" w:rsidRDefault="00014F1F">
      <w:pPr>
        <w:divId w:val="1354530393"/>
        <w:rPr>
          <w:sz w:val="22"/>
          <w:szCs w:val="22"/>
          <w:lang w:val="sk-SK"/>
        </w:rPr>
      </w:pPr>
    </w:p>
    <w:p w:rsidR="00014F1F" w:rsidRDefault="00014F1F">
      <w:pPr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Iné dávky perorálnych </w:t>
      </w:r>
      <w:proofErr w:type="spellStart"/>
      <w:r>
        <w:rPr>
          <w:sz w:val="22"/>
          <w:szCs w:val="22"/>
          <w:lang w:val="sk-SK"/>
        </w:rPr>
        <w:t>konjugovaných</w:t>
      </w:r>
      <w:proofErr w:type="spellEnd"/>
      <w:r>
        <w:rPr>
          <w:sz w:val="22"/>
          <w:szCs w:val="22"/>
          <w:lang w:val="sk-SK"/>
        </w:rPr>
        <w:t xml:space="preserve"> estrogénov s </w:t>
      </w:r>
      <w:proofErr w:type="spellStart"/>
      <w:r>
        <w:rPr>
          <w:sz w:val="22"/>
          <w:szCs w:val="22"/>
          <w:lang w:val="sk-SK"/>
        </w:rPr>
        <w:t>medroxyprogesterónacetátom</w:t>
      </w:r>
      <w:proofErr w:type="spellEnd"/>
      <w:r>
        <w:rPr>
          <w:sz w:val="22"/>
          <w:szCs w:val="22"/>
          <w:lang w:val="sk-SK"/>
        </w:rPr>
        <w:t xml:space="preserve"> a ďalšie kombinácie a liekové formy hormonálnej terapie (HT) sa neskúmali v štúdii WHI (</w:t>
      </w:r>
      <w:proofErr w:type="spellStart"/>
      <w:r>
        <w:rPr>
          <w:sz w:val="22"/>
          <w:szCs w:val="22"/>
          <w:lang w:val="sk-SK"/>
        </w:rPr>
        <w:t>Women’s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Health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Initiative</w:t>
      </w:r>
      <w:proofErr w:type="spellEnd"/>
      <w:r>
        <w:rPr>
          <w:sz w:val="22"/>
          <w:szCs w:val="22"/>
          <w:lang w:val="sk-SK"/>
        </w:rPr>
        <w:t xml:space="preserve">) (pozri časť 5.1 </w:t>
      </w:r>
      <w:proofErr w:type="spellStart"/>
      <w:r>
        <w:rPr>
          <w:sz w:val="22"/>
          <w:szCs w:val="22"/>
          <w:lang w:val="sk-SK"/>
        </w:rPr>
        <w:t>Farmakodynamické</w:t>
      </w:r>
      <w:proofErr w:type="spellEnd"/>
      <w:r>
        <w:rPr>
          <w:sz w:val="22"/>
          <w:szCs w:val="22"/>
          <w:lang w:val="sk-SK"/>
        </w:rPr>
        <w:t xml:space="preserve"> vlastnosti, Klinické štúdie, Štúdia WHI) a bez porovnávacích údajov sa majú tieto riziká považovať za podobné.</w:t>
      </w:r>
    </w:p>
    <w:p w:rsidR="00014F1F" w:rsidRDefault="00014F1F">
      <w:pPr>
        <w:divId w:val="1354530393"/>
        <w:rPr>
          <w:sz w:val="22"/>
          <w:szCs w:val="22"/>
          <w:lang w:val="sk-SK"/>
        </w:rPr>
      </w:pPr>
    </w:p>
    <w:p w:rsidR="00014F1F" w:rsidRDefault="00014F1F">
      <w:pPr>
        <w:divId w:val="1354530393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Karcinóm prsníka</w:t>
      </w:r>
    </w:p>
    <w:p w:rsidR="00014F1F" w:rsidRDefault="00014F1F">
      <w:pPr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Zaznamenalo sa, že použitie kombinovanej liečby perorálneho estrogénu a </w:t>
      </w:r>
      <w:proofErr w:type="spellStart"/>
      <w:r>
        <w:rPr>
          <w:sz w:val="22"/>
          <w:szCs w:val="22"/>
          <w:lang w:val="sk-SK"/>
        </w:rPr>
        <w:t>progesterónu</w:t>
      </w:r>
      <w:proofErr w:type="spellEnd"/>
      <w:r>
        <w:rPr>
          <w:sz w:val="22"/>
          <w:szCs w:val="22"/>
          <w:lang w:val="sk-SK"/>
        </w:rPr>
        <w:t xml:space="preserve"> u</w:t>
      </w:r>
      <w:r w:rsidR="006C0AC4">
        <w:rPr>
          <w:sz w:val="22"/>
          <w:szCs w:val="22"/>
          <w:lang w:val="sk-SK"/>
        </w:rPr>
        <w:t> </w:t>
      </w:r>
      <w:proofErr w:type="spellStart"/>
      <w:r>
        <w:rPr>
          <w:sz w:val="22"/>
          <w:szCs w:val="22"/>
          <w:lang w:val="sk-SK"/>
        </w:rPr>
        <w:t>postmenopauzálnych</w:t>
      </w:r>
      <w:proofErr w:type="spellEnd"/>
      <w:r>
        <w:rPr>
          <w:sz w:val="22"/>
          <w:szCs w:val="22"/>
          <w:lang w:val="sk-SK"/>
        </w:rPr>
        <w:t xml:space="preserve"> žien zvyšuje riziko karcinómu prsníka. Výsledky z </w:t>
      </w:r>
      <w:proofErr w:type="spellStart"/>
      <w:r>
        <w:rPr>
          <w:sz w:val="22"/>
          <w:szCs w:val="22"/>
          <w:lang w:val="sk-SK"/>
        </w:rPr>
        <w:t>randomizovanej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placebom</w:t>
      </w:r>
      <w:proofErr w:type="spellEnd"/>
      <w:r>
        <w:rPr>
          <w:sz w:val="22"/>
          <w:szCs w:val="22"/>
          <w:lang w:val="sk-SK"/>
        </w:rPr>
        <w:t xml:space="preserve"> kontrolovanej štúdie, štúdie WHI a epidemiologických štúdií (pozri časť 5.1 </w:t>
      </w:r>
      <w:proofErr w:type="spellStart"/>
      <w:r>
        <w:rPr>
          <w:sz w:val="22"/>
          <w:szCs w:val="22"/>
          <w:lang w:val="sk-SK"/>
        </w:rPr>
        <w:t>Farmakodynamické</w:t>
      </w:r>
      <w:proofErr w:type="spellEnd"/>
      <w:r>
        <w:rPr>
          <w:sz w:val="22"/>
          <w:szCs w:val="22"/>
          <w:lang w:val="sk-SK"/>
        </w:rPr>
        <w:t xml:space="preserve"> vlastnosti, Klinické štúdie) preukázali zvýšené riziko karcinómu prsníka u žien užívajúcich kombinácie estrogén/</w:t>
      </w:r>
      <w:proofErr w:type="spellStart"/>
      <w:r>
        <w:rPr>
          <w:sz w:val="22"/>
          <w:szCs w:val="22"/>
          <w:lang w:val="sk-SK"/>
        </w:rPr>
        <w:t>progesterón</w:t>
      </w:r>
      <w:proofErr w:type="spellEnd"/>
      <w:r>
        <w:rPr>
          <w:sz w:val="22"/>
          <w:szCs w:val="22"/>
          <w:lang w:val="sk-SK"/>
        </w:rPr>
        <w:t xml:space="preserve"> v rámci HT počas niekoľkých rokov. V klinickej štúdii WHI s </w:t>
      </w:r>
      <w:proofErr w:type="spellStart"/>
      <w:r>
        <w:rPr>
          <w:sz w:val="22"/>
          <w:szCs w:val="22"/>
          <w:lang w:val="sk-SK"/>
        </w:rPr>
        <w:t>konjugovanými</w:t>
      </w:r>
      <w:proofErr w:type="spellEnd"/>
      <w:r>
        <w:rPr>
          <w:sz w:val="22"/>
          <w:szCs w:val="22"/>
          <w:lang w:val="sk-SK"/>
        </w:rPr>
        <w:t xml:space="preserve"> konskými estrogénmi (</w:t>
      </w:r>
      <w:proofErr w:type="spellStart"/>
      <w:r>
        <w:rPr>
          <w:sz w:val="22"/>
          <w:szCs w:val="22"/>
          <w:lang w:val="sk-SK"/>
        </w:rPr>
        <w:t>conjugated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equine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estrogens</w:t>
      </w:r>
      <w:proofErr w:type="spellEnd"/>
      <w:r>
        <w:rPr>
          <w:sz w:val="22"/>
          <w:szCs w:val="22"/>
          <w:lang w:val="sk-SK"/>
        </w:rPr>
        <w:t xml:space="preserve"> – CEE) a s PROVEROU a v </w:t>
      </w:r>
      <w:proofErr w:type="spellStart"/>
      <w:r>
        <w:rPr>
          <w:sz w:val="22"/>
          <w:szCs w:val="22"/>
          <w:lang w:val="sk-SK"/>
        </w:rPr>
        <w:t>observačných</w:t>
      </w:r>
      <w:proofErr w:type="spellEnd"/>
      <w:r>
        <w:rPr>
          <w:sz w:val="22"/>
          <w:szCs w:val="22"/>
          <w:lang w:val="sk-SK"/>
        </w:rPr>
        <w:t xml:space="preserve"> štúdiách sa nadmerné riziko zvyšuje s dĺžkou užívania (pozri časť 4.2 Dávkovanie a spôsob podávania). Zaznamenalo sa tiež, že použitie estrogénu a </w:t>
      </w:r>
      <w:proofErr w:type="spellStart"/>
      <w:r>
        <w:rPr>
          <w:sz w:val="22"/>
          <w:szCs w:val="22"/>
          <w:lang w:val="sk-SK"/>
        </w:rPr>
        <w:t>progesterónu</w:t>
      </w:r>
      <w:proofErr w:type="spellEnd"/>
      <w:r>
        <w:rPr>
          <w:sz w:val="22"/>
          <w:szCs w:val="22"/>
          <w:lang w:val="sk-SK"/>
        </w:rPr>
        <w:t xml:space="preserve"> spôsobuje zvýšenie počtu abnormálnych </w:t>
      </w:r>
      <w:proofErr w:type="spellStart"/>
      <w:r>
        <w:rPr>
          <w:sz w:val="22"/>
          <w:szCs w:val="22"/>
          <w:lang w:val="sk-SK"/>
        </w:rPr>
        <w:t>mamogramov</w:t>
      </w:r>
      <w:proofErr w:type="spellEnd"/>
      <w:r>
        <w:rPr>
          <w:sz w:val="22"/>
          <w:szCs w:val="22"/>
          <w:lang w:val="sk-SK"/>
        </w:rPr>
        <w:t>, ktoré si vyžadujú ďalšie vyšetrenie.</w:t>
      </w:r>
    </w:p>
    <w:p w:rsidR="00014F1F" w:rsidRDefault="00014F1F">
      <w:pPr>
        <w:divId w:val="1354530393"/>
        <w:rPr>
          <w:sz w:val="22"/>
          <w:szCs w:val="22"/>
          <w:lang w:val="sk-SK"/>
        </w:rPr>
      </w:pPr>
    </w:p>
    <w:p w:rsidR="00014F1F" w:rsidRDefault="00014F1F">
      <w:pPr>
        <w:divId w:val="1354530393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Kardiovaskulárne poruchy</w:t>
      </w:r>
    </w:p>
    <w:p w:rsidR="00014F1F" w:rsidRDefault="00014F1F">
      <w:pPr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Estrogény s </w:t>
      </w:r>
      <w:proofErr w:type="spellStart"/>
      <w:r>
        <w:rPr>
          <w:sz w:val="22"/>
          <w:szCs w:val="22"/>
          <w:lang w:val="sk-SK"/>
        </w:rPr>
        <w:t>progesterónmi</w:t>
      </w:r>
      <w:proofErr w:type="spellEnd"/>
      <w:r>
        <w:rPr>
          <w:sz w:val="22"/>
          <w:szCs w:val="22"/>
          <w:lang w:val="sk-SK"/>
        </w:rPr>
        <w:t xml:space="preserve"> alebo bez nich sa nemajú používať na prevenciu kardiovaskulárnych ochorení. V niekoľkých </w:t>
      </w:r>
      <w:proofErr w:type="spellStart"/>
      <w:r>
        <w:rPr>
          <w:sz w:val="22"/>
          <w:szCs w:val="22"/>
          <w:lang w:val="sk-SK"/>
        </w:rPr>
        <w:t>randomizovaných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prospektívnych</w:t>
      </w:r>
      <w:proofErr w:type="spellEnd"/>
      <w:r>
        <w:rPr>
          <w:sz w:val="22"/>
          <w:szCs w:val="22"/>
          <w:lang w:val="sk-SK"/>
        </w:rPr>
        <w:t xml:space="preserve"> štúdiách skúmajúcich dlhodobé účinky (pozri časť 4.2 Dávkovanie a spôsob podávania) kombinovaných režimov estrogén/</w:t>
      </w:r>
      <w:proofErr w:type="spellStart"/>
      <w:r>
        <w:rPr>
          <w:sz w:val="22"/>
          <w:szCs w:val="22"/>
          <w:lang w:val="sk-SK"/>
        </w:rPr>
        <w:t>progesterón</w:t>
      </w:r>
      <w:proofErr w:type="spellEnd"/>
      <w:r>
        <w:rPr>
          <w:sz w:val="22"/>
          <w:szCs w:val="22"/>
          <w:lang w:val="sk-SK"/>
        </w:rPr>
        <w:t xml:space="preserve"> u žien po </w:t>
      </w:r>
      <w:proofErr w:type="spellStart"/>
      <w:r>
        <w:rPr>
          <w:sz w:val="22"/>
          <w:szCs w:val="22"/>
          <w:lang w:val="sk-SK"/>
        </w:rPr>
        <w:t>menopauze</w:t>
      </w:r>
      <w:proofErr w:type="spellEnd"/>
      <w:r>
        <w:rPr>
          <w:sz w:val="22"/>
          <w:szCs w:val="22"/>
          <w:lang w:val="sk-SK"/>
        </w:rPr>
        <w:t xml:space="preserve"> sa zaznamenalo zvýšené riziko kardiovaskulárnych príhod, ako je infarkt myokardu, koronárna choroba srdca, mozgová príhoda a </w:t>
      </w:r>
      <w:proofErr w:type="spellStart"/>
      <w:r>
        <w:rPr>
          <w:sz w:val="22"/>
          <w:szCs w:val="22"/>
          <w:lang w:val="sk-SK"/>
        </w:rPr>
        <w:t>venózna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tromboembólia</w:t>
      </w:r>
      <w:proofErr w:type="spellEnd"/>
      <w:r>
        <w:rPr>
          <w:sz w:val="22"/>
          <w:szCs w:val="22"/>
          <w:lang w:val="sk-SK"/>
        </w:rPr>
        <w:t>.</w:t>
      </w:r>
    </w:p>
    <w:p w:rsidR="00014F1F" w:rsidRDefault="00014F1F">
      <w:pPr>
        <w:divId w:val="1354530393"/>
        <w:rPr>
          <w:sz w:val="22"/>
          <w:szCs w:val="22"/>
          <w:lang w:val="sk-SK"/>
        </w:rPr>
      </w:pPr>
    </w:p>
    <w:p w:rsidR="00014F1F" w:rsidRDefault="00014F1F" w:rsidP="003546B8">
      <w:pPr>
        <w:keepNext/>
        <w:numPr>
          <w:ilvl w:val="0"/>
          <w:numId w:val="8"/>
        </w:numPr>
        <w:ind w:left="567" w:hanging="567"/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Choroba koronárnych </w:t>
      </w:r>
      <w:proofErr w:type="spellStart"/>
      <w:r>
        <w:rPr>
          <w:sz w:val="22"/>
          <w:szCs w:val="22"/>
          <w:lang w:val="sk-SK"/>
        </w:rPr>
        <w:t>arterií</w:t>
      </w:r>
      <w:proofErr w:type="spellEnd"/>
    </w:p>
    <w:p w:rsidR="00014F1F" w:rsidRDefault="00014F1F" w:rsidP="003546B8">
      <w:pPr>
        <w:keepNext/>
        <w:ind w:left="567"/>
        <w:divId w:val="1354530393"/>
        <w:rPr>
          <w:sz w:val="22"/>
          <w:szCs w:val="22"/>
          <w:lang w:val="sk-SK"/>
        </w:rPr>
      </w:pPr>
    </w:p>
    <w:p w:rsidR="00014F1F" w:rsidRDefault="00014F1F" w:rsidP="003546B8">
      <w:pPr>
        <w:keepNext/>
        <w:ind w:left="567"/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Z </w:t>
      </w:r>
      <w:proofErr w:type="spellStart"/>
      <w:r>
        <w:rPr>
          <w:sz w:val="22"/>
          <w:szCs w:val="22"/>
          <w:lang w:val="sk-SK"/>
        </w:rPr>
        <w:t>randomizovaných</w:t>
      </w:r>
      <w:proofErr w:type="spellEnd"/>
      <w:r>
        <w:rPr>
          <w:sz w:val="22"/>
          <w:szCs w:val="22"/>
          <w:lang w:val="sk-SK"/>
        </w:rPr>
        <w:t xml:space="preserve"> kontrolovaných štúdií nie je k dispozícii žiadny dôkaz o</w:t>
      </w:r>
      <w:r w:rsidR="006C0AC4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 xml:space="preserve">kardiovaskulárnom prínose pri kontinuálnom užívaní </w:t>
      </w:r>
      <w:proofErr w:type="spellStart"/>
      <w:r>
        <w:rPr>
          <w:sz w:val="22"/>
          <w:szCs w:val="22"/>
          <w:lang w:val="sk-SK"/>
        </w:rPr>
        <w:t>konjugovaných</w:t>
      </w:r>
      <w:proofErr w:type="spellEnd"/>
      <w:r>
        <w:rPr>
          <w:sz w:val="22"/>
          <w:szCs w:val="22"/>
          <w:lang w:val="sk-SK"/>
        </w:rPr>
        <w:t xml:space="preserve"> estrogénov a </w:t>
      </w:r>
      <w:proofErr w:type="spellStart"/>
      <w:r>
        <w:rPr>
          <w:sz w:val="22"/>
          <w:szCs w:val="22"/>
          <w:lang w:val="sk-SK"/>
        </w:rPr>
        <w:t>medroxyprogesterónacetátu</w:t>
      </w:r>
      <w:proofErr w:type="spellEnd"/>
      <w:r>
        <w:rPr>
          <w:sz w:val="22"/>
          <w:szCs w:val="22"/>
          <w:lang w:val="sk-SK"/>
        </w:rPr>
        <w:t xml:space="preserve"> (MPA). Dve veľké klinické štúdie [WHI CEE/MPA a štúdia HERS (</w:t>
      </w:r>
      <w:proofErr w:type="spellStart"/>
      <w:r>
        <w:rPr>
          <w:sz w:val="22"/>
          <w:szCs w:val="22"/>
          <w:lang w:val="sk-SK"/>
        </w:rPr>
        <w:t>Heart</w:t>
      </w:r>
      <w:proofErr w:type="spellEnd"/>
      <w:r>
        <w:rPr>
          <w:sz w:val="22"/>
          <w:szCs w:val="22"/>
          <w:lang w:val="sk-SK"/>
        </w:rPr>
        <w:t xml:space="preserve"> and </w:t>
      </w:r>
      <w:proofErr w:type="spellStart"/>
      <w:r>
        <w:rPr>
          <w:sz w:val="22"/>
          <w:szCs w:val="22"/>
          <w:lang w:val="sk-SK"/>
        </w:rPr>
        <w:t>Estrogen</w:t>
      </w:r>
      <w:proofErr w:type="spellEnd"/>
      <w:r>
        <w:rPr>
          <w:sz w:val="22"/>
          <w:szCs w:val="22"/>
          <w:lang w:val="sk-SK"/>
        </w:rPr>
        <w:t>/</w:t>
      </w:r>
      <w:proofErr w:type="spellStart"/>
      <w:r>
        <w:rPr>
          <w:sz w:val="22"/>
          <w:szCs w:val="22"/>
          <w:lang w:val="sk-SK"/>
        </w:rPr>
        <w:t>progestin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Replacement</w:t>
      </w:r>
      <w:proofErr w:type="spellEnd"/>
      <w:r>
        <w:rPr>
          <w:sz w:val="22"/>
          <w:szCs w:val="22"/>
          <w:lang w:val="sk-SK"/>
        </w:rPr>
        <w:t xml:space="preserve"> Study) (pozri časť 5.1 </w:t>
      </w:r>
      <w:proofErr w:type="spellStart"/>
      <w:r>
        <w:rPr>
          <w:sz w:val="22"/>
          <w:szCs w:val="22"/>
          <w:lang w:val="sk-SK"/>
        </w:rPr>
        <w:t>Farmakodynamické</w:t>
      </w:r>
      <w:proofErr w:type="spellEnd"/>
      <w:r>
        <w:rPr>
          <w:sz w:val="22"/>
          <w:szCs w:val="22"/>
          <w:lang w:val="sk-SK"/>
        </w:rPr>
        <w:t xml:space="preserve"> vlastnosti, Klinické štúdie) preukázali možné zvýšené riziko kardiovaskulárnej morbidity v prvom roku užívania a žiadny celkový prínos.</w:t>
      </w:r>
    </w:p>
    <w:p w:rsidR="00014F1F" w:rsidRDefault="00014F1F">
      <w:pPr>
        <w:ind w:left="567"/>
        <w:divId w:val="1354530393"/>
        <w:rPr>
          <w:sz w:val="22"/>
          <w:szCs w:val="22"/>
          <w:lang w:val="sk-SK"/>
        </w:rPr>
      </w:pPr>
    </w:p>
    <w:p w:rsidR="00014F1F" w:rsidRDefault="00014F1F">
      <w:pPr>
        <w:ind w:left="567"/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 štúdii WHI CEE/MPA sa pozorovalo zvýšené riziko príhod koronárnej choroby srdca (definovanej ako nefatálny infarkt myokardu a úmrtie na koronárnu chorobu srdca) u žien užívajúcich CEE/MPA v porovnaní so ženami, ktoré dostávali </w:t>
      </w:r>
      <w:proofErr w:type="spellStart"/>
      <w:r>
        <w:rPr>
          <w:sz w:val="22"/>
          <w:szCs w:val="22"/>
          <w:lang w:val="sk-SK"/>
        </w:rPr>
        <w:t>placebo</w:t>
      </w:r>
      <w:proofErr w:type="spellEnd"/>
      <w:r>
        <w:rPr>
          <w:sz w:val="22"/>
          <w:szCs w:val="22"/>
          <w:lang w:val="sk-SK"/>
        </w:rPr>
        <w:t xml:space="preserve"> (37 oproti 30 na 10 000 </w:t>
      </w:r>
      <w:proofErr w:type="spellStart"/>
      <w:r>
        <w:rPr>
          <w:sz w:val="22"/>
          <w:szCs w:val="22"/>
          <w:lang w:val="sk-SK"/>
        </w:rPr>
        <w:t>pacientorokov</w:t>
      </w:r>
      <w:proofErr w:type="spellEnd"/>
      <w:r>
        <w:rPr>
          <w:sz w:val="22"/>
          <w:szCs w:val="22"/>
          <w:lang w:val="sk-SK"/>
        </w:rPr>
        <w:t>). Zvýšenie rizika VTE sa zaznamenalo v prvom roku a pretrvávalo počas sledovaného obdobia (pozri časť 4.2 Dávkovanie a spôsob podávania).</w:t>
      </w:r>
    </w:p>
    <w:p w:rsidR="00014F1F" w:rsidRDefault="00014F1F">
      <w:pPr>
        <w:divId w:val="1354530393"/>
        <w:rPr>
          <w:sz w:val="22"/>
          <w:szCs w:val="22"/>
          <w:lang w:val="sk-SK"/>
        </w:rPr>
      </w:pPr>
    </w:p>
    <w:p w:rsidR="00014F1F" w:rsidRDefault="00014F1F">
      <w:pPr>
        <w:numPr>
          <w:ilvl w:val="0"/>
          <w:numId w:val="8"/>
        </w:numPr>
        <w:ind w:left="567" w:hanging="567"/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Mozgová príhoda</w:t>
      </w:r>
    </w:p>
    <w:p w:rsidR="00014F1F" w:rsidRDefault="00014F1F">
      <w:pPr>
        <w:ind w:left="567"/>
        <w:divId w:val="1354530393"/>
        <w:rPr>
          <w:sz w:val="22"/>
          <w:szCs w:val="22"/>
          <w:lang w:val="sk-SK"/>
        </w:rPr>
      </w:pPr>
    </w:p>
    <w:p w:rsidR="00014F1F" w:rsidRDefault="00014F1F">
      <w:pPr>
        <w:ind w:left="567"/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 štúdii WHI CEE/MPA sa pozorovalo zvýšené riziko mozgovej príhody u žien užívajúcich CEE/MPA v porovnaní so ženami, ktoré dostávali </w:t>
      </w:r>
      <w:proofErr w:type="spellStart"/>
      <w:r>
        <w:rPr>
          <w:sz w:val="22"/>
          <w:szCs w:val="22"/>
          <w:lang w:val="sk-SK"/>
        </w:rPr>
        <w:t>placebo</w:t>
      </w:r>
      <w:proofErr w:type="spellEnd"/>
      <w:r>
        <w:rPr>
          <w:sz w:val="22"/>
          <w:szCs w:val="22"/>
          <w:lang w:val="sk-SK"/>
        </w:rPr>
        <w:t xml:space="preserve"> (29 oproti 21 na</w:t>
      </w:r>
      <w:r w:rsidR="006C0AC4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 xml:space="preserve">10 000 </w:t>
      </w:r>
      <w:proofErr w:type="spellStart"/>
      <w:r>
        <w:rPr>
          <w:sz w:val="22"/>
          <w:szCs w:val="22"/>
          <w:lang w:val="sk-SK"/>
        </w:rPr>
        <w:t>pacientorokov</w:t>
      </w:r>
      <w:proofErr w:type="spellEnd"/>
      <w:r>
        <w:rPr>
          <w:sz w:val="22"/>
          <w:szCs w:val="22"/>
          <w:lang w:val="sk-SK"/>
        </w:rPr>
        <w:t>). Zvýšenie rizika sa pozorovalo v prvom roku a pretrvávalo počas sledovaného obdobia (pozri časť 4.2 Dávkovanie a spôsob podávania).</w:t>
      </w:r>
    </w:p>
    <w:p w:rsidR="00014F1F" w:rsidRDefault="00014F1F">
      <w:pPr>
        <w:ind w:left="567"/>
        <w:divId w:val="1354530393"/>
        <w:rPr>
          <w:sz w:val="22"/>
          <w:szCs w:val="22"/>
          <w:lang w:val="sk-SK"/>
        </w:rPr>
      </w:pPr>
    </w:p>
    <w:p w:rsidR="00014F1F" w:rsidRDefault="00014F1F">
      <w:pPr>
        <w:numPr>
          <w:ilvl w:val="0"/>
          <w:numId w:val="8"/>
        </w:numPr>
        <w:ind w:left="567" w:hanging="567"/>
        <w:divId w:val="1354530393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Venózna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tromboembólia</w:t>
      </w:r>
      <w:proofErr w:type="spellEnd"/>
      <w:r>
        <w:rPr>
          <w:sz w:val="22"/>
          <w:szCs w:val="22"/>
          <w:lang w:val="sk-SK"/>
        </w:rPr>
        <w:t>/Pľúcna embólia</w:t>
      </w:r>
    </w:p>
    <w:p w:rsidR="00014F1F" w:rsidRDefault="00014F1F">
      <w:pPr>
        <w:ind w:left="567"/>
        <w:divId w:val="1354530393"/>
        <w:rPr>
          <w:sz w:val="22"/>
          <w:szCs w:val="22"/>
          <w:lang w:val="sk-SK"/>
        </w:rPr>
      </w:pPr>
    </w:p>
    <w:p w:rsidR="00014F1F" w:rsidRDefault="00014F1F">
      <w:pPr>
        <w:ind w:left="567"/>
        <w:divId w:val="135453039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HT je spojená s vyšším relatívnym rizikom rozvoja </w:t>
      </w:r>
      <w:proofErr w:type="spellStart"/>
      <w:r>
        <w:rPr>
          <w:sz w:val="22"/>
          <w:szCs w:val="22"/>
          <w:lang w:val="sk-SK"/>
        </w:rPr>
        <w:t>venóznej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tromboembólie</w:t>
      </w:r>
      <w:proofErr w:type="spellEnd"/>
      <w:r>
        <w:rPr>
          <w:sz w:val="22"/>
          <w:szCs w:val="22"/>
          <w:lang w:val="sk-SK"/>
        </w:rPr>
        <w:t xml:space="preserve"> (VTE), t.j. hlbokej žilovej trombózy alebo pľúcnej embólie. V štúdii WHI CEE/MPA bola dvojnásobne väčšia miera VTE, vrátane hlbokej žilovej trombózy a pľúcnej embólie, pozorovaná u žien užívajúcich CEE/MPA v porovnaní so ženami, ktoré dostávali </w:t>
      </w:r>
      <w:proofErr w:type="spellStart"/>
      <w:r>
        <w:rPr>
          <w:sz w:val="22"/>
          <w:szCs w:val="22"/>
          <w:lang w:val="sk-SK"/>
        </w:rPr>
        <w:t>placebo</w:t>
      </w:r>
      <w:proofErr w:type="spellEnd"/>
      <w:r>
        <w:rPr>
          <w:sz w:val="22"/>
          <w:szCs w:val="22"/>
          <w:lang w:val="sk-SK"/>
        </w:rPr>
        <w:t>. Zvýšenie rizika sa pozorovalo v prvom roku a pretrvávalo počas sledovaného obdobia (pozri časť 4.4 Osobitné upozornenia a opatrenia pri používaní).</w:t>
      </w:r>
    </w:p>
    <w:p w:rsidR="00014F1F" w:rsidRDefault="00014F1F">
      <w:pPr>
        <w:ind w:left="567"/>
        <w:divId w:val="1354530393"/>
        <w:rPr>
          <w:sz w:val="22"/>
          <w:szCs w:val="22"/>
          <w:lang w:val="sk-SK"/>
        </w:rPr>
      </w:pPr>
    </w:p>
    <w:p w:rsidR="00014F1F" w:rsidRDefault="00014F1F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Demencia</w:t>
      </w:r>
    </w:p>
    <w:p w:rsidR="00014F1F" w:rsidRDefault="00014F1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 štúdii WHIMS (</w:t>
      </w:r>
      <w:proofErr w:type="spellStart"/>
      <w:r>
        <w:rPr>
          <w:sz w:val="22"/>
          <w:szCs w:val="22"/>
          <w:lang w:val="sk-SK"/>
        </w:rPr>
        <w:t>Women’s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Health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Initiative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Memory</w:t>
      </w:r>
      <w:proofErr w:type="spellEnd"/>
      <w:r>
        <w:rPr>
          <w:sz w:val="22"/>
          <w:szCs w:val="22"/>
          <w:lang w:val="sk-SK"/>
        </w:rPr>
        <w:t xml:space="preserve"> Study) (pozri časť 5.1 </w:t>
      </w:r>
      <w:proofErr w:type="spellStart"/>
      <w:r>
        <w:rPr>
          <w:sz w:val="22"/>
          <w:szCs w:val="22"/>
          <w:lang w:val="sk-SK"/>
        </w:rPr>
        <w:t>Farmakodynamické</w:t>
      </w:r>
      <w:proofErr w:type="spellEnd"/>
      <w:r>
        <w:rPr>
          <w:sz w:val="22"/>
          <w:szCs w:val="22"/>
          <w:lang w:val="sk-SK"/>
        </w:rPr>
        <w:t xml:space="preserve"> vlastnosti, Klinické štúdie), doplnkovej štúdii WHI, CEE/MPA sa zaznamenalo zvýšené riziko pravdepodobnej demencie u žien po </w:t>
      </w:r>
      <w:proofErr w:type="spellStart"/>
      <w:r>
        <w:rPr>
          <w:sz w:val="22"/>
          <w:szCs w:val="22"/>
          <w:lang w:val="sk-SK"/>
        </w:rPr>
        <w:t>menopauze</w:t>
      </w:r>
      <w:proofErr w:type="spellEnd"/>
      <w:r>
        <w:rPr>
          <w:sz w:val="22"/>
          <w:szCs w:val="22"/>
          <w:lang w:val="sk-SK"/>
        </w:rPr>
        <w:t xml:space="preserve"> vo veku 65 rokov alebo starších. Navyše, CEE/MPA liečba nezabránila miernej kognitívnej poruche u</w:t>
      </w:r>
      <w:r w:rsidR="006C0AC4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týchto žien. Používanie hormonálnej liečby na zabránenie demencii alebo miernej kognitívnej poruchy u žien vo veku 65 rokov alebo starších sa neodporúča.</w:t>
      </w:r>
    </w:p>
    <w:p w:rsidR="00014F1F" w:rsidRDefault="00014F1F">
      <w:pPr>
        <w:rPr>
          <w:sz w:val="22"/>
          <w:szCs w:val="22"/>
          <w:lang w:val="sk-SK"/>
        </w:rPr>
      </w:pPr>
    </w:p>
    <w:p w:rsidR="00014F1F" w:rsidRDefault="00014F1F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Karcinóm vaječníkov</w:t>
      </w:r>
    </w:p>
    <w:p w:rsidR="00014F1F" w:rsidRDefault="00014F1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Sú</w:t>
      </w:r>
      <w:r w:rsidR="00960250">
        <w:rPr>
          <w:sz w:val="22"/>
          <w:szCs w:val="22"/>
          <w:lang w:val="sk-SK"/>
        </w:rPr>
        <w:t>bež</w:t>
      </w:r>
      <w:r>
        <w:rPr>
          <w:sz w:val="22"/>
          <w:szCs w:val="22"/>
          <w:lang w:val="sk-SK"/>
        </w:rPr>
        <w:t xml:space="preserve">né používanie liekov so samotným estrogénom alebo estrogénom a </w:t>
      </w:r>
      <w:proofErr w:type="spellStart"/>
      <w:r>
        <w:rPr>
          <w:sz w:val="22"/>
          <w:szCs w:val="22"/>
          <w:lang w:val="sk-SK"/>
        </w:rPr>
        <w:t>progesterónom</w:t>
      </w:r>
      <w:proofErr w:type="spellEnd"/>
      <w:r>
        <w:rPr>
          <w:sz w:val="22"/>
          <w:szCs w:val="22"/>
          <w:lang w:val="sk-SK"/>
        </w:rPr>
        <w:t xml:space="preserve"> u</w:t>
      </w:r>
      <w:r w:rsidR="006C0AC4">
        <w:rPr>
          <w:sz w:val="22"/>
          <w:szCs w:val="22"/>
          <w:lang w:val="sk-SK"/>
        </w:rPr>
        <w:t> </w:t>
      </w:r>
      <w:proofErr w:type="spellStart"/>
      <w:r>
        <w:rPr>
          <w:sz w:val="22"/>
          <w:szCs w:val="22"/>
          <w:lang w:val="sk-SK"/>
        </w:rPr>
        <w:t>postmenopauzálnych</w:t>
      </w:r>
      <w:proofErr w:type="spellEnd"/>
      <w:r>
        <w:rPr>
          <w:sz w:val="22"/>
          <w:szCs w:val="22"/>
          <w:lang w:val="sk-SK"/>
        </w:rPr>
        <w:t xml:space="preserve"> žien počas piatich rokov alebo dlhšie, bolo spojené so zvýšeným rizikom karcinómu vaječníkov v niektorých epidemiologických štúdiách. Pacienti, ktorí v</w:t>
      </w:r>
      <w:r w:rsidR="006C0AC4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minulosti užívali samotný estrogén alebo estrogén s </w:t>
      </w:r>
      <w:proofErr w:type="spellStart"/>
      <w:r>
        <w:rPr>
          <w:sz w:val="22"/>
          <w:szCs w:val="22"/>
          <w:lang w:val="sk-SK"/>
        </w:rPr>
        <w:t>progesterónom</w:t>
      </w:r>
      <w:proofErr w:type="spellEnd"/>
      <w:r>
        <w:rPr>
          <w:sz w:val="22"/>
          <w:szCs w:val="22"/>
          <w:lang w:val="sk-SK"/>
        </w:rPr>
        <w:t xml:space="preserve">, nemali zvýšené riziko karcinómu vaječníkov. Iné štúdie nepreukázali významnú súvislosť. V štúdii WHI CEE/MPA sa zaznamenalo, že estrogén a </w:t>
      </w:r>
      <w:proofErr w:type="spellStart"/>
      <w:r>
        <w:rPr>
          <w:sz w:val="22"/>
          <w:szCs w:val="22"/>
          <w:lang w:val="sk-SK"/>
        </w:rPr>
        <w:t>progesterón</w:t>
      </w:r>
      <w:proofErr w:type="spellEnd"/>
      <w:r>
        <w:rPr>
          <w:sz w:val="22"/>
          <w:szCs w:val="22"/>
          <w:lang w:val="sk-SK"/>
        </w:rPr>
        <w:t xml:space="preserve"> zvyšujú riziko karcinómu vaječníkov, ale toto riziko nebolo štatisticky významné. V jednej štúdii boli ženy, ktoré užívajú HRT, vystavené zvýšenému riziku smrteľného karcinómu vaječníkov.</w:t>
      </w:r>
    </w:p>
    <w:p w:rsidR="00014F1F" w:rsidRDefault="00014F1F">
      <w:pPr>
        <w:rPr>
          <w:sz w:val="22"/>
          <w:szCs w:val="22"/>
          <w:lang w:val="sk-SK"/>
        </w:rPr>
      </w:pPr>
    </w:p>
    <w:p w:rsidR="00014F1F" w:rsidRDefault="00014F1F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Anamnéza a odporúčania pre fyzické vyšetrenie</w:t>
      </w:r>
    </w:p>
    <w:p w:rsidR="00014F1F" w:rsidRDefault="00014F1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Pred začatím akejkoľvek hormonálnej terapie sa má preskúmať kompletná zdravotná a rodinná anamnéza. Vyšetrenie pred liečbou a pravidelné fyzické vyšetrenia majú obsahovať špeciálnu zmienku o krvnom tlaku, prsníkoch, bruchu a panvových orgánoch vrátane </w:t>
      </w:r>
      <w:proofErr w:type="spellStart"/>
      <w:r>
        <w:rPr>
          <w:sz w:val="22"/>
          <w:szCs w:val="22"/>
          <w:lang w:val="sk-SK"/>
        </w:rPr>
        <w:t>cervikálnej</w:t>
      </w:r>
      <w:proofErr w:type="spellEnd"/>
      <w:r>
        <w:rPr>
          <w:sz w:val="22"/>
          <w:szCs w:val="22"/>
          <w:lang w:val="sk-SK"/>
        </w:rPr>
        <w:t xml:space="preserve"> cytológie.</w:t>
      </w:r>
    </w:p>
    <w:p w:rsidR="00D87151" w:rsidRDefault="00D87151">
      <w:pPr>
        <w:rPr>
          <w:sz w:val="22"/>
          <w:szCs w:val="22"/>
          <w:lang w:val="sk-SK"/>
        </w:rPr>
      </w:pPr>
    </w:p>
    <w:p w:rsidR="00014F1F" w:rsidRDefault="00014F1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Pacienti so zriedkavými dedičnými problémami </w:t>
      </w:r>
      <w:proofErr w:type="spellStart"/>
      <w:r>
        <w:rPr>
          <w:sz w:val="22"/>
          <w:szCs w:val="22"/>
          <w:lang w:val="sk-SK"/>
        </w:rPr>
        <w:t>galaktózovej</w:t>
      </w:r>
      <w:proofErr w:type="spellEnd"/>
      <w:r>
        <w:rPr>
          <w:sz w:val="22"/>
          <w:szCs w:val="22"/>
          <w:lang w:val="sk-SK"/>
        </w:rPr>
        <w:t xml:space="preserve"> intolerancie, </w:t>
      </w:r>
      <w:r w:rsidR="006C0AC4">
        <w:rPr>
          <w:sz w:val="22"/>
          <w:szCs w:val="22"/>
          <w:lang w:val="sk-SK"/>
        </w:rPr>
        <w:t xml:space="preserve">celkovým </w:t>
      </w:r>
      <w:r>
        <w:rPr>
          <w:sz w:val="22"/>
          <w:szCs w:val="22"/>
          <w:lang w:val="sk-SK"/>
        </w:rPr>
        <w:t>deficit</w:t>
      </w:r>
      <w:r w:rsidR="006C0AC4">
        <w:rPr>
          <w:sz w:val="22"/>
          <w:szCs w:val="22"/>
          <w:lang w:val="sk-SK"/>
        </w:rPr>
        <w:t>om</w:t>
      </w:r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laktázy</w:t>
      </w:r>
      <w:proofErr w:type="spellEnd"/>
      <w:r>
        <w:rPr>
          <w:sz w:val="22"/>
          <w:szCs w:val="22"/>
          <w:lang w:val="sk-SK"/>
        </w:rPr>
        <w:t xml:space="preserve"> alebo </w:t>
      </w:r>
      <w:proofErr w:type="spellStart"/>
      <w:r>
        <w:rPr>
          <w:sz w:val="22"/>
          <w:szCs w:val="22"/>
          <w:lang w:val="sk-SK"/>
        </w:rPr>
        <w:t>glukózo-galaktózov</w:t>
      </w:r>
      <w:r w:rsidR="007312AE">
        <w:rPr>
          <w:sz w:val="22"/>
          <w:szCs w:val="22"/>
          <w:lang w:val="sk-SK"/>
        </w:rPr>
        <w:t>ou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malabsorpci</w:t>
      </w:r>
      <w:r w:rsidR="007312AE">
        <w:rPr>
          <w:sz w:val="22"/>
          <w:szCs w:val="22"/>
          <w:lang w:val="sk-SK"/>
        </w:rPr>
        <w:t>ou</w:t>
      </w:r>
      <w:proofErr w:type="spellEnd"/>
      <w:r>
        <w:rPr>
          <w:sz w:val="22"/>
          <w:szCs w:val="22"/>
          <w:lang w:val="sk-SK"/>
        </w:rPr>
        <w:t xml:space="preserve"> nesmú </w:t>
      </w:r>
      <w:r w:rsidR="007312AE">
        <w:rPr>
          <w:sz w:val="22"/>
          <w:szCs w:val="22"/>
          <w:lang w:val="sk-SK"/>
        </w:rPr>
        <w:t>u</w:t>
      </w:r>
      <w:r>
        <w:rPr>
          <w:sz w:val="22"/>
          <w:szCs w:val="22"/>
          <w:lang w:val="sk-SK"/>
        </w:rPr>
        <w:t>žívať tento liek.</w:t>
      </w:r>
    </w:p>
    <w:p w:rsidR="00014F1F" w:rsidRDefault="00014F1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Pacienti so zriedkavými dedičnými problémami intolerancie fruktózy, </w:t>
      </w:r>
      <w:proofErr w:type="spellStart"/>
      <w:r>
        <w:rPr>
          <w:sz w:val="22"/>
          <w:szCs w:val="22"/>
          <w:lang w:val="sk-SK"/>
        </w:rPr>
        <w:t>glukózo-galaktózovej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malabsorpcie</w:t>
      </w:r>
      <w:proofErr w:type="spellEnd"/>
      <w:r>
        <w:rPr>
          <w:sz w:val="22"/>
          <w:szCs w:val="22"/>
          <w:lang w:val="sk-SK"/>
        </w:rPr>
        <w:t xml:space="preserve"> alebo deficitu </w:t>
      </w:r>
      <w:proofErr w:type="spellStart"/>
      <w:r>
        <w:rPr>
          <w:sz w:val="22"/>
          <w:szCs w:val="22"/>
          <w:lang w:val="sk-SK"/>
        </w:rPr>
        <w:t>sacharázy</w:t>
      </w:r>
      <w:proofErr w:type="spellEnd"/>
      <w:r>
        <w:rPr>
          <w:sz w:val="22"/>
          <w:szCs w:val="22"/>
          <w:lang w:val="sk-SK"/>
        </w:rPr>
        <w:t xml:space="preserve"> a </w:t>
      </w:r>
      <w:proofErr w:type="spellStart"/>
      <w:r>
        <w:rPr>
          <w:sz w:val="22"/>
          <w:szCs w:val="22"/>
          <w:lang w:val="sk-SK"/>
        </w:rPr>
        <w:t>izomaltázy</w:t>
      </w:r>
      <w:proofErr w:type="spellEnd"/>
      <w:r>
        <w:rPr>
          <w:sz w:val="22"/>
          <w:szCs w:val="22"/>
          <w:lang w:val="sk-SK"/>
        </w:rPr>
        <w:t xml:space="preserve"> nesmú užívať tento liek.</w:t>
      </w:r>
    </w:p>
    <w:p w:rsidR="00014F1F" w:rsidRDefault="00014F1F">
      <w:pPr>
        <w:rPr>
          <w:sz w:val="22"/>
          <w:szCs w:val="22"/>
          <w:lang w:val="sk-SK"/>
        </w:rPr>
      </w:pPr>
    </w:p>
    <w:p w:rsidR="00014F1F" w:rsidRDefault="00014F1F">
      <w:pPr>
        <w:tabs>
          <w:tab w:val="left" w:pos="567"/>
        </w:tabs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4.5</w:t>
      </w:r>
      <w:r>
        <w:rPr>
          <w:b/>
          <w:sz w:val="22"/>
          <w:szCs w:val="22"/>
          <w:lang w:val="sk-SK"/>
        </w:rPr>
        <w:tab/>
        <w:t>Liekové a iné interakcie</w:t>
      </w:r>
    </w:p>
    <w:p w:rsidR="00014F1F" w:rsidRDefault="00014F1F">
      <w:pPr>
        <w:rPr>
          <w:sz w:val="22"/>
          <w:szCs w:val="22"/>
          <w:lang w:val="sk-SK"/>
        </w:rPr>
      </w:pPr>
    </w:p>
    <w:p w:rsidR="00014F1F" w:rsidRDefault="00014F1F">
      <w:pPr>
        <w:pStyle w:val="Nadpis4"/>
        <w:jc w:val="left"/>
        <w:rPr>
          <w:lang w:val="sk-SK"/>
        </w:rPr>
      </w:pPr>
      <w:r>
        <w:rPr>
          <w:lang w:val="sk-SK"/>
        </w:rPr>
        <w:t>Sú</w:t>
      </w:r>
      <w:r w:rsidR="00A32559">
        <w:rPr>
          <w:lang w:val="sk-SK"/>
        </w:rPr>
        <w:t>bež</w:t>
      </w:r>
      <w:r>
        <w:rPr>
          <w:lang w:val="sk-SK"/>
        </w:rPr>
        <w:t xml:space="preserve">né podávanie </w:t>
      </w:r>
      <w:proofErr w:type="spellStart"/>
      <w:r>
        <w:rPr>
          <w:lang w:val="sk-SK"/>
        </w:rPr>
        <w:t>aminoglutetimidu</w:t>
      </w:r>
      <w:proofErr w:type="spellEnd"/>
      <w:r>
        <w:rPr>
          <w:lang w:val="sk-SK"/>
        </w:rPr>
        <w:t xml:space="preserve"> a PROVERY môže značne znížiť biologickú dostupnosť PROVERY. Pacienti, ktorí užívajú vysoké dávky perorálneho MPA, majú byť upozornení na možnosť zníženej účinnosti pri</w:t>
      </w:r>
      <w:r w:rsidR="00D87151">
        <w:rPr>
          <w:lang w:val="sk-SK"/>
        </w:rPr>
        <w:t> </w:t>
      </w:r>
      <w:r>
        <w:rPr>
          <w:lang w:val="sk-SK"/>
        </w:rPr>
        <w:t xml:space="preserve">používaní </w:t>
      </w:r>
      <w:proofErr w:type="spellStart"/>
      <w:r>
        <w:rPr>
          <w:lang w:val="sk-SK"/>
        </w:rPr>
        <w:t>aminoglutetimidu</w:t>
      </w:r>
      <w:proofErr w:type="spellEnd"/>
      <w:r>
        <w:rPr>
          <w:lang w:val="sk-SK"/>
        </w:rPr>
        <w:t>.</w:t>
      </w:r>
    </w:p>
    <w:p w:rsidR="00014F1F" w:rsidRDefault="00014F1F">
      <w:pPr>
        <w:rPr>
          <w:sz w:val="22"/>
          <w:szCs w:val="22"/>
          <w:lang w:val="sk-SK"/>
        </w:rPr>
      </w:pPr>
    </w:p>
    <w:p w:rsidR="00014F1F" w:rsidRDefault="00014F1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Zriedkavo boli hlásené interakcie s inou liečbou (vrátane perorálnych </w:t>
      </w:r>
      <w:proofErr w:type="spellStart"/>
      <w:r>
        <w:rPr>
          <w:sz w:val="22"/>
          <w:szCs w:val="22"/>
          <w:lang w:val="sk-SK"/>
        </w:rPr>
        <w:t>antikoagulancií</w:t>
      </w:r>
      <w:proofErr w:type="spellEnd"/>
      <w:r>
        <w:rPr>
          <w:sz w:val="22"/>
          <w:szCs w:val="22"/>
          <w:lang w:val="sk-SK"/>
        </w:rPr>
        <w:t>), ale kauzalita nebola určená. Možnosť interakcie je treba mať na pamäti u pacientov sú</w:t>
      </w:r>
      <w:r w:rsidR="00A32559">
        <w:rPr>
          <w:sz w:val="22"/>
          <w:szCs w:val="22"/>
          <w:lang w:val="sk-SK"/>
        </w:rPr>
        <w:t>bež</w:t>
      </w:r>
      <w:r>
        <w:rPr>
          <w:sz w:val="22"/>
          <w:szCs w:val="22"/>
          <w:lang w:val="sk-SK"/>
        </w:rPr>
        <w:t xml:space="preserve">ne liečených inými liekmi. </w:t>
      </w:r>
    </w:p>
    <w:p w:rsidR="00014F1F" w:rsidRDefault="00014F1F">
      <w:pPr>
        <w:rPr>
          <w:sz w:val="22"/>
          <w:szCs w:val="22"/>
          <w:lang w:val="sk-SK"/>
        </w:rPr>
      </w:pPr>
    </w:p>
    <w:p w:rsidR="00014F1F" w:rsidRDefault="00014F1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Metabolizmus </w:t>
      </w:r>
      <w:proofErr w:type="spellStart"/>
      <w:r>
        <w:rPr>
          <w:sz w:val="22"/>
          <w:szCs w:val="22"/>
          <w:lang w:val="sk-SK"/>
        </w:rPr>
        <w:t>progestagénov</w:t>
      </w:r>
      <w:proofErr w:type="spellEnd"/>
      <w:r>
        <w:rPr>
          <w:sz w:val="22"/>
          <w:szCs w:val="22"/>
          <w:lang w:val="sk-SK"/>
        </w:rPr>
        <w:t xml:space="preserve"> môže byť zvýšený pri sú</w:t>
      </w:r>
      <w:r w:rsidR="00A32559">
        <w:rPr>
          <w:sz w:val="22"/>
          <w:szCs w:val="22"/>
          <w:lang w:val="sk-SK"/>
        </w:rPr>
        <w:t>bež</w:t>
      </w:r>
      <w:r>
        <w:rPr>
          <w:sz w:val="22"/>
          <w:szCs w:val="22"/>
          <w:lang w:val="sk-SK"/>
        </w:rPr>
        <w:t xml:space="preserve">nom užívaní látok, ktoré indukujú enzýmy metabolizujúce lieky, konkrétne enzýmy </w:t>
      </w:r>
      <w:proofErr w:type="spellStart"/>
      <w:r>
        <w:rPr>
          <w:sz w:val="22"/>
          <w:szCs w:val="22"/>
          <w:lang w:val="sk-SK"/>
        </w:rPr>
        <w:t>cytochrómu</w:t>
      </w:r>
      <w:proofErr w:type="spellEnd"/>
      <w:r>
        <w:rPr>
          <w:sz w:val="22"/>
          <w:szCs w:val="22"/>
          <w:lang w:val="sk-SK"/>
        </w:rPr>
        <w:t xml:space="preserve"> P450, ako sú </w:t>
      </w:r>
      <w:proofErr w:type="spellStart"/>
      <w:r>
        <w:rPr>
          <w:sz w:val="22"/>
          <w:szCs w:val="22"/>
          <w:lang w:val="sk-SK"/>
        </w:rPr>
        <w:t>antikonvulzíva</w:t>
      </w:r>
      <w:proofErr w:type="spellEnd"/>
      <w:r>
        <w:rPr>
          <w:sz w:val="22"/>
          <w:szCs w:val="22"/>
          <w:lang w:val="sk-SK"/>
        </w:rPr>
        <w:t xml:space="preserve"> (napr. </w:t>
      </w:r>
      <w:proofErr w:type="spellStart"/>
      <w:r>
        <w:rPr>
          <w:sz w:val="22"/>
          <w:szCs w:val="22"/>
          <w:lang w:val="sk-SK"/>
        </w:rPr>
        <w:t>fenobarbital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fenytoín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karbamazepín</w:t>
      </w:r>
      <w:proofErr w:type="spellEnd"/>
      <w:r>
        <w:rPr>
          <w:sz w:val="22"/>
          <w:szCs w:val="22"/>
          <w:lang w:val="sk-SK"/>
        </w:rPr>
        <w:t>) a </w:t>
      </w:r>
      <w:proofErr w:type="spellStart"/>
      <w:r>
        <w:rPr>
          <w:sz w:val="22"/>
          <w:szCs w:val="22"/>
          <w:lang w:val="sk-SK"/>
        </w:rPr>
        <w:t>antiinfektíva</w:t>
      </w:r>
      <w:proofErr w:type="spellEnd"/>
      <w:r>
        <w:rPr>
          <w:sz w:val="22"/>
          <w:szCs w:val="22"/>
          <w:lang w:val="sk-SK"/>
        </w:rPr>
        <w:t xml:space="preserve"> (napr. </w:t>
      </w:r>
      <w:proofErr w:type="spellStart"/>
      <w:r>
        <w:rPr>
          <w:sz w:val="22"/>
          <w:szCs w:val="22"/>
          <w:lang w:val="sk-SK"/>
        </w:rPr>
        <w:t>rifampicin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rifabutin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nevirapín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efavirenz</w:t>
      </w:r>
      <w:proofErr w:type="spellEnd"/>
      <w:r>
        <w:rPr>
          <w:sz w:val="22"/>
          <w:szCs w:val="22"/>
          <w:lang w:val="sk-SK"/>
        </w:rPr>
        <w:t xml:space="preserve">).    </w:t>
      </w:r>
    </w:p>
    <w:p w:rsidR="00014F1F" w:rsidRDefault="00014F1F">
      <w:pPr>
        <w:rPr>
          <w:sz w:val="22"/>
          <w:szCs w:val="22"/>
          <w:lang w:val="sk-SK"/>
        </w:rPr>
      </w:pPr>
    </w:p>
    <w:p w:rsidR="00014F1F" w:rsidRDefault="00014F1F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Ritonavir</w:t>
      </w:r>
      <w:proofErr w:type="spellEnd"/>
      <w:r>
        <w:rPr>
          <w:sz w:val="22"/>
          <w:szCs w:val="22"/>
          <w:lang w:val="sk-SK"/>
        </w:rPr>
        <w:t xml:space="preserve"> a </w:t>
      </w:r>
      <w:proofErr w:type="spellStart"/>
      <w:r>
        <w:rPr>
          <w:sz w:val="22"/>
          <w:szCs w:val="22"/>
          <w:lang w:val="sk-SK"/>
        </w:rPr>
        <w:t>nelfinavir</w:t>
      </w:r>
      <w:proofErr w:type="spellEnd"/>
      <w:r>
        <w:rPr>
          <w:sz w:val="22"/>
          <w:szCs w:val="22"/>
          <w:lang w:val="sk-SK"/>
        </w:rPr>
        <w:t>, hoci sú známe ako silné inhibítory, naopak vykazujú indukčné vlastnosti, ak sa sú</w:t>
      </w:r>
      <w:r w:rsidR="00A32559">
        <w:rPr>
          <w:sz w:val="22"/>
          <w:szCs w:val="22"/>
          <w:lang w:val="sk-SK"/>
        </w:rPr>
        <w:t>bež</w:t>
      </w:r>
      <w:r>
        <w:rPr>
          <w:sz w:val="22"/>
          <w:szCs w:val="22"/>
          <w:lang w:val="sk-SK"/>
        </w:rPr>
        <w:t xml:space="preserve">ne užívajú so </w:t>
      </w:r>
      <w:proofErr w:type="spellStart"/>
      <w:r>
        <w:rPr>
          <w:sz w:val="22"/>
          <w:szCs w:val="22"/>
          <w:lang w:val="sk-SK"/>
        </w:rPr>
        <w:t>steroidnými</w:t>
      </w:r>
      <w:proofErr w:type="spellEnd"/>
      <w:r>
        <w:rPr>
          <w:sz w:val="22"/>
          <w:szCs w:val="22"/>
          <w:lang w:val="sk-SK"/>
        </w:rPr>
        <w:t xml:space="preserve"> hormónmi. Rastlinné prípravky obsahujúce ľubovník bodkovaný (</w:t>
      </w:r>
      <w:proofErr w:type="spellStart"/>
      <w:r>
        <w:rPr>
          <w:sz w:val="22"/>
          <w:szCs w:val="22"/>
          <w:lang w:val="sk-SK"/>
        </w:rPr>
        <w:t>Hypericum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perforatum</w:t>
      </w:r>
      <w:proofErr w:type="spellEnd"/>
      <w:r>
        <w:rPr>
          <w:sz w:val="22"/>
          <w:szCs w:val="22"/>
          <w:lang w:val="sk-SK"/>
        </w:rPr>
        <w:t xml:space="preserve">) môžu indukovať metabolizmus </w:t>
      </w:r>
      <w:proofErr w:type="spellStart"/>
      <w:r>
        <w:rPr>
          <w:sz w:val="22"/>
          <w:szCs w:val="22"/>
          <w:lang w:val="sk-SK"/>
        </w:rPr>
        <w:t>progestagénov</w:t>
      </w:r>
      <w:proofErr w:type="spellEnd"/>
      <w:r>
        <w:rPr>
          <w:sz w:val="22"/>
          <w:szCs w:val="22"/>
          <w:lang w:val="sk-SK"/>
        </w:rPr>
        <w:t xml:space="preserve">. Z klinického hľadiska môže zrýchlený metabolizmus </w:t>
      </w:r>
      <w:proofErr w:type="spellStart"/>
      <w:r>
        <w:rPr>
          <w:sz w:val="22"/>
          <w:szCs w:val="22"/>
          <w:lang w:val="sk-SK"/>
        </w:rPr>
        <w:t>progestagénov</w:t>
      </w:r>
      <w:proofErr w:type="spellEnd"/>
      <w:r>
        <w:rPr>
          <w:sz w:val="22"/>
          <w:szCs w:val="22"/>
          <w:lang w:val="sk-SK"/>
        </w:rPr>
        <w:t xml:space="preserve"> viesť k zníženiu účinku.  </w:t>
      </w:r>
    </w:p>
    <w:p w:rsidR="00014F1F" w:rsidRDefault="00014F1F">
      <w:pPr>
        <w:rPr>
          <w:sz w:val="22"/>
          <w:szCs w:val="22"/>
          <w:lang w:val="sk-SK"/>
        </w:rPr>
      </w:pPr>
    </w:p>
    <w:p w:rsidR="00014F1F" w:rsidRDefault="00014F1F">
      <w:pPr>
        <w:tabs>
          <w:tab w:val="left" w:pos="567"/>
        </w:tabs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4.6</w:t>
      </w:r>
      <w:r>
        <w:rPr>
          <w:b/>
          <w:sz w:val="22"/>
          <w:szCs w:val="22"/>
          <w:lang w:val="sk-SK"/>
        </w:rPr>
        <w:tab/>
      </w:r>
      <w:proofErr w:type="spellStart"/>
      <w:r>
        <w:rPr>
          <w:b/>
          <w:sz w:val="22"/>
          <w:szCs w:val="22"/>
          <w:lang w:val="sk-SK"/>
        </w:rPr>
        <w:t>Fertilita</w:t>
      </w:r>
      <w:proofErr w:type="spellEnd"/>
      <w:r>
        <w:rPr>
          <w:b/>
          <w:sz w:val="22"/>
          <w:szCs w:val="22"/>
          <w:lang w:val="sk-SK"/>
        </w:rPr>
        <w:t>, gravidita a laktácia</w:t>
      </w:r>
    </w:p>
    <w:p w:rsidR="00014F1F" w:rsidRDefault="00014F1F">
      <w:pPr>
        <w:pStyle w:val="Zkladntext"/>
        <w:jc w:val="left"/>
        <w:rPr>
          <w:sz w:val="22"/>
          <w:szCs w:val="22"/>
          <w:lang w:val="sk-SK"/>
        </w:rPr>
      </w:pPr>
    </w:p>
    <w:p w:rsidR="00014F1F" w:rsidRPr="003546B8" w:rsidRDefault="00014F1F">
      <w:pPr>
        <w:rPr>
          <w:sz w:val="22"/>
          <w:szCs w:val="22"/>
          <w:u w:val="single"/>
          <w:lang w:val="sk-SK"/>
        </w:rPr>
      </w:pPr>
      <w:r w:rsidRPr="003546B8">
        <w:rPr>
          <w:sz w:val="22"/>
          <w:szCs w:val="22"/>
          <w:u w:val="single"/>
          <w:lang w:val="sk-SK"/>
        </w:rPr>
        <w:t>Gravidita</w:t>
      </w:r>
    </w:p>
    <w:p w:rsidR="00014F1F" w:rsidRDefault="00014F1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PROVERA je kontraindikovaná u žien, ktoré sú tehotné.</w:t>
      </w:r>
    </w:p>
    <w:p w:rsidR="00014F1F" w:rsidRDefault="00014F1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Niektoré správy naznačujú, za určitých okolností, súvislosť medzi </w:t>
      </w:r>
      <w:proofErr w:type="spellStart"/>
      <w:r>
        <w:rPr>
          <w:sz w:val="22"/>
          <w:szCs w:val="22"/>
          <w:lang w:val="sk-SK"/>
        </w:rPr>
        <w:t>intrauterinnou</w:t>
      </w:r>
      <w:proofErr w:type="spellEnd"/>
      <w:r>
        <w:rPr>
          <w:sz w:val="22"/>
          <w:szCs w:val="22"/>
          <w:lang w:val="sk-SK"/>
        </w:rPr>
        <w:t xml:space="preserve"> expozíciou </w:t>
      </w:r>
      <w:proofErr w:type="spellStart"/>
      <w:r>
        <w:rPr>
          <w:sz w:val="22"/>
          <w:szCs w:val="22"/>
          <w:lang w:val="sk-SK"/>
        </w:rPr>
        <w:t>progestačným</w:t>
      </w:r>
      <w:proofErr w:type="spellEnd"/>
      <w:r>
        <w:rPr>
          <w:sz w:val="22"/>
          <w:szCs w:val="22"/>
          <w:lang w:val="sk-SK"/>
        </w:rPr>
        <w:t xml:space="preserve"> liekom v prvom </w:t>
      </w:r>
      <w:proofErr w:type="spellStart"/>
      <w:r>
        <w:rPr>
          <w:sz w:val="22"/>
          <w:szCs w:val="22"/>
          <w:lang w:val="sk-SK"/>
        </w:rPr>
        <w:t>trimestri</w:t>
      </w:r>
      <w:proofErr w:type="spellEnd"/>
      <w:r>
        <w:rPr>
          <w:sz w:val="22"/>
          <w:szCs w:val="22"/>
          <w:lang w:val="sk-SK"/>
        </w:rPr>
        <w:t xml:space="preserve"> tehotenstva a abnormalitami genitálií u plodov.</w:t>
      </w:r>
    </w:p>
    <w:p w:rsidR="00014F1F" w:rsidRDefault="00014F1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pacientka otehotnie počas užívania tohto lieku, je potrebné informovať pacientku o potenciálnom riziku pre plod.</w:t>
      </w:r>
    </w:p>
    <w:p w:rsidR="00014F1F" w:rsidRDefault="00014F1F">
      <w:pPr>
        <w:rPr>
          <w:sz w:val="22"/>
          <w:szCs w:val="22"/>
          <w:lang w:val="sk-SK"/>
        </w:rPr>
      </w:pPr>
    </w:p>
    <w:p w:rsidR="00014F1F" w:rsidRPr="003546B8" w:rsidRDefault="00A4321D">
      <w:pPr>
        <w:rPr>
          <w:sz w:val="22"/>
          <w:szCs w:val="22"/>
          <w:u w:val="single"/>
          <w:lang w:val="sk-SK"/>
        </w:rPr>
      </w:pPr>
      <w:r w:rsidRPr="003546B8">
        <w:rPr>
          <w:sz w:val="22"/>
          <w:szCs w:val="22"/>
          <w:u w:val="single"/>
          <w:lang w:val="sk-SK"/>
        </w:rPr>
        <w:t>Dojčenie</w:t>
      </w:r>
    </w:p>
    <w:p w:rsidR="00014F1F" w:rsidRDefault="00014F1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MPA a jeho </w:t>
      </w:r>
      <w:proofErr w:type="spellStart"/>
      <w:r>
        <w:rPr>
          <w:sz w:val="22"/>
          <w:szCs w:val="22"/>
          <w:lang w:val="sk-SK"/>
        </w:rPr>
        <w:t>metabolity</w:t>
      </w:r>
      <w:proofErr w:type="spellEnd"/>
      <w:r>
        <w:rPr>
          <w:sz w:val="22"/>
          <w:szCs w:val="22"/>
          <w:lang w:val="sk-SK"/>
        </w:rPr>
        <w:t xml:space="preserve"> sa vylučujú do ľudského mlieka. Neexistuje dôkaz, že to predstavuje riziko pre dojčené dieťa.</w:t>
      </w:r>
    </w:p>
    <w:p w:rsidR="00014F1F" w:rsidRDefault="00014F1F">
      <w:pPr>
        <w:rPr>
          <w:sz w:val="22"/>
          <w:szCs w:val="22"/>
          <w:lang w:val="sk-SK"/>
        </w:rPr>
      </w:pPr>
    </w:p>
    <w:p w:rsidR="00014F1F" w:rsidRDefault="00014F1F">
      <w:pPr>
        <w:tabs>
          <w:tab w:val="left" w:pos="567"/>
        </w:tabs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4.7</w:t>
      </w:r>
      <w:r>
        <w:rPr>
          <w:b/>
          <w:sz w:val="22"/>
          <w:szCs w:val="22"/>
          <w:lang w:val="sk-SK"/>
        </w:rPr>
        <w:tab/>
        <w:t>Ovplyvnenie schopnosti viesť vozidlá a obsluhovať stroje</w:t>
      </w:r>
    </w:p>
    <w:p w:rsidR="00014F1F" w:rsidRDefault="00014F1F">
      <w:pPr>
        <w:rPr>
          <w:sz w:val="22"/>
          <w:szCs w:val="22"/>
          <w:lang w:val="sk-SK"/>
        </w:rPr>
      </w:pPr>
    </w:p>
    <w:p w:rsidR="00014F1F" w:rsidRDefault="00014F1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Vplyv PROVERY na schopnosť viesť vozidlá a obsluhovať stroje sa systematicky neskúmal.</w:t>
      </w:r>
    </w:p>
    <w:p w:rsidR="00014F1F" w:rsidRDefault="00014F1F">
      <w:pPr>
        <w:rPr>
          <w:sz w:val="22"/>
          <w:szCs w:val="22"/>
          <w:lang w:val="sk-SK"/>
        </w:rPr>
      </w:pPr>
    </w:p>
    <w:p w:rsidR="00014F1F" w:rsidRDefault="00014F1F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4.8</w:t>
      </w:r>
      <w:r>
        <w:rPr>
          <w:b/>
          <w:sz w:val="22"/>
          <w:szCs w:val="22"/>
          <w:lang w:val="sk-SK"/>
        </w:rPr>
        <w:tab/>
        <w:t>Nežiaduce účinky</w:t>
      </w:r>
    </w:p>
    <w:p w:rsidR="00014F1F" w:rsidRDefault="00014F1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14F1F" w:rsidRDefault="00014F1F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 tabuľke nižšie je uvedený zoznam nežiaducich liekových reakcií s frekvenciami výskytu </w:t>
      </w:r>
      <w:r w:rsidR="009A572D">
        <w:rPr>
          <w:sz w:val="22"/>
          <w:szCs w:val="22"/>
          <w:lang w:val="sk-SK"/>
        </w:rPr>
        <w:t xml:space="preserve"> </w:t>
      </w:r>
      <w:r w:rsidR="009A572D" w:rsidRPr="009A572D">
        <w:rPr>
          <w:sz w:val="22"/>
          <w:szCs w:val="22"/>
          <w:lang w:val="sk-SK"/>
        </w:rPr>
        <w:t>(</w:t>
      </w:r>
      <w:proofErr w:type="spellStart"/>
      <w:r w:rsidR="009A572D" w:rsidRPr="003546B8">
        <w:rPr>
          <w:sz w:val="22"/>
          <w:szCs w:val="22"/>
        </w:rPr>
        <w:t>veľmi</w:t>
      </w:r>
      <w:proofErr w:type="spellEnd"/>
      <w:r w:rsidR="009A572D" w:rsidRPr="003546B8">
        <w:rPr>
          <w:sz w:val="22"/>
          <w:szCs w:val="22"/>
        </w:rPr>
        <w:t xml:space="preserve"> </w:t>
      </w:r>
      <w:proofErr w:type="spellStart"/>
      <w:r w:rsidR="009A572D" w:rsidRPr="003546B8">
        <w:rPr>
          <w:sz w:val="22"/>
          <w:szCs w:val="22"/>
        </w:rPr>
        <w:t>časté</w:t>
      </w:r>
      <w:proofErr w:type="spellEnd"/>
      <w:r w:rsidR="009A572D" w:rsidRPr="003546B8">
        <w:rPr>
          <w:sz w:val="22"/>
          <w:szCs w:val="22"/>
        </w:rPr>
        <w:t xml:space="preserve"> (</w:t>
      </w:r>
      <w:r w:rsidR="009A572D" w:rsidRPr="003546B8">
        <w:rPr>
          <w:iCs/>
          <w:sz w:val="22"/>
          <w:szCs w:val="22"/>
        </w:rPr>
        <w:t>≥ </w:t>
      </w:r>
      <w:r w:rsidR="009A572D" w:rsidRPr="003546B8">
        <w:rPr>
          <w:sz w:val="22"/>
          <w:szCs w:val="22"/>
        </w:rPr>
        <w:t xml:space="preserve">1/10), </w:t>
      </w:r>
      <w:proofErr w:type="spellStart"/>
      <w:r w:rsidR="009A572D" w:rsidRPr="003546B8">
        <w:rPr>
          <w:sz w:val="22"/>
          <w:szCs w:val="22"/>
        </w:rPr>
        <w:t>časté</w:t>
      </w:r>
      <w:proofErr w:type="spellEnd"/>
      <w:r w:rsidR="009A572D" w:rsidRPr="003546B8">
        <w:rPr>
          <w:sz w:val="22"/>
          <w:szCs w:val="22"/>
        </w:rPr>
        <w:t xml:space="preserve"> (</w:t>
      </w:r>
      <w:r w:rsidR="009A572D" w:rsidRPr="003546B8">
        <w:rPr>
          <w:iCs/>
          <w:sz w:val="22"/>
          <w:szCs w:val="22"/>
        </w:rPr>
        <w:t>≥ </w:t>
      </w:r>
      <w:r w:rsidR="009A572D" w:rsidRPr="003546B8">
        <w:rPr>
          <w:sz w:val="22"/>
          <w:szCs w:val="22"/>
        </w:rPr>
        <w:t xml:space="preserve">1/100 </w:t>
      </w:r>
      <w:proofErr w:type="spellStart"/>
      <w:r w:rsidR="009A572D" w:rsidRPr="003546B8">
        <w:rPr>
          <w:sz w:val="22"/>
          <w:szCs w:val="22"/>
        </w:rPr>
        <w:t>až</w:t>
      </w:r>
      <w:proofErr w:type="spellEnd"/>
      <w:r w:rsidR="009A572D" w:rsidRPr="003546B8">
        <w:rPr>
          <w:sz w:val="22"/>
          <w:szCs w:val="22"/>
        </w:rPr>
        <w:t xml:space="preserve"> &lt; 1/10), </w:t>
      </w:r>
      <w:proofErr w:type="spellStart"/>
      <w:r w:rsidR="009A572D" w:rsidRPr="003546B8">
        <w:rPr>
          <w:sz w:val="22"/>
          <w:szCs w:val="22"/>
        </w:rPr>
        <w:t>menej</w:t>
      </w:r>
      <w:proofErr w:type="spellEnd"/>
      <w:r w:rsidR="009A572D" w:rsidRPr="003546B8">
        <w:rPr>
          <w:sz w:val="22"/>
          <w:szCs w:val="22"/>
        </w:rPr>
        <w:t xml:space="preserve"> </w:t>
      </w:r>
      <w:proofErr w:type="spellStart"/>
      <w:r w:rsidR="009A572D" w:rsidRPr="003546B8">
        <w:rPr>
          <w:sz w:val="22"/>
          <w:szCs w:val="22"/>
        </w:rPr>
        <w:t>časté</w:t>
      </w:r>
      <w:proofErr w:type="spellEnd"/>
      <w:r w:rsidR="009A572D" w:rsidRPr="003546B8">
        <w:rPr>
          <w:sz w:val="22"/>
          <w:szCs w:val="22"/>
        </w:rPr>
        <w:t xml:space="preserve"> (</w:t>
      </w:r>
      <w:r w:rsidR="009A572D" w:rsidRPr="003546B8">
        <w:rPr>
          <w:iCs/>
          <w:sz w:val="22"/>
          <w:szCs w:val="22"/>
        </w:rPr>
        <w:t>≥ </w:t>
      </w:r>
      <w:r w:rsidR="009A572D" w:rsidRPr="003546B8">
        <w:rPr>
          <w:sz w:val="22"/>
          <w:szCs w:val="22"/>
        </w:rPr>
        <w:t xml:space="preserve">1/1 000 </w:t>
      </w:r>
      <w:proofErr w:type="spellStart"/>
      <w:r w:rsidR="009A572D" w:rsidRPr="003546B8">
        <w:rPr>
          <w:sz w:val="22"/>
          <w:szCs w:val="22"/>
        </w:rPr>
        <w:t>až</w:t>
      </w:r>
      <w:proofErr w:type="spellEnd"/>
      <w:r w:rsidR="009A572D" w:rsidRPr="003546B8">
        <w:rPr>
          <w:sz w:val="22"/>
          <w:szCs w:val="22"/>
        </w:rPr>
        <w:t xml:space="preserve"> &lt; 1/100), </w:t>
      </w:r>
      <w:proofErr w:type="spellStart"/>
      <w:r w:rsidR="009A572D" w:rsidRPr="003546B8">
        <w:rPr>
          <w:sz w:val="22"/>
          <w:szCs w:val="22"/>
        </w:rPr>
        <w:t>zriedkavé</w:t>
      </w:r>
      <w:proofErr w:type="spellEnd"/>
      <w:r w:rsidR="009A572D" w:rsidRPr="003546B8">
        <w:rPr>
          <w:sz w:val="22"/>
          <w:szCs w:val="22"/>
        </w:rPr>
        <w:t xml:space="preserve"> (</w:t>
      </w:r>
      <w:r w:rsidR="009A572D" w:rsidRPr="003546B8">
        <w:rPr>
          <w:iCs/>
          <w:sz w:val="22"/>
          <w:szCs w:val="22"/>
        </w:rPr>
        <w:t>≥ </w:t>
      </w:r>
      <w:r w:rsidR="009A572D" w:rsidRPr="003546B8">
        <w:rPr>
          <w:sz w:val="22"/>
          <w:szCs w:val="22"/>
        </w:rPr>
        <w:t xml:space="preserve">1/10 000 </w:t>
      </w:r>
      <w:proofErr w:type="spellStart"/>
      <w:r w:rsidR="009A572D" w:rsidRPr="003546B8">
        <w:rPr>
          <w:sz w:val="22"/>
          <w:szCs w:val="22"/>
        </w:rPr>
        <w:t>až</w:t>
      </w:r>
      <w:proofErr w:type="spellEnd"/>
      <w:r w:rsidR="009A572D" w:rsidRPr="003546B8">
        <w:rPr>
          <w:sz w:val="22"/>
          <w:szCs w:val="22"/>
        </w:rPr>
        <w:t xml:space="preserve"> &lt; 1/1 000), </w:t>
      </w:r>
      <w:proofErr w:type="spellStart"/>
      <w:r w:rsidR="009A572D" w:rsidRPr="003546B8">
        <w:rPr>
          <w:sz w:val="22"/>
          <w:szCs w:val="22"/>
        </w:rPr>
        <w:t>veľmi</w:t>
      </w:r>
      <w:proofErr w:type="spellEnd"/>
      <w:r w:rsidR="009A572D" w:rsidRPr="003546B8">
        <w:rPr>
          <w:sz w:val="22"/>
          <w:szCs w:val="22"/>
        </w:rPr>
        <w:t xml:space="preserve"> </w:t>
      </w:r>
      <w:proofErr w:type="spellStart"/>
      <w:r w:rsidR="009A572D" w:rsidRPr="003546B8">
        <w:rPr>
          <w:sz w:val="22"/>
          <w:szCs w:val="22"/>
        </w:rPr>
        <w:t>zriedkavé</w:t>
      </w:r>
      <w:proofErr w:type="spellEnd"/>
      <w:r w:rsidR="009A572D" w:rsidRPr="003546B8">
        <w:rPr>
          <w:sz w:val="22"/>
          <w:szCs w:val="22"/>
        </w:rPr>
        <w:t xml:space="preserve"> (&lt; 1/10 000), </w:t>
      </w:r>
      <w:proofErr w:type="spellStart"/>
      <w:r w:rsidR="009A572D" w:rsidRPr="003546B8">
        <w:rPr>
          <w:sz w:val="22"/>
          <w:szCs w:val="22"/>
        </w:rPr>
        <w:t>neznáme</w:t>
      </w:r>
      <w:proofErr w:type="spellEnd"/>
      <w:r w:rsidR="009A572D" w:rsidRPr="003546B8">
        <w:rPr>
          <w:sz w:val="22"/>
          <w:szCs w:val="22"/>
        </w:rPr>
        <w:t xml:space="preserve"> (z </w:t>
      </w:r>
      <w:proofErr w:type="spellStart"/>
      <w:r w:rsidR="009A572D" w:rsidRPr="003546B8">
        <w:rPr>
          <w:sz w:val="22"/>
          <w:szCs w:val="22"/>
        </w:rPr>
        <w:t>dostupných</w:t>
      </w:r>
      <w:proofErr w:type="spellEnd"/>
      <w:r w:rsidR="009A572D" w:rsidRPr="003546B8">
        <w:rPr>
          <w:sz w:val="22"/>
          <w:szCs w:val="22"/>
        </w:rPr>
        <w:t xml:space="preserve"> </w:t>
      </w:r>
      <w:proofErr w:type="spellStart"/>
      <w:r w:rsidR="009A572D" w:rsidRPr="003546B8">
        <w:rPr>
          <w:sz w:val="22"/>
          <w:szCs w:val="22"/>
        </w:rPr>
        <w:t>údajov</w:t>
      </w:r>
      <w:proofErr w:type="spellEnd"/>
      <w:r w:rsidR="009A572D" w:rsidRPr="003546B8">
        <w:rPr>
          <w:sz w:val="22"/>
          <w:szCs w:val="22"/>
        </w:rPr>
        <w:t>)</w:t>
      </w:r>
      <w:r w:rsidR="009A572D">
        <w:t xml:space="preserve"> </w:t>
      </w:r>
      <w:r>
        <w:rPr>
          <w:sz w:val="22"/>
          <w:szCs w:val="22"/>
          <w:lang w:val="sk-SK"/>
        </w:rPr>
        <w:t xml:space="preserve">založenými na údajoch zo všetkých príčinných súvislostí v klinických štúdiách fázy 3, v ktorých sa vyhodnocovala účinnosť a bezpečnosť DMPA v gynekológii. Najčastejšie hlásenými </w:t>
      </w:r>
      <w:r>
        <w:rPr>
          <w:sz w:val="22"/>
          <w:szCs w:val="22"/>
          <w:lang w:val="sk-SK" w:eastAsia="ko-KR"/>
        </w:rPr>
        <w:t xml:space="preserve">(&gt; 5%) nežiaducimi liekovými reakciami boli </w:t>
      </w:r>
      <w:r>
        <w:rPr>
          <w:sz w:val="22"/>
          <w:szCs w:val="22"/>
          <w:lang w:val="sk-SK"/>
        </w:rPr>
        <w:t>dysfunkčné krvácanie z maternice</w:t>
      </w:r>
      <w:r>
        <w:rPr>
          <w:sz w:val="22"/>
          <w:szCs w:val="22"/>
          <w:lang w:val="sk-SK" w:eastAsia="ko-KR"/>
        </w:rPr>
        <w:t xml:space="preserve"> (19 %), bolesť hlavy (12 %), </w:t>
      </w:r>
      <w:proofErr w:type="spellStart"/>
      <w:r w:rsidR="009115DB">
        <w:rPr>
          <w:sz w:val="22"/>
          <w:szCs w:val="22"/>
          <w:lang w:val="sk-SK"/>
        </w:rPr>
        <w:t>nauzea</w:t>
      </w:r>
      <w:proofErr w:type="spellEnd"/>
      <w:r>
        <w:rPr>
          <w:sz w:val="22"/>
          <w:szCs w:val="22"/>
          <w:lang w:val="sk-SK" w:eastAsia="ko-KR"/>
        </w:rPr>
        <w:t xml:space="preserve"> (10 %).</w:t>
      </w:r>
    </w:p>
    <w:p w:rsidR="00014F1F" w:rsidRDefault="00014F1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tbl>
      <w:tblPr>
        <w:tblW w:w="0" w:type="auto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671"/>
        <w:gridCol w:w="1882"/>
        <w:gridCol w:w="1882"/>
        <w:gridCol w:w="1715"/>
      </w:tblGrid>
      <w:tr w:rsidR="00014F1F">
        <w:trPr>
          <w:cantSplit/>
          <w:tblHeader/>
        </w:trPr>
        <w:tc>
          <w:tcPr>
            <w:tcW w:w="2127" w:type="dxa"/>
          </w:tcPr>
          <w:p w:rsidR="00014F1F" w:rsidRPr="00F73056" w:rsidRDefault="00014F1F">
            <w:pPr>
              <w:autoSpaceDE w:val="0"/>
              <w:autoSpaceDN w:val="0"/>
              <w:adjustRightInd w:val="0"/>
              <w:rPr>
                <w:b/>
                <w:lang w:val="sk-SK" w:eastAsia="ko-KR"/>
              </w:rPr>
            </w:pPr>
            <w:r w:rsidRPr="00DA1189">
              <w:rPr>
                <w:b/>
                <w:sz w:val="22"/>
                <w:szCs w:val="22"/>
                <w:lang w:val="sk-SK" w:eastAsia="ko-KR"/>
              </w:rPr>
              <w:t>Trieda orgánových systémov</w:t>
            </w:r>
          </w:p>
        </w:tc>
        <w:tc>
          <w:tcPr>
            <w:tcW w:w="1671" w:type="dxa"/>
          </w:tcPr>
          <w:p w:rsidR="00014F1F" w:rsidRPr="00DA1189" w:rsidRDefault="00000244">
            <w:pPr>
              <w:autoSpaceDE w:val="0"/>
              <w:autoSpaceDN w:val="0"/>
              <w:adjustRightInd w:val="0"/>
              <w:rPr>
                <w:b/>
                <w:lang w:val="sk-SK" w:eastAsia="ko-KR"/>
              </w:rPr>
            </w:pPr>
            <w:r w:rsidRPr="00DA1189">
              <w:rPr>
                <w:b/>
                <w:sz w:val="22"/>
                <w:szCs w:val="22"/>
                <w:lang w:val="sk-SK" w:eastAsia="ko-KR"/>
              </w:rPr>
              <w:t>V</w:t>
            </w:r>
            <w:r w:rsidR="00014F1F" w:rsidRPr="00DA1189">
              <w:rPr>
                <w:b/>
                <w:sz w:val="22"/>
                <w:szCs w:val="22"/>
                <w:lang w:val="sk-SK" w:eastAsia="ko-KR"/>
              </w:rPr>
              <w:t>eľmi časté ≥</w:t>
            </w:r>
            <w:r w:rsidR="007312AE">
              <w:rPr>
                <w:b/>
                <w:sz w:val="22"/>
                <w:szCs w:val="22"/>
                <w:lang w:val="sk-SK" w:eastAsia="ko-KR"/>
              </w:rPr>
              <w:t> </w:t>
            </w:r>
            <w:r w:rsidR="00014F1F" w:rsidRPr="00DA1189">
              <w:rPr>
                <w:b/>
                <w:sz w:val="22"/>
                <w:szCs w:val="22"/>
                <w:lang w:val="sk-SK" w:eastAsia="ko-KR"/>
              </w:rPr>
              <w:t>1/10</w:t>
            </w:r>
          </w:p>
        </w:tc>
        <w:tc>
          <w:tcPr>
            <w:tcW w:w="1882" w:type="dxa"/>
          </w:tcPr>
          <w:p w:rsidR="00014F1F" w:rsidRPr="00DA1189" w:rsidRDefault="00000244">
            <w:pPr>
              <w:autoSpaceDE w:val="0"/>
              <w:autoSpaceDN w:val="0"/>
              <w:adjustRightInd w:val="0"/>
              <w:rPr>
                <w:b/>
                <w:lang w:val="sk-SK" w:eastAsia="ko-KR"/>
              </w:rPr>
            </w:pPr>
            <w:r w:rsidRPr="00F73056">
              <w:rPr>
                <w:b/>
                <w:sz w:val="22"/>
                <w:szCs w:val="22"/>
                <w:lang w:val="sk-SK" w:eastAsia="ko-KR"/>
              </w:rPr>
              <w:t>Č</w:t>
            </w:r>
            <w:r w:rsidR="00014F1F" w:rsidRPr="00F73056">
              <w:rPr>
                <w:b/>
                <w:sz w:val="22"/>
                <w:szCs w:val="22"/>
                <w:lang w:val="sk-SK" w:eastAsia="ko-KR"/>
              </w:rPr>
              <w:t xml:space="preserve">asté </w:t>
            </w:r>
            <w:r w:rsidR="00DA1189" w:rsidRPr="00F73056">
              <w:rPr>
                <w:b/>
                <w:sz w:val="22"/>
                <w:szCs w:val="22"/>
                <w:lang w:val="sk-SK" w:eastAsia="ko-KR"/>
              </w:rPr>
              <w:t>≥</w:t>
            </w:r>
            <w:r w:rsidR="007312AE">
              <w:rPr>
                <w:b/>
                <w:sz w:val="22"/>
                <w:szCs w:val="22"/>
                <w:lang w:val="sk-SK" w:eastAsia="ko-KR"/>
              </w:rPr>
              <w:t> </w:t>
            </w:r>
            <w:r w:rsidR="00014F1F" w:rsidRPr="00DA1189">
              <w:rPr>
                <w:b/>
                <w:sz w:val="22"/>
                <w:szCs w:val="22"/>
                <w:lang w:val="sk-SK" w:eastAsia="ko-KR"/>
              </w:rPr>
              <w:t>1/100 až</w:t>
            </w:r>
            <w:r w:rsidR="00DA1189">
              <w:rPr>
                <w:b/>
                <w:sz w:val="22"/>
                <w:szCs w:val="22"/>
                <w:lang w:val="sk-SK" w:eastAsia="ko-KR"/>
              </w:rPr>
              <w:t xml:space="preserve"> &lt;</w:t>
            </w:r>
            <w:r w:rsidR="007312AE">
              <w:rPr>
                <w:b/>
                <w:sz w:val="22"/>
                <w:szCs w:val="22"/>
                <w:lang w:val="sk-SK" w:eastAsia="ko-KR"/>
              </w:rPr>
              <w:t> </w:t>
            </w:r>
            <w:r w:rsidR="00014F1F" w:rsidRPr="00DA1189">
              <w:rPr>
                <w:b/>
                <w:sz w:val="22"/>
                <w:szCs w:val="22"/>
                <w:lang w:val="sk-SK" w:eastAsia="ko-KR"/>
              </w:rPr>
              <w:t>1/10</w:t>
            </w:r>
          </w:p>
        </w:tc>
        <w:tc>
          <w:tcPr>
            <w:tcW w:w="1882" w:type="dxa"/>
          </w:tcPr>
          <w:p w:rsidR="00014F1F" w:rsidRPr="00DA1189" w:rsidRDefault="00000244">
            <w:pPr>
              <w:autoSpaceDE w:val="0"/>
              <w:autoSpaceDN w:val="0"/>
              <w:adjustRightInd w:val="0"/>
              <w:rPr>
                <w:b/>
                <w:lang w:val="sk-SK" w:eastAsia="ko-KR"/>
              </w:rPr>
            </w:pPr>
            <w:r w:rsidRPr="00DA1189">
              <w:rPr>
                <w:b/>
                <w:sz w:val="22"/>
                <w:szCs w:val="22"/>
                <w:lang w:val="sk-SK" w:eastAsia="ko-KR"/>
              </w:rPr>
              <w:t>M</w:t>
            </w:r>
            <w:r w:rsidR="00014F1F" w:rsidRPr="00DA1189">
              <w:rPr>
                <w:b/>
                <w:sz w:val="22"/>
                <w:szCs w:val="22"/>
                <w:lang w:val="sk-SK" w:eastAsia="ko-KR"/>
              </w:rPr>
              <w:t>enej</w:t>
            </w:r>
            <w:r w:rsidR="00DA1189">
              <w:rPr>
                <w:b/>
                <w:sz w:val="22"/>
                <w:szCs w:val="22"/>
                <w:lang w:val="sk-SK" w:eastAsia="ko-KR"/>
              </w:rPr>
              <w:t xml:space="preserve"> časté </w:t>
            </w:r>
            <w:r w:rsidR="00DA1189" w:rsidRPr="00DA1189">
              <w:rPr>
                <w:b/>
                <w:sz w:val="22"/>
                <w:szCs w:val="22"/>
                <w:lang w:val="sk-SK" w:eastAsia="ko-KR"/>
              </w:rPr>
              <w:t>≥</w:t>
            </w:r>
            <w:r w:rsidR="007312AE">
              <w:rPr>
                <w:b/>
                <w:sz w:val="22"/>
                <w:szCs w:val="22"/>
                <w:lang w:val="sk-SK" w:eastAsia="ko-KR"/>
              </w:rPr>
              <w:t> </w:t>
            </w:r>
            <w:r w:rsidR="00014F1F" w:rsidRPr="00DA1189">
              <w:rPr>
                <w:b/>
                <w:sz w:val="22"/>
                <w:szCs w:val="22"/>
                <w:lang w:val="sk-SK" w:eastAsia="ko-KR"/>
              </w:rPr>
              <w:t>1/1</w:t>
            </w:r>
            <w:r w:rsidR="007312AE">
              <w:rPr>
                <w:b/>
                <w:sz w:val="22"/>
                <w:szCs w:val="22"/>
                <w:lang w:val="sk-SK" w:eastAsia="ko-KR"/>
              </w:rPr>
              <w:t> </w:t>
            </w:r>
            <w:r w:rsidR="00014F1F" w:rsidRPr="00DA1189">
              <w:rPr>
                <w:b/>
                <w:sz w:val="22"/>
                <w:szCs w:val="22"/>
                <w:lang w:val="sk-SK" w:eastAsia="ko-KR"/>
              </w:rPr>
              <w:t>000 až</w:t>
            </w:r>
            <w:r w:rsidR="00DA1189" w:rsidRPr="00DA1189">
              <w:rPr>
                <w:b/>
                <w:sz w:val="22"/>
                <w:szCs w:val="22"/>
                <w:lang w:val="sk-SK" w:eastAsia="ko-KR"/>
              </w:rPr>
              <w:t xml:space="preserve"> &lt;</w:t>
            </w:r>
            <w:r w:rsidR="007312AE">
              <w:rPr>
                <w:b/>
                <w:sz w:val="22"/>
                <w:szCs w:val="22"/>
                <w:lang w:val="sk-SK" w:eastAsia="ko-KR"/>
              </w:rPr>
              <w:t> </w:t>
            </w:r>
            <w:r w:rsidR="00014F1F" w:rsidRPr="00DA1189">
              <w:rPr>
                <w:b/>
                <w:sz w:val="22"/>
                <w:szCs w:val="22"/>
                <w:lang w:val="sk-SK" w:eastAsia="ko-KR"/>
              </w:rPr>
              <w:t>1/100</w:t>
            </w:r>
          </w:p>
        </w:tc>
        <w:tc>
          <w:tcPr>
            <w:tcW w:w="1715" w:type="dxa"/>
          </w:tcPr>
          <w:p w:rsidR="00014F1F" w:rsidRPr="00DA1189" w:rsidRDefault="00000244" w:rsidP="00B633F9">
            <w:pPr>
              <w:autoSpaceDE w:val="0"/>
              <w:autoSpaceDN w:val="0"/>
              <w:adjustRightInd w:val="0"/>
              <w:rPr>
                <w:b/>
                <w:lang w:val="sk-SK" w:eastAsia="ko-KR"/>
              </w:rPr>
            </w:pPr>
            <w:r w:rsidRPr="00F73056">
              <w:rPr>
                <w:b/>
                <w:sz w:val="22"/>
                <w:szCs w:val="22"/>
                <w:lang w:val="sk-SK" w:eastAsia="ko-KR"/>
              </w:rPr>
              <w:t>N</w:t>
            </w:r>
            <w:r w:rsidR="00014F1F" w:rsidRPr="00F73056">
              <w:rPr>
                <w:b/>
                <w:sz w:val="22"/>
                <w:szCs w:val="22"/>
                <w:lang w:val="sk-SK" w:eastAsia="ko-KR"/>
              </w:rPr>
              <w:t xml:space="preserve">eznáme </w:t>
            </w:r>
            <w:r w:rsidR="00014F1F" w:rsidRPr="00DA1189">
              <w:rPr>
                <w:b/>
                <w:sz w:val="22"/>
                <w:szCs w:val="22"/>
                <w:lang w:val="sk-SK" w:eastAsia="ko-KR"/>
              </w:rPr>
              <w:t>(z dostupných údajov)</w:t>
            </w:r>
          </w:p>
        </w:tc>
      </w:tr>
      <w:tr w:rsidR="00014F1F" w:rsidRPr="00D67B1B">
        <w:trPr>
          <w:cantSplit/>
        </w:trPr>
        <w:tc>
          <w:tcPr>
            <w:tcW w:w="2127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b/>
                <w:lang w:val="sk-SK" w:eastAsia="ko-KR"/>
              </w:rPr>
            </w:pPr>
            <w:r>
              <w:rPr>
                <w:b/>
                <w:sz w:val="22"/>
                <w:szCs w:val="22"/>
                <w:lang w:val="sk-SK" w:eastAsia="ko-KR"/>
              </w:rPr>
              <w:t>Poruchy imunitného systému</w:t>
            </w:r>
          </w:p>
        </w:tc>
        <w:tc>
          <w:tcPr>
            <w:tcW w:w="1671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lang w:val="sk-SK" w:eastAsia="ko-KR"/>
              </w:rPr>
            </w:pPr>
          </w:p>
        </w:tc>
        <w:tc>
          <w:tcPr>
            <w:tcW w:w="1882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lang w:val="sk-SK" w:eastAsia="ko-KR"/>
              </w:rPr>
            </w:pPr>
            <w:r>
              <w:rPr>
                <w:sz w:val="22"/>
                <w:szCs w:val="22"/>
                <w:lang w:val="sk-SK" w:eastAsia="ko-KR"/>
              </w:rPr>
              <w:t>Precitlivenosť na</w:t>
            </w:r>
            <w:r w:rsidR="007312AE">
              <w:rPr>
                <w:sz w:val="22"/>
                <w:szCs w:val="22"/>
                <w:lang w:val="sk-SK" w:eastAsia="ko-KR"/>
              </w:rPr>
              <w:t> </w:t>
            </w:r>
            <w:r>
              <w:rPr>
                <w:sz w:val="22"/>
                <w:szCs w:val="22"/>
                <w:lang w:val="sk-SK" w:eastAsia="ko-KR"/>
              </w:rPr>
              <w:t>liek</w:t>
            </w:r>
          </w:p>
        </w:tc>
        <w:tc>
          <w:tcPr>
            <w:tcW w:w="1882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lang w:val="sk-SK" w:eastAsia="ko-KR"/>
              </w:rPr>
            </w:pPr>
          </w:p>
        </w:tc>
        <w:tc>
          <w:tcPr>
            <w:tcW w:w="1715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lang w:val="sk-SK" w:eastAsia="ko-KR"/>
              </w:rPr>
            </w:pPr>
            <w:proofErr w:type="spellStart"/>
            <w:r>
              <w:rPr>
                <w:sz w:val="22"/>
                <w:szCs w:val="22"/>
                <w:lang w:val="sk-SK" w:eastAsia="ko-KR"/>
              </w:rPr>
              <w:t>Anafylaktická</w:t>
            </w:r>
            <w:proofErr w:type="spellEnd"/>
            <w:r>
              <w:rPr>
                <w:sz w:val="22"/>
                <w:szCs w:val="22"/>
                <w:lang w:val="sk-SK" w:eastAsia="ko-KR"/>
              </w:rPr>
              <w:t xml:space="preserve"> reakcia</w:t>
            </w:r>
            <w:r w:rsidR="00000244">
              <w:rPr>
                <w:sz w:val="22"/>
                <w:szCs w:val="22"/>
                <w:lang w:val="sk-SK" w:eastAsia="ko-KR"/>
              </w:rPr>
              <w:t xml:space="preserve">, </w:t>
            </w:r>
            <w:proofErr w:type="spellStart"/>
            <w:r w:rsidR="00000244" w:rsidRPr="00DA1189">
              <w:rPr>
                <w:sz w:val="22"/>
                <w:szCs w:val="22"/>
                <w:lang w:val="sk-SK" w:eastAsia="ko-KR"/>
              </w:rPr>
              <w:t>a</w:t>
            </w:r>
            <w:r w:rsidRPr="00DA1189">
              <w:rPr>
                <w:sz w:val="22"/>
                <w:szCs w:val="22"/>
                <w:lang w:val="sk-SK" w:eastAsia="ko-KR"/>
              </w:rPr>
              <w:t>nafylaktoidná</w:t>
            </w:r>
            <w:proofErr w:type="spellEnd"/>
            <w:r w:rsidRPr="00DA1189">
              <w:rPr>
                <w:sz w:val="22"/>
                <w:szCs w:val="22"/>
                <w:lang w:val="sk-SK" w:eastAsia="ko-KR"/>
              </w:rPr>
              <w:t xml:space="preserve"> rea</w:t>
            </w:r>
            <w:r w:rsidRPr="00F73056">
              <w:rPr>
                <w:sz w:val="22"/>
                <w:szCs w:val="22"/>
                <w:lang w:val="sk-SK" w:eastAsia="ko-KR"/>
              </w:rPr>
              <w:t>kcia,</w:t>
            </w:r>
            <w:r>
              <w:rPr>
                <w:sz w:val="22"/>
                <w:szCs w:val="22"/>
                <w:lang w:val="sk-SK" w:eastAsia="ko-K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k-SK" w:eastAsia="ko-KR"/>
              </w:rPr>
              <w:t>Angioedém</w:t>
            </w:r>
            <w:proofErr w:type="spellEnd"/>
          </w:p>
        </w:tc>
      </w:tr>
      <w:tr w:rsidR="00014F1F">
        <w:trPr>
          <w:cantSplit/>
        </w:trPr>
        <w:tc>
          <w:tcPr>
            <w:tcW w:w="2127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b/>
                <w:lang w:val="sk-SK" w:eastAsia="ko-KR"/>
              </w:rPr>
            </w:pPr>
            <w:r>
              <w:rPr>
                <w:b/>
                <w:sz w:val="22"/>
                <w:szCs w:val="22"/>
                <w:lang w:val="sk-SK"/>
              </w:rPr>
              <w:t>Poruchy endokrinného systému</w:t>
            </w:r>
          </w:p>
        </w:tc>
        <w:tc>
          <w:tcPr>
            <w:tcW w:w="1671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lang w:val="sk-SK" w:eastAsia="ko-KR"/>
              </w:rPr>
            </w:pPr>
          </w:p>
        </w:tc>
        <w:tc>
          <w:tcPr>
            <w:tcW w:w="1882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lang w:val="sk-SK" w:eastAsia="ko-KR"/>
              </w:rPr>
            </w:pPr>
          </w:p>
        </w:tc>
        <w:tc>
          <w:tcPr>
            <w:tcW w:w="1882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lang w:val="sk-SK" w:eastAsia="ko-KR"/>
              </w:rPr>
            </w:pPr>
          </w:p>
        </w:tc>
        <w:tc>
          <w:tcPr>
            <w:tcW w:w="1715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i/>
                <w:u w:val="single"/>
                <w:lang w:val="sk-SK" w:eastAsia="ko-KR"/>
              </w:rPr>
            </w:pPr>
            <w:r>
              <w:rPr>
                <w:sz w:val="22"/>
                <w:szCs w:val="22"/>
                <w:lang w:val="sk-SK" w:eastAsia="ko-KR"/>
              </w:rPr>
              <w:t xml:space="preserve">Predĺžená </w:t>
            </w:r>
            <w:proofErr w:type="spellStart"/>
            <w:r>
              <w:rPr>
                <w:sz w:val="22"/>
                <w:szCs w:val="22"/>
                <w:lang w:val="sk-SK" w:eastAsia="ko-KR"/>
              </w:rPr>
              <w:t>anovulácia</w:t>
            </w:r>
            <w:proofErr w:type="spellEnd"/>
          </w:p>
        </w:tc>
      </w:tr>
      <w:tr w:rsidR="00014F1F">
        <w:trPr>
          <w:cantSplit/>
        </w:trPr>
        <w:tc>
          <w:tcPr>
            <w:tcW w:w="2127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b/>
                <w:lang w:val="sk-SK" w:eastAsia="ko-KR"/>
              </w:rPr>
            </w:pPr>
            <w:r>
              <w:rPr>
                <w:b/>
                <w:sz w:val="22"/>
                <w:szCs w:val="22"/>
                <w:lang w:val="sk-SK" w:eastAsia="ko-KR"/>
              </w:rPr>
              <w:t>Psychické poruchy</w:t>
            </w:r>
          </w:p>
        </w:tc>
        <w:tc>
          <w:tcPr>
            <w:tcW w:w="1671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lang w:val="sk-SK" w:eastAsia="ko-KR"/>
              </w:rPr>
            </w:pPr>
          </w:p>
        </w:tc>
        <w:tc>
          <w:tcPr>
            <w:tcW w:w="1882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lang w:val="sk-SK" w:eastAsia="ko-KR"/>
              </w:rPr>
            </w:pPr>
            <w:r w:rsidRPr="00DA1189">
              <w:rPr>
                <w:sz w:val="22"/>
                <w:szCs w:val="22"/>
                <w:lang w:val="sk-SK" w:eastAsia="ko-KR"/>
              </w:rPr>
              <w:t>Depresia</w:t>
            </w:r>
            <w:r w:rsidR="00000244" w:rsidRPr="00DA1189">
              <w:rPr>
                <w:sz w:val="22"/>
                <w:szCs w:val="22"/>
                <w:lang w:val="sk-SK" w:eastAsia="ko-KR"/>
              </w:rPr>
              <w:t xml:space="preserve">, </w:t>
            </w:r>
            <w:proofErr w:type="spellStart"/>
            <w:r w:rsidR="00000244" w:rsidRPr="00F73056">
              <w:rPr>
                <w:sz w:val="22"/>
                <w:szCs w:val="22"/>
                <w:lang w:val="sk-SK" w:eastAsia="ko-KR"/>
              </w:rPr>
              <w:t>insomnia</w:t>
            </w:r>
            <w:proofErr w:type="spellEnd"/>
            <w:r w:rsidR="00000244" w:rsidRPr="00F73056">
              <w:rPr>
                <w:sz w:val="22"/>
                <w:szCs w:val="22"/>
                <w:lang w:val="sk-SK" w:eastAsia="ko-KR"/>
              </w:rPr>
              <w:t xml:space="preserve">, </w:t>
            </w:r>
            <w:r w:rsidR="00000244" w:rsidRPr="00DA1189">
              <w:rPr>
                <w:sz w:val="22"/>
                <w:szCs w:val="22"/>
                <w:lang w:val="sk-SK" w:eastAsia="ko-KR"/>
              </w:rPr>
              <w:t>n</w:t>
            </w:r>
            <w:r w:rsidRPr="00DA1189">
              <w:rPr>
                <w:sz w:val="22"/>
                <w:szCs w:val="22"/>
                <w:lang w:val="sk-SK" w:eastAsia="ko-KR"/>
              </w:rPr>
              <w:t>ervozita</w:t>
            </w:r>
          </w:p>
        </w:tc>
        <w:tc>
          <w:tcPr>
            <w:tcW w:w="1882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i/>
                <w:u w:val="single"/>
                <w:lang w:val="sk-SK" w:eastAsia="ko-KR"/>
              </w:rPr>
            </w:pPr>
          </w:p>
        </w:tc>
        <w:tc>
          <w:tcPr>
            <w:tcW w:w="1715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lang w:val="sk-SK" w:eastAsia="ko-KR"/>
              </w:rPr>
            </w:pPr>
          </w:p>
        </w:tc>
      </w:tr>
      <w:tr w:rsidR="00014F1F">
        <w:trPr>
          <w:cantSplit/>
        </w:trPr>
        <w:tc>
          <w:tcPr>
            <w:tcW w:w="2127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b/>
                <w:lang w:val="sk-SK" w:eastAsia="ko-KR"/>
              </w:rPr>
            </w:pPr>
            <w:r>
              <w:rPr>
                <w:b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1671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lang w:val="sk-SK" w:eastAsia="ko-KR"/>
              </w:rPr>
            </w:pPr>
            <w:r>
              <w:rPr>
                <w:sz w:val="22"/>
                <w:szCs w:val="22"/>
                <w:lang w:val="sk-SK" w:eastAsia="ko-KR"/>
              </w:rPr>
              <w:t>Bolesť hlavy</w:t>
            </w:r>
          </w:p>
        </w:tc>
        <w:tc>
          <w:tcPr>
            <w:tcW w:w="1882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lang w:val="sk-SK" w:eastAsia="ko-KR"/>
              </w:rPr>
            </w:pPr>
            <w:r>
              <w:rPr>
                <w:sz w:val="22"/>
                <w:szCs w:val="22"/>
                <w:lang w:val="sk-SK" w:eastAsia="ko-KR"/>
              </w:rPr>
              <w:t>Závrat</w:t>
            </w:r>
          </w:p>
        </w:tc>
        <w:tc>
          <w:tcPr>
            <w:tcW w:w="1882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i/>
                <w:u w:val="single"/>
                <w:lang w:val="sk-SK" w:eastAsia="ko-KR"/>
              </w:rPr>
            </w:pPr>
          </w:p>
        </w:tc>
        <w:tc>
          <w:tcPr>
            <w:tcW w:w="1715" w:type="dxa"/>
          </w:tcPr>
          <w:p w:rsidR="00014F1F" w:rsidRDefault="00014F1F" w:rsidP="00D67B1B">
            <w:pPr>
              <w:autoSpaceDE w:val="0"/>
              <w:autoSpaceDN w:val="0"/>
              <w:adjustRightInd w:val="0"/>
              <w:rPr>
                <w:lang w:val="sk-SK" w:eastAsia="ko-KR"/>
              </w:rPr>
            </w:pPr>
            <w:proofErr w:type="spellStart"/>
            <w:r w:rsidRPr="00771075">
              <w:rPr>
                <w:sz w:val="22"/>
                <w:szCs w:val="22"/>
                <w:lang w:val="sk-SK" w:eastAsia="ko-KR"/>
              </w:rPr>
              <w:t>S</w:t>
            </w:r>
            <w:r w:rsidR="00D67B1B" w:rsidRPr="00771075">
              <w:rPr>
                <w:sz w:val="22"/>
                <w:szCs w:val="22"/>
                <w:lang w:val="sk-SK" w:eastAsia="ko-KR"/>
              </w:rPr>
              <w:t>omnolencia</w:t>
            </w:r>
            <w:proofErr w:type="spellEnd"/>
          </w:p>
        </w:tc>
      </w:tr>
      <w:tr w:rsidR="00014F1F">
        <w:trPr>
          <w:cantSplit/>
        </w:trPr>
        <w:tc>
          <w:tcPr>
            <w:tcW w:w="2127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b/>
                <w:lang w:val="sk-SK" w:eastAsia="ko-KR"/>
              </w:rPr>
            </w:pPr>
            <w:r>
              <w:rPr>
                <w:b/>
                <w:sz w:val="22"/>
                <w:szCs w:val="22"/>
                <w:lang w:val="sk-SK" w:eastAsia="ko-KR"/>
              </w:rPr>
              <w:t>Poruchy ciev</w:t>
            </w:r>
          </w:p>
        </w:tc>
        <w:tc>
          <w:tcPr>
            <w:tcW w:w="1671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lang w:val="sk-SK" w:eastAsia="ko-KR"/>
              </w:rPr>
            </w:pPr>
          </w:p>
        </w:tc>
        <w:tc>
          <w:tcPr>
            <w:tcW w:w="1882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lang w:val="sk-SK" w:eastAsia="ko-KR"/>
              </w:rPr>
            </w:pPr>
          </w:p>
        </w:tc>
        <w:tc>
          <w:tcPr>
            <w:tcW w:w="1882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i/>
                <w:u w:val="single"/>
                <w:lang w:val="sk-SK" w:eastAsia="ko-KR"/>
              </w:rPr>
            </w:pPr>
          </w:p>
        </w:tc>
        <w:tc>
          <w:tcPr>
            <w:tcW w:w="1715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i/>
                <w:u w:val="single"/>
                <w:lang w:val="sk-SK" w:eastAsia="ko-KR"/>
              </w:rPr>
            </w:pPr>
            <w:r>
              <w:rPr>
                <w:sz w:val="22"/>
                <w:szCs w:val="22"/>
                <w:lang w:val="sk-SK" w:eastAsia="ko-KR"/>
              </w:rPr>
              <w:t>Embólia a trombóza</w:t>
            </w:r>
          </w:p>
        </w:tc>
      </w:tr>
      <w:tr w:rsidR="00014F1F">
        <w:trPr>
          <w:cantSplit/>
        </w:trPr>
        <w:tc>
          <w:tcPr>
            <w:tcW w:w="2127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b/>
                <w:lang w:val="sk-SK" w:eastAsia="ko-KR"/>
              </w:rPr>
            </w:pPr>
            <w:r>
              <w:rPr>
                <w:b/>
                <w:sz w:val="22"/>
                <w:szCs w:val="22"/>
                <w:lang w:val="sk-SK" w:eastAsia="ko-KR"/>
              </w:rPr>
              <w:t xml:space="preserve">Poruchy </w:t>
            </w:r>
            <w:proofErr w:type="spellStart"/>
            <w:r>
              <w:rPr>
                <w:b/>
                <w:sz w:val="22"/>
                <w:szCs w:val="22"/>
                <w:lang w:val="sk-SK" w:eastAsia="ko-KR"/>
              </w:rPr>
              <w:t>gastrointestinálneho</w:t>
            </w:r>
            <w:proofErr w:type="spellEnd"/>
            <w:r>
              <w:rPr>
                <w:b/>
                <w:sz w:val="22"/>
                <w:szCs w:val="22"/>
                <w:lang w:val="sk-SK" w:eastAsia="ko-KR"/>
              </w:rPr>
              <w:t xml:space="preserve"> traktu</w:t>
            </w:r>
          </w:p>
        </w:tc>
        <w:tc>
          <w:tcPr>
            <w:tcW w:w="1671" w:type="dxa"/>
          </w:tcPr>
          <w:p w:rsidR="00014F1F" w:rsidRDefault="00014F1F" w:rsidP="00D67B1B">
            <w:pPr>
              <w:autoSpaceDE w:val="0"/>
              <w:autoSpaceDN w:val="0"/>
              <w:adjustRightInd w:val="0"/>
              <w:rPr>
                <w:lang w:val="sk-SK" w:eastAsia="ko-KR"/>
              </w:rPr>
            </w:pPr>
            <w:proofErr w:type="spellStart"/>
            <w:r w:rsidRPr="00771075">
              <w:rPr>
                <w:sz w:val="22"/>
                <w:szCs w:val="22"/>
                <w:lang w:val="sk-SK" w:eastAsia="ko-KR"/>
              </w:rPr>
              <w:t>N</w:t>
            </w:r>
            <w:r w:rsidR="00D67B1B" w:rsidRPr="00771075">
              <w:rPr>
                <w:sz w:val="22"/>
                <w:szCs w:val="22"/>
                <w:lang w:val="sk-SK" w:eastAsia="ko-KR"/>
              </w:rPr>
              <w:t>auzea</w:t>
            </w:r>
            <w:proofErr w:type="spellEnd"/>
          </w:p>
        </w:tc>
        <w:tc>
          <w:tcPr>
            <w:tcW w:w="1882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lang w:val="sk-SK" w:eastAsia="ko-KR"/>
              </w:rPr>
            </w:pPr>
          </w:p>
        </w:tc>
        <w:tc>
          <w:tcPr>
            <w:tcW w:w="1882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i/>
                <w:u w:val="single"/>
                <w:lang w:val="sk-SK" w:eastAsia="ko-KR"/>
              </w:rPr>
            </w:pPr>
          </w:p>
        </w:tc>
        <w:tc>
          <w:tcPr>
            <w:tcW w:w="1715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i/>
                <w:u w:val="single"/>
                <w:lang w:val="sk-SK" w:eastAsia="ko-KR"/>
              </w:rPr>
            </w:pPr>
          </w:p>
        </w:tc>
      </w:tr>
      <w:tr w:rsidR="00014F1F">
        <w:trPr>
          <w:cantSplit/>
        </w:trPr>
        <w:tc>
          <w:tcPr>
            <w:tcW w:w="2127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b/>
                <w:lang w:val="sk-SK" w:eastAsia="ko-KR"/>
              </w:rPr>
            </w:pPr>
            <w:r>
              <w:rPr>
                <w:b/>
                <w:sz w:val="22"/>
                <w:szCs w:val="22"/>
                <w:lang w:val="sk-SK" w:eastAsia="ko-KR"/>
              </w:rPr>
              <w:t>Poruchy pečene a žlčových ciest</w:t>
            </w:r>
          </w:p>
        </w:tc>
        <w:tc>
          <w:tcPr>
            <w:tcW w:w="1671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lang w:val="sk-SK" w:eastAsia="ko-KR"/>
              </w:rPr>
            </w:pPr>
          </w:p>
        </w:tc>
        <w:tc>
          <w:tcPr>
            <w:tcW w:w="1882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lang w:val="sk-SK" w:eastAsia="ko-KR"/>
              </w:rPr>
            </w:pPr>
          </w:p>
        </w:tc>
        <w:tc>
          <w:tcPr>
            <w:tcW w:w="1882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lang w:val="sk-SK" w:eastAsia="ko-KR"/>
              </w:rPr>
            </w:pPr>
          </w:p>
        </w:tc>
        <w:tc>
          <w:tcPr>
            <w:tcW w:w="1715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lang w:val="sk-SK" w:eastAsia="ko-KR"/>
              </w:rPr>
            </w:pPr>
            <w:r>
              <w:rPr>
                <w:sz w:val="22"/>
                <w:szCs w:val="22"/>
                <w:lang w:val="sk-SK" w:eastAsia="ko-KR"/>
              </w:rPr>
              <w:t xml:space="preserve">Žltačka, </w:t>
            </w:r>
            <w:proofErr w:type="spellStart"/>
            <w:r>
              <w:rPr>
                <w:sz w:val="22"/>
                <w:szCs w:val="22"/>
                <w:lang w:val="sk-SK" w:eastAsia="ko-KR"/>
              </w:rPr>
              <w:t>cholestatická</w:t>
            </w:r>
            <w:proofErr w:type="spellEnd"/>
            <w:r>
              <w:rPr>
                <w:sz w:val="22"/>
                <w:szCs w:val="22"/>
                <w:lang w:val="sk-SK" w:eastAsia="ko-KR"/>
              </w:rPr>
              <w:t xml:space="preserve"> žltačka</w:t>
            </w:r>
          </w:p>
        </w:tc>
      </w:tr>
      <w:tr w:rsidR="00014F1F">
        <w:trPr>
          <w:cantSplit/>
        </w:trPr>
        <w:tc>
          <w:tcPr>
            <w:tcW w:w="2127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b/>
                <w:lang w:val="sk-SK" w:eastAsia="ko-KR"/>
              </w:rPr>
            </w:pPr>
            <w:r>
              <w:rPr>
                <w:b/>
                <w:sz w:val="22"/>
                <w:szCs w:val="22"/>
                <w:lang w:val="sk-SK" w:eastAsia="ko-KR"/>
              </w:rPr>
              <w:t>Poruchy kože a podkožného tkaniva</w:t>
            </w:r>
          </w:p>
        </w:tc>
        <w:tc>
          <w:tcPr>
            <w:tcW w:w="1671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lang w:val="sk-SK" w:eastAsia="ko-KR"/>
              </w:rPr>
            </w:pPr>
          </w:p>
        </w:tc>
        <w:tc>
          <w:tcPr>
            <w:tcW w:w="1882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lang w:val="sk-SK" w:eastAsia="ko-KR"/>
              </w:rPr>
            </w:pPr>
            <w:proofErr w:type="spellStart"/>
            <w:r>
              <w:rPr>
                <w:sz w:val="22"/>
                <w:szCs w:val="22"/>
                <w:lang w:val="sk-SK" w:eastAsia="ko-KR"/>
              </w:rPr>
              <w:t>Alopécia</w:t>
            </w:r>
            <w:proofErr w:type="spellEnd"/>
            <w:r>
              <w:rPr>
                <w:sz w:val="22"/>
                <w:szCs w:val="22"/>
                <w:lang w:val="sk-SK" w:eastAsia="ko-KR"/>
              </w:rPr>
              <w:t xml:space="preserve">, akné, </w:t>
            </w:r>
            <w:proofErr w:type="spellStart"/>
            <w:r>
              <w:rPr>
                <w:sz w:val="22"/>
                <w:szCs w:val="22"/>
                <w:lang w:val="sk-SK" w:eastAsia="ko-KR"/>
              </w:rPr>
              <w:t>urtikária</w:t>
            </w:r>
            <w:proofErr w:type="spellEnd"/>
            <w:r>
              <w:rPr>
                <w:sz w:val="22"/>
                <w:szCs w:val="22"/>
                <w:lang w:val="sk-SK" w:eastAsia="ko-KR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sk-SK" w:eastAsia="ko-KR"/>
              </w:rPr>
              <w:t>p</w:t>
            </w:r>
            <w:r w:rsidR="00000244">
              <w:rPr>
                <w:sz w:val="22"/>
                <w:szCs w:val="22"/>
                <w:lang w:val="sk-SK" w:eastAsia="ko-KR"/>
              </w:rPr>
              <w:t>rurit</w:t>
            </w:r>
            <w:r w:rsidR="00000244" w:rsidRPr="00DA1189">
              <w:rPr>
                <w:sz w:val="22"/>
                <w:szCs w:val="22"/>
                <w:lang w:val="sk-SK" w:eastAsia="ko-KR"/>
              </w:rPr>
              <w:t>us</w:t>
            </w:r>
            <w:proofErr w:type="spellEnd"/>
            <w:r>
              <w:rPr>
                <w:sz w:val="22"/>
                <w:szCs w:val="22"/>
                <w:lang w:val="sk-SK" w:eastAsia="ko-KR"/>
              </w:rPr>
              <w:t xml:space="preserve"> </w:t>
            </w:r>
          </w:p>
        </w:tc>
        <w:tc>
          <w:tcPr>
            <w:tcW w:w="1882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i/>
                <w:u w:val="single"/>
                <w:lang w:val="sk-SK" w:eastAsia="ko-KR"/>
              </w:rPr>
            </w:pPr>
            <w:proofErr w:type="spellStart"/>
            <w:r>
              <w:rPr>
                <w:sz w:val="22"/>
                <w:szCs w:val="22"/>
                <w:lang w:val="sk-SK" w:eastAsia="ko-KR"/>
              </w:rPr>
              <w:t>Hir</w:t>
            </w:r>
            <w:r w:rsidR="005C460E">
              <w:rPr>
                <w:sz w:val="22"/>
                <w:szCs w:val="22"/>
                <w:lang w:val="sk-SK" w:eastAsia="ko-KR"/>
              </w:rPr>
              <w:t>z</w:t>
            </w:r>
            <w:r>
              <w:rPr>
                <w:sz w:val="22"/>
                <w:szCs w:val="22"/>
                <w:lang w:val="sk-SK" w:eastAsia="ko-KR"/>
              </w:rPr>
              <w:t>utizmus</w:t>
            </w:r>
            <w:proofErr w:type="spellEnd"/>
          </w:p>
        </w:tc>
        <w:tc>
          <w:tcPr>
            <w:tcW w:w="1715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lang w:val="sk-SK" w:eastAsia="ko-KR"/>
              </w:rPr>
            </w:pPr>
            <w:r>
              <w:rPr>
                <w:sz w:val="22"/>
                <w:szCs w:val="22"/>
                <w:lang w:val="sk-SK" w:eastAsia="ko-KR"/>
              </w:rPr>
              <w:t xml:space="preserve">Získaná </w:t>
            </w:r>
            <w:proofErr w:type="spellStart"/>
            <w:r>
              <w:rPr>
                <w:sz w:val="22"/>
                <w:szCs w:val="22"/>
                <w:lang w:val="sk-SK" w:eastAsia="ko-KR"/>
              </w:rPr>
              <w:t>lipodystrofia</w:t>
            </w:r>
            <w:proofErr w:type="spellEnd"/>
            <w:r>
              <w:rPr>
                <w:sz w:val="22"/>
                <w:szCs w:val="22"/>
                <w:lang w:val="sk-SK" w:eastAsia="ko-KR"/>
              </w:rPr>
              <w:t>*, vyrážka</w:t>
            </w:r>
          </w:p>
        </w:tc>
      </w:tr>
      <w:tr w:rsidR="00014F1F">
        <w:trPr>
          <w:cantSplit/>
        </w:trPr>
        <w:tc>
          <w:tcPr>
            <w:tcW w:w="2127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b/>
                <w:lang w:val="sk-SK" w:eastAsia="ko-KR"/>
              </w:rPr>
            </w:pPr>
            <w:r>
              <w:rPr>
                <w:b/>
                <w:sz w:val="22"/>
                <w:szCs w:val="22"/>
                <w:lang w:val="sk-SK" w:eastAsia="ko-KR"/>
              </w:rPr>
              <w:t>Poruchy reprodukčného systému a prsníkov</w:t>
            </w:r>
          </w:p>
        </w:tc>
        <w:tc>
          <w:tcPr>
            <w:tcW w:w="1671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lang w:val="sk-SK" w:eastAsia="ko-KR"/>
              </w:rPr>
            </w:pPr>
            <w:r>
              <w:rPr>
                <w:sz w:val="22"/>
                <w:szCs w:val="22"/>
                <w:lang w:val="sk-SK"/>
              </w:rPr>
              <w:t>Dysfunkčné krvácanie z</w:t>
            </w:r>
            <w:r w:rsidR="009A572D">
              <w:rPr>
                <w:sz w:val="22"/>
                <w:szCs w:val="22"/>
                <w:lang w:val="sk-SK"/>
              </w:rPr>
              <w:t> </w:t>
            </w:r>
            <w:r>
              <w:rPr>
                <w:sz w:val="22"/>
                <w:szCs w:val="22"/>
                <w:lang w:val="sk-SK"/>
              </w:rPr>
              <w:t>maternice (nepravidelné, zvýšené, znížené, špinenie)</w:t>
            </w:r>
          </w:p>
        </w:tc>
        <w:tc>
          <w:tcPr>
            <w:tcW w:w="1882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i/>
                <w:u w:val="single"/>
                <w:lang w:val="sk-SK" w:eastAsia="ko-KR"/>
              </w:rPr>
            </w:pPr>
            <w:proofErr w:type="spellStart"/>
            <w:r>
              <w:rPr>
                <w:sz w:val="22"/>
                <w:szCs w:val="22"/>
                <w:lang w:val="sk-SK" w:eastAsia="ko-KR"/>
              </w:rPr>
              <w:t>Cervikálny</w:t>
            </w:r>
            <w:proofErr w:type="spellEnd"/>
            <w:r>
              <w:rPr>
                <w:sz w:val="22"/>
                <w:szCs w:val="22"/>
                <w:lang w:val="sk-SK" w:eastAsia="ko-KR"/>
              </w:rPr>
              <w:t xml:space="preserve"> výtok, bolesť prsníkov, citlivosť prsníkov</w:t>
            </w:r>
          </w:p>
        </w:tc>
        <w:tc>
          <w:tcPr>
            <w:tcW w:w="1882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i/>
                <w:u w:val="single"/>
                <w:lang w:val="sk-SK" w:eastAsia="ko-KR"/>
              </w:rPr>
            </w:pPr>
            <w:proofErr w:type="spellStart"/>
            <w:r>
              <w:rPr>
                <w:sz w:val="22"/>
                <w:szCs w:val="22"/>
                <w:lang w:val="sk-SK" w:eastAsia="ko-KR"/>
              </w:rPr>
              <w:t>Galaktorea</w:t>
            </w:r>
            <w:proofErr w:type="spellEnd"/>
          </w:p>
        </w:tc>
        <w:tc>
          <w:tcPr>
            <w:tcW w:w="1715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i/>
                <w:u w:val="single"/>
                <w:lang w:val="sk-SK" w:eastAsia="ko-KR"/>
              </w:rPr>
            </w:pPr>
            <w:proofErr w:type="spellStart"/>
            <w:r>
              <w:rPr>
                <w:sz w:val="22"/>
                <w:szCs w:val="22"/>
                <w:lang w:val="sk-SK" w:eastAsia="ko-KR"/>
              </w:rPr>
              <w:t>Amenorea</w:t>
            </w:r>
            <w:proofErr w:type="spellEnd"/>
            <w:r>
              <w:rPr>
                <w:sz w:val="22"/>
                <w:szCs w:val="22"/>
                <w:lang w:val="sk-SK" w:eastAsia="ko-KR"/>
              </w:rPr>
              <w:t xml:space="preserve">, </w:t>
            </w:r>
            <w:r>
              <w:rPr>
                <w:sz w:val="22"/>
                <w:szCs w:val="22"/>
                <w:lang w:val="sk-SK"/>
              </w:rPr>
              <w:t>erózia krčka maternice</w:t>
            </w:r>
          </w:p>
        </w:tc>
      </w:tr>
      <w:tr w:rsidR="00014F1F">
        <w:trPr>
          <w:cantSplit/>
        </w:trPr>
        <w:tc>
          <w:tcPr>
            <w:tcW w:w="2127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b/>
                <w:lang w:val="sk-SK" w:eastAsia="ko-KR"/>
              </w:rPr>
            </w:pPr>
            <w:r>
              <w:rPr>
                <w:b/>
                <w:sz w:val="22"/>
                <w:szCs w:val="22"/>
                <w:lang w:val="sk-SK" w:eastAsia="ko-KR"/>
              </w:rPr>
              <w:t>Celkové poruchy a reakcie v mieste podania</w:t>
            </w:r>
          </w:p>
        </w:tc>
        <w:tc>
          <w:tcPr>
            <w:tcW w:w="1671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lang w:val="sk-SK" w:eastAsia="ko-KR"/>
              </w:rPr>
            </w:pPr>
          </w:p>
        </w:tc>
        <w:tc>
          <w:tcPr>
            <w:tcW w:w="1882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lang w:val="sk-SK" w:eastAsia="ko-KR"/>
              </w:rPr>
            </w:pPr>
            <w:proofErr w:type="spellStart"/>
            <w:r>
              <w:rPr>
                <w:sz w:val="22"/>
                <w:szCs w:val="22"/>
                <w:lang w:val="sk-SK" w:eastAsia="ko-KR"/>
              </w:rPr>
              <w:t>Pyrexia</w:t>
            </w:r>
            <w:proofErr w:type="spellEnd"/>
            <w:r>
              <w:rPr>
                <w:sz w:val="22"/>
                <w:szCs w:val="22"/>
                <w:lang w:val="sk-SK" w:eastAsia="ko-KR"/>
              </w:rPr>
              <w:t>, únava</w:t>
            </w:r>
          </w:p>
        </w:tc>
        <w:tc>
          <w:tcPr>
            <w:tcW w:w="1882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i/>
                <w:u w:val="single"/>
                <w:lang w:val="sk-SK" w:eastAsia="ko-KR"/>
              </w:rPr>
            </w:pPr>
            <w:r>
              <w:rPr>
                <w:sz w:val="22"/>
                <w:szCs w:val="22"/>
                <w:lang w:val="sk-SK" w:eastAsia="ko-KR"/>
              </w:rPr>
              <w:t>Edém, zadržiavanie tekutín</w:t>
            </w:r>
          </w:p>
        </w:tc>
        <w:tc>
          <w:tcPr>
            <w:tcW w:w="1715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lang w:val="sk-SK" w:eastAsia="ko-KR"/>
              </w:rPr>
            </w:pPr>
          </w:p>
        </w:tc>
      </w:tr>
      <w:tr w:rsidR="00014F1F" w:rsidRPr="00D67B1B">
        <w:trPr>
          <w:cantSplit/>
        </w:trPr>
        <w:tc>
          <w:tcPr>
            <w:tcW w:w="2127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b/>
                <w:lang w:val="sk-SK" w:eastAsia="ko-KR"/>
              </w:rPr>
            </w:pPr>
            <w:r>
              <w:rPr>
                <w:b/>
                <w:sz w:val="22"/>
                <w:szCs w:val="22"/>
                <w:lang w:val="sk-SK" w:eastAsia="ko-KR"/>
              </w:rPr>
              <w:t>Laboratórne a funkčné vyšetrenia</w:t>
            </w:r>
          </w:p>
        </w:tc>
        <w:tc>
          <w:tcPr>
            <w:tcW w:w="1671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lang w:val="sk-SK" w:eastAsia="ko-KR"/>
              </w:rPr>
            </w:pPr>
          </w:p>
        </w:tc>
        <w:tc>
          <w:tcPr>
            <w:tcW w:w="1882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lang w:val="sk-SK" w:eastAsia="ko-KR"/>
              </w:rPr>
            </w:pPr>
            <w:r>
              <w:rPr>
                <w:sz w:val="22"/>
                <w:szCs w:val="22"/>
                <w:lang w:val="sk-SK" w:eastAsia="ko-KR"/>
              </w:rPr>
              <w:t>Zvýšenie telesnej hmotnosti</w:t>
            </w:r>
          </w:p>
        </w:tc>
        <w:tc>
          <w:tcPr>
            <w:tcW w:w="1882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i/>
                <w:u w:val="single"/>
                <w:lang w:val="sk-SK" w:eastAsia="ko-KR"/>
              </w:rPr>
            </w:pPr>
          </w:p>
        </w:tc>
        <w:tc>
          <w:tcPr>
            <w:tcW w:w="1715" w:type="dxa"/>
          </w:tcPr>
          <w:p w:rsidR="00014F1F" w:rsidRDefault="00014F1F">
            <w:pPr>
              <w:autoSpaceDE w:val="0"/>
              <w:autoSpaceDN w:val="0"/>
              <w:adjustRightInd w:val="0"/>
              <w:rPr>
                <w:i/>
                <w:u w:val="single"/>
                <w:lang w:val="sk-SK" w:eastAsia="ko-KR"/>
              </w:rPr>
            </w:pPr>
            <w:r>
              <w:rPr>
                <w:sz w:val="22"/>
                <w:szCs w:val="22"/>
                <w:lang w:val="sk-SK"/>
              </w:rPr>
              <w:t>Znížená glukózová tolerancia</w:t>
            </w:r>
            <w:r>
              <w:rPr>
                <w:sz w:val="22"/>
                <w:szCs w:val="22"/>
                <w:lang w:val="sk-SK" w:eastAsia="ko-KR"/>
              </w:rPr>
              <w:t xml:space="preserve">, </w:t>
            </w:r>
            <w:r w:rsidR="00000244" w:rsidRPr="00DA1189">
              <w:rPr>
                <w:sz w:val="22"/>
                <w:szCs w:val="22"/>
                <w:lang w:val="sk-SK" w:eastAsia="ko-KR"/>
              </w:rPr>
              <w:t>z</w:t>
            </w:r>
            <w:r w:rsidRPr="00DA1189">
              <w:rPr>
                <w:sz w:val="22"/>
                <w:szCs w:val="22"/>
                <w:lang w:val="sk-SK" w:eastAsia="ko-KR"/>
              </w:rPr>
              <w:t>níženie</w:t>
            </w:r>
            <w:r>
              <w:rPr>
                <w:sz w:val="22"/>
                <w:szCs w:val="22"/>
                <w:lang w:val="sk-SK" w:eastAsia="ko-KR"/>
              </w:rPr>
              <w:t xml:space="preserve"> telesnej hmotnosti</w:t>
            </w:r>
          </w:p>
        </w:tc>
      </w:tr>
      <w:tr w:rsidR="00014F1F" w:rsidRPr="00D67B1B">
        <w:trPr>
          <w:cantSplit/>
        </w:trPr>
        <w:tc>
          <w:tcPr>
            <w:tcW w:w="9277" w:type="dxa"/>
            <w:gridSpan w:val="5"/>
            <w:tcBorders>
              <w:bottom w:val="single" w:sz="4" w:space="0" w:color="000000"/>
            </w:tcBorders>
          </w:tcPr>
          <w:p w:rsidR="00014F1F" w:rsidRDefault="00014F1F" w:rsidP="00882757">
            <w:pPr>
              <w:autoSpaceDE w:val="0"/>
              <w:autoSpaceDN w:val="0"/>
              <w:adjustRightInd w:val="0"/>
              <w:rPr>
                <w:lang w:val="sk-SK" w:eastAsia="ko-KR"/>
              </w:rPr>
            </w:pPr>
            <w:r>
              <w:rPr>
                <w:sz w:val="22"/>
                <w:szCs w:val="22"/>
                <w:lang w:val="sk-SK" w:eastAsia="ko-KR"/>
              </w:rPr>
              <w:t>*</w:t>
            </w:r>
            <w:r w:rsidR="00F358D2">
              <w:rPr>
                <w:sz w:val="22"/>
                <w:szCs w:val="22"/>
                <w:lang w:val="sk-SK"/>
              </w:rPr>
              <w:t>Nežiaduci účinok</w:t>
            </w:r>
            <w:r>
              <w:rPr>
                <w:sz w:val="22"/>
                <w:szCs w:val="22"/>
                <w:lang w:val="sk-SK" w:eastAsia="ko-KR"/>
              </w:rPr>
              <w:t xml:space="preserve"> identifikovan</w:t>
            </w:r>
            <w:r w:rsidR="00F358D2">
              <w:rPr>
                <w:sz w:val="22"/>
                <w:szCs w:val="22"/>
                <w:lang w:val="sk-SK" w:eastAsia="ko-KR"/>
              </w:rPr>
              <w:t>ý</w:t>
            </w:r>
            <w:r>
              <w:rPr>
                <w:sz w:val="22"/>
                <w:szCs w:val="22"/>
                <w:lang w:val="sk-SK" w:eastAsia="ko-KR"/>
              </w:rPr>
              <w:t xml:space="preserve"> po uvedení lieku na trh</w:t>
            </w:r>
          </w:p>
        </w:tc>
      </w:tr>
    </w:tbl>
    <w:p w:rsidR="00014F1F" w:rsidRDefault="00014F1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14F1F" w:rsidRDefault="00014F1F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>
        <w:rPr>
          <w:noProof/>
          <w:sz w:val="22"/>
          <w:szCs w:val="22"/>
          <w:u w:val="single"/>
          <w:lang w:val="sk-SK"/>
        </w:rPr>
        <w:t>Hlásenie podozrení na nežiaduce reakcie</w:t>
      </w:r>
    </w:p>
    <w:p w:rsidR="00014F1F" w:rsidRDefault="00014F1F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Hlásenie podozrení na nežiaduce reakcie po registrácii lieku je dôležité. Umožňuje priebežné monitorovanie pomeru prínosu</w:t>
      </w:r>
      <w:r>
        <w:rPr>
          <w:sz w:val="22"/>
          <w:szCs w:val="22"/>
          <w:lang w:val="sk-SK"/>
        </w:rPr>
        <w:t xml:space="preserve"> a</w:t>
      </w:r>
      <w:r>
        <w:rPr>
          <w:noProof/>
          <w:sz w:val="22"/>
          <w:szCs w:val="22"/>
          <w:lang w:val="sk-SK"/>
        </w:rPr>
        <w:t xml:space="preserve"> rizika lieku. </w:t>
      </w:r>
      <w:r>
        <w:rPr>
          <w:sz w:val="22"/>
          <w:szCs w:val="22"/>
          <w:lang w:val="sk-SK"/>
        </w:rPr>
        <w:t xml:space="preserve">Od </w:t>
      </w:r>
      <w:r>
        <w:rPr>
          <w:noProof/>
          <w:sz w:val="22"/>
          <w:szCs w:val="22"/>
          <w:lang w:val="sk-SK"/>
        </w:rPr>
        <w:t>zdravotníckych pracovníkov sa vyžaduje, aby hlásili akékoľvek podozrenia na nežiaduce reakcie</w:t>
      </w:r>
      <w:r w:rsidR="00A4321D">
        <w:rPr>
          <w:noProof/>
          <w:sz w:val="22"/>
          <w:szCs w:val="22"/>
          <w:lang w:val="sk-SK"/>
        </w:rPr>
        <w:t xml:space="preserve"> na</w:t>
      </w:r>
      <w:r>
        <w:rPr>
          <w:noProof/>
          <w:sz w:val="22"/>
          <w:szCs w:val="22"/>
          <w:lang w:val="sk-SK"/>
        </w:rPr>
        <w:t xml:space="preserve"> </w:t>
      </w:r>
      <w:r>
        <w:rPr>
          <w:noProof/>
          <w:sz w:val="22"/>
          <w:szCs w:val="22"/>
          <w:highlight w:val="lightGray"/>
          <w:lang w:val="sk-SK"/>
        </w:rPr>
        <w:t xml:space="preserve"> národné </w:t>
      </w:r>
      <w:r w:rsidR="00A4321D">
        <w:rPr>
          <w:noProof/>
          <w:sz w:val="22"/>
          <w:szCs w:val="22"/>
          <w:highlight w:val="lightGray"/>
          <w:lang w:val="sk-SK"/>
        </w:rPr>
        <w:t>centrum</w:t>
      </w:r>
      <w:r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8" w:history="1">
        <w:r>
          <w:rPr>
            <w:rStyle w:val="Hypertextovprepojenie"/>
            <w:noProof/>
            <w:sz w:val="22"/>
            <w:szCs w:val="22"/>
            <w:highlight w:val="lightGray"/>
            <w:lang w:val="sk-SK"/>
          </w:rPr>
          <w:t>P</w:t>
        </w:r>
        <w:proofErr w:type="spellStart"/>
        <w:r>
          <w:rPr>
            <w:rStyle w:val="Hypertextovprepojenie"/>
            <w:sz w:val="22"/>
            <w:highlight w:val="lightGray"/>
            <w:lang w:val="sk-SK"/>
          </w:rPr>
          <w:t>rílohe</w:t>
        </w:r>
        <w:proofErr w:type="spellEnd"/>
        <w:r>
          <w:rPr>
            <w:rStyle w:val="Hypertextovprepojenie"/>
            <w:sz w:val="22"/>
            <w:szCs w:val="22"/>
            <w:highlight w:val="lightGray"/>
            <w:lang w:val="sk-SK"/>
          </w:rPr>
          <w:t xml:space="preserve"> </w:t>
        </w:r>
        <w:r>
          <w:rPr>
            <w:rStyle w:val="Hypertextovprepojenie"/>
            <w:noProof/>
            <w:sz w:val="22"/>
            <w:szCs w:val="22"/>
            <w:highlight w:val="lightGray"/>
            <w:lang w:val="sk-SK"/>
          </w:rPr>
          <w:t>V</w:t>
        </w:r>
      </w:hyperlink>
      <w:r>
        <w:rPr>
          <w:noProof/>
          <w:sz w:val="22"/>
          <w:szCs w:val="22"/>
          <w:highlight w:val="lightGray"/>
          <w:lang w:val="sk-SK"/>
        </w:rPr>
        <w:t>.</w:t>
      </w:r>
    </w:p>
    <w:p w:rsidR="00014F1F" w:rsidRDefault="00014F1F">
      <w:pPr>
        <w:rPr>
          <w:sz w:val="22"/>
          <w:szCs w:val="22"/>
          <w:lang w:val="sk-SK"/>
        </w:rPr>
      </w:pPr>
    </w:p>
    <w:p w:rsidR="00014F1F" w:rsidRDefault="00014F1F">
      <w:pPr>
        <w:tabs>
          <w:tab w:val="left" w:pos="567"/>
        </w:tabs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4.9</w:t>
      </w:r>
      <w:r>
        <w:rPr>
          <w:b/>
          <w:sz w:val="22"/>
          <w:szCs w:val="22"/>
          <w:lang w:val="sk-SK"/>
        </w:rPr>
        <w:tab/>
        <w:t>Predávkovanie</w:t>
      </w:r>
    </w:p>
    <w:p w:rsidR="00014F1F" w:rsidRDefault="00014F1F">
      <w:pPr>
        <w:rPr>
          <w:sz w:val="22"/>
          <w:szCs w:val="22"/>
          <w:lang w:val="sk-SK"/>
        </w:rPr>
      </w:pPr>
    </w:p>
    <w:p w:rsidR="00014F1F" w:rsidRDefault="00014F1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Perorálne dávky až do 3 g denne boli dobre tolerované. Liečba predávkovania je symptomatická a podporná.</w:t>
      </w:r>
    </w:p>
    <w:p w:rsidR="00014F1F" w:rsidRDefault="00014F1F">
      <w:pPr>
        <w:rPr>
          <w:sz w:val="22"/>
          <w:szCs w:val="22"/>
          <w:lang w:val="sk-SK"/>
        </w:rPr>
      </w:pPr>
    </w:p>
    <w:p w:rsidR="00014F1F" w:rsidRDefault="00014F1F">
      <w:pPr>
        <w:rPr>
          <w:sz w:val="22"/>
          <w:szCs w:val="22"/>
          <w:lang w:val="sk-SK"/>
        </w:rPr>
      </w:pPr>
    </w:p>
    <w:p w:rsidR="00014F1F" w:rsidRDefault="00014F1F">
      <w:pPr>
        <w:tabs>
          <w:tab w:val="left" w:pos="0"/>
          <w:tab w:val="left" w:pos="567"/>
        </w:tabs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5.</w:t>
      </w:r>
      <w:r>
        <w:rPr>
          <w:b/>
          <w:sz w:val="22"/>
          <w:szCs w:val="22"/>
          <w:lang w:val="sk-SK"/>
        </w:rPr>
        <w:tab/>
        <w:t>FARMAKOLOGICKÉ VLASTNOSTI</w:t>
      </w:r>
    </w:p>
    <w:p w:rsidR="00014F1F" w:rsidRDefault="00014F1F">
      <w:pPr>
        <w:tabs>
          <w:tab w:val="left" w:pos="720"/>
        </w:tabs>
        <w:rPr>
          <w:b/>
          <w:sz w:val="22"/>
          <w:szCs w:val="22"/>
          <w:lang w:val="sk-SK"/>
        </w:rPr>
      </w:pPr>
    </w:p>
    <w:p w:rsidR="00014F1F" w:rsidRDefault="00014F1F">
      <w:pPr>
        <w:tabs>
          <w:tab w:val="left" w:pos="567"/>
        </w:tabs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5.1</w:t>
      </w:r>
      <w:r>
        <w:rPr>
          <w:b/>
          <w:sz w:val="22"/>
          <w:szCs w:val="22"/>
          <w:lang w:val="sk-SK"/>
        </w:rPr>
        <w:tab/>
      </w:r>
      <w:proofErr w:type="spellStart"/>
      <w:r>
        <w:rPr>
          <w:b/>
          <w:sz w:val="22"/>
          <w:szCs w:val="22"/>
          <w:lang w:val="sk-SK"/>
        </w:rPr>
        <w:t>Farmakodynamické</w:t>
      </w:r>
      <w:proofErr w:type="spellEnd"/>
      <w:r>
        <w:rPr>
          <w:b/>
          <w:sz w:val="22"/>
          <w:szCs w:val="22"/>
          <w:lang w:val="sk-SK"/>
        </w:rPr>
        <w:t xml:space="preserve"> vlastnosti</w:t>
      </w:r>
    </w:p>
    <w:p w:rsidR="00014F1F" w:rsidRDefault="00014F1F">
      <w:pPr>
        <w:rPr>
          <w:sz w:val="22"/>
          <w:szCs w:val="22"/>
          <w:lang w:val="sk-SK"/>
        </w:rPr>
      </w:pPr>
    </w:p>
    <w:p w:rsidR="00014F1F" w:rsidRDefault="00014F1F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Farmakoterapeutická</w:t>
      </w:r>
      <w:proofErr w:type="spellEnd"/>
      <w:r>
        <w:rPr>
          <w:sz w:val="22"/>
          <w:szCs w:val="22"/>
          <w:lang w:val="sk-SK"/>
        </w:rPr>
        <w:t xml:space="preserve"> skupina: Pohlavné hormóny a modulátory genitálneho systému, </w:t>
      </w:r>
      <w:proofErr w:type="spellStart"/>
      <w:r>
        <w:rPr>
          <w:sz w:val="22"/>
          <w:szCs w:val="22"/>
          <w:lang w:val="sk-SK"/>
        </w:rPr>
        <w:t>gestagény</w:t>
      </w:r>
      <w:proofErr w:type="spellEnd"/>
      <w:r>
        <w:rPr>
          <w:sz w:val="22"/>
          <w:szCs w:val="22"/>
          <w:lang w:val="sk-SK"/>
        </w:rPr>
        <w:t xml:space="preserve">, deriváty </w:t>
      </w:r>
      <w:proofErr w:type="spellStart"/>
      <w:r>
        <w:rPr>
          <w:sz w:val="22"/>
          <w:szCs w:val="22"/>
          <w:lang w:val="sk-SK"/>
        </w:rPr>
        <w:t>pregnénu</w:t>
      </w:r>
      <w:proofErr w:type="spellEnd"/>
      <w:r w:rsidR="00960250">
        <w:rPr>
          <w:sz w:val="22"/>
          <w:szCs w:val="22"/>
          <w:lang w:val="sk-SK"/>
        </w:rPr>
        <w:t xml:space="preserve">, </w:t>
      </w:r>
      <w:r>
        <w:rPr>
          <w:sz w:val="22"/>
          <w:szCs w:val="22"/>
          <w:lang w:val="sk-SK"/>
        </w:rPr>
        <w:t>ATC kód: G03DA02</w:t>
      </w:r>
    </w:p>
    <w:p w:rsidR="00014F1F" w:rsidRDefault="00014F1F">
      <w:pPr>
        <w:rPr>
          <w:sz w:val="22"/>
          <w:szCs w:val="22"/>
          <w:lang w:val="sk-SK"/>
        </w:rPr>
      </w:pPr>
    </w:p>
    <w:p w:rsidR="00014F1F" w:rsidRDefault="00014F1F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Medroxyprogesterónacetát</w:t>
      </w:r>
      <w:proofErr w:type="spellEnd"/>
      <w:r>
        <w:rPr>
          <w:sz w:val="22"/>
          <w:szCs w:val="22"/>
          <w:lang w:val="sk-SK"/>
        </w:rPr>
        <w:t xml:space="preserve"> (17a-hydroxy-6a-metylprogesterónacetát) je derivátom </w:t>
      </w:r>
      <w:proofErr w:type="spellStart"/>
      <w:r>
        <w:rPr>
          <w:sz w:val="22"/>
          <w:szCs w:val="22"/>
          <w:lang w:val="sk-SK"/>
        </w:rPr>
        <w:t>progesterónu</w:t>
      </w:r>
      <w:proofErr w:type="spellEnd"/>
      <w:r>
        <w:rPr>
          <w:sz w:val="22"/>
          <w:szCs w:val="22"/>
          <w:lang w:val="sk-SK"/>
        </w:rPr>
        <w:t>.</w:t>
      </w:r>
    </w:p>
    <w:p w:rsidR="00014F1F" w:rsidRDefault="00014F1F">
      <w:pPr>
        <w:rPr>
          <w:sz w:val="22"/>
          <w:szCs w:val="22"/>
          <w:lang w:val="sk-SK"/>
        </w:rPr>
      </w:pPr>
    </w:p>
    <w:p w:rsidR="00014F1F" w:rsidRDefault="00014F1F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Mechanizmus účinku</w:t>
      </w:r>
    </w:p>
    <w:p w:rsidR="00014F1F" w:rsidRDefault="00014F1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MPA je syntetický </w:t>
      </w:r>
      <w:proofErr w:type="spellStart"/>
      <w:r>
        <w:rPr>
          <w:sz w:val="22"/>
          <w:szCs w:val="22"/>
          <w:lang w:val="sk-SK"/>
        </w:rPr>
        <w:t>progestín</w:t>
      </w:r>
      <w:proofErr w:type="spellEnd"/>
      <w:r>
        <w:rPr>
          <w:sz w:val="22"/>
          <w:szCs w:val="22"/>
          <w:lang w:val="sk-SK"/>
        </w:rPr>
        <w:t xml:space="preserve"> (štrukturálne príbuzný endogénnemu hormónu </w:t>
      </w:r>
      <w:proofErr w:type="spellStart"/>
      <w:r>
        <w:rPr>
          <w:sz w:val="22"/>
          <w:szCs w:val="22"/>
          <w:lang w:val="sk-SK"/>
        </w:rPr>
        <w:t>progesterónu</w:t>
      </w:r>
      <w:proofErr w:type="spellEnd"/>
      <w:r>
        <w:rPr>
          <w:sz w:val="22"/>
          <w:szCs w:val="22"/>
          <w:lang w:val="sk-SK"/>
        </w:rPr>
        <w:t>), o ktorom sa preukázalo, že má niekoľko farmakologických účinkov na endokrinný systém:</w:t>
      </w:r>
    </w:p>
    <w:p w:rsidR="00014F1F" w:rsidRDefault="00014F1F">
      <w:pPr>
        <w:numPr>
          <w:ilvl w:val="1"/>
          <w:numId w:val="7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Inhibícia </w:t>
      </w:r>
      <w:proofErr w:type="spellStart"/>
      <w:r>
        <w:rPr>
          <w:sz w:val="22"/>
          <w:szCs w:val="22"/>
          <w:lang w:val="sk-SK"/>
        </w:rPr>
        <w:t>hypofýzových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gonadotropínov</w:t>
      </w:r>
      <w:proofErr w:type="spellEnd"/>
      <w:r>
        <w:rPr>
          <w:sz w:val="22"/>
          <w:szCs w:val="22"/>
          <w:lang w:val="sk-SK"/>
        </w:rPr>
        <w:t xml:space="preserve"> (FSH a LH);</w:t>
      </w:r>
    </w:p>
    <w:p w:rsidR="00014F1F" w:rsidRDefault="00014F1F">
      <w:pPr>
        <w:numPr>
          <w:ilvl w:val="1"/>
          <w:numId w:val="7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Zníženie hladiny ACTH a </w:t>
      </w:r>
      <w:proofErr w:type="spellStart"/>
      <w:r>
        <w:rPr>
          <w:sz w:val="22"/>
          <w:szCs w:val="22"/>
          <w:lang w:val="sk-SK"/>
        </w:rPr>
        <w:t>hydrokortizónu</w:t>
      </w:r>
      <w:proofErr w:type="spellEnd"/>
      <w:r>
        <w:rPr>
          <w:sz w:val="22"/>
          <w:szCs w:val="22"/>
          <w:lang w:val="sk-SK"/>
        </w:rPr>
        <w:t xml:space="preserve"> v krvi;</w:t>
      </w:r>
    </w:p>
    <w:p w:rsidR="00014F1F" w:rsidRDefault="00014F1F">
      <w:pPr>
        <w:numPr>
          <w:ilvl w:val="1"/>
          <w:numId w:val="7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Zníženie cirkulujúceho </w:t>
      </w:r>
      <w:proofErr w:type="spellStart"/>
      <w:r>
        <w:rPr>
          <w:sz w:val="22"/>
          <w:szCs w:val="22"/>
          <w:lang w:val="sk-SK"/>
        </w:rPr>
        <w:t>testosterónu</w:t>
      </w:r>
      <w:proofErr w:type="spellEnd"/>
      <w:r>
        <w:rPr>
          <w:sz w:val="22"/>
          <w:szCs w:val="22"/>
          <w:lang w:val="sk-SK"/>
        </w:rPr>
        <w:t>;</w:t>
      </w:r>
    </w:p>
    <w:p w:rsidR="00014F1F" w:rsidRDefault="00014F1F">
      <w:pPr>
        <w:numPr>
          <w:ilvl w:val="1"/>
          <w:numId w:val="7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Zníženie hladín cirkulujúcich estrogénov (ako výsledok inhibície FSH a enzymatickej indukcie pečeňovej </w:t>
      </w:r>
      <w:proofErr w:type="spellStart"/>
      <w:r>
        <w:rPr>
          <w:sz w:val="22"/>
          <w:szCs w:val="22"/>
          <w:lang w:val="sk-SK"/>
        </w:rPr>
        <w:t>reduktázy</w:t>
      </w:r>
      <w:proofErr w:type="spellEnd"/>
      <w:r>
        <w:rPr>
          <w:sz w:val="22"/>
          <w:szCs w:val="22"/>
          <w:lang w:val="sk-SK"/>
        </w:rPr>
        <w:t xml:space="preserve">, čo má za následok zvýšený </w:t>
      </w:r>
      <w:proofErr w:type="spellStart"/>
      <w:r>
        <w:rPr>
          <w:sz w:val="22"/>
          <w:szCs w:val="22"/>
          <w:lang w:val="sk-SK"/>
        </w:rPr>
        <w:t>klírens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testosterónu</w:t>
      </w:r>
      <w:proofErr w:type="spellEnd"/>
      <w:r>
        <w:rPr>
          <w:sz w:val="22"/>
          <w:szCs w:val="22"/>
          <w:lang w:val="sk-SK"/>
        </w:rPr>
        <w:t xml:space="preserve"> a následné zníženie konverzie </w:t>
      </w:r>
      <w:proofErr w:type="spellStart"/>
      <w:r>
        <w:rPr>
          <w:sz w:val="22"/>
          <w:szCs w:val="22"/>
          <w:lang w:val="sk-SK"/>
        </w:rPr>
        <w:t>androgénov</w:t>
      </w:r>
      <w:proofErr w:type="spellEnd"/>
      <w:r>
        <w:rPr>
          <w:sz w:val="22"/>
          <w:szCs w:val="22"/>
          <w:lang w:val="sk-SK"/>
        </w:rPr>
        <w:t xml:space="preserve"> na estrogény).</w:t>
      </w:r>
    </w:p>
    <w:p w:rsidR="00014F1F" w:rsidRDefault="00014F1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Všetky tieto účinky majú za následok rad farmakologických účinkov uvedených nižšie.</w:t>
      </w:r>
    </w:p>
    <w:p w:rsidR="00014F1F" w:rsidRDefault="00014F1F">
      <w:pPr>
        <w:rPr>
          <w:sz w:val="22"/>
          <w:szCs w:val="22"/>
          <w:lang w:val="sk-SK"/>
        </w:rPr>
      </w:pPr>
    </w:p>
    <w:p w:rsidR="00014F1F" w:rsidRDefault="00014F1F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Medroxyprogesterónacetát</w:t>
      </w:r>
      <w:proofErr w:type="spellEnd"/>
      <w:r>
        <w:rPr>
          <w:sz w:val="22"/>
          <w:szCs w:val="22"/>
          <w:lang w:val="sk-SK"/>
        </w:rPr>
        <w:t xml:space="preserve"> (MPA), podávaný perorálne alebo </w:t>
      </w:r>
      <w:proofErr w:type="spellStart"/>
      <w:r>
        <w:rPr>
          <w:sz w:val="22"/>
          <w:szCs w:val="22"/>
          <w:lang w:val="sk-SK"/>
        </w:rPr>
        <w:t>parenterálne</w:t>
      </w:r>
      <w:proofErr w:type="spellEnd"/>
      <w:r>
        <w:rPr>
          <w:sz w:val="22"/>
          <w:szCs w:val="22"/>
          <w:lang w:val="sk-SK"/>
        </w:rPr>
        <w:t xml:space="preserve"> v odporúčaných dávkach ženám s dostatočným endogénnym estrogénom, premieňa </w:t>
      </w:r>
      <w:proofErr w:type="spellStart"/>
      <w:r>
        <w:rPr>
          <w:sz w:val="22"/>
          <w:szCs w:val="22"/>
          <w:lang w:val="sk-SK"/>
        </w:rPr>
        <w:t>proliferatívne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endometrium</w:t>
      </w:r>
      <w:proofErr w:type="spellEnd"/>
      <w:r>
        <w:rPr>
          <w:sz w:val="22"/>
          <w:szCs w:val="22"/>
          <w:lang w:val="sk-SK"/>
        </w:rPr>
        <w:t xml:space="preserve"> na sekrečné </w:t>
      </w:r>
      <w:proofErr w:type="spellStart"/>
      <w:r>
        <w:rPr>
          <w:sz w:val="22"/>
          <w:szCs w:val="22"/>
          <w:lang w:val="sk-SK"/>
        </w:rPr>
        <w:t>endometrium</w:t>
      </w:r>
      <w:proofErr w:type="spellEnd"/>
      <w:r>
        <w:rPr>
          <w:sz w:val="22"/>
          <w:szCs w:val="22"/>
          <w:lang w:val="sk-SK"/>
        </w:rPr>
        <w:t xml:space="preserve">. Zaznamenali sa </w:t>
      </w:r>
      <w:proofErr w:type="spellStart"/>
      <w:r>
        <w:rPr>
          <w:sz w:val="22"/>
          <w:szCs w:val="22"/>
          <w:lang w:val="sk-SK"/>
        </w:rPr>
        <w:t>androgénne</w:t>
      </w:r>
      <w:proofErr w:type="spellEnd"/>
      <w:r>
        <w:rPr>
          <w:sz w:val="22"/>
          <w:szCs w:val="22"/>
          <w:lang w:val="sk-SK"/>
        </w:rPr>
        <w:t xml:space="preserve"> a anabolické účinky, ale liečivu zrejme chýba významný </w:t>
      </w:r>
      <w:proofErr w:type="spellStart"/>
      <w:r>
        <w:rPr>
          <w:sz w:val="22"/>
          <w:szCs w:val="22"/>
          <w:lang w:val="sk-SK"/>
        </w:rPr>
        <w:t>estrogénny</w:t>
      </w:r>
      <w:proofErr w:type="spellEnd"/>
      <w:r>
        <w:rPr>
          <w:sz w:val="22"/>
          <w:szCs w:val="22"/>
          <w:lang w:val="sk-SK"/>
        </w:rPr>
        <w:t xml:space="preserve"> účinok. Kým </w:t>
      </w:r>
      <w:proofErr w:type="spellStart"/>
      <w:r>
        <w:rPr>
          <w:sz w:val="22"/>
          <w:szCs w:val="22"/>
          <w:lang w:val="sk-SK"/>
        </w:rPr>
        <w:t>parenterálne</w:t>
      </w:r>
      <w:proofErr w:type="spellEnd"/>
      <w:r>
        <w:rPr>
          <w:sz w:val="22"/>
          <w:szCs w:val="22"/>
          <w:lang w:val="sk-SK"/>
        </w:rPr>
        <w:t xml:space="preserve"> podávaný DMPA </w:t>
      </w:r>
      <w:proofErr w:type="spellStart"/>
      <w:r>
        <w:rPr>
          <w:sz w:val="22"/>
          <w:szCs w:val="22"/>
          <w:lang w:val="sk-SK"/>
        </w:rPr>
        <w:t>inhibuje</w:t>
      </w:r>
      <w:proofErr w:type="spellEnd"/>
      <w:r>
        <w:rPr>
          <w:sz w:val="22"/>
          <w:szCs w:val="22"/>
          <w:lang w:val="sk-SK"/>
        </w:rPr>
        <w:t xml:space="preserve"> produkciu </w:t>
      </w:r>
      <w:proofErr w:type="spellStart"/>
      <w:r>
        <w:rPr>
          <w:sz w:val="22"/>
          <w:szCs w:val="22"/>
          <w:lang w:val="sk-SK"/>
        </w:rPr>
        <w:t>gonadotropínu</w:t>
      </w:r>
      <w:proofErr w:type="spellEnd"/>
      <w:r>
        <w:rPr>
          <w:sz w:val="22"/>
          <w:szCs w:val="22"/>
          <w:lang w:val="sk-SK"/>
        </w:rPr>
        <w:t>, čo zabraňuje dozrievaniu folikulov a ovulácii, dostupné údaje naznačujú, že k tomu nedôjde, ak sa podávajú zvyčajne odporúčané perorálne dávky ako jednorazové denné dávky.</w:t>
      </w:r>
    </w:p>
    <w:p w:rsidR="009A572D" w:rsidRDefault="009A572D">
      <w:pPr>
        <w:rPr>
          <w:sz w:val="22"/>
          <w:szCs w:val="22"/>
          <w:lang w:val="sk-SK"/>
        </w:rPr>
      </w:pPr>
    </w:p>
    <w:p w:rsidR="00014F1F" w:rsidRDefault="00014F1F">
      <w:pPr>
        <w:rPr>
          <w:b/>
          <w:i/>
          <w:sz w:val="22"/>
          <w:szCs w:val="22"/>
          <w:lang w:val="sk-SK"/>
        </w:rPr>
      </w:pPr>
      <w:r>
        <w:rPr>
          <w:b/>
          <w:i/>
          <w:sz w:val="22"/>
          <w:szCs w:val="22"/>
          <w:lang w:val="sk-SK"/>
        </w:rPr>
        <w:t>Klinické štúdie</w:t>
      </w:r>
    </w:p>
    <w:p w:rsidR="00014F1F" w:rsidRDefault="00014F1F">
      <w:pPr>
        <w:rPr>
          <w:sz w:val="22"/>
          <w:szCs w:val="22"/>
          <w:lang w:val="sk-SK"/>
        </w:rPr>
      </w:pPr>
    </w:p>
    <w:p w:rsidR="00014F1F" w:rsidRDefault="00014F1F">
      <w:pPr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 xml:space="preserve">Štúdia WHI </w:t>
      </w:r>
      <w:r>
        <w:rPr>
          <w:bCs/>
          <w:sz w:val="22"/>
          <w:szCs w:val="22"/>
          <w:u w:val="single"/>
        </w:rPr>
        <w:t>(Women’s Health Initiative Study)</w:t>
      </w:r>
    </w:p>
    <w:p w:rsidR="00014F1F" w:rsidRDefault="00014F1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Do štúdie WHI CEE (0,625 mg)/MPA (2,5 mg) bolo zaradených 16 608 </w:t>
      </w:r>
      <w:proofErr w:type="spellStart"/>
      <w:r>
        <w:rPr>
          <w:sz w:val="22"/>
          <w:szCs w:val="22"/>
          <w:lang w:val="sk-SK"/>
        </w:rPr>
        <w:t>postmenopauzálnych</w:t>
      </w:r>
      <w:proofErr w:type="spellEnd"/>
      <w:r>
        <w:rPr>
          <w:sz w:val="22"/>
          <w:szCs w:val="22"/>
          <w:lang w:val="sk-SK"/>
        </w:rPr>
        <w:t xml:space="preserve"> žien vo veku 50 – 79 rokov s neporušenou maternicou na začiatku liečby na posúdenie rizík a prínosov kombinovanej liečby v porovnaní s </w:t>
      </w:r>
      <w:proofErr w:type="spellStart"/>
      <w:r>
        <w:rPr>
          <w:sz w:val="22"/>
          <w:szCs w:val="22"/>
          <w:lang w:val="sk-SK"/>
        </w:rPr>
        <w:t>placebom</w:t>
      </w:r>
      <w:proofErr w:type="spellEnd"/>
      <w:r>
        <w:rPr>
          <w:sz w:val="22"/>
          <w:szCs w:val="22"/>
          <w:lang w:val="sk-SK"/>
        </w:rPr>
        <w:t xml:space="preserve"> v prevencii niektorých chronických ochorení. Primárnym koncovým ukazovateľom bol výskyt koronárnej choroby srdca (nefatálny infarkt myokardu a úmrtie na koronárnu chorobu srdca) s invazívnym karcinómom prsníka, ktorý bol skúmaný ako hlavný nežiaduci výsledok. Štúdia bola predčasne ukončená po priemernej dobe sledovania 5,2 rokov (plánované trvanie 8,5 rokov), pretože v súlade s</w:t>
      </w:r>
      <w:r w:rsidR="009A572D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vopred definovaným pravidlom pre ukončenie štúdie, zvýšené riziko karcinómu prsníka a kardiovaskulárnych príhod prekročilo špecifické prínosy zahrnuté do „globálneho indexu“ (pozri časť 4.4 Osobitné upozornenia a opatrenia pri používaní, Karcinóm prsníka).</w:t>
      </w:r>
    </w:p>
    <w:p w:rsidR="00014F1F" w:rsidRDefault="00014F1F">
      <w:pPr>
        <w:rPr>
          <w:sz w:val="22"/>
          <w:szCs w:val="22"/>
          <w:lang w:val="sk-SK"/>
        </w:rPr>
      </w:pPr>
    </w:p>
    <w:p w:rsidR="00014F1F" w:rsidRDefault="00014F1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Kombinovaná liečba CEE/MPA zaznamenala výrazný pokles </w:t>
      </w:r>
      <w:proofErr w:type="spellStart"/>
      <w:r>
        <w:rPr>
          <w:sz w:val="22"/>
          <w:szCs w:val="22"/>
          <w:lang w:val="sk-SK"/>
        </w:rPr>
        <w:t>osteoporotických</w:t>
      </w:r>
      <w:proofErr w:type="spellEnd"/>
      <w:r>
        <w:rPr>
          <w:sz w:val="22"/>
          <w:szCs w:val="22"/>
          <w:lang w:val="sk-SK"/>
        </w:rPr>
        <w:t xml:space="preserve"> (23 %) a celkových (24 %) fraktúr.</w:t>
      </w:r>
    </w:p>
    <w:p w:rsidR="00014F1F" w:rsidRDefault="00014F1F">
      <w:pPr>
        <w:rPr>
          <w:sz w:val="22"/>
          <w:szCs w:val="22"/>
          <w:lang w:val="sk-SK"/>
        </w:rPr>
      </w:pPr>
    </w:p>
    <w:p w:rsidR="00014F1F" w:rsidRDefault="00014F1F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Štúdia MWS (</w:t>
      </w:r>
      <w:proofErr w:type="spellStart"/>
      <w:r>
        <w:rPr>
          <w:sz w:val="22"/>
          <w:szCs w:val="22"/>
          <w:u w:val="single"/>
          <w:lang w:val="sk-SK"/>
        </w:rPr>
        <w:t>Million</w:t>
      </w:r>
      <w:proofErr w:type="spellEnd"/>
      <w:r>
        <w:rPr>
          <w:sz w:val="22"/>
          <w:szCs w:val="22"/>
          <w:u w:val="single"/>
          <w:lang w:val="sk-SK"/>
        </w:rPr>
        <w:t xml:space="preserve"> </w:t>
      </w:r>
      <w:proofErr w:type="spellStart"/>
      <w:r>
        <w:rPr>
          <w:sz w:val="22"/>
          <w:szCs w:val="22"/>
          <w:u w:val="single"/>
          <w:lang w:val="sk-SK"/>
        </w:rPr>
        <w:t>Women</w:t>
      </w:r>
      <w:proofErr w:type="spellEnd"/>
      <w:r>
        <w:rPr>
          <w:sz w:val="22"/>
          <w:szCs w:val="22"/>
          <w:u w:val="single"/>
          <w:lang w:val="sk-SK"/>
        </w:rPr>
        <w:t xml:space="preserve"> Study)</w:t>
      </w:r>
    </w:p>
    <w:p w:rsidR="00014F1F" w:rsidRDefault="00014F1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Štúdia MWS bola </w:t>
      </w:r>
      <w:proofErr w:type="spellStart"/>
      <w:r>
        <w:rPr>
          <w:sz w:val="22"/>
          <w:szCs w:val="22"/>
          <w:lang w:val="sk-SK"/>
        </w:rPr>
        <w:t>prospektívna</w:t>
      </w:r>
      <w:proofErr w:type="spellEnd"/>
      <w:r>
        <w:rPr>
          <w:sz w:val="22"/>
          <w:szCs w:val="22"/>
          <w:lang w:val="sk-SK"/>
        </w:rPr>
        <w:t xml:space="preserve"> skupinová štúdia zahŕňajúca 1 084 110 žien v UK vo veku 50 – 64 rokov, z ktorých 828 923 s definovanou dobu od </w:t>
      </w:r>
      <w:proofErr w:type="spellStart"/>
      <w:r>
        <w:rPr>
          <w:sz w:val="22"/>
          <w:szCs w:val="22"/>
          <w:lang w:val="sk-SK"/>
        </w:rPr>
        <w:t>menopauzy</w:t>
      </w:r>
      <w:proofErr w:type="spellEnd"/>
      <w:r>
        <w:rPr>
          <w:sz w:val="22"/>
          <w:szCs w:val="22"/>
          <w:lang w:val="sk-SK"/>
        </w:rPr>
        <w:t xml:space="preserve"> bolo zaradených do</w:t>
      </w:r>
      <w:r w:rsidR="009A572D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 xml:space="preserve">hlavných analýz rizika karcinómu prsníka vo vzťahu k HT. Celkovo 50 % skúmanej populácie užívalo HT v určitom okamihu. Väčšina súčasných používateľov HT na začiatku štúdie udávala užívanie liekov obsahujúcich len estrogén (41 %) alebo kombinácie </w:t>
      </w:r>
      <w:proofErr w:type="spellStart"/>
      <w:r>
        <w:rPr>
          <w:sz w:val="22"/>
          <w:szCs w:val="22"/>
          <w:lang w:val="sk-SK"/>
        </w:rPr>
        <w:t>estrogén-progesterón</w:t>
      </w:r>
      <w:proofErr w:type="spellEnd"/>
      <w:r>
        <w:rPr>
          <w:sz w:val="22"/>
          <w:szCs w:val="22"/>
          <w:lang w:val="sk-SK"/>
        </w:rPr>
        <w:t xml:space="preserve"> (50 %). Priemerná doba sledovania bola 2,6 rokov pre analýzu výskytu karcinómu a 4,1 rokov pre analýzu úmrtnosti (pozri časť 4.4 Osobitné upozornenia a opatrenia pri používaní, Karcinóm prsníka).</w:t>
      </w:r>
    </w:p>
    <w:p w:rsidR="00014F1F" w:rsidRDefault="00014F1F">
      <w:pPr>
        <w:rPr>
          <w:sz w:val="22"/>
          <w:szCs w:val="22"/>
          <w:lang w:val="sk-SK"/>
        </w:rPr>
      </w:pPr>
    </w:p>
    <w:p w:rsidR="00014F1F" w:rsidRDefault="00014F1F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Štúdie skúmajúce srdce a náhrady estrogén/</w:t>
      </w:r>
      <w:proofErr w:type="spellStart"/>
      <w:r>
        <w:rPr>
          <w:sz w:val="22"/>
          <w:szCs w:val="22"/>
          <w:u w:val="single"/>
          <w:lang w:val="sk-SK"/>
        </w:rPr>
        <w:t>progesterón</w:t>
      </w:r>
      <w:proofErr w:type="spellEnd"/>
    </w:p>
    <w:p w:rsidR="00014F1F" w:rsidRDefault="00014F1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Štúdie HERS a HERS II boli dve </w:t>
      </w:r>
      <w:proofErr w:type="spellStart"/>
      <w:r>
        <w:rPr>
          <w:sz w:val="22"/>
          <w:szCs w:val="22"/>
          <w:lang w:val="sk-SK"/>
        </w:rPr>
        <w:t>randomizované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prospektívne</w:t>
      </w:r>
      <w:proofErr w:type="spellEnd"/>
      <w:r>
        <w:rPr>
          <w:sz w:val="22"/>
          <w:szCs w:val="22"/>
          <w:lang w:val="sk-SK"/>
        </w:rPr>
        <w:t xml:space="preserve">, sekundárne preventívne štúdie skúmajúce dlhodobé účinky perorálneho kontinuálneho užívania kombinácie CEE/MPA (0,625 mg CEE a 2,5 mg MPA) u žien po </w:t>
      </w:r>
      <w:proofErr w:type="spellStart"/>
      <w:r>
        <w:rPr>
          <w:sz w:val="22"/>
          <w:szCs w:val="22"/>
          <w:lang w:val="sk-SK"/>
        </w:rPr>
        <w:t>menopauze</w:t>
      </w:r>
      <w:proofErr w:type="spellEnd"/>
      <w:r>
        <w:rPr>
          <w:sz w:val="22"/>
          <w:szCs w:val="22"/>
          <w:lang w:val="sk-SK"/>
        </w:rPr>
        <w:t xml:space="preserve"> s koronárnou chorobou srdca (pozri časť 4.4 Osobitné upozornenia a opatrenia pri používaní, Kardiovaskulárne poruchy). Do tejto štúdie bolo zaradených 2 763 </w:t>
      </w:r>
      <w:proofErr w:type="spellStart"/>
      <w:r>
        <w:rPr>
          <w:sz w:val="22"/>
          <w:szCs w:val="22"/>
          <w:lang w:val="sk-SK"/>
        </w:rPr>
        <w:t>postmenopauzálnych</w:t>
      </w:r>
      <w:proofErr w:type="spellEnd"/>
      <w:r>
        <w:rPr>
          <w:sz w:val="22"/>
          <w:szCs w:val="22"/>
          <w:lang w:val="sk-SK"/>
        </w:rPr>
        <w:t xml:space="preserve"> žien s priemerným vekom 66,7 rokov a s neporušenou maternicou. Priemerná doba sledovania bola 4,1 rokov pre</w:t>
      </w:r>
      <w:r w:rsidR="009A572D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štúdiu HERS a 2,7 rokov ďalších rokov (celkovo 6,8 rokov) pre štúdiu HERS II (pozri časť 4.4 Osobitné upozornenia a opatrenia pri používaní, Kardiovaskulárne poruchy).</w:t>
      </w:r>
    </w:p>
    <w:p w:rsidR="00014F1F" w:rsidRDefault="00014F1F">
      <w:pPr>
        <w:rPr>
          <w:sz w:val="22"/>
          <w:szCs w:val="22"/>
          <w:lang w:val="sk-SK"/>
        </w:rPr>
      </w:pPr>
    </w:p>
    <w:p w:rsidR="00014F1F" w:rsidRDefault="00014F1F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Štúdia WHIMS (</w:t>
      </w:r>
      <w:r>
        <w:rPr>
          <w:sz w:val="22"/>
          <w:szCs w:val="22"/>
          <w:u w:val="single"/>
        </w:rPr>
        <w:t>Women’s Health Initiative Memory Study)</w:t>
      </w:r>
    </w:p>
    <w:p w:rsidR="00014F1F" w:rsidRDefault="00014F1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Do štúdie WHIMS, </w:t>
      </w:r>
      <w:proofErr w:type="spellStart"/>
      <w:r>
        <w:rPr>
          <w:sz w:val="22"/>
          <w:szCs w:val="22"/>
          <w:lang w:val="sk-SK"/>
        </w:rPr>
        <w:t>podštúdie</w:t>
      </w:r>
      <w:proofErr w:type="spellEnd"/>
      <w:r>
        <w:rPr>
          <w:sz w:val="22"/>
          <w:szCs w:val="22"/>
          <w:lang w:val="sk-SK"/>
        </w:rPr>
        <w:t xml:space="preserve"> štúdie WHI, bolo zaradených 4 532 prevažne zdravých </w:t>
      </w:r>
      <w:proofErr w:type="spellStart"/>
      <w:r>
        <w:rPr>
          <w:sz w:val="22"/>
          <w:szCs w:val="22"/>
          <w:lang w:val="sk-SK"/>
        </w:rPr>
        <w:t>postmenopauzálnych</w:t>
      </w:r>
      <w:proofErr w:type="spellEnd"/>
      <w:r>
        <w:rPr>
          <w:sz w:val="22"/>
          <w:szCs w:val="22"/>
          <w:lang w:val="sk-SK"/>
        </w:rPr>
        <w:t xml:space="preserve"> žien vo veku 65 až 79 rokov na vyhodnotenie vplyvu CEE/MPA (0,625 mg CEE a 2,5 mg MPA) alebo samotného CEE (0,625 mg) na výskyt potenciálnej demencie v porovnaní s </w:t>
      </w:r>
      <w:proofErr w:type="spellStart"/>
      <w:r>
        <w:rPr>
          <w:sz w:val="22"/>
          <w:szCs w:val="22"/>
          <w:lang w:val="sk-SK"/>
        </w:rPr>
        <w:t>placebom</w:t>
      </w:r>
      <w:proofErr w:type="spellEnd"/>
      <w:r>
        <w:rPr>
          <w:sz w:val="22"/>
          <w:szCs w:val="22"/>
          <w:lang w:val="sk-SK"/>
        </w:rPr>
        <w:t>. Priemerná doba sledovania bola 4,05 rokov pre CEE/MPA (pozri časť 4.4 Osobitné upozornenia a opatrenia pri používaní, Demencia).</w:t>
      </w:r>
    </w:p>
    <w:p w:rsidR="00014F1F" w:rsidRDefault="00014F1F">
      <w:pPr>
        <w:rPr>
          <w:sz w:val="22"/>
          <w:szCs w:val="22"/>
          <w:lang w:val="sk-SK"/>
        </w:rPr>
      </w:pPr>
    </w:p>
    <w:p w:rsidR="00014F1F" w:rsidRDefault="00014F1F">
      <w:pPr>
        <w:tabs>
          <w:tab w:val="left" w:pos="567"/>
        </w:tabs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5.2</w:t>
      </w:r>
      <w:r>
        <w:rPr>
          <w:b/>
          <w:sz w:val="22"/>
          <w:szCs w:val="22"/>
          <w:lang w:val="sk-SK"/>
        </w:rPr>
        <w:tab/>
      </w:r>
      <w:proofErr w:type="spellStart"/>
      <w:r>
        <w:rPr>
          <w:b/>
          <w:sz w:val="22"/>
          <w:szCs w:val="22"/>
          <w:lang w:val="sk-SK"/>
        </w:rPr>
        <w:t>Farmakokinetické</w:t>
      </w:r>
      <w:proofErr w:type="spellEnd"/>
      <w:r>
        <w:rPr>
          <w:b/>
          <w:sz w:val="22"/>
          <w:szCs w:val="22"/>
          <w:lang w:val="sk-SK"/>
        </w:rPr>
        <w:t xml:space="preserve"> vlastnosti</w:t>
      </w:r>
    </w:p>
    <w:p w:rsidR="00014F1F" w:rsidRDefault="00014F1F">
      <w:pPr>
        <w:pStyle w:val="Zkladntext"/>
        <w:jc w:val="left"/>
        <w:rPr>
          <w:sz w:val="22"/>
          <w:szCs w:val="22"/>
          <w:lang w:val="sk-SK"/>
        </w:rPr>
      </w:pPr>
    </w:p>
    <w:p w:rsidR="00014F1F" w:rsidRDefault="00014F1F">
      <w:pPr>
        <w:pStyle w:val="Zkladntext"/>
        <w:jc w:val="left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Absorpcia</w:t>
      </w:r>
    </w:p>
    <w:p w:rsidR="00014F1F" w:rsidRDefault="00014F1F">
      <w:pPr>
        <w:pStyle w:val="Zkladntext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Perorálny </w:t>
      </w:r>
      <w:proofErr w:type="spellStart"/>
      <w:r>
        <w:rPr>
          <w:sz w:val="22"/>
          <w:szCs w:val="22"/>
          <w:lang w:val="sk-SK"/>
        </w:rPr>
        <w:t>medroxyprogesterónacetát</w:t>
      </w:r>
      <w:proofErr w:type="spellEnd"/>
      <w:r>
        <w:rPr>
          <w:sz w:val="22"/>
          <w:szCs w:val="22"/>
          <w:lang w:val="sk-SK"/>
        </w:rPr>
        <w:t xml:space="preserve"> (MPA) sa rýchlo absorbuje, pričom maximálna koncentrácia sa dosahuje v rozmedzí 2 až 4 hodín. Polčas perorálneho MPA je približne 17 hodín. 90 % liečiva sa viaže na bielkoviny a je vylučované prevažne močom.</w:t>
      </w:r>
    </w:p>
    <w:p w:rsidR="00014F1F" w:rsidRDefault="00014F1F">
      <w:pPr>
        <w:pStyle w:val="Zkladntext"/>
        <w:jc w:val="left"/>
        <w:rPr>
          <w:sz w:val="22"/>
          <w:szCs w:val="22"/>
          <w:lang w:val="sk-SK"/>
        </w:rPr>
      </w:pPr>
    </w:p>
    <w:p w:rsidR="00014F1F" w:rsidRDefault="00014F1F">
      <w:pPr>
        <w:pStyle w:val="Zkladntext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Podávanie s jedlom zvyšuje biologickú dostupnosť MPA. Dávka 10 mg perorálneho MPA užívaná bezprostredne pred jedlom alebo po ňom zvyšuje priemernú </w:t>
      </w:r>
      <w:proofErr w:type="spellStart"/>
      <w:r>
        <w:rPr>
          <w:sz w:val="22"/>
          <w:szCs w:val="22"/>
          <w:lang w:val="sk-SK"/>
        </w:rPr>
        <w:t>C</w:t>
      </w:r>
      <w:r>
        <w:rPr>
          <w:sz w:val="22"/>
          <w:szCs w:val="22"/>
          <w:vertAlign w:val="subscript"/>
          <w:lang w:val="sk-SK"/>
        </w:rPr>
        <w:t>max</w:t>
      </w:r>
      <w:proofErr w:type="spellEnd"/>
      <w:r>
        <w:rPr>
          <w:sz w:val="22"/>
          <w:szCs w:val="22"/>
          <w:lang w:val="sk-SK"/>
        </w:rPr>
        <w:t xml:space="preserve"> MPA (51 a 77 %, v</w:t>
      </w:r>
      <w:r w:rsidR="009A572D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tomto poradí) a priemernú AUC (18 a 33 %, v tomto poradí). Polčas MPA sa vplyvom jedla nezmenil.</w:t>
      </w:r>
    </w:p>
    <w:p w:rsidR="009A572D" w:rsidRDefault="009A572D">
      <w:pPr>
        <w:pStyle w:val="Zkladntext"/>
        <w:jc w:val="left"/>
        <w:rPr>
          <w:sz w:val="22"/>
          <w:szCs w:val="22"/>
          <w:lang w:val="sk-SK"/>
        </w:rPr>
      </w:pPr>
    </w:p>
    <w:p w:rsidR="00014F1F" w:rsidRDefault="00014F1F">
      <w:pPr>
        <w:pStyle w:val="Zkladntext"/>
        <w:keepNext/>
        <w:jc w:val="left"/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Distribúcia</w:t>
      </w:r>
    </w:p>
    <w:p w:rsidR="00014F1F" w:rsidRDefault="00014F1F">
      <w:pPr>
        <w:pStyle w:val="Zkladntext"/>
        <w:keepNext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Približne 90 % MPA sa viaže na bielkoviny, predovšetkým na albumín, MPA sa neviaže na globulín viažuci pohlavné hormóny. Neviazaný MPA modifikuje farmakologické odpovede.</w:t>
      </w:r>
    </w:p>
    <w:p w:rsidR="00014F1F" w:rsidRDefault="00014F1F">
      <w:pPr>
        <w:pStyle w:val="Zkladntext"/>
        <w:jc w:val="left"/>
        <w:rPr>
          <w:sz w:val="22"/>
          <w:szCs w:val="22"/>
          <w:lang w:val="sk-SK"/>
        </w:rPr>
      </w:pPr>
    </w:p>
    <w:p w:rsidR="00014F1F" w:rsidRDefault="00014F1F">
      <w:pPr>
        <w:pStyle w:val="Zkladntext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u w:val="single"/>
          <w:lang w:val="sk-SK"/>
        </w:rPr>
        <w:t>Biotransformácia</w:t>
      </w:r>
      <w:proofErr w:type="spellEnd"/>
    </w:p>
    <w:p w:rsidR="00014F1F" w:rsidRDefault="00014F1F">
      <w:pPr>
        <w:pStyle w:val="Zkladntext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Po perorálnom podaní sa MPA výrazne metabolizuje v pečeni prostredníctvom </w:t>
      </w:r>
      <w:proofErr w:type="spellStart"/>
      <w:r>
        <w:rPr>
          <w:sz w:val="22"/>
          <w:szCs w:val="22"/>
          <w:lang w:val="sk-SK"/>
        </w:rPr>
        <w:t>hydroxylácie</w:t>
      </w:r>
      <w:proofErr w:type="spellEnd"/>
      <w:r>
        <w:rPr>
          <w:sz w:val="22"/>
          <w:szCs w:val="22"/>
          <w:lang w:val="sk-SK"/>
        </w:rPr>
        <w:t xml:space="preserve"> na kruhu A </w:t>
      </w:r>
      <w:proofErr w:type="spellStart"/>
      <w:r>
        <w:rPr>
          <w:sz w:val="22"/>
          <w:szCs w:val="22"/>
          <w:lang w:val="sk-SK"/>
        </w:rPr>
        <w:t>a</w:t>
      </w:r>
      <w:proofErr w:type="spellEnd"/>
      <w:r>
        <w:rPr>
          <w:sz w:val="22"/>
          <w:szCs w:val="22"/>
          <w:lang w:val="sk-SK"/>
        </w:rPr>
        <w:t xml:space="preserve">/alebo postrannom reťazci, s následnou konjugáciou a elimináciou v moči. Identifikovaných bolo minimálne 16 MPA </w:t>
      </w:r>
      <w:proofErr w:type="spellStart"/>
      <w:r>
        <w:rPr>
          <w:sz w:val="22"/>
          <w:szCs w:val="22"/>
          <w:lang w:val="sk-SK"/>
        </w:rPr>
        <w:t>metabolitov</w:t>
      </w:r>
      <w:proofErr w:type="spellEnd"/>
      <w:r>
        <w:rPr>
          <w:sz w:val="22"/>
          <w:szCs w:val="22"/>
          <w:lang w:val="sk-SK"/>
        </w:rPr>
        <w:t xml:space="preserve">. V štúdii navrhnutej na meranie metabolizmu </w:t>
      </w:r>
      <w:proofErr w:type="spellStart"/>
      <w:r>
        <w:rPr>
          <w:sz w:val="22"/>
          <w:szCs w:val="22"/>
          <w:lang w:val="sk-SK"/>
        </w:rPr>
        <w:t>medroxyprogesterónacetátu</w:t>
      </w:r>
      <w:proofErr w:type="spellEnd"/>
      <w:r>
        <w:rPr>
          <w:sz w:val="22"/>
          <w:szCs w:val="22"/>
          <w:lang w:val="sk-SK"/>
        </w:rPr>
        <w:t xml:space="preserve"> (MPA) výsledky ukazujú, že ľudský </w:t>
      </w:r>
      <w:proofErr w:type="spellStart"/>
      <w:r>
        <w:rPr>
          <w:sz w:val="22"/>
          <w:szCs w:val="22"/>
          <w:lang w:val="sk-SK"/>
        </w:rPr>
        <w:t>cytochróm</w:t>
      </w:r>
      <w:proofErr w:type="spellEnd"/>
      <w:r>
        <w:rPr>
          <w:sz w:val="22"/>
          <w:szCs w:val="22"/>
          <w:lang w:val="sk-SK"/>
        </w:rPr>
        <w:t xml:space="preserve"> P450 3A4 je primárne zapojený do celkového metabolizmu MPA v ľudských pečeňových </w:t>
      </w:r>
      <w:proofErr w:type="spellStart"/>
      <w:r>
        <w:rPr>
          <w:sz w:val="22"/>
          <w:szCs w:val="22"/>
          <w:lang w:val="sk-SK"/>
        </w:rPr>
        <w:t>mikrozómoch</w:t>
      </w:r>
      <w:proofErr w:type="spellEnd"/>
      <w:r>
        <w:rPr>
          <w:sz w:val="22"/>
          <w:szCs w:val="22"/>
          <w:lang w:val="sk-SK"/>
        </w:rPr>
        <w:t>.</w:t>
      </w:r>
    </w:p>
    <w:p w:rsidR="00014F1F" w:rsidRDefault="00014F1F">
      <w:pPr>
        <w:pStyle w:val="Zkladntext"/>
        <w:jc w:val="left"/>
        <w:rPr>
          <w:sz w:val="22"/>
          <w:szCs w:val="22"/>
          <w:lang w:val="sk-SK"/>
        </w:rPr>
      </w:pPr>
    </w:p>
    <w:p w:rsidR="00014F1F" w:rsidRDefault="00014F1F">
      <w:pPr>
        <w:pStyle w:val="Zkladntext"/>
        <w:jc w:val="left"/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Eliminácia</w:t>
      </w:r>
    </w:p>
    <w:p w:rsidR="00014F1F" w:rsidRDefault="00014F1F">
      <w:pPr>
        <w:pStyle w:val="Zkladntext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Väčšina MPA </w:t>
      </w:r>
      <w:proofErr w:type="spellStart"/>
      <w:r>
        <w:rPr>
          <w:sz w:val="22"/>
          <w:szCs w:val="22"/>
          <w:lang w:val="sk-SK"/>
        </w:rPr>
        <w:t>metabolitov</w:t>
      </w:r>
      <w:proofErr w:type="spellEnd"/>
      <w:r>
        <w:rPr>
          <w:sz w:val="22"/>
          <w:szCs w:val="22"/>
          <w:lang w:val="sk-SK"/>
        </w:rPr>
        <w:t xml:space="preserve"> sa vylučuje močom ako </w:t>
      </w:r>
      <w:proofErr w:type="spellStart"/>
      <w:r>
        <w:rPr>
          <w:sz w:val="22"/>
          <w:szCs w:val="22"/>
          <w:lang w:val="sk-SK"/>
        </w:rPr>
        <w:t>glukuronidové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konjugáty</w:t>
      </w:r>
      <w:proofErr w:type="spellEnd"/>
      <w:r>
        <w:rPr>
          <w:sz w:val="22"/>
          <w:szCs w:val="22"/>
          <w:lang w:val="sk-SK"/>
        </w:rPr>
        <w:t>, pričom len malé množstvo sa vylučuje vo forme sulfátov. Priemerné percento dávky vylúčené v moči za 24 hodín u pacientov s tukovou chorobou pečene vo forme nezmeneného MPA po 10 mg alebo 100 mg dávke bolo 7,3 % a 6,4 %, v tomto poradí. Polčas eliminácie perorálneho MPA je 12 až 17 hodín.</w:t>
      </w:r>
    </w:p>
    <w:p w:rsidR="00014F1F" w:rsidRDefault="00014F1F">
      <w:pPr>
        <w:pStyle w:val="Zkladntext"/>
        <w:jc w:val="left"/>
        <w:rPr>
          <w:sz w:val="22"/>
          <w:szCs w:val="22"/>
          <w:lang w:val="sk-SK"/>
        </w:rPr>
      </w:pPr>
    </w:p>
    <w:p w:rsidR="00014F1F" w:rsidRDefault="00014F1F">
      <w:pPr>
        <w:tabs>
          <w:tab w:val="left" w:pos="567"/>
        </w:tabs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5.3</w:t>
      </w:r>
      <w:r>
        <w:rPr>
          <w:b/>
          <w:sz w:val="22"/>
          <w:szCs w:val="22"/>
          <w:lang w:val="sk-SK"/>
        </w:rPr>
        <w:tab/>
        <w:t>Predklinické údaje o bezpečnosti</w:t>
      </w:r>
    </w:p>
    <w:p w:rsidR="00014F1F" w:rsidRDefault="00014F1F">
      <w:pPr>
        <w:tabs>
          <w:tab w:val="left" w:pos="360"/>
        </w:tabs>
        <w:rPr>
          <w:bCs/>
          <w:sz w:val="22"/>
          <w:szCs w:val="22"/>
          <w:lang w:val="sk-SK"/>
        </w:rPr>
      </w:pPr>
    </w:p>
    <w:p w:rsidR="00014F1F" w:rsidRDefault="00014F1F">
      <w:pPr>
        <w:tabs>
          <w:tab w:val="left" w:pos="360"/>
        </w:tabs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Neuvádzajú sa.</w:t>
      </w:r>
    </w:p>
    <w:p w:rsidR="00014F1F" w:rsidRDefault="00014F1F">
      <w:pPr>
        <w:rPr>
          <w:sz w:val="22"/>
          <w:szCs w:val="22"/>
          <w:lang w:val="sk-SK"/>
        </w:rPr>
      </w:pPr>
    </w:p>
    <w:p w:rsidR="00014F1F" w:rsidRDefault="00014F1F">
      <w:pPr>
        <w:rPr>
          <w:sz w:val="22"/>
          <w:szCs w:val="22"/>
          <w:lang w:val="sk-SK"/>
        </w:rPr>
      </w:pPr>
    </w:p>
    <w:p w:rsidR="00014F1F" w:rsidRDefault="00014F1F">
      <w:pPr>
        <w:tabs>
          <w:tab w:val="left" w:pos="0"/>
          <w:tab w:val="left" w:pos="567"/>
        </w:tabs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6.</w:t>
      </w:r>
      <w:r>
        <w:rPr>
          <w:b/>
          <w:sz w:val="22"/>
          <w:szCs w:val="22"/>
          <w:lang w:val="sk-SK"/>
        </w:rPr>
        <w:tab/>
        <w:t>FARMACEUTICKÉ INFORMÁCIE</w:t>
      </w:r>
    </w:p>
    <w:p w:rsidR="00014F1F" w:rsidRDefault="00014F1F">
      <w:pPr>
        <w:rPr>
          <w:b/>
          <w:sz w:val="22"/>
          <w:szCs w:val="22"/>
          <w:lang w:val="sk-SK"/>
        </w:rPr>
      </w:pPr>
    </w:p>
    <w:p w:rsidR="00014F1F" w:rsidRDefault="00014F1F">
      <w:pPr>
        <w:tabs>
          <w:tab w:val="left" w:pos="567"/>
        </w:tabs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6.1</w:t>
      </w:r>
      <w:r>
        <w:rPr>
          <w:b/>
          <w:sz w:val="22"/>
          <w:szCs w:val="22"/>
          <w:lang w:val="sk-SK"/>
        </w:rPr>
        <w:tab/>
        <w:t xml:space="preserve">Zoznam pomocných látok </w:t>
      </w:r>
    </w:p>
    <w:p w:rsidR="00014F1F" w:rsidRDefault="00014F1F">
      <w:pPr>
        <w:rPr>
          <w:sz w:val="22"/>
          <w:szCs w:val="22"/>
          <w:lang w:val="sk-SK"/>
        </w:rPr>
      </w:pPr>
    </w:p>
    <w:p w:rsidR="00014F1F" w:rsidRDefault="00014F1F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monohydrát</w:t>
      </w:r>
      <w:proofErr w:type="spellEnd"/>
      <w:r>
        <w:rPr>
          <w:sz w:val="22"/>
          <w:szCs w:val="22"/>
          <w:lang w:val="sk-SK"/>
        </w:rPr>
        <w:t xml:space="preserve"> laktózy</w:t>
      </w:r>
    </w:p>
    <w:p w:rsidR="00014F1F" w:rsidRDefault="00014F1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kukuričný škrob</w:t>
      </w:r>
    </w:p>
    <w:p w:rsidR="00014F1F" w:rsidRDefault="00014F1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sacharóza</w:t>
      </w:r>
    </w:p>
    <w:p w:rsidR="00014F1F" w:rsidRDefault="00014F1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tekutý parafín</w:t>
      </w:r>
    </w:p>
    <w:p w:rsidR="00014F1F" w:rsidRDefault="00014F1F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kalciumstearát</w:t>
      </w:r>
      <w:proofErr w:type="spellEnd"/>
      <w:r>
        <w:rPr>
          <w:sz w:val="22"/>
          <w:szCs w:val="22"/>
          <w:lang w:val="sk-SK"/>
        </w:rPr>
        <w:t xml:space="preserve"> </w:t>
      </w:r>
    </w:p>
    <w:p w:rsidR="00014F1F" w:rsidRDefault="00014F1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mastenec </w:t>
      </w:r>
    </w:p>
    <w:p w:rsidR="00014F1F" w:rsidRDefault="00014F1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hlinitý lak </w:t>
      </w:r>
      <w:proofErr w:type="spellStart"/>
      <w:r>
        <w:rPr>
          <w:sz w:val="22"/>
          <w:szCs w:val="22"/>
          <w:lang w:val="sk-SK"/>
        </w:rPr>
        <w:t>indigokarmínu</w:t>
      </w:r>
      <w:proofErr w:type="spellEnd"/>
    </w:p>
    <w:p w:rsidR="00014F1F" w:rsidRDefault="00014F1F">
      <w:pPr>
        <w:rPr>
          <w:sz w:val="22"/>
          <w:szCs w:val="22"/>
          <w:lang w:val="sk-SK"/>
        </w:rPr>
      </w:pPr>
    </w:p>
    <w:p w:rsidR="00014F1F" w:rsidRDefault="00014F1F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6.2</w:t>
      </w:r>
      <w:r>
        <w:rPr>
          <w:b/>
          <w:sz w:val="22"/>
          <w:szCs w:val="22"/>
          <w:lang w:val="sk-SK"/>
        </w:rPr>
        <w:tab/>
        <w:t>Inkompatibility</w:t>
      </w:r>
    </w:p>
    <w:p w:rsidR="00014F1F" w:rsidRDefault="00014F1F">
      <w:pPr>
        <w:pStyle w:val="Zkladntext"/>
        <w:keepNext/>
        <w:jc w:val="left"/>
        <w:rPr>
          <w:sz w:val="22"/>
          <w:szCs w:val="22"/>
          <w:lang w:val="sk-SK"/>
        </w:rPr>
      </w:pPr>
    </w:p>
    <w:p w:rsidR="00014F1F" w:rsidRDefault="00014F1F">
      <w:pPr>
        <w:pStyle w:val="Zkladntext"/>
        <w:keepNext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Nie sú známe.</w:t>
      </w:r>
    </w:p>
    <w:p w:rsidR="00014F1F" w:rsidRDefault="00014F1F">
      <w:pPr>
        <w:rPr>
          <w:sz w:val="22"/>
          <w:szCs w:val="22"/>
          <w:lang w:val="sk-SK"/>
        </w:rPr>
      </w:pPr>
    </w:p>
    <w:p w:rsidR="00014F1F" w:rsidRDefault="00014F1F">
      <w:pPr>
        <w:tabs>
          <w:tab w:val="left" w:pos="567"/>
        </w:tabs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6.3</w:t>
      </w:r>
      <w:r>
        <w:rPr>
          <w:b/>
          <w:sz w:val="22"/>
          <w:szCs w:val="22"/>
          <w:lang w:val="sk-SK"/>
        </w:rPr>
        <w:tab/>
        <w:t>Čas použiteľnosti</w:t>
      </w:r>
    </w:p>
    <w:p w:rsidR="00014F1F" w:rsidRDefault="00014F1F">
      <w:pPr>
        <w:rPr>
          <w:sz w:val="22"/>
          <w:szCs w:val="22"/>
          <w:lang w:val="sk-SK"/>
        </w:rPr>
      </w:pPr>
    </w:p>
    <w:p w:rsidR="00014F1F" w:rsidRDefault="00014F1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5 rokov</w:t>
      </w:r>
    </w:p>
    <w:p w:rsidR="00014F1F" w:rsidRDefault="00014F1F">
      <w:pPr>
        <w:rPr>
          <w:sz w:val="22"/>
          <w:szCs w:val="22"/>
          <w:lang w:val="sk-SK"/>
        </w:rPr>
      </w:pPr>
    </w:p>
    <w:p w:rsidR="00014F1F" w:rsidRDefault="00014F1F">
      <w:pPr>
        <w:tabs>
          <w:tab w:val="left" w:pos="567"/>
        </w:tabs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6.4</w:t>
      </w:r>
      <w:r>
        <w:rPr>
          <w:b/>
          <w:sz w:val="22"/>
          <w:szCs w:val="22"/>
          <w:lang w:val="sk-SK"/>
        </w:rPr>
        <w:tab/>
        <w:t>Špeciálne upozornenia na uchovávanie</w:t>
      </w:r>
    </w:p>
    <w:p w:rsidR="00014F1F" w:rsidRDefault="00014F1F">
      <w:pPr>
        <w:rPr>
          <w:sz w:val="22"/>
          <w:szCs w:val="22"/>
          <w:lang w:val="sk-SK"/>
        </w:rPr>
      </w:pPr>
    </w:p>
    <w:p w:rsidR="00014F1F" w:rsidRDefault="00014F1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Uchovávajte pri teplote 15 – 30</w:t>
      </w:r>
      <w:r w:rsidR="00E36C25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°C.</w:t>
      </w:r>
    </w:p>
    <w:p w:rsidR="00014F1F" w:rsidRDefault="00014F1F">
      <w:pPr>
        <w:tabs>
          <w:tab w:val="left" w:pos="720"/>
        </w:tabs>
        <w:rPr>
          <w:sz w:val="22"/>
          <w:szCs w:val="22"/>
          <w:lang w:val="sk-SK"/>
        </w:rPr>
      </w:pPr>
    </w:p>
    <w:p w:rsidR="00014F1F" w:rsidRDefault="00014F1F">
      <w:pPr>
        <w:tabs>
          <w:tab w:val="left" w:pos="567"/>
        </w:tabs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6.5</w:t>
      </w:r>
      <w:r>
        <w:rPr>
          <w:b/>
          <w:sz w:val="22"/>
          <w:szCs w:val="22"/>
          <w:lang w:val="sk-SK"/>
        </w:rPr>
        <w:tab/>
        <w:t>Druh obalu a obsah balenia</w:t>
      </w:r>
    </w:p>
    <w:p w:rsidR="00014F1F" w:rsidRDefault="00014F1F">
      <w:pPr>
        <w:rPr>
          <w:sz w:val="22"/>
          <w:szCs w:val="22"/>
          <w:lang w:val="sk-SK"/>
        </w:rPr>
      </w:pPr>
    </w:p>
    <w:p w:rsidR="00014F1F" w:rsidRDefault="00014F1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HDPE </w:t>
      </w:r>
      <w:r w:rsidR="00A9408C">
        <w:rPr>
          <w:sz w:val="22"/>
          <w:szCs w:val="22"/>
          <w:lang w:val="sk-SK"/>
        </w:rPr>
        <w:t xml:space="preserve">fľaša </w:t>
      </w:r>
      <w:r>
        <w:rPr>
          <w:sz w:val="22"/>
          <w:szCs w:val="22"/>
          <w:lang w:val="sk-SK"/>
        </w:rPr>
        <w:t>s p</w:t>
      </w:r>
      <w:r w:rsidR="00A9408C">
        <w:rPr>
          <w:sz w:val="22"/>
          <w:szCs w:val="22"/>
          <w:lang w:val="sk-SK"/>
        </w:rPr>
        <w:t>olypropylénovým</w:t>
      </w:r>
      <w:r>
        <w:rPr>
          <w:sz w:val="22"/>
          <w:szCs w:val="22"/>
          <w:lang w:val="sk-SK"/>
        </w:rPr>
        <w:t xml:space="preserve"> uzáverom</w:t>
      </w:r>
      <w:r w:rsidR="00A9408C">
        <w:rPr>
          <w:sz w:val="22"/>
          <w:szCs w:val="22"/>
          <w:lang w:val="sk-SK"/>
        </w:rPr>
        <w:t xml:space="preserve"> s vnútorným tesnením a vatovou vložkou</w:t>
      </w:r>
      <w:r>
        <w:rPr>
          <w:sz w:val="22"/>
          <w:szCs w:val="22"/>
          <w:lang w:val="sk-SK"/>
        </w:rPr>
        <w:t xml:space="preserve">: veľkosť balenia: 24 tabliet, </w:t>
      </w:r>
    </w:p>
    <w:p w:rsidR="00014F1F" w:rsidRDefault="00014F1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PVC/</w:t>
      </w:r>
      <w:proofErr w:type="spellStart"/>
      <w:r>
        <w:rPr>
          <w:sz w:val="22"/>
          <w:szCs w:val="22"/>
          <w:lang w:val="sk-SK"/>
        </w:rPr>
        <w:t>Al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blister</w:t>
      </w:r>
      <w:proofErr w:type="spellEnd"/>
      <w:r>
        <w:rPr>
          <w:sz w:val="22"/>
          <w:szCs w:val="22"/>
          <w:lang w:val="sk-SK"/>
        </w:rPr>
        <w:t>, veľkosť balenia: 20 tabliet</w:t>
      </w:r>
    </w:p>
    <w:p w:rsidR="00014F1F" w:rsidRDefault="00014F1F">
      <w:pPr>
        <w:rPr>
          <w:sz w:val="22"/>
          <w:szCs w:val="22"/>
          <w:lang w:val="sk-SK"/>
        </w:rPr>
      </w:pPr>
    </w:p>
    <w:p w:rsidR="00014F1F" w:rsidRDefault="00014F1F" w:rsidP="003546B8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6.6</w:t>
      </w:r>
      <w:r>
        <w:rPr>
          <w:b/>
          <w:sz w:val="22"/>
          <w:szCs w:val="22"/>
          <w:lang w:val="sk-SK"/>
        </w:rPr>
        <w:tab/>
        <w:t xml:space="preserve">Špeciálne opatrenia na likvidáciu a iné zaobchádzanie s liekom </w:t>
      </w:r>
    </w:p>
    <w:p w:rsidR="00014F1F" w:rsidRDefault="00014F1F" w:rsidP="003546B8">
      <w:pPr>
        <w:keepNext/>
        <w:tabs>
          <w:tab w:val="left" w:pos="720"/>
        </w:tabs>
        <w:rPr>
          <w:bCs/>
          <w:sz w:val="22"/>
          <w:szCs w:val="22"/>
          <w:lang w:val="sk-SK"/>
        </w:rPr>
      </w:pPr>
    </w:p>
    <w:p w:rsidR="00014F1F" w:rsidRDefault="00A4321D" w:rsidP="003546B8">
      <w:pPr>
        <w:keepNext/>
        <w:tabs>
          <w:tab w:val="left" w:pos="720"/>
        </w:tabs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Všetok n</w:t>
      </w:r>
      <w:r w:rsidR="00014F1F">
        <w:rPr>
          <w:bCs/>
          <w:sz w:val="22"/>
          <w:szCs w:val="22"/>
          <w:lang w:val="sk-SK"/>
        </w:rPr>
        <w:t>epoužitý liek alebo odpad vzniknutý z</w:t>
      </w:r>
      <w:r>
        <w:rPr>
          <w:bCs/>
          <w:sz w:val="22"/>
          <w:szCs w:val="22"/>
          <w:lang w:val="sk-SK"/>
        </w:rPr>
        <w:t> </w:t>
      </w:r>
      <w:r w:rsidR="00014F1F">
        <w:rPr>
          <w:bCs/>
          <w:sz w:val="22"/>
          <w:szCs w:val="22"/>
          <w:lang w:val="sk-SK"/>
        </w:rPr>
        <w:t>lieku</w:t>
      </w:r>
      <w:r>
        <w:rPr>
          <w:bCs/>
          <w:sz w:val="22"/>
          <w:szCs w:val="22"/>
          <w:lang w:val="sk-SK"/>
        </w:rPr>
        <w:t xml:space="preserve"> sa má zlikvidovať v súlade s národnými požiadavkami</w:t>
      </w:r>
      <w:r w:rsidR="00014F1F">
        <w:rPr>
          <w:bCs/>
          <w:sz w:val="22"/>
          <w:szCs w:val="22"/>
          <w:lang w:val="sk-SK"/>
        </w:rPr>
        <w:t>.</w:t>
      </w:r>
    </w:p>
    <w:p w:rsidR="00014F1F" w:rsidRDefault="00014F1F">
      <w:pPr>
        <w:rPr>
          <w:sz w:val="22"/>
          <w:szCs w:val="22"/>
          <w:lang w:val="sk-SK"/>
        </w:rPr>
      </w:pPr>
    </w:p>
    <w:p w:rsidR="00014F1F" w:rsidRDefault="00014F1F">
      <w:pPr>
        <w:rPr>
          <w:sz w:val="22"/>
          <w:szCs w:val="22"/>
          <w:lang w:val="sk-SK"/>
        </w:rPr>
      </w:pPr>
    </w:p>
    <w:p w:rsidR="00014F1F" w:rsidRDefault="00014F1F">
      <w:pPr>
        <w:tabs>
          <w:tab w:val="left" w:pos="567"/>
        </w:tabs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7.</w:t>
      </w:r>
      <w:r>
        <w:rPr>
          <w:b/>
          <w:sz w:val="22"/>
          <w:szCs w:val="22"/>
          <w:lang w:val="sk-SK"/>
        </w:rPr>
        <w:tab/>
        <w:t>DRŽITEĽ ROZHODNUTIA O REGISTRÁCII</w:t>
      </w:r>
    </w:p>
    <w:p w:rsidR="00014F1F" w:rsidRDefault="00014F1F">
      <w:pPr>
        <w:pStyle w:val="Zkladntext"/>
        <w:jc w:val="left"/>
        <w:rPr>
          <w:sz w:val="22"/>
          <w:szCs w:val="22"/>
          <w:lang w:val="sk-SK"/>
        </w:rPr>
      </w:pPr>
      <w:bookmarkStart w:id="0" w:name="OLE_LINK2"/>
      <w:bookmarkStart w:id="1" w:name="OLE_LINK1"/>
    </w:p>
    <w:p w:rsidR="00A4321D" w:rsidRDefault="00014F1F">
      <w:pPr>
        <w:pStyle w:val="Zkladntext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Pfizer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Europe</w:t>
      </w:r>
      <w:proofErr w:type="spellEnd"/>
      <w:r>
        <w:rPr>
          <w:sz w:val="22"/>
          <w:szCs w:val="22"/>
          <w:lang w:val="sk-SK"/>
        </w:rPr>
        <w:t xml:space="preserve"> MA EEIG</w:t>
      </w:r>
    </w:p>
    <w:p w:rsidR="00A4321D" w:rsidRDefault="00F52DB7">
      <w:pPr>
        <w:pStyle w:val="Zkladntext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Boulevard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de</w:t>
      </w:r>
      <w:proofErr w:type="spellEnd"/>
      <w:r>
        <w:rPr>
          <w:sz w:val="22"/>
          <w:szCs w:val="22"/>
          <w:lang w:val="sk-SK"/>
        </w:rPr>
        <w:t xml:space="preserve"> la </w:t>
      </w:r>
      <w:proofErr w:type="spellStart"/>
      <w:r>
        <w:rPr>
          <w:sz w:val="22"/>
          <w:szCs w:val="22"/>
          <w:lang w:val="sk-SK"/>
        </w:rPr>
        <w:t>Plaine</w:t>
      </w:r>
      <w:proofErr w:type="spellEnd"/>
      <w:r w:rsidR="007A4821">
        <w:rPr>
          <w:sz w:val="22"/>
          <w:szCs w:val="22"/>
          <w:lang w:val="sk-SK"/>
        </w:rPr>
        <w:t xml:space="preserve"> 17</w:t>
      </w:r>
    </w:p>
    <w:p w:rsidR="00A4321D" w:rsidRDefault="00F52DB7">
      <w:pPr>
        <w:pStyle w:val="Zkladntext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1050 </w:t>
      </w:r>
      <w:proofErr w:type="spellStart"/>
      <w:r>
        <w:rPr>
          <w:sz w:val="22"/>
          <w:szCs w:val="22"/>
          <w:lang w:val="sk-SK"/>
        </w:rPr>
        <w:t>Bruxelles</w:t>
      </w:r>
      <w:proofErr w:type="spellEnd"/>
    </w:p>
    <w:p w:rsidR="00014F1F" w:rsidRDefault="00F52DB7">
      <w:pPr>
        <w:pStyle w:val="Zkladntext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Belgicko</w:t>
      </w:r>
    </w:p>
    <w:bookmarkEnd w:id="0"/>
    <w:bookmarkEnd w:id="1"/>
    <w:p w:rsidR="00014F1F" w:rsidRDefault="00014F1F">
      <w:pPr>
        <w:tabs>
          <w:tab w:val="left" w:pos="0"/>
        </w:tabs>
        <w:rPr>
          <w:sz w:val="22"/>
          <w:szCs w:val="22"/>
          <w:lang w:val="sk-SK"/>
        </w:rPr>
      </w:pPr>
    </w:p>
    <w:p w:rsidR="00014F1F" w:rsidRDefault="00014F1F">
      <w:pPr>
        <w:tabs>
          <w:tab w:val="left" w:pos="0"/>
        </w:tabs>
        <w:rPr>
          <w:sz w:val="22"/>
          <w:szCs w:val="22"/>
          <w:lang w:val="sk-SK"/>
        </w:rPr>
      </w:pPr>
    </w:p>
    <w:p w:rsidR="00014F1F" w:rsidRDefault="00014F1F">
      <w:pPr>
        <w:tabs>
          <w:tab w:val="left" w:pos="0"/>
          <w:tab w:val="left" w:pos="567"/>
        </w:tabs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8.</w:t>
      </w:r>
      <w:r>
        <w:rPr>
          <w:b/>
          <w:sz w:val="22"/>
          <w:szCs w:val="22"/>
          <w:lang w:val="sk-SK"/>
        </w:rPr>
        <w:tab/>
        <w:t>REGISTRAČNÉ ČÍSLO</w:t>
      </w:r>
    </w:p>
    <w:p w:rsidR="00014F1F" w:rsidRDefault="00014F1F">
      <w:pPr>
        <w:tabs>
          <w:tab w:val="left" w:pos="0"/>
          <w:tab w:val="left" w:pos="426"/>
        </w:tabs>
        <w:rPr>
          <w:bCs/>
          <w:sz w:val="22"/>
          <w:szCs w:val="22"/>
          <w:lang w:val="sk-SK"/>
        </w:rPr>
      </w:pPr>
    </w:p>
    <w:p w:rsidR="00014F1F" w:rsidRDefault="00014F1F">
      <w:pPr>
        <w:tabs>
          <w:tab w:val="left" w:pos="0"/>
          <w:tab w:val="left" w:pos="426"/>
        </w:tabs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54/0119/86-CS</w:t>
      </w:r>
    </w:p>
    <w:p w:rsidR="00014F1F" w:rsidRDefault="00014F1F">
      <w:pPr>
        <w:tabs>
          <w:tab w:val="left" w:pos="0"/>
        </w:tabs>
        <w:rPr>
          <w:sz w:val="22"/>
          <w:szCs w:val="22"/>
          <w:lang w:val="sk-SK"/>
        </w:rPr>
      </w:pPr>
    </w:p>
    <w:p w:rsidR="00014F1F" w:rsidRDefault="00014F1F">
      <w:pPr>
        <w:tabs>
          <w:tab w:val="left" w:pos="0"/>
        </w:tabs>
        <w:rPr>
          <w:sz w:val="22"/>
          <w:szCs w:val="22"/>
          <w:lang w:val="sk-SK"/>
        </w:rPr>
      </w:pPr>
    </w:p>
    <w:p w:rsidR="00014F1F" w:rsidRDefault="00014F1F">
      <w:pPr>
        <w:tabs>
          <w:tab w:val="left" w:pos="0"/>
          <w:tab w:val="left" w:pos="567"/>
        </w:tabs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9.</w:t>
      </w:r>
      <w:r>
        <w:rPr>
          <w:b/>
          <w:sz w:val="22"/>
          <w:szCs w:val="22"/>
          <w:lang w:val="sk-SK"/>
        </w:rPr>
        <w:tab/>
        <w:t>DÁTUM PRVEJ REGISTRÁCIE/PREDĹŽENIA REGISTRÁCIE</w:t>
      </w:r>
    </w:p>
    <w:p w:rsidR="00014F1F" w:rsidRDefault="00014F1F">
      <w:pPr>
        <w:tabs>
          <w:tab w:val="left" w:pos="0"/>
        </w:tabs>
        <w:rPr>
          <w:bCs/>
          <w:sz w:val="22"/>
          <w:szCs w:val="22"/>
          <w:lang w:val="sk-SK"/>
        </w:rPr>
      </w:pPr>
    </w:p>
    <w:p w:rsidR="00014F1F" w:rsidRDefault="00014F1F">
      <w:pPr>
        <w:tabs>
          <w:tab w:val="left" w:pos="0"/>
        </w:tabs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Dátum prvej registrácie: 10.</w:t>
      </w:r>
      <w:r w:rsidR="000B314C">
        <w:rPr>
          <w:bCs/>
          <w:sz w:val="22"/>
          <w:szCs w:val="22"/>
          <w:lang w:val="sk-SK"/>
        </w:rPr>
        <w:t xml:space="preserve"> marca </w:t>
      </w:r>
      <w:r>
        <w:rPr>
          <w:bCs/>
          <w:sz w:val="22"/>
          <w:szCs w:val="22"/>
          <w:lang w:val="sk-SK"/>
        </w:rPr>
        <w:t xml:space="preserve">1986                                              </w:t>
      </w:r>
    </w:p>
    <w:p w:rsidR="00014F1F" w:rsidRDefault="00014F1F">
      <w:pPr>
        <w:tabs>
          <w:tab w:val="left" w:pos="0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Dátum posledného predĺženia registrácie: 15.</w:t>
      </w:r>
      <w:r w:rsidR="000B314C">
        <w:rPr>
          <w:sz w:val="22"/>
          <w:szCs w:val="22"/>
          <w:lang w:val="sk-SK"/>
        </w:rPr>
        <w:t xml:space="preserve"> augusta </w:t>
      </w:r>
      <w:r>
        <w:rPr>
          <w:sz w:val="22"/>
          <w:szCs w:val="22"/>
          <w:lang w:val="sk-SK"/>
        </w:rPr>
        <w:t>2007</w:t>
      </w:r>
    </w:p>
    <w:p w:rsidR="00014F1F" w:rsidRDefault="00014F1F">
      <w:pPr>
        <w:tabs>
          <w:tab w:val="left" w:pos="0"/>
        </w:tabs>
        <w:rPr>
          <w:b/>
          <w:sz w:val="22"/>
          <w:szCs w:val="22"/>
          <w:lang w:val="sk-SK"/>
        </w:rPr>
      </w:pPr>
    </w:p>
    <w:p w:rsidR="00014F1F" w:rsidRDefault="00014F1F">
      <w:pPr>
        <w:tabs>
          <w:tab w:val="left" w:pos="0"/>
        </w:tabs>
        <w:rPr>
          <w:b/>
          <w:sz w:val="22"/>
          <w:szCs w:val="22"/>
          <w:lang w:val="sk-SK"/>
        </w:rPr>
      </w:pPr>
    </w:p>
    <w:p w:rsidR="00014F1F" w:rsidRDefault="00014F1F">
      <w:pPr>
        <w:tabs>
          <w:tab w:val="left" w:pos="6412"/>
        </w:tabs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10. DÁTUM REVÍZIE TEXTU</w:t>
      </w:r>
    </w:p>
    <w:p w:rsidR="00014F1F" w:rsidRDefault="00014F1F">
      <w:pPr>
        <w:tabs>
          <w:tab w:val="left" w:pos="6412"/>
        </w:tabs>
        <w:rPr>
          <w:b/>
          <w:sz w:val="22"/>
          <w:szCs w:val="22"/>
          <w:lang w:val="sk-SK"/>
        </w:rPr>
      </w:pPr>
    </w:p>
    <w:p w:rsidR="00014F1F" w:rsidRDefault="007A4821">
      <w:pPr>
        <w:tabs>
          <w:tab w:val="left" w:pos="6412"/>
        </w:tabs>
        <w:rPr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10</w:t>
      </w:r>
      <w:r w:rsidR="000B314C">
        <w:rPr>
          <w:bCs/>
          <w:sz w:val="22"/>
          <w:szCs w:val="22"/>
          <w:lang w:val="sk-SK"/>
        </w:rPr>
        <w:t>/2018</w:t>
      </w:r>
    </w:p>
    <w:sectPr w:rsidR="00014F1F" w:rsidSect="003546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18" w:right="1797" w:bottom="1418" w:left="1797" w:header="850" w:footer="36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8EB" w:rsidRDefault="00C368EB">
      <w:r>
        <w:separator/>
      </w:r>
    </w:p>
  </w:endnote>
  <w:endnote w:type="continuationSeparator" w:id="0">
    <w:p w:rsidR="00C368EB" w:rsidRDefault="00C36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8EB" w:rsidRDefault="00C368EB">
    <w:pPr>
      <w:pStyle w:val="Pta"/>
      <w:framePr w:wrap="around" w:vAnchor="text" w:hAnchor="margin" w:xAlign="center" w:y="1"/>
      <w:rPr>
        <w:rStyle w:val="slostrany"/>
        <w:rFonts w:ascii="Courier New" w:hAnsi="Courier New"/>
      </w:rPr>
    </w:pPr>
    <w:r>
      <w:rPr>
        <w:rStyle w:val="slostrany"/>
        <w:rFonts w:ascii="Courier New" w:hAnsi="Courier New"/>
      </w:rPr>
      <w:fldChar w:fldCharType="begin"/>
    </w:r>
    <w:r>
      <w:rPr>
        <w:rStyle w:val="slostrany"/>
        <w:rFonts w:ascii="Courier New" w:hAnsi="Courier New"/>
      </w:rPr>
      <w:instrText xml:space="preserve">PAGE  </w:instrText>
    </w:r>
    <w:r>
      <w:rPr>
        <w:rStyle w:val="slostrany"/>
        <w:rFonts w:ascii="Courier New" w:hAnsi="Courier New"/>
      </w:rPr>
      <w:fldChar w:fldCharType="end"/>
    </w:r>
  </w:p>
  <w:p w:rsidR="00C368EB" w:rsidRDefault="00C368E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8EB" w:rsidRDefault="00C368EB">
    <w:pPr>
      <w:pStyle w:val="Pta"/>
      <w:framePr w:wrap="around" w:vAnchor="text" w:hAnchor="margin" w:xAlign="center" w:y="1"/>
      <w:rPr>
        <w:rStyle w:val="slostrany"/>
        <w:rFonts w:ascii="Courier New" w:hAnsi="Courier New"/>
      </w:rPr>
    </w:pPr>
    <w:r>
      <w:rPr>
        <w:rStyle w:val="slostrany"/>
        <w:sz w:val="20"/>
      </w:rPr>
      <w:fldChar w:fldCharType="begin"/>
    </w:r>
    <w:r>
      <w:rPr>
        <w:rStyle w:val="slostrany"/>
        <w:sz w:val="20"/>
      </w:rPr>
      <w:instrText xml:space="preserve">PAGE  </w:instrText>
    </w:r>
    <w:r>
      <w:rPr>
        <w:rStyle w:val="slostrany"/>
        <w:sz w:val="20"/>
      </w:rPr>
      <w:fldChar w:fldCharType="separate"/>
    </w:r>
    <w:r w:rsidR="00107B96">
      <w:rPr>
        <w:rStyle w:val="slostrany"/>
        <w:noProof/>
        <w:sz w:val="20"/>
      </w:rPr>
      <w:t>1</w:t>
    </w:r>
    <w:r>
      <w:rPr>
        <w:rStyle w:val="slostrany"/>
        <w:sz w:val="20"/>
      </w:rPr>
      <w:fldChar w:fldCharType="end"/>
    </w:r>
  </w:p>
  <w:p w:rsidR="00C368EB" w:rsidRDefault="00C368EB">
    <w:pPr>
      <w:pStyle w:val="Pta"/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8EB" w:rsidRPr="003546B8" w:rsidRDefault="00C368EB">
    <w:pPr>
      <w:pStyle w:val="Pta"/>
      <w:framePr w:wrap="around" w:vAnchor="text" w:hAnchor="margin" w:xAlign="center" w:y="1"/>
      <w:rPr>
        <w:rStyle w:val="slostrany"/>
        <w:rFonts w:ascii="Arial" w:hAnsi="Arial" w:cs="Arial"/>
        <w:sz w:val="16"/>
        <w:szCs w:val="16"/>
      </w:rPr>
    </w:pPr>
    <w:r w:rsidRPr="003546B8">
      <w:rPr>
        <w:rStyle w:val="slostrany"/>
        <w:rFonts w:ascii="Arial" w:hAnsi="Arial" w:cs="Arial"/>
        <w:sz w:val="16"/>
        <w:szCs w:val="16"/>
      </w:rPr>
      <w:fldChar w:fldCharType="begin"/>
    </w:r>
    <w:r w:rsidRPr="003546B8">
      <w:rPr>
        <w:rStyle w:val="slostrany"/>
        <w:rFonts w:ascii="Arial" w:hAnsi="Arial" w:cs="Arial"/>
        <w:sz w:val="16"/>
        <w:szCs w:val="16"/>
      </w:rPr>
      <w:instrText xml:space="preserve">PAGE  </w:instrText>
    </w:r>
    <w:r w:rsidRPr="003546B8">
      <w:rPr>
        <w:rStyle w:val="slostrany"/>
        <w:rFonts w:ascii="Arial" w:hAnsi="Arial" w:cs="Arial"/>
        <w:sz w:val="16"/>
        <w:szCs w:val="16"/>
      </w:rPr>
      <w:fldChar w:fldCharType="separate"/>
    </w:r>
    <w:r>
      <w:rPr>
        <w:rStyle w:val="slostrany"/>
        <w:noProof/>
        <w:sz w:val="18"/>
        <w:szCs w:val="18"/>
      </w:rPr>
      <w:t>1</w:t>
    </w:r>
    <w:r w:rsidRPr="003546B8">
      <w:rPr>
        <w:rStyle w:val="slostrany"/>
        <w:rFonts w:ascii="Arial" w:hAnsi="Arial" w:cs="Arial"/>
        <w:sz w:val="16"/>
        <w:szCs w:val="16"/>
      </w:rPr>
      <w:fldChar w:fldCharType="end"/>
    </w:r>
  </w:p>
  <w:p w:rsidR="00C368EB" w:rsidRDefault="00C368EB">
    <w:pPr>
      <w:pStyle w:val="Pt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</w:t>
    </w:r>
  </w:p>
  <w:p w:rsidR="00C368EB" w:rsidRDefault="00C368EB">
    <w:pPr>
      <w:pStyle w:val="Pta"/>
      <w:rPr>
        <w:rFonts w:ascii="Arial" w:hAnsi="Arial" w:cs="Arial"/>
        <w:sz w:val="16"/>
        <w:szCs w:val="16"/>
      </w:rPr>
    </w:pPr>
  </w:p>
  <w:p w:rsidR="00C368EB" w:rsidRDefault="00C368EB">
    <w:pPr>
      <w:pStyle w:val="Pta"/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8EB" w:rsidRDefault="00C368EB">
      <w:r>
        <w:separator/>
      </w:r>
    </w:p>
  </w:footnote>
  <w:footnote w:type="continuationSeparator" w:id="0">
    <w:p w:rsidR="00C368EB" w:rsidRDefault="00C36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B41" w:rsidRDefault="00146B4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8EB" w:rsidRDefault="00C368EB" w:rsidP="00A4321D">
    <w:pPr>
      <w:pStyle w:val="Hlavika"/>
      <w:rPr>
        <w:rFonts w:ascii="Times New Roman" w:hAnsi="Times New Roman"/>
        <w:bCs/>
        <w:sz w:val="18"/>
        <w:szCs w:val="18"/>
        <w:lang w:val="sk-SK"/>
      </w:rPr>
    </w:pPr>
    <w:r>
      <w:rPr>
        <w:rFonts w:ascii="Times New Roman" w:hAnsi="Times New Roman"/>
        <w:bCs/>
        <w:sz w:val="18"/>
        <w:szCs w:val="18"/>
        <w:lang w:val="sk-SK"/>
      </w:rPr>
      <w:t>Schválený text k rozhodnutiu o zmene, ev. č.: 2015/07307-ZME</w:t>
    </w:r>
  </w:p>
  <w:p w:rsidR="00C368EB" w:rsidRDefault="00C368EB" w:rsidP="00A4321D">
    <w:pPr>
      <w:pStyle w:val="Hlavika"/>
      <w:rPr>
        <w:rFonts w:ascii="Times New Roman" w:hAnsi="Times New Roman"/>
        <w:bCs/>
        <w:sz w:val="18"/>
        <w:szCs w:val="18"/>
      </w:rPr>
    </w:pPr>
    <w:proofErr w:type="spellStart"/>
    <w:r w:rsidRPr="003546B8">
      <w:rPr>
        <w:rFonts w:ascii="Times New Roman" w:hAnsi="Times New Roman"/>
        <w:sz w:val="18"/>
        <w:szCs w:val="18"/>
      </w:rPr>
      <w:t>Príloha</w:t>
    </w:r>
    <w:proofErr w:type="spellEnd"/>
    <w:r w:rsidRPr="003546B8">
      <w:rPr>
        <w:rFonts w:ascii="Times New Roman" w:hAnsi="Times New Roman"/>
        <w:sz w:val="18"/>
        <w:szCs w:val="18"/>
      </w:rPr>
      <w:t xml:space="preserve"> č.</w:t>
    </w:r>
    <w:r>
      <w:rPr>
        <w:rFonts w:ascii="Times New Roman" w:hAnsi="Times New Roman"/>
        <w:sz w:val="18"/>
        <w:szCs w:val="18"/>
      </w:rPr>
      <w:t xml:space="preserve"> </w:t>
    </w:r>
    <w:r w:rsidR="00146B41">
      <w:rPr>
        <w:rFonts w:ascii="Times New Roman" w:hAnsi="Times New Roman"/>
        <w:sz w:val="18"/>
        <w:szCs w:val="18"/>
      </w:rPr>
      <w:t>1</w:t>
    </w:r>
    <w:r w:rsidRPr="003546B8">
      <w:rPr>
        <w:rFonts w:ascii="Times New Roman" w:hAnsi="Times New Roman"/>
        <w:sz w:val="18"/>
        <w:szCs w:val="18"/>
      </w:rPr>
      <w:t xml:space="preserve"> k </w:t>
    </w:r>
    <w:proofErr w:type="spellStart"/>
    <w:r w:rsidRPr="003546B8">
      <w:rPr>
        <w:rFonts w:ascii="Times New Roman" w:hAnsi="Times New Roman"/>
        <w:sz w:val="18"/>
        <w:szCs w:val="18"/>
      </w:rPr>
      <w:t>notifi</w:t>
    </w:r>
    <w:r w:rsidRPr="00F52DB7">
      <w:rPr>
        <w:rFonts w:ascii="Times New Roman" w:hAnsi="Times New Roman"/>
        <w:sz w:val="18"/>
        <w:szCs w:val="18"/>
      </w:rPr>
      <w:t>kácii</w:t>
    </w:r>
    <w:proofErr w:type="spellEnd"/>
    <w:r w:rsidRPr="00F52DB7">
      <w:rPr>
        <w:rFonts w:ascii="Times New Roman" w:hAnsi="Times New Roman"/>
        <w:sz w:val="18"/>
        <w:szCs w:val="18"/>
      </w:rPr>
      <w:t xml:space="preserve"> o </w:t>
    </w:r>
    <w:proofErr w:type="spellStart"/>
    <w:r w:rsidRPr="00F52DB7">
      <w:rPr>
        <w:rFonts w:ascii="Times New Roman" w:hAnsi="Times New Roman"/>
        <w:sz w:val="18"/>
        <w:szCs w:val="18"/>
      </w:rPr>
      <w:t>zmene</w:t>
    </w:r>
    <w:proofErr w:type="spellEnd"/>
    <w:r w:rsidRPr="00F52DB7">
      <w:rPr>
        <w:rFonts w:ascii="Times New Roman" w:hAnsi="Times New Roman"/>
        <w:sz w:val="18"/>
        <w:szCs w:val="18"/>
      </w:rPr>
      <w:t xml:space="preserve">, </w:t>
    </w:r>
    <w:proofErr w:type="spellStart"/>
    <w:r w:rsidRPr="00F52DB7">
      <w:rPr>
        <w:rFonts w:ascii="Times New Roman" w:hAnsi="Times New Roman"/>
        <w:sz w:val="18"/>
        <w:szCs w:val="18"/>
      </w:rPr>
      <w:t>ev</w:t>
    </w:r>
    <w:proofErr w:type="spellEnd"/>
    <w:r w:rsidRPr="00F52DB7">
      <w:rPr>
        <w:rFonts w:ascii="Times New Roman" w:hAnsi="Times New Roman"/>
        <w:sz w:val="18"/>
        <w:szCs w:val="18"/>
      </w:rPr>
      <w:t>.</w:t>
    </w:r>
    <w:r>
      <w:rPr>
        <w:rFonts w:ascii="Times New Roman" w:hAnsi="Times New Roman"/>
        <w:sz w:val="18"/>
        <w:szCs w:val="18"/>
      </w:rPr>
      <w:t xml:space="preserve"> </w:t>
    </w:r>
    <w:r w:rsidRPr="00F52DB7">
      <w:rPr>
        <w:rFonts w:ascii="Times New Roman" w:hAnsi="Times New Roman"/>
        <w:sz w:val="18"/>
        <w:szCs w:val="18"/>
      </w:rPr>
      <w:t>č.</w:t>
    </w:r>
    <w:r w:rsidRPr="003546B8">
      <w:rPr>
        <w:rFonts w:ascii="Times New Roman" w:hAnsi="Times New Roman"/>
        <w:bCs/>
        <w:sz w:val="18"/>
        <w:szCs w:val="18"/>
        <w:lang w:val="sk-SK"/>
      </w:rPr>
      <w:t>:</w:t>
    </w:r>
    <w:r w:rsidRPr="00F52DB7">
      <w:rPr>
        <w:rFonts w:ascii="Times New Roman" w:hAnsi="Times New Roman"/>
        <w:bCs/>
        <w:sz w:val="18"/>
        <w:szCs w:val="18"/>
        <w:lang w:val="sk-SK"/>
      </w:rPr>
      <w:t xml:space="preserve"> </w:t>
    </w:r>
    <w:r w:rsidRPr="00B2237A">
      <w:rPr>
        <w:rFonts w:ascii="Times New Roman" w:hAnsi="Times New Roman"/>
        <w:bCs/>
        <w:sz w:val="18"/>
        <w:szCs w:val="18"/>
      </w:rPr>
      <w:t>2018/02624-ZIA</w:t>
    </w:r>
  </w:p>
  <w:p w:rsidR="00C368EB" w:rsidRDefault="00146B41">
    <w:pPr>
      <w:pStyle w:val="Hlavika"/>
    </w:pPr>
    <w:proofErr w:type="spellStart"/>
    <w:r w:rsidRPr="003546B8">
      <w:rPr>
        <w:rFonts w:ascii="Times New Roman" w:hAnsi="Times New Roman"/>
        <w:sz w:val="18"/>
        <w:szCs w:val="18"/>
      </w:rPr>
      <w:t>Príloha</w:t>
    </w:r>
    <w:proofErr w:type="spellEnd"/>
    <w:r w:rsidRPr="003546B8">
      <w:rPr>
        <w:rFonts w:ascii="Times New Roman" w:hAnsi="Times New Roman"/>
        <w:sz w:val="18"/>
        <w:szCs w:val="18"/>
      </w:rPr>
      <w:t xml:space="preserve"> č.</w:t>
    </w:r>
    <w:r>
      <w:rPr>
        <w:rFonts w:ascii="Times New Roman" w:hAnsi="Times New Roman"/>
        <w:sz w:val="18"/>
        <w:szCs w:val="18"/>
      </w:rPr>
      <w:t xml:space="preserve"> 2</w:t>
    </w:r>
    <w:r w:rsidRPr="003546B8">
      <w:rPr>
        <w:rFonts w:ascii="Times New Roman" w:hAnsi="Times New Roman"/>
        <w:sz w:val="18"/>
        <w:szCs w:val="18"/>
      </w:rPr>
      <w:t xml:space="preserve"> k </w:t>
    </w:r>
    <w:proofErr w:type="spellStart"/>
    <w:r w:rsidRPr="003546B8">
      <w:rPr>
        <w:rFonts w:ascii="Times New Roman" w:hAnsi="Times New Roman"/>
        <w:sz w:val="18"/>
        <w:szCs w:val="18"/>
      </w:rPr>
      <w:t>notifi</w:t>
    </w:r>
    <w:r w:rsidRPr="00F52DB7">
      <w:rPr>
        <w:rFonts w:ascii="Times New Roman" w:hAnsi="Times New Roman"/>
        <w:sz w:val="18"/>
        <w:szCs w:val="18"/>
      </w:rPr>
      <w:t>kácii</w:t>
    </w:r>
    <w:proofErr w:type="spellEnd"/>
    <w:r w:rsidRPr="00F52DB7">
      <w:rPr>
        <w:rFonts w:ascii="Times New Roman" w:hAnsi="Times New Roman"/>
        <w:sz w:val="18"/>
        <w:szCs w:val="18"/>
      </w:rPr>
      <w:t xml:space="preserve"> o </w:t>
    </w:r>
    <w:proofErr w:type="spellStart"/>
    <w:r w:rsidRPr="00F52DB7">
      <w:rPr>
        <w:rFonts w:ascii="Times New Roman" w:hAnsi="Times New Roman"/>
        <w:sz w:val="18"/>
        <w:szCs w:val="18"/>
      </w:rPr>
      <w:t>zmene</w:t>
    </w:r>
    <w:proofErr w:type="spellEnd"/>
    <w:r w:rsidRPr="00F52DB7">
      <w:rPr>
        <w:rFonts w:ascii="Times New Roman" w:hAnsi="Times New Roman"/>
        <w:sz w:val="18"/>
        <w:szCs w:val="18"/>
      </w:rPr>
      <w:t xml:space="preserve">, </w:t>
    </w:r>
    <w:proofErr w:type="spellStart"/>
    <w:r w:rsidRPr="00F52DB7">
      <w:rPr>
        <w:rFonts w:ascii="Times New Roman" w:hAnsi="Times New Roman"/>
        <w:sz w:val="18"/>
        <w:szCs w:val="18"/>
      </w:rPr>
      <w:t>ev</w:t>
    </w:r>
    <w:proofErr w:type="spellEnd"/>
    <w:r w:rsidRPr="00F52DB7">
      <w:rPr>
        <w:rFonts w:ascii="Times New Roman" w:hAnsi="Times New Roman"/>
        <w:sz w:val="18"/>
        <w:szCs w:val="18"/>
      </w:rPr>
      <w:t>.</w:t>
    </w:r>
    <w:r>
      <w:rPr>
        <w:rFonts w:ascii="Times New Roman" w:hAnsi="Times New Roman"/>
        <w:sz w:val="18"/>
        <w:szCs w:val="18"/>
      </w:rPr>
      <w:t xml:space="preserve"> </w:t>
    </w:r>
    <w:r w:rsidRPr="00F52DB7">
      <w:rPr>
        <w:rFonts w:ascii="Times New Roman" w:hAnsi="Times New Roman"/>
        <w:sz w:val="18"/>
        <w:szCs w:val="18"/>
      </w:rPr>
      <w:t>č.</w:t>
    </w:r>
    <w:r w:rsidRPr="003546B8">
      <w:rPr>
        <w:rFonts w:ascii="Times New Roman" w:hAnsi="Times New Roman"/>
        <w:bCs/>
        <w:sz w:val="18"/>
        <w:szCs w:val="18"/>
        <w:lang w:val="sk-SK"/>
      </w:rPr>
      <w:t>:</w:t>
    </w:r>
    <w:r w:rsidRPr="00F52DB7">
      <w:rPr>
        <w:rFonts w:ascii="Times New Roman" w:hAnsi="Times New Roman"/>
        <w:bCs/>
        <w:sz w:val="18"/>
        <w:szCs w:val="18"/>
        <w:lang w:val="sk-SK"/>
      </w:rPr>
      <w:t xml:space="preserve"> </w:t>
    </w:r>
    <w:hyperlink r:id="rId1" w:history="1">
      <w:r w:rsidRPr="003546B8">
        <w:rPr>
          <w:rStyle w:val="Hypertextovprepojenie"/>
          <w:rFonts w:ascii="Times New Roman" w:hAnsi="Times New Roman"/>
          <w:color w:val="auto"/>
          <w:sz w:val="18"/>
          <w:szCs w:val="18"/>
          <w:u w:val="none"/>
        </w:rPr>
        <w:t>2018/03805-Z1A</w:t>
      </w:r>
    </w:hyperlink>
    <w:bookmarkStart w:id="2" w:name="_GoBack"/>
    <w:bookmarkEnd w:id="2"/>
  </w:p>
  <w:p w:rsidR="00146B41" w:rsidRDefault="00146B41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8EB" w:rsidRDefault="00C368EB">
    <w:pPr>
      <w:pStyle w:val="Hlavika"/>
      <w:framePr w:wrap="around" w:vAnchor="text" w:hAnchor="margin" w:xAlign="right" w:y="1"/>
      <w:rPr>
        <w:rStyle w:val="slostrany"/>
        <w:rFonts w:ascii="Courier New" w:hAnsi="Courier New"/>
      </w:rPr>
    </w:pPr>
  </w:p>
  <w:p w:rsidR="00C368EB" w:rsidRDefault="00C368EB">
    <w:pPr>
      <w:pStyle w:val="Nadpis5"/>
      <w:rPr>
        <w:rFonts w:ascii="Arial" w:hAnsi="Arial"/>
        <w:b/>
        <w:sz w:val="16"/>
        <w:szCs w:val="16"/>
      </w:rPr>
    </w:pPr>
  </w:p>
  <w:p w:rsidR="00C368EB" w:rsidRDefault="00C368EB">
    <w:pPr>
      <w:pStyle w:val="Nadpis5"/>
      <w:rPr>
        <w:rFonts w:ascii="Arial" w:hAnsi="Arial"/>
        <w:b/>
        <w:sz w:val="16"/>
        <w:szCs w:val="16"/>
      </w:rPr>
    </w:pPr>
  </w:p>
  <w:p w:rsidR="00C368EB" w:rsidRDefault="00C368EB">
    <w:pPr>
      <w:pStyle w:val="Nadpis5"/>
      <w:rPr>
        <w:rFonts w:ascii="Arial" w:hAnsi="Arial"/>
        <w:b/>
        <w:sz w:val="16"/>
        <w:szCs w:val="16"/>
      </w:rPr>
    </w:pPr>
  </w:p>
  <w:p w:rsidR="00C368EB" w:rsidRDefault="00C368E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8807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FC4691"/>
    <w:multiLevelType w:val="hybridMultilevel"/>
    <w:tmpl w:val="B1C20C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B9C20DD"/>
    <w:multiLevelType w:val="hybridMultilevel"/>
    <w:tmpl w:val="FAECEB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F426AB7"/>
    <w:multiLevelType w:val="hybridMultilevel"/>
    <w:tmpl w:val="18945604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3E8291B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0DE0CB3"/>
    <w:multiLevelType w:val="hybridMultilevel"/>
    <w:tmpl w:val="C36A338A"/>
    <w:lvl w:ilvl="0" w:tplc="DD0A4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92D652D"/>
    <w:multiLevelType w:val="hybridMultilevel"/>
    <w:tmpl w:val="89AE4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8A5914"/>
    <w:multiLevelType w:val="hybridMultilevel"/>
    <w:tmpl w:val="451A53CE"/>
    <w:lvl w:ilvl="0" w:tplc="DD0A4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0AE4AAC"/>
    <w:multiLevelType w:val="singleLevel"/>
    <w:tmpl w:val="9536B200"/>
    <w:name w:val="dtBL List Bullet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u w:val="none"/>
        <w:effect w:val="none"/>
      </w:rPr>
    </w:lvl>
  </w:abstractNum>
  <w:abstractNum w:abstractNumId="8">
    <w:nsid w:val="6ADD74E3"/>
    <w:multiLevelType w:val="hybridMultilevel"/>
    <w:tmpl w:val="EA1E23F8"/>
    <w:lvl w:ilvl="0" w:tplc="DD0A4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0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27A"/>
    <w:rsid w:val="00000244"/>
    <w:rsid w:val="00003ECA"/>
    <w:rsid w:val="00014F1F"/>
    <w:rsid w:val="000246A2"/>
    <w:rsid w:val="00034228"/>
    <w:rsid w:val="00044D69"/>
    <w:rsid w:val="000B314C"/>
    <w:rsid w:val="000B5721"/>
    <w:rsid w:val="000F28FC"/>
    <w:rsid w:val="00107B96"/>
    <w:rsid w:val="00146B41"/>
    <w:rsid w:val="00186886"/>
    <w:rsid w:val="0022351E"/>
    <w:rsid w:val="00264041"/>
    <w:rsid w:val="002C0CE3"/>
    <w:rsid w:val="0031198A"/>
    <w:rsid w:val="003254DE"/>
    <w:rsid w:val="003546B8"/>
    <w:rsid w:val="00361FDB"/>
    <w:rsid w:val="00487132"/>
    <w:rsid w:val="004C61B7"/>
    <w:rsid w:val="005913BA"/>
    <w:rsid w:val="005A2122"/>
    <w:rsid w:val="005C460E"/>
    <w:rsid w:val="0060742F"/>
    <w:rsid w:val="00610834"/>
    <w:rsid w:val="00642338"/>
    <w:rsid w:val="00673DAD"/>
    <w:rsid w:val="006C0AC4"/>
    <w:rsid w:val="006C4EF7"/>
    <w:rsid w:val="00710261"/>
    <w:rsid w:val="007312AE"/>
    <w:rsid w:val="00771075"/>
    <w:rsid w:val="00796A03"/>
    <w:rsid w:val="007A4821"/>
    <w:rsid w:val="007F1A2D"/>
    <w:rsid w:val="0084727A"/>
    <w:rsid w:val="00865B53"/>
    <w:rsid w:val="00882757"/>
    <w:rsid w:val="008F0419"/>
    <w:rsid w:val="009115DB"/>
    <w:rsid w:val="00960250"/>
    <w:rsid w:val="00966368"/>
    <w:rsid w:val="009A572D"/>
    <w:rsid w:val="009D4833"/>
    <w:rsid w:val="009F324E"/>
    <w:rsid w:val="00A32559"/>
    <w:rsid w:val="00A42421"/>
    <w:rsid w:val="00A4321D"/>
    <w:rsid w:val="00A62F69"/>
    <w:rsid w:val="00A9408C"/>
    <w:rsid w:val="00B114AA"/>
    <w:rsid w:val="00B633F9"/>
    <w:rsid w:val="00B91D53"/>
    <w:rsid w:val="00B92CF7"/>
    <w:rsid w:val="00B9321C"/>
    <w:rsid w:val="00BC236A"/>
    <w:rsid w:val="00BC7D78"/>
    <w:rsid w:val="00BD7BD1"/>
    <w:rsid w:val="00C27526"/>
    <w:rsid w:val="00C3298C"/>
    <w:rsid w:val="00C368EB"/>
    <w:rsid w:val="00C90F34"/>
    <w:rsid w:val="00D5675B"/>
    <w:rsid w:val="00D56C1D"/>
    <w:rsid w:val="00D64619"/>
    <w:rsid w:val="00D6573F"/>
    <w:rsid w:val="00D67B1B"/>
    <w:rsid w:val="00D87151"/>
    <w:rsid w:val="00DA1189"/>
    <w:rsid w:val="00DC340E"/>
    <w:rsid w:val="00E36C25"/>
    <w:rsid w:val="00F358D2"/>
    <w:rsid w:val="00F52DB7"/>
    <w:rsid w:val="00F73056"/>
    <w:rsid w:val="00F73382"/>
    <w:rsid w:val="00FA0C83"/>
    <w:rsid w:val="00FC0247"/>
    <w:rsid w:val="00FF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overflowPunct w:val="0"/>
      <w:autoSpaceDE w:val="0"/>
      <w:autoSpaceDN w:val="0"/>
      <w:adjustRightInd w:val="0"/>
      <w:jc w:val="both"/>
      <w:outlineLvl w:val="3"/>
    </w:pPr>
    <w:rPr>
      <w:b/>
      <w:szCs w:val="20"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overflowPunct w:val="0"/>
      <w:autoSpaceDE w:val="0"/>
      <w:autoSpaceDN w:val="0"/>
      <w:adjustRightInd w:val="0"/>
      <w:jc w:val="center"/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uiPriority w:val="99"/>
    <w:qFormat/>
    <w:pPr>
      <w:keepNext/>
      <w:tabs>
        <w:tab w:val="left" w:pos="720"/>
      </w:tabs>
      <w:overflowPunct w:val="0"/>
      <w:autoSpaceDE w:val="0"/>
      <w:autoSpaceDN w:val="0"/>
      <w:adjustRightInd w:val="0"/>
      <w:ind w:left="360"/>
      <w:outlineLvl w:val="5"/>
    </w:pPr>
    <w:rPr>
      <w:b/>
      <w:szCs w:val="20"/>
      <w:lang w:val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090F5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90F5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90F58"/>
    <w:rPr>
      <w:rFonts w:asciiTheme="minorHAnsi" w:eastAsiaTheme="minorEastAsia" w:hAnsiTheme="minorHAnsi" w:cstheme="minorBidi"/>
      <w:b/>
      <w:bCs/>
    </w:rPr>
  </w:style>
  <w:style w:type="character" w:styleId="Hypertextovprepojenie">
    <w:name w:val="Hyperlink"/>
    <w:basedOn w:val="Predvolenpsmoodseku"/>
    <w:uiPriority w:val="99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Pr>
      <w:rFonts w:cs="Times New Roman"/>
      <w:color w:val="800080"/>
      <w:u w:val="single"/>
    </w:rPr>
  </w:style>
  <w:style w:type="character" w:styleId="Zvraznenie">
    <w:name w:val="Emphasis"/>
    <w:basedOn w:val="Predvolenpsmoodseku"/>
    <w:uiPriority w:val="99"/>
    <w:qFormat/>
    <w:rPr>
      <w:rFonts w:cs="Times New Roman"/>
      <w:i/>
    </w:rPr>
  </w:style>
  <w:style w:type="paragraph" w:styleId="Normlnywebov">
    <w:name w:val="Normal (Web)"/>
    <w:basedOn w:val="Normlny"/>
    <w:uiPriority w:val="99"/>
    <w:pPr>
      <w:spacing w:before="100" w:beforeAutospacing="1" w:after="100" w:afterAutospacing="1"/>
    </w:pPr>
    <w:rPr>
      <w:lang w:val="sk-SK" w:eastAsia="sk-SK"/>
    </w:rPr>
  </w:style>
  <w:style w:type="character" w:customStyle="1" w:styleId="TextkomentraChar">
    <w:name w:val="Text komentára Char"/>
    <w:link w:val="Textkomentra"/>
    <w:uiPriority w:val="99"/>
    <w:locked/>
    <w:rPr>
      <w:lang w:val="en-US" w:eastAsia="en-US"/>
    </w:rPr>
  </w:style>
  <w:style w:type="paragraph" w:styleId="Textkomentra">
    <w:name w:val="annotation text"/>
    <w:basedOn w:val="Normlny"/>
    <w:link w:val="TextkomentraChar"/>
    <w:uiPriority w:val="99"/>
    <w:rPr>
      <w:sz w:val="20"/>
      <w:szCs w:val="20"/>
    </w:rPr>
  </w:style>
  <w:style w:type="character" w:customStyle="1" w:styleId="CommentTextChar1">
    <w:name w:val="Comment Text Char1"/>
    <w:basedOn w:val="Predvolenpsmoodseku"/>
    <w:uiPriority w:val="99"/>
    <w:semiHidden/>
    <w:rsid w:val="00090F58"/>
    <w:rPr>
      <w:sz w:val="20"/>
      <w:szCs w:val="20"/>
    </w:rPr>
  </w:style>
  <w:style w:type="character" w:customStyle="1" w:styleId="HlavikaChar">
    <w:name w:val="Hlavička Char"/>
    <w:link w:val="Hlavika"/>
    <w:uiPriority w:val="99"/>
    <w:locked/>
    <w:rPr>
      <w:rFonts w:ascii="Courier New" w:hAnsi="Courier New"/>
      <w:sz w:val="24"/>
      <w:lang w:val="en-US" w:eastAsia="en-US"/>
    </w:rPr>
  </w:style>
  <w:style w:type="paragraph" w:styleId="Hlavika">
    <w:name w:val="header"/>
    <w:basedOn w:val="Normlny"/>
    <w:link w:val="Hlavika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ascii="Courier New" w:hAnsi="Courier New"/>
      <w:szCs w:val="20"/>
    </w:rPr>
  </w:style>
  <w:style w:type="character" w:customStyle="1" w:styleId="HeaderChar1">
    <w:name w:val="Header Char1"/>
    <w:basedOn w:val="Predvolenpsmoodseku"/>
    <w:uiPriority w:val="99"/>
    <w:semiHidden/>
    <w:rsid w:val="00090F58"/>
    <w:rPr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ascii="Courier New" w:hAnsi="Courier New"/>
      <w:szCs w:val="20"/>
    </w:rPr>
  </w:style>
  <w:style w:type="character" w:customStyle="1" w:styleId="PtaChar">
    <w:name w:val="Päta Char"/>
    <w:basedOn w:val="Predvolenpsmoodseku"/>
    <w:link w:val="Pta"/>
    <w:uiPriority w:val="99"/>
    <w:semiHidden/>
    <w:rsid w:val="00090F58"/>
    <w:rPr>
      <w:sz w:val="24"/>
      <w:szCs w:val="24"/>
    </w:rPr>
  </w:style>
  <w:style w:type="paragraph" w:styleId="Zoznamsodrkami">
    <w:name w:val="List Bullet"/>
    <w:basedOn w:val="Normlny"/>
    <w:uiPriority w:val="99"/>
    <w:pPr>
      <w:numPr>
        <w:numId w:val="2"/>
      </w:numPr>
      <w:spacing w:after="240"/>
    </w:pPr>
  </w:style>
  <w:style w:type="character" w:customStyle="1" w:styleId="ZverChar">
    <w:name w:val="Záver Char"/>
    <w:link w:val="Zver"/>
    <w:uiPriority w:val="99"/>
    <w:locked/>
    <w:rPr>
      <w:rFonts w:ascii="Arial" w:hAnsi="Arial"/>
      <w:spacing w:val="-5"/>
      <w:lang w:val="en-US" w:eastAsia="en-US"/>
    </w:rPr>
  </w:style>
  <w:style w:type="paragraph" w:styleId="Zver">
    <w:name w:val="Closing"/>
    <w:basedOn w:val="Normlny"/>
    <w:link w:val="ZverChar"/>
    <w:uiPriority w:val="99"/>
    <w:pPr>
      <w:keepNext/>
      <w:spacing w:line="220" w:lineRule="atLeast"/>
    </w:pPr>
    <w:rPr>
      <w:rFonts w:ascii="Arial" w:hAnsi="Arial"/>
      <w:spacing w:val="-5"/>
      <w:sz w:val="20"/>
      <w:szCs w:val="20"/>
    </w:rPr>
  </w:style>
  <w:style w:type="character" w:customStyle="1" w:styleId="ClosingChar1">
    <w:name w:val="Closing Char1"/>
    <w:basedOn w:val="Predvolenpsmoodseku"/>
    <w:uiPriority w:val="99"/>
    <w:semiHidden/>
    <w:rsid w:val="00090F58"/>
    <w:rPr>
      <w:sz w:val="24"/>
      <w:szCs w:val="24"/>
    </w:rPr>
  </w:style>
  <w:style w:type="paragraph" w:styleId="Zkladntext">
    <w:name w:val="Body Text"/>
    <w:basedOn w:val="Normlny"/>
    <w:link w:val="ZkladntextChar"/>
    <w:uiPriority w:val="99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90F58"/>
    <w:rPr>
      <w:sz w:val="24"/>
      <w:szCs w:val="24"/>
    </w:rPr>
  </w:style>
  <w:style w:type="character" w:customStyle="1" w:styleId="PredmetkomentraChar">
    <w:name w:val="Predmet komentára Char"/>
    <w:link w:val="Predmetkomentra"/>
    <w:uiPriority w:val="99"/>
    <w:locked/>
    <w:rPr>
      <w:b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Pr>
      <w:b/>
      <w:bCs/>
    </w:rPr>
  </w:style>
  <w:style w:type="character" w:customStyle="1" w:styleId="CommentSubjectChar1">
    <w:name w:val="Comment Subject Char1"/>
    <w:basedOn w:val="TextkomentraChar"/>
    <w:uiPriority w:val="99"/>
    <w:semiHidden/>
    <w:rsid w:val="00090F58"/>
    <w:rPr>
      <w:b/>
      <w:bCs/>
      <w:sz w:val="20"/>
      <w:szCs w:val="20"/>
      <w:lang w:val="en-US" w:eastAsia="en-US"/>
    </w:rPr>
  </w:style>
  <w:style w:type="character" w:customStyle="1" w:styleId="TextbublinyChar">
    <w:name w:val="Text bubliny Char"/>
    <w:link w:val="Textbubliny"/>
    <w:uiPriority w:val="99"/>
    <w:locked/>
    <w:rPr>
      <w:rFonts w:ascii="Tahoma" w:hAnsi="Tahoma"/>
      <w:sz w:val="16"/>
      <w:lang w:val="en-US" w:eastAsia="en-US"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Predvolenpsmoodseku"/>
    <w:uiPriority w:val="99"/>
    <w:semiHidden/>
    <w:rsid w:val="00090F58"/>
    <w:rPr>
      <w:sz w:val="0"/>
      <w:szCs w:val="0"/>
    </w:rPr>
  </w:style>
  <w:style w:type="paragraph" w:styleId="Revzia">
    <w:name w:val="Revision"/>
    <w:uiPriority w:val="99"/>
    <w:semiHidden/>
    <w:rPr>
      <w:sz w:val="24"/>
      <w:szCs w:val="24"/>
    </w:rPr>
  </w:style>
  <w:style w:type="paragraph" w:styleId="Odsekzoznamu">
    <w:name w:val="List Paragraph"/>
    <w:basedOn w:val="Normlny"/>
    <w:uiPriority w:val="99"/>
    <w:qFormat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rPr>
      <w:rFonts w:cs="Times New Roman"/>
      <w:sz w:val="16"/>
    </w:rPr>
  </w:style>
  <w:style w:type="character" w:styleId="slostrany">
    <w:name w:val="page number"/>
    <w:basedOn w:val="Predvolenpsmoodseku"/>
    <w:uiPriority w:val="99"/>
    <w:rPr>
      <w:rFonts w:ascii="Times New Roman" w:hAnsi="Times New Roman" w:cs="Times New Roman"/>
    </w:rPr>
  </w:style>
  <w:style w:type="character" w:customStyle="1" w:styleId="TableText12">
    <w:name w:val="TableText 12"/>
    <w:uiPriority w:val="99"/>
    <w:rPr>
      <w:rFonts w:ascii="Times New Roman" w:hAnsi="Times New Roman"/>
      <w:sz w:val="24"/>
    </w:rPr>
  </w:style>
  <w:style w:type="character" w:customStyle="1" w:styleId="HeaderChar11">
    <w:name w:val="Header Char11"/>
    <w:uiPriority w:val="99"/>
    <w:rPr>
      <w:rFonts w:ascii="Times New Roman" w:hAnsi="Times New Roman"/>
      <w:sz w:val="20"/>
      <w:lang w:val="en-GB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overflowPunct w:val="0"/>
      <w:autoSpaceDE w:val="0"/>
      <w:autoSpaceDN w:val="0"/>
      <w:adjustRightInd w:val="0"/>
      <w:jc w:val="both"/>
      <w:outlineLvl w:val="3"/>
    </w:pPr>
    <w:rPr>
      <w:b/>
      <w:szCs w:val="20"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overflowPunct w:val="0"/>
      <w:autoSpaceDE w:val="0"/>
      <w:autoSpaceDN w:val="0"/>
      <w:adjustRightInd w:val="0"/>
      <w:jc w:val="center"/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uiPriority w:val="99"/>
    <w:qFormat/>
    <w:pPr>
      <w:keepNext/>
      <w:tabs>
        <w:tab w:val="left" w:pos="720"/>
      </w:tabs>
      <w:overflowPunct w:val="0"/>
      <w:autoSpaceDE w:val="0"/>
      <w:autoSpaceDN w:val="0"/>
      <w:adjustRightInd w:val="0"/>
      <w:ind w:left="360"/>
      <w:outlineLvl w:val="5"/>
    </w:pPr>
    <w:rPr>
      <w:b/>
      <w:szCs w:val="20"/>
      <w:lang w:val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090F5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90F5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90F58"/>
    <w:rPr>
      <w:rFonts w:asciiTheme="minorHAnsi" w:eastAsiaTheme="minorEastAsia" w:hAnsiTheme="minorHAnsi" w:cstheme="minorBidi"/>
      <w:b/>
      <w:bCs/>
    </w:rPr>
  </w:style>
  <w:style w:type="character" w:styleId="Hypertextovprepojenie">
    <w:name w:val="Hyperlink"/>
    <w:basedOn w:val="Predvolenpsmoodseku"/>
    <w:uiPriority w:val="99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Pr>
      <w:rFonts w:cs="Times New Roman"/>
      <w:color w:val="800080"/>
      <w:u w:val="single"/>
    </w:rPr>
  </w:style>
  <w:style w:type="character" w:styleId="Zvraznenie">
    <w:name w:val="Emphasis"/>
    <w:basedOn w:val="Predvolenpsmoodseku"/>
    <w:uiPriority w:val="99"/>
    <w:qFormat/>
    <w:rPr>
      <w:rFonts w:cs="Times New Roman"/>
      <w:i/>
    </w:rPr>
  </w:style>
  <w:style w:type="paragraph" w:styleId="Normlnywebov">
    <w:name w:val="Normal (Web)"/>
    <w:basedOn w:val="Normlny"/>
    <w:uiPriority w:val="99"/>
    <w:pPr>
      <w:spacing w:before="100" w:beforeAutospacing="1" w:after="100" w:afterAutospacing="1"/>
    </w:pPr>
    <w:rPr>
      <w:lang w:val="sk-SK" w:eastAsia="sk-SK"/>
    </w:rPr>
  </w:style>
  <w:style w:type="character" w:customStyle="1" w:styleId="TextkomentraChar">
    <w:name w:val="Text komentára Char"/>
    <w:link w:val="Textkomentra"/>
    <w:uiPriority w:val="99"/>
    <w:locked/>
    <w:rPr>
      <w:lang w:val="en-US" w:eastAsia="en-US"/>
    </w:rPr>
  </w:style>
  <w:style w:type="paragraph" w:styleId="Textkomentra">
    <w:name w:val="annotation text"/>
    <w:basedOn w:val="Normlny"/>
    <w:link w:val="TextkomentraChar"/>
    <w:uiPriority w:val="99"/>
    <w:rPr>
      <w:sz w:val="20"/>
      <w:szCs w:val="20"/>
    </w:rPr>
  </w:style>
  <w:style w:type="character" w:customStyle="1" w:styleId="CommentTextChar1">
    <w:name w:val="Comment Text Char1"/>
    <w:basedOn w:val="Predvolenpsmoodseku"/>
    <w:uiPriority w:val="99"/>
    <w:semiHidden/>
    <w:rsid w:val="00090F58"/>
    <w:rPr>
      <w:sz w:val="20"/>
      <w:szCs w:val="20"/>
    </w:rPr>
  </w:style>
  <w:style w:type="character" w:customStyle="1" w:styleId="HlavikaChar">
    <w:name w:val="Hlavička Char"/>
    <w:link w:val="Hlavika"/>
    <w:uiPriority w:val="99"/>
    <w:locked/>
    <w:rPr>
      <w:rFonts w:ascii="Courier New" w:hAnsi="Courier New"/>
      <w:sz w:val="24"/>
      <w:lang w:val="en-US" w:eastAsia="en-US"/>
    </w:rPr>
  </w:style>
  <w:style w:type="paragraph" w:styleId="Hlavika">
    <w:name w:val="header"/>
    <w:basedOn w:val="Normlny"/>
    <w:link w:val="Hlavika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ascii="Courier New" w:hAnsi="Courier New"/>
      <w:szCs w:val="20"/>
    </w:rPr>
  </w:style>
  <w:style w:type="character" w:customStyle="1" w:styleId="HeaderChar1">
    <w:name w:val="Header Char1"/>
    <w:basedOn w:val="Predvolenpsmoodseku"/>
    <w:uiPriority w:val="99"/>
    <w:semiHidden/>
    <w:rsid w:val="00090F58"/>
    <w:rPr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ascii="Courier New" w:hAnsi="Courier New"/>
      <w:szCs w:val="20"/>
    </w:rPr>
  </w:style>
  <w:style w:type="character" w:customStyle="1" w:styleId="PtaChar">
    <w:name w:val="Päta Char"/>
    <w:basedOn w:val="Predvolenpsmoodseku"/>
    <w:link w:val="Pta"/>
    <w:uiPriority w:val="99"/>
    <w:semiHidden/>
    <w:rsid w:val="00090F58"/>
    <w:rPr>
      <w:sz w:val="24"/>
      <w:szCs w:val="24"/>
    </w:rPr>
  </w:style>
  <w:style w:type="paragraph" w:styleId="Zoznamsodrkami">
    <w:name w:val="List Bullet"/>
    <w:basedOn w:val="Normlny"/>
    <w:uiPriority w:val="99"/>
    <w:pPr>
      <w:numPr>
        <w:numId w:val="2"/>
      </w:numPr>
      <w:spacing w:after="240"/>
    </w:pPr>
  </w:style>
  <w:style w:type="character" w:customStyle="1" w:styleId="ZverChar">
    <w:name w:val="Záver Char"/>
    <w:link w:val="Zver"/>
    <w:uiPriority w:val="99"/>
    <w:locked/>
    <w:rPr>
      <w:rFonts w:ascii="Arial" w:hAnsi="Arial"/>
      <w:spacing w:val="-5"/>
      <w:lang w:val="en-US" w:eastAsia="en-US"/>
    </w:rPr>
  </w:style>
  <w:style w:type="paragraph" w:styleId="Zver">
    <w:name w:val="Closing"/>
    <w:basedOn w:val="Normlny"/>
    <w:link w:val="ZverChar"/>
    <w:uiPriority w:val="99"/>
    <w:pPr>
      <w:keepNext/>
      <w:spacing w:line="220" w:lineRule="atLeast"/>
    </w:pPr>
    <w:rPr>
      <w:rFonts w:ascii="Arial" w:hAnsi="Arial"/>
      <w:spacing w:val="-5"/>
      <w:sz w:val="20"/>
      <w:szCs w:val="20"/>
    </w:rPr>
  </w:style>
  <w:style w:type="character" w:customStyle="1" w:styleId="ClosingChar1">
    <w:name w:val="Closing Char1"/>
    <w:basedOn w:val="Predvolenpsmoodseku"/>
    <w:uiPriority w:val="99"/>
    <w:semiHidden/>
    <w:rsid w:val="00090F58"/>
    <w:rPr>
      <w:sz w:val="24"/>
      <w:szCs w:val="24"/>
    </w:rPr>
  </w:style>
  <w:style w:type="paragraph" w:styleId="Zkladntext">
    <w:name w:val="Body Text"/>
    <w:basedOn w:val="Normlny"/>
    <w:link w:val="ZkladntextChar"/>
    <w:uiPriority w:val="99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90F58"/>
    <w:rPr>
      <w:sz w:val="24"/>
      <w:szCs w:val="24"/>
    </w:rPr>
  </w:style>
  <w:style w:type="character" w:customStyle="1" w:styleId="PredmetkomentraChar">
    <w:name w:val="Predmet komentára Char"/>
    <w:link w:val="Predmetkomentra"/>
    <w:uiPriority w:val="99"/>
    <w:locked/>
    <w:rPr>
      <w:b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Pr>
      <w:b/>
      <w:bCs/>
    </w:rPr>
  </w:style>
  <w:style w:type="character" w:customStyle="1" w:styleId="CommentSubjectChar1">
    <w:name w:val="Comment Subject Char1"/>
    <w:basedOn w:val="TextkomentraChar"/>
    <w:uiPriority w:val="99"/>
    <w:semiHidden/>
    <w:rsid w:val="00090F58"/>
    <w:rPr>
      <w:b/>
      <w:bCs/>
      <w:sz w:val="20"/>
      <w:szCs w:val="20"/>
      <w:lang w:val="en-US" w:eastAsia="en-US"/>
    </w:rPr>
  </w:style>
  <w:style w:type="character" w:customStyle="1" w:styleId="TextbublinyChar">
    <w:name w:val="Text bubliny Char"/>
    <w:link w:val="Textbubliny"/>
    <w:uiPriority w:val="99"/>
    <w:locked/>
    <w:rPr>
      <w:rFonts w:ascii="Tahoma" w:hAnsi="Tahoma"/>
      <w:sz w:val="16"/>
      <w:lang w:val="en-US" w:eastAsia="en-US"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Predvolenpsmoodseku"/>
    <w:uiPriority w:val="99"/>
    <w:semiHidden/>
    <w:rsid w:val="00090F58"/>
    <w:rPr>
      <w:sz w:val="0"/>
      <w:szCs w:val="0"/>
    </w:rPr>
  </w:style>
  <w:style w:type="paragraph" w:styleId="Revzia">
    <w:name w:val="Revision"/>
    <w:uiPriority w:val="99"/>
    <w:semiHidden/>
    <w:rPr>
      <w:sz w:val="24"/>
      <w:szCs w:val="24"/>
    </w:rPr>
  </w:style>
  <w:style w:type="paragraph" w:styleId="Odsekzoznamu">
    <w:name w:val="List Paragraph"/>
    <w:basedOn w:val="Normlny"/>
    <w:uiPriority w:val="99"/>
    <w:qFormat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rPr>
      <w:rFonts w:cs="Times New Roman"/>
      <w:sz w:val="16"/>
    </w:rPr>
  </w:style>
  <w:style w:type="character" w:styleId="slostrany">
    <w:name w:val="page number"/>
    <w:basedOn w:val="Predvolenpsmoodseku"/>
    <w:uiPriority w:val="99"/>
    <w:rPr>
      <w:rFonts w:ascii="Times New Roman" w:hAnsi="Times New Roman" w:cs="Times New Roman"/>
    </w:rPr>
  </w:style>
  <w:style w:type="character" w:customStyle="1" w:styleId="TableText12">
    <w:name w:val="TableText 12"/>
    <w:uiPriority w:val="99"/>
    <w:rPr>
      <w:rFonts w:ascii="Times New Roman" w:hAnsi="Times New Roman"/>
      <w:sz w:val="24"/>
    </w:rPr>
  </w:style>
  <w:style w:type="character" w:customStyle="1" w:styleId="HeaderChar11">
    <w:name w:val="Header Char11"/>
    <w:uiPriority w:val="99"/>
    <w:rPr>
      <w:rFonts w:ascii="Times New Roman" w:hAnsi="Times New Roman"/>
      <w:sz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53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urldefense.proofpoint.com/v2/url?u=https-3A__portal.sukl.sk_eVarSym-3Fact-3DAppLogin-26guid-3D6681a5d0-2D2b8a-2D4ac1-2D9354-2Dd85dda18c411&amp;d=DwMDaQ&amp;c=UE1eNsedaKncO0Yl_u8bfw&amp;r=yaEpO0O3s5VymJsrICISa34zbnu9gX1mVapoTmIQu9A&amp;m=QkKuqS82Evv_UjJqUaw3mnK8FVPzcIkGkHiYA80YKSQ&amp;s=Um7eVM_w3RB5kosOeW_gUCDvJeBtHVtJbzq_qArYQJw&amp;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2840</Words>
  <Characters>18503</Characters>
  <Application>Microsoft Office Word</Application>
  <DocSecurity>0</DocSecurity>
  <Lines>154</Lines>
  <Paragraphs>42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SÚHRN CHARAKTERISTICKÝCH VLASTNOSTÍ LIEKU</vt:lpstr>
      <vt:lpstr>SÚHRN CHARAKTERISTICKÝCH VLASTNOSTÍ LIEKU</vt:lpstr>
      <vt:lpstr>SÚHRN CHARAKTERISTICKÝCH VLASTNOSTÍ LIEKU</vt:lpstr>
    </vt:vector>
  </TitlesOfParts>
  <Company>Pharmacia Corporation</Company>
  <LinksUpToDate>false</LinksUpToDate>
  <CharactersWithSpaces>21301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Karin Sebova, KSEBOVA</dc:creator>
  <cp:lastModifiedBy>MS</cp:lastModifiedBy>
  <cp:revision>4</cp:revision>
  <cp:lastPrinted>2018-03-06T10:33:00Z</cp:lastPrinted>
  <dcterms:created xsi:type="dcterms:W3CDTF">2018-10-11T05:59:00Z</dcterms:created>
  <dcterms:modified xsi:type="dcterms:W3CDTF">2018-10-15T08:28:00Z</dcterms:modified>
</cp:coreProperties>
</file>