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6F4D6" w14:textId="77777777" w:rsidR="00062FF1" w:rsidRPr="00627D2C" w:rsidRDefault="00F52440" w:rsidP="007835BA">
      <w:pPr>
        <w:jc w:val="center"/>
        <w:rPr>
          <w:rFonts w:ascii="Times New Roman" w:hAnsi="Times New Roman" w:cs="Times New Roman"/>
          <w:b/>
          <w:lang w:val="sk-SK"/>
        </w:rPr>
      </w:pPr>
      <w:r w:rsidRPr="00627D2C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602BA024" w14:textId="77777777" w:rsidR="00062FF1" w:rsidRPr="00627D2C" w:rsidRDefault="00062FF1" w:rsidP="00062FF1">
      <w:pPr>
        <w:jc w:val="right"/>
        <w:rPr>
          <w:rFonts w:ascii="Times New Roman" w:hAnsi="Times New Roman" w:cs="Times New Roman"/>
          <w:b/>
          <w:lang w:val="sk-SK"/>
        </w:rPr>
      </w:pPr>
    </w:p>
    <w:p w14:paraId="04AB5C39" w14:textId="77777777" w:rsidR="00062FF1" w:rsidRPr="00627D2C" w:rsidRDefault="00062FF1" w:rsidP="00062FF1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b/>
          <w:lang w:val="sk-SK"/>
        </w:rPr>
        <w:t>NÁZOV LIEKU</w:t>
      </w:r>
    </w:p>
    <w:p w14:paraId="3CFDB3B3" w14:textId="77777777" w:rsidR="00F100DD" w:rsidRPr="00627D2C" w:rsidRDefault="00F100DD" w:rsidP="00F100DD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hAnsi="Times New Roman" w:cs="Times New Roman"/>
          <w:lang w:val="sk-SK"/>
        </w:rPr>
      </w:pPr>
    </w:p>
    <w:p w14:paraId="6BE3AE52" w14:textId="059FFD79" w:rsidR="00062FF1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9C055E">
        <w:rPr>
          <w:rFonts w:ascii="Times New Roman" w:hAnsi="Times New Roman" w:cs="Times New Roman"/>
          <w:lang w:val="sk-SK"/>
        </w:rPr>
        <w:t xml:space="preserve"> </w:t>
      </w:r>
      <w:r w:rsidR="00531AD4" w:rsidRPr="00627D2C">
        <w:rPr>
          <w:rFonts w:ascii="Times New Roman" w:hAnsi="Times New Roman" w:cs="Times New Roman"/>
          <w:lang w:val="sk-SK"/>
        </w:rPr>
        <w:t xml:space="preserve">1 mg/ml perorálny roztok </w:t>
      </w:r>
    </w:p>
    <w:p w14:paraId="131F0B5C" w14:textId="1677B8E9" w:rsidR="007541B2" w:rsidRDefault="007541B2" w:rsidP="00F52440">
      <w:pPr>
        <w:rPr>
          <w:rFonts w:ascii="Times New Roman" w:hAnsi="Times New Roman" w:cs="Times New Roman"/>
          <w:lang w:val="sk-SK"/>
        </w:rPr>
      </w:pPr>
      <w:r w:rsidRPr="007541B2">
        <w:rPr>
          <w:rFonts w:ascii="Times New Roman" w:hAnsi="Times New Roman" w:cs="Times New Roman"/>
          <w:lang w:val="sk-SK"/>
        </w:rPr>
        <w:t>solifenacíniumsukcinát</w:t>
      </w:r>
    </w:p>
    <w:p w14:paraId="7FC88F44" w14:textId="77777777" w:rsidR="00237A32" w:rsidRPr="00627D2C" w:rsidRDefault="00237A32" w:rsidP="00F52440">
      <w:pPr>
        <w:rPr>
          <w:rFonts w:ascii="Times New Roman" w:hAnsi="Times New Roman" w:cs="Times New Roman"/>
          <w:lang w:val="sk-SK"/>
        </w:rPr>
      </w:pPr>
    </w:p>
    <w:p w14:paraId="18A366E5" w14:textId="77777777" w:rsidR="00062FF1" w:rsidRPr="00627D2C" w:rsidRDefault="00062FF1" w:rsidP="00F52440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KVALITATÍVNE A</w:t>
      </w:r>
      <w:r w:rsidRPr="00627D2C">
        <w:rPr>
          <w:rFonts w:ascii="Times New Roman" w:eastAsia="Times New Roman" w:hAnsi="Times New Roman" w:cs="Times New Roman"/>
          <w:b/>
          <w:noProof/>
          <w:lang w:val="sk-SK" w:eastAsia="sk-SK" w:bidi="sk-SK"/>
        </w:rPr>
        <w:t> </w:t>
      </w: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KVANTITATÍVNE ZLOŽENIE</w:t>
      </w:r>
    </w:p>
    <w:p w14:paraId="4FAF1045" w14:textId="77777777" w:rsidR="00F100DD" w:rsidRPr="00627D2C" w:rsidRDefault="00F100DD" w:rsidP="00F100DD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eastAsia="Times New Roman" w:hAnsi="Times New Roman" w:cs="Times New Roman"/>
          <w:lang w:val="sk-SK" w:eastAsia="sk-SK" w:bidi="sk-SK"/>
        </w:rPr>
      </w:pPr>
    </w:p>
    <w:p w14:paraId="0A0FFFEF" w14:textId="65CBAE9F" w:rsidR="00115EB1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9C055E">
        <w:rPr>
          <w:rFonts w:ascii="Times New Roman" w:hAnsi="Times New Roman" w:cs="Times New Roman"/>
          <w:lang w:val="sk-SK"/>
        </w:rPr>
        <w:t xml:space="preserve"> </w:t>
      </w:r>
      <w:r w:rsidR="00115EB1" w:rsidRPr="00627D2C">
        <w:rPr>
          <w:rFonts w:ascii="Times New Roman" w:hAnsi="Times New Roman" w:cs="Times New Roman"/>
          <w:lang w:val="sk-SK"/>
        </w:rPr>
        <w:t>1 mg/ml perorálny roztok:</w:t>
      </w:r>
      <w:r w:rsidR="00F52440" w:rsidRPr="00627D2C">
        <w:rPr>
          <w:rFonts w:ascii="Times New Roman" w:hAnsi="Times New Roman" w:cs="Times New Roman"/>
          <w:lang w:val="sk-SK"/>
        </w:rPr>
        <w:t xml:space="preserve"> </w:t>
      </w:r>
    </w:p>
    <w:p w14:paraId="22DA37A3" w14:textId="77777777" w:rsidR="00F52440" w:rsidRPr="00627D2C" w:rsidRDefault="00115EB1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Každý ml roztoku</w:t>
      </w:r>
      <w:r w:rsidR="00F52440" w:rsidRPr="00627D2C">
        <w:rPr>
          <w:rFonts w:ascii="Times New Roman" w:hAnsi="Times New Roman" w:cs="Times New Roman"/>
          <w:lang w:val="sk-SK"/>
        </w:rPr>
        <w:t xml:space="preserve"> obsahuje 1 mg solifenacíniumsukcinátu</w:t>
      </w:r>
      <w:r w:rsidRPr="00627D2C">
        <w:rPr>
          <w:rFonts w:ascii="Times New Roman" w:hAnsi="Times New Roman" w:cs="Times New Roman"/>
          <w:lang w:val="sk-SK"/>
        </w:rPr>
        <w:t>, čo zodpovedá 0,76</w:t>
      </w:r>
      <w:r w:rsidR="00F52440" w:rsidRPr="00627D2C">
        <w:rPr>
          <w:rFonts w:ascii="Times New Roman" w:hAnsi="Times New Roman" w:cs="Times New Roman"/>
          <w:lang w:val="sk-SK"/>
        </w:rPr>
        <w:t xml:space="preserve"> mg solifenacínu.</w:t>
      </w:r>
    </w:p>
    <w:p w14:paraId="28952A74" w14:textId="0511C25C" w:rsidR="00531AD4" w:rsidRPr="00627D2C" w:rsidRDefault="00F52440" w:rsidP="00531AD4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Pomocné látky so známym účinkom:</w:t>
      </w:r>
      <w:r w:rsidRPr="00627D2C">
        <w:rPr>
          <w:rFonts w:ascii="Times New Roman" w:hAnsi="Times New Roman" w:cs="Times New Roman"/>
          <w:lang w:val="sk-SK"/>
        </w:rPr>
        <w:t xml:space="preserve"> </w:t>
      </w:r>
      <w:r w:rsidR="00531AD4" w:rsidRPr="00627D2C">
        <w:rPr>
          <w:rFonts w:ascii="Times New Roman" w:hAnsi="Times New Roman" w:cs="Times New Roman"/>
          <w:lang w:val="sk-SK"/>
        </w:rPr>
        <w:t>benzo</w:t>
      </w:r>
      <w:r w:rsidR="00F32C65">
        <w:rPr>
          <w:rFonts w:ascii="Times New Roman" w:hAnsi="Times New Roman" w:cs="Times New Roman"/>
          <w:lang w:val="sk-SK"/>
        </w:rPr>
        <w:t>an</w:t>
      </w:r>
      <w:r w:rsidR="00531AD4" w:rsidRPr="00627D2C">
        <w:rPr>
          <w:rFonts w:ascii="Times New Roman" w:hAnsi="Times New Roman" w:cs="Times New Roman"/>
          <w:lang w:val="sk-SK"/>
        </w:rPr>
        <w:t xml:space="preserve"> sodný 0,2 mg/ml a tekutý maltitol (0,4 g/ml)</w:t>
      </w:r>
    </w:p>
    <w:p w14:paraId="7D8A6D7E" w14:textId="77777777" w:rsidR="00F100DD" w:rsidRDefault="00F52440" w:rsidP="00F100DD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6FE90E88" w14:textId="77777777" w:rsidR="00237A32" w:rsidRPr="00627D2C" w:rsidRDefault="00237A32" w:rsidP="00F100DD">
      <w:pPr>
        <w:rPr>
          <w:rFonts w:ascii="Times New Roman" w:hAnsi="Times New Roman" w:cs="Times New Roman"/>
          <w:lang w:val="sk-SK"/>
        </w:rPr>
      </w:pPr>
    </w:p>
    <w:p w14:paraId="4297744F" w14:textId="77777777" w:rsidR="00D66A3F" w:rsidRPr="00627D2C" w:rsidRDefault="00D66A3F" w:rsidP="00F52440">
      <w:pPr>
        <w:keepNext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LIEKOVÁ FORMA</w:t>
      </w:r>
    </w:p>
    <w:p w14:paraId="4755C627" w14:textId="77777777" w:rsidR="00F100DD" w:rsidRPr="00627D2C" w:rsidRDefault="00F100DD" w:rsidP="00F100DD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eastAsia="Times New Roman" w:hAnsi="Times New Roman" w:cs="Times New Roman"/>
          <w:caps/>
          <w:lang w:val="sk-SK" w:eastAsia="sk-SK" w:bidi="sk-SK"/>
        </w:rPr>
      </w:pPr>
    </w:p>
    <w:p w14:paraId="409F9CA3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</w:t>
      </w:r>
      <w:r w:rsidR="00D66A3F" w:rsidRPr="00627D2C">
        <w:rPr>
          <w:rFonts w:ascii="Times New Roman" w:hAnsi="Times New Roman" w:cs="Times New Roman"/>
          <w:lang w:val="sk-SK"/>
        </w:rPr>
        <w:t>erorálny roztok</w:t>
      </w:r>
    </w:p>
    <w:p w14:paraId="4648E438" w14:textId="155A02D0" w:rsidR="00F100DD" w:rsidRDefault="00D66A3F" w:rsidP="00F100DD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Číry bezfarebný roztok</w:t>
      </w:r>
      <w:r w:rsidR="00F52440" w:rsidRPr="00627D2C">
        <w:rPr>
          <w:rFonts w:ascii="Times New Roman" w:hAnsi="Times New Roman" w:cs="Times New Roman"/>
          <w:lang w:val="sk-SK"/>
        </w:rPr>
        <w:t xml:space="preserve"> s </w:t>
      </w:r>
      <w:r w:rsidRPr="00627D2C">
        <w:rPr>
          <w:rFonts w:ascii="Times New Roman" w:hAnsi="Times New Roman" w:cs="Times New Roman"/>
          <w:lang w:val="sk-SK"/>
        </w:rPr>
        <w:t>mätovou</w:t>
      </w:r>
      <w:r w:rsidR="00F100DD" w:rsidRPr="00627D2C">
        <w:rPr>
          <w:rFonts w:ascii="Times New Roman" w:hAnsi="Times New Roman" w:cs="Times New Roman"/>
          <w:lang w:val="sk-SK"/>
        </w:rPr>
        <w:t xml:space="preserve"> </w:t>
      </w:r>
      <w:r w:rsidR="00D84BF3">
        <w:rPr>
          <w:rFonts w:ascii="Times New Roman" w:hAnsi="Times New Roman" w:cs="Times New Roman"/>
          <w:lang w:val="sk-SK"/>
        </w:rPr>
        <w:t>vôňou</w:t>
      </w:r>
    </w:p>
    <w:p w14:paraId="57AA7316" w14:textId="77777777" w:rsidR="00274708" w:rsidRPr="00627D2C" w:rsidRDefault="00274708" w:rsidP="00F100DD">
      <w:pPr>
        <w:rPr>
          <w:rFonts w:ascii="Times New Roman" w:hAnsi="Times New Roman" w:cs="Times New Roman"/>
          <w:lang w:val="sk-SK"/>
        </w:rPr>
      </w:pPr>
    </w:p>
    <w:p w14:paraId="75680B5D" w14:textId="77777777" w:rsidR="00D66A3F" w:rsidRPr="00627D2C" w:rsidRDefault="00D66A3F" w:rsidP="00F52440">
      <w:pPr>
        <w:keepNext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KLINICKÉ ÚDAJE</w:t>
      </w:r>
    </w:p>
    <w:p w14:paraId="3388D284" w14:textId="77777777" w:rsidR="00F100DD" w:rsidRPr="00627D2C" w:rsidRDefault="00F100DD" w:rsidP="00F100DD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eastAsia="Times New Roman" w:hAnsi="Times New Roman" w:cs="Times New Roman"/>
          <w:caps/>
          <w:lang w:val="sk-SK" w:eastAsia="sk-SK" w:bidi="sk-SK"/>
        </w:rPr>
      </w:pPr>
    </w:p>
    <w:p w14:paraId="2300E2CE" w14:textId="77777777" w:rsidR="00F52440" w:rsidRPr="00627D2C" w:rsidRDefault="00673BD8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Terapeutické indikácie</w:t>
      </w:r>
    </w:p>
    <w:p w14:paraId="7409ABEF" w14:textId="77777777" w:rsidR="00B060D3" w:rsidRPr="00627D2C" w:rsidRDefault="00B060D3" w:rsidP="00B060D3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3215EB62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Symptomatická liečba urgentnej</w:t>
      </w:r>
      <w:r w:rsidR="00534F92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inkontinencie a/alebo zvýšenej frekvencie močenia a urgencie, ktorá sa môže vyskytnúť u pacientov so syndrómom hyperaktívneho močového mechúra.</w:t>
      </w:r>
    </w:p>
    <w:p w14:paraId="0DF3D650" w14:textId="77777777" w:rsidR="00F52440" w:rsidRPr="00627D2C" w:rsidRDefault="00534F92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Dávkovanie a spôsob podávania</w:t>
      </w:r>
    </w:p>
    <w:p w14:paraId="5E716805" w14:textId="77777777" w:rsidR="00F100DD" w:rsidRPr="00627D2C" w:rsidRDefault="00F100DD" w:rsidP="00F100DD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3FB0610E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Dávkovanie</w:t>
      </w:r>
    </w:p>
    <w:p w14:paraId="6C883CBC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 xml:space="preserve">Dospelí, vrátane starších </w:t>
      </w:r>
      <w:r w:rsidR="00B060D3" w:rsidRPr="00627D2C">
        <w:rPr>
          <w:rFonts w:ascii="Times New Roman" w:hAnsi="Times New Roman" w:cs="Times New Roman"/>
          <w:i/>
          <w:lang w:val="sk-SK"/>
        </w:rPr>
        <w:t>osôb</w:t>
      </w:r>
      <w:r w:rsidRPr="00627D2C">
        <w:rPr>
          <w:rFonts w:ascii="Times New Roman" w:hAnsi="Times New Roman" w:cs="Times New Roman"/>
          <w:lang w:val="sk-SK"/>
        </w:rPr>
        <w:t xml:space="preserve"> </w:t>
      </w:r>
    </w:p>
    <w:p w14:paraId="418EF2A8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Odporúčaná dávka je 5 mg (5 ml) solifenacíniumsukcinátu jedenkrát denne. V prípade potreby sa dávka môže zvýšiť na 10 mg (10 ml) solifenacíniumsukcinátu jedenkrát</w:t>
      </w:r>
      <w:r w:rsidR="00DA3B1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denne.</w:t>
      </w:r>
    </w:p>
    <w:p w14:paraId="23FFE256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Pediatrická populácia</w:t>
      </w:r>
    </w:p>
    <w:p w14:paraId="2A9AC5C6" w14:textId="453ECF0C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Bezpečnosť a účinnosť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A9131B">
        <w:rPr>
          <w:rFonts w:ascii="Times New Roman" w:hAnsi="Times New Roman" w:cs="Times New Roman"/>
          <w:lang w:val="sk-SK"/>
        </w:rPr>
        <w:t>u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Pr="00627D2C">
        <w:rPr>
          <w:rFonts w:ascii="Times New Roman" w:hAnsi="Times New Roman" w:cs="Times New Roman"/>
          <w:lang w:val="sk-SK"/>
        </w:rPr>
        <w:t xml:space="preserve"> u detí </w:t>
      </w:r>
      <w:r w:rsidR="003201A2" w:rsidRPr="00627D2C">
        <w:rPr>
          <w:rFonts w:ascii="Times New Roman" w:hAnsi="Times New Roman" w:cs="Times New Roman"/>
          <w:lang w:val="sk-SK"/>
        </w:rPr>
        <w:t xml:space="preserve">a dospievajúcich </w:t>
      </w:r>
      <w:r w:rsidRPr="00627D2C">
        <w:rPr>
          <w:rFonts w:ascii="Times New Roman" w:hAnsi="Times New Roman" w:cs="Times New Roman"/>
          <w:lang w:val="sk-SK"/>
        </w:rPr>
        <w:t xml:space="preserve">neboli doteraz stanovené. </w:t>
      </w:r>
      <w:r w:rsidR="006A287B">
        <w:rPr>
          <w:rFonts w:ascii="Times New Roman" w:hAnsi="Times New Roman" w:cs="Times New Roman"/>
          <w:lang w:val="sk-SK"/>
        </w:rPr>
        <w:t>Solifenacín LM</w:t>
      </w:r>
      <w:r w:rsidRPr="00627D2C">
        <w:rPr>
          <w:rFonts w:ascii="Times New Roman" w:hAnsi="Times New Roman" w:cs="Times New Roman"/>
          <w:lang w:val="sk-SK"/>
        </w:rPr>
        <w:t xml:space="preserve"> sa preto nemá používať u</w:t>
      </w:r>
      <w:r w:rsidR="003201A2" w:rsidRPr="00627D2C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detí</w:t>
      </w:r>
      <w:r w:rsidR="003201A2" w:rsidRPr="00627D2C">
        <w:rPr>
          <w:rFonts w:ascii="Times New Roman" w:hAnsi="Times New Roman" w:cs="Times New Roman"/>
          <w:lang w:val="sk-SK"/>
        </w:rPr>
        <w:t xml:space="preserve"> a dospievajúcich mladších ako 18 rokov.</w:t>
      </w:r>
      <w:r w:rsidR="004644C1" w:rsidRPr="00627D2C">
        <w:rPr>
          <w:rFonts w:ascii="Times New Roman" w:hAnsi="Times New Roman" w:cs="Times New Roman"/>
          <w:lang w:val="sk-SK"/>
        </w:rPr>
        <w:t xml:space="preserve"> V súčasnosti dostupné údaje sú opísané v časti 5.1 a 5.2.</w:t>
      </w:r>
    </w:p>
    <w:p w14:paraId="0EA2102E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Pacienti s poruchou funkcie obličiek</w:t>
      </w:r>
    </w:p>
    <w:p w14:paraId="7A53609E" w14:textId="20E9760A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U pacientov s miernou až stredne závažnou poruchou funkcie obličiek (klírens kreatinínu &gt;</w:t>
      </w:r>
      <w:r w:rsidR="00130E04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30</w:t>
      </w:r>
      <w:r w:rsidR="00130E04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ml/min) nie je potrebná úprava dávkovania. P</w:t>
      </w:r>
      <w:r w:rsidR="00403231" w:rsidRPr="00627D2C">
        <w:rPr>
          <w:rFonts w:ascii="Times New Roman" w:hAnsi="Times New Roman" w:cs="Times New Roman"/>
          <w:lang w:val="sk-SK"/>
        </w:rPr>
        <w:t>ri liečbe p</w:t>
      </w:r>
      <w:r w:rsidRPr="00627D2C">
        <w:rPr>
          <w:rFonts w:ascii="Times New Roman" w:hAnsi="Times New Roman" w:cs="Times New Roman"/>
          <w:lang w:val="sk-SK"/>
        </w:rPr>
        <w:t>acient</w:t>
      </w:r>
      <w:r w:rsidR="00403231" w:rsidRPr="00627D2C">
        <w:rPr>
          <w:rFonts w:ascii="Times New Roman" w:hAnsi="Times New Roman" w:cs="Times New Roman"/>
          <w:lang w:val="sk-SK"/>
        </w:rPr>
        <w:t>ov</w:t>
      </w:r>
      <w:r w:rsidRPr="00627D2C">
        <w:rPr>
          <w:rFonts w:ascii="Times New Roman" w:hAnsi="Times New Roman" w:cs="Times New Roman"/>
          <w:lang w:val="sk-SK"/>
        </w:rPr>
        <w:t xml:space="preserve"> so závažnou poruchou</w:t>
      </w:r>
      <w:r w:rsidR="0040323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funkcie obličiek (klírens</w:t>
      </w:r>
      <w:r w:rsidR="0040323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kreatinínu ≤ 30 ml/min) </w:t>
      </w:r>
      <w:r w:rsidR="00130E04">
        <w:rPr>
          <w:rFonts w:ascii="Times New Roman" w:hAnsi="Times New Roman" w:cs="Times New Roman"/>
          <w:lang w:val="sk-SK"/>
        </w:rPr>
        <w:t>sa má</w:t>
      </w:r>
      <w:r w:rsidR="00403231" w:rsidRPr="00627D2C">
        <w:rPr>
          <w:rFonts w:ascii="Times New Roman" w:hAnsi="Times New Roman" w:cs="Times New Roman"/>
          <w:lang w:val="sk-SK"/>
        </w:rPr>
        <w:t xml:space="preserve"> postupovať</w:t>
      </w:r>
      <w:r w:rsidRPr="00627D2C">
        <w:rPr>
          <w:rFonts w:ascii="Times New Roman" w:hAnsi="Times New Roman" w:cs="Times New Roman"/>
          <w:lang w:val="sk-SK"/>
        </w:rPr>
        <w:t xml:space="preserve"> </w:t>
      </w:r>
      <w:r w:rsidR="00130E04">
        <w:rPr>
          <w:rFonts w:ascii="Times New Roman" w:hAnsi="Times New Roman" w:cs="Times New Roman"/>
          <w:lang w:val="sk-SK"/>
        </w:rPr>
        <w:t xml:space="preserve">s </w:t>
      </w:r>
      <w:r w:rsidRPr="00627D2C">
        <w:rPr>
          <w:rFonts w:ascii="Times New Roman" w:hAnsi="Times New Roman" w:cs="Times New Roman"/>
          <w:lang w:val="sk-SK"/>
        </w:rPr>
        <w:t>opatrn</w:t>
      </w:r>
      <w:r w:rsidR="00130E04">
        <w:rPr>
          <w:rFonts w:ascii="Times New Roman" w:hAnsi="Times New Roman" w:cs="Times New Roman"/>
          <w:lang w:val="sk-SK"/>
        </w:rPr>
        <w:t>osťou</w:t>
      </w:r>
      <w:r w:rsidRPr="00627D2C">
        <w:rPr>
          <w:rFonts w:ascii="Times New Roman" w:hAnsi="Times New Roman" w:cs="Times New Roman"/>
          <w:lang w:val="sk-SK"/>
        </w:rPr>
        <w:t xml:space="preserve"> a </w:t>
      </w:r>
      <w:r w:rsidR="00403231" w:rsidRPr="00627D2C">
        <w:rPr>
          <w:rFonts w:ascii="Times New Roman" w:hAnsi="Times New Roman" w:cs="Times New Roman"/>
          <w:lang w:val="sk-SK"/>
        </w:rPr>
        <w:t>podávať</w:t>
      </w:r>
      <w:r w:rsidRPr="00627D2C">
        <w:rPr>
          <w:rFonts w:ascii="Times New Roman" w:hAnsi="Times New Roman" w:cs="Times New Roman"/>
          <w:lang w:val="sk-SK"/>
        </w:rPr>
        <w:t xml:space="preserve"> nie viac ako 5 mg (5 ml) jedenkrát denne (pozri časť 5.2).</w:t>
      </w:r>
    </w:p>
    <w:p w14:paraId="6BAE782B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Pacienti s poruchou funkcie pečene</w:t>
      </w:r>
    </w:p>
    <w:p w14:paraId="1F4503AE" w14:textId="5C32E56C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lastRenderedPageBreak/>
        <w:t>U pacientov s miernou poruchou funkcie pečene nie je potrebná úprava dávkovania. P</w:t>
      </w:r>
      <w:r w:rsidR="009A0AF4" w:rsidRPr="00627D2C">
        <w:rPr>
          <w:rFonts w:ascii="Times New Roman" w:hAnsi="Times New Roman" w:cs="Times New Roman"/>
          <w:lang w:val="sk-SK"/>
        </w:rPr>
        <w:t>r</w:t>
      </w:r>
      <w:r w:rsidR="00F56E11">
        <w:rPr>
          <w:rFonts w:ascii="Times New Roman" w:hAnsi="Times New Roman" w:cs="Times New Roman"/>
          <w:lang w:val="sk-SK"/>
        </w:rPr>
        <w:t>i</w:t>
      </w:r>
      <w:r w:rsidR="009A0AF4" w:rsidRPr="00627D2C">
        <w:rPr>
          <w:rFonts w:ascii="Times New Roman" w:hAnsi="Times New Roman" w:cs="Times New Roman"/>
          <w:lang w:val="sk-SK"/>
        </w:rPr>
        <w:t xml:space="preserve"> liečbe pacientov</w:t>
      </w:r>
      <w:r w:rsidRPr="00627D2C">
        <w:rPr>
          <w:rFonts w:ascii="Times New Roman" w:hAnsi="Times New Roman" w:cs="Times New Roman"/>
          <w:lang w:val="sk-SK"/>
        </w:rPr>
        <w:t xml:space="preserve"> so stredne závažnou poruchou funkcie pečene (Child</w:t>
      </w:r>
      <w:r w:rsidR="00F56E11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>-Pugh</w:t>
      </w:r>
      <w:r w:rsidR="00F56E11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 xml:space="preserve"> skóre 7 až 9) </w:t>
      </w:r>
      <w:r w:rsidR="00F56E11">
        <w:rPr>
          <w:rFonts w:ascii="Times New Roman" w:hAnsi="Times New Roman" w:cs="Times New Roman"/>
          <w:lang w:val="sk-SK"/>
        </w:rPr>
        <w:t>sa má</w:t>
      </w:r>
      <w:r w:rsidR="009A0AF4" w:rsidRPr="00627D2C">
        <w:rPr>
          <w:rFonts w:ascii="Times New Roman" w:hAnsi="Times New Roman" w:cs="Times New Roman"/>
          <w:lang w:val="sk-SK"/>
        </w:rPr>
        <w:t xml:space="preserve"> postupovať</w:t>
      </w:r>
      <w:r w:rsidRPr="00627D2C">
        <w:rPr>
          <w:rFonts w:ascii="Times New Roman" w:hAnsi="Times New Roman" w:cs="Times New Roman"/>
          <w:lang w:val="sk-SK"/>
        </w:rPr>
        <w:t xml:space="preserve"> </w:t>
      </w:r>
      <w:r w:rsidR="00F56E11">
        <w:rPr>
          <w:rFonts w:ascii="Times New Roman" w:hAnsi="Times New Roman" w:cs="Times New Roman"/>
          <w:lang w:val="sk-SK"/>
        </w:rPr>
        <w:t xml:space="preserve">s </w:t>
      </w:r>
      <w:r w:rsidRPr="00627D2C">
        <w:rPr>
          <w:rFonts w:ascii="Times New Roman" w:hAnsi="Times New Roman" w:cs="Times New Roman"/>
          <w:lang w:val="sk-SK"/>
        </w:rPr>
        <w:t>opatrn</w:t>
      </w:r>
      <w:r w:rsidR="00F56E11">
        <w:rPr>
          <w:rFonts w:ascii="Times New Roman" w:hAnsi="Times New Roman" w:cs="Times New Roman"/>
          <w:lang w:val="sk-SK"/>
        </w:rPr>
        <w:t>osťou</w:t>
      </w:r>
      <w:r w:rsidRPr="00627D2C">
        <w:rPr>
          <w:rFonts w:ascii="Times New Roman" w:hAnsi="Times New Roman" w:cs="Times New Roman"/>
          <w:lang w:val="sk-SK"/>
        </w:rPr>
        <w:t xml:space="preserve"> a </w:t>
      </w:r>
      <w:r w:rsidR="009A0AF4" w:rsidRPr="00627D2C">
        <w:rPr>
          <w:rFonts w:ascii="Times New Roman" w:hAnsi="Times New Roman" w:cs="Times New Roman"/>
          <w:lang w:val="sk-SK"/>
        </w:rPr>
        <w:t>podávať</w:t>
      </w:r>
      <w:r w:rsidRPr="00627D2C">
        <w:rPr>
          <w:rFonts w:ascii="Times New Roman" w:hAnsi="Times New Roman" w:cs="Times New Roman"/>
          <w:lang w:val="sk-SK"/>
        </w:rPr>
        <w:t xml:space="preserve"> nie viac ako 5 mg (5 ml) jedenkrát denne (pozri časť 5.2).</w:t>
      </w:r>
    </w:p>
    <w:p w14:paraId="35AB0001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Silné inhibítory cytochrómu P450 3A4</w:t>
      </w:r>
    </w:p>
    <w:p w14:paraId="7C2BFF60" w14:textId="4DBB05D3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Maximálna dávka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A9131B">
        <w:rPr>
          <w:rFonts w:ascii="Times New Roman" w:hAnsi="Times New Roman" w:cs="Times New Roman"/>
          <w:lang w:val="sk-SK"/>
        </w:rPr>
        <w:t>u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Pr="00627D2C">
        <w:rPr>
          <w:rFonts w:ascii="Times New Roman" w:hAnsi="Times New Roman" w:cs="Times New Roman"/>
          <w:lang w:val="sk-SK"/>
        </w:rPr>
        <w:t xml:space="preserve"> sa má obmedziť na 5 mg (5 ml) v prípade, ak je pacient </w:t>
      </w:r>
      <w:r w:rsidR="00F56E11">
        <w:rPr>
          <w:rFonts w:ascii="Times New Roman" w:hAnsi="Times New Roman" w:cs="Times New Roman"/>
          <w:lang w:val="sk-SK"/>
        </w:rPr>
        <w:t>súbežne</w:t>
      </w:r>
      <w:r w:rsidRPr="00627D2C">
        <w:rPr>
          <w:rFonts w:ascii="Times New Roman" w:hAnsi="Times New Roman" w:cs="Times New Roman"/>
          <w:lang w:val="sk-SK"/>
        </w:rPr>
        <w:t xml:space="preserve"> liečený ketokonazolom alebo terapeutickými dávkami iných silných inhibítorov</w:t>
      </w:r>
      <w:r w:rsidR="0046208C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CYP3A4, akými sú </w:t>
      </w:r>
      <w:r w:rsidR="002C34A4">
        <w:rPr>
          <w:rFonts w:ascii="Times New Roman" w:hAnsi="Times New Roman" w:cs="Times New Roman"/>
          <w:lang w:val="sk-SK"/>
        </w:rPr>
        <w:t>napr.</w:t>
      </w:r>
      <w:r w:rsidR="00F56E11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ritonavir, nelfinavir, itrakonazol (pozri časť 4.5).</w:t>
      </w:r>
    </w:p>
    <w:p w14:paraId="3EF0FDFC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3E4C8CFB" w14:textId="305EDDE2" w:rsidR="00FA181D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A9131B">
        <w:rPr>
          <w:rFonts w:ascii="Times New Roman" w:hAnsi="Times New Roman" w:cs="Times New Roman"/>
          <w:lang w:val="sk-SK"/>
        </w:rPr>
        <w:t xml:space="preserve"> </w:t>
      </w:r>
      <w:r w:rsidR="00F52440" w:rsidRPr="00627D2C">
        <w:rPr>
          <w:rFonts w:ascii="Times New Roman" w:hAnsi="Times New Roman" w:cs="Times New Roman"/>
          <w:lang w:val="sk-SK"/>
        </w:rPr>
        <w:t xml:space="preserve">sa </w:t>
      </w:r>
      <w:r w:rsidR="0046208C" w:rsidRPr="00627D2C">
        <w:rPr>
          <w:rFonts w:ascii="Times New Roman" w:hAnsi="Times New Roman" w:cs="Times New Roman"/>
          <w:lang w:val="sk-SK"/>
        </w:rPr>
        <w:t xml:space="preserve">má </w:t>
      </w:r>
      <w:r w:rsidR="00E974CE" w:rsidRPr="00E974CE">
        <w:rPr>
          <w:rFonts w:ascii="Times New Roman" w:hAnsi="Times New Roman" w:cs="Times New Roman"/>
          <w:lang w:val="sk-SK"/>
        </w:rPr>
        <w:t>užiť</w:t>
      </w:r>
      <w:r w:rsidR="0046208C" w:rsidRPr="00627D2C">
        <w:rPr>
          <w:rFonts w:ascii="Times New Roman" w:hAnsi="Times New Roman" w:cs="Times New Roman"/>
          <w:lang w:val="sk-SK"/>
        </w:rPr>
        <w:t xml:space="preserve"> </w:t>
      </w:r>
      <w:r w:rsidR="00370BA8" w:rsidRPr="00A9131B">
        <w:rPr>
          <w:rFonts w:ascii="Times New Roman" w:hAnsi="Times New Roman" w:cs="Times New Roman"/>
          <w:lang w:val="sk-SK"/>
        </w:rPr>
        <w:t xml:space="preserve">perorálne </w:t>
      </w:r>
      <w:r w:rsidR="00F56E11" w:rsidRPr="00A9131B">
        <w:rPr>
          <w:rFonts w:ascii="Times New Roman" w:hAnsi="Times New Roman" w:cs="Times New Roman"/>
          <w:lang w:val="sk-SK"/>
        </w:rPr>
        <w:t>s</w:t>
      </w:r>
      <w:r w:rsidR="0046208C" w:rsidRPr="00A9131B">
        <w:rPr>
          <w:rFonts w:ascii="Times New Roman" w:hAnsi="Times New Roman" w:cs="Times New Roman"/>
          <w:lang w:val="sk-SK"/>
        </w:rPr>
        <w:t xml:space="preserve"> pohárom vody</w:t>
      </w:r>
      <w:r w:rsidR="00F56E11" w:rsidRPr="00A9131B">
        <w:rPr>
          <w:rFonts w:ascii="Times New Roman" w:hAnsi="Times New Roman" w:cs="Times New Roman"/>
          <w:lang w:val="sk-SK"/>
        </w:rPr>
        <w:t xml:space="preserve"> a</w:t>
      </w:r>
      <w:r w:rsidR="00A9131B" w:rsidRPr="00960DA5">
        <w:rPr>
          <w:rFonts w:ascii="Times New Roman" w:hAnsi="Times New Roman" w:cs="Times New Roman"/>
          <w:lang w:val="sk-SK"/>
        </w:rPr>
        <w:t xml:space="preserve"> má sa s tekutinami </w:t>
      </w:r>
      <w:r w:rsidR="00F56E11" w:rsidRPr="00A9131B">
        <w:rPr>
          <w:rFonts w:ascii="Times New Roman" w:hAnsi="Times New Roman" w:cs="Times New Roman"/>
          <w:lang w:val="sk-SK"/>
        </w:rPr>
        <w:t>prehltnúť celý</w:t>
      </w:r>
      <w:r w:rsidR="00F52440" w:rsidRPr="00A9131B">
        <w:rPr>
          <w:rFonts w:ascii="Times New Roman" w:hAnsi="Times New Roman" w:cs="Times New Roman"/>
          <w:lang w:val="sk-SK"/>
        </w:rPr>
        <w:t>.</w:t>
      </w:r>
      <w:r w:rsidR="00F52440" w:rsidRPr="00627D2C">
        <w:rPr>
          <w:rFonts w:ascii="Times New Roman" w:hAnsi="Times New Roman" w:cs="Times New Roman"/>
          <w:lang w:val="sk-SK"/>
        </w:rPr>
        <w:t xml:space="preserve"> </w:t>
      </w:r>
      <w:r w:rsidR="00FA181D" w:rsidRPr="00627D2C">
        <w:rPr>
          <w:rFonts w:ascii="Times New Roman" w:hAnsi="Times New Roman" w:cs="Times New Roman"/>
          <w:lang w:val="sk-SK"/>
        </w:rPr>
        <w:t xml:space="preserve">Môže sa užívať s jedlom alebo bez jedla. </w:t>
      </w:r>
    </w:p>
    <w:p w14:paraId="19C94A42" w14:textId="4272F015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Na správne odmeranie dávky sa má zvoliť vhodná perorálna striekačka</w:t>
      </w:r>
      <w:r w:rsidR="004E016D" w:rsidRPr="00627D2C">
        <w:rPr>
          <w:rFonts w:ascii="Times New Roman" w:hAnsi="Times New Roman" w:cs="Times New Roman"/>
          <w:lang w:val="sk-SK"/>
        </w:rPr>
        <w:t xml:space="preserve"> s objemom 5 ml. Striekačka </w:t>
      </w:r>
      <w:r w:rsidR="006963C9">
        <w:rPr>
          <w:rFonts w:ascii="Times New Roman" w:hAnsi="Times New Roman" w:cs="Times New Roman"/>
          <w:lang w:val="sk-SK"/>
        </w:rPr>
        <w:t>určená na použitie</w:t>
      </w:r>
      <w:r w:rsidR="004E016D" w:rsidRPr="00627D2C">
        <w:rPr>
          <w:rFonts w:ascii="Times New Roman" w:hAnsi="Times New Roman" w:cs="Times New Roman"/>
          <w:lang w:val="sk-SK"/>
        </w:rPr>
        <w:t xml:space="preserve"> sa nachádza v balení spolu s adaptérom </w:t>
      </w:r>
      <w:r w:rsidRPr="00627D2C">
        <w:rPr>
          <w:rFonts w:ascii="Times New Roman" w:hAnsi="Times New Roman" w:cs="Times New Roman"/>
          <w:lang w:val="sk-SK"/>
        </w:rPr>
        <w:t>(pozri časť 6.6).</w:t>
      </w:r>
    </w:p>
    <w:p w14:paraId="5A328DFB" w14:textId="77777777" w:rsidR="00F52440" w:rsidRPr="00627D2C" w:rsidRDefault="001E2EDB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Kontraindikácie</w:t>
      </w:r>
    </w:p>
    <w:p w14:paraId="607DC560" w14:textId="77777777" w:rsidR="0098083D" w:rsidRPr="00627D2C" w:rsidRDefault="0098083D" w:rsidP="0098083D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5409E2FE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Solifenacín je kontraindikovaný u pacientov s retenciou moču, so závažnými gastrointestinálnymi poruchami (vrátane toxického megakol</w:t>
      </w:r>
      <w:r w:rsidR="0087638A" w:rsidRPr="00627D2C">
        <w:rPr>
          <w:rFonts w:ascii="Times New Roman" w:hAnsi="Times New Roman" w:cs="Times New Roman"/>
          <w:lang w:val="sk-SK"/>
        </w:rPr>
        <w:t xml:space="preserve">ónu), s myasténiou gravis alebo </w:t>
      </w:r>
      <w:r w:rsidRPr="00627D2C">
        <w:rPr>
          <w:rFonts w:ascii="Times New Roman" w:hAnsi="Times New Roman" w:cs="Times New Roman"/>
          <w:lang w:val="sk-SK"/>
        </w:rPr>
        <w:t>glaukómom s úzkym uhlom a u pacientov s rizikom výskytu týchto stavov.</w:t>
      </w:r>
    </w:p>
    <w:p w14:paraId="1A56126D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Pacienti precitlivení na liečivo alebo na ktorúkoľvek z pomocných látok uvedených v časti 6.1.</w:t>
      </w:r>
    </w:p>
    <w:p w14:paraId="730DA581" w14:textId="66BE25B2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- Pacienti, ktorí </w:t>
      </w:r>
      <w:r w:rsidR="006963C9">
        <w:rPr>
          <w:rFonts w:ascii="Times New Roman" w:hAnsi="Times New Roman" w:cs="Times New Roman"/>
          <w:lang w:val="sk-SK"/>
        </w:rPr>
        <w:t>podstupujú</w:t>
      </w:r>
      <w:r w:rsidRPr="00627D2C">
        <w:rPr>
          <w:rFonts w:ascii="Times New Roman" w:hAnsi="Times New Roman" w:cs="Times New Roman"/>
          <w:lang w:val="sk-SK"/>
        </w:rPr>
        <w:t xml:space="preserve"> hemodialýz</w:t>
      </w:r>
      <w:r w:rsidR="006963C9">
        <w:rPr>
          <w:rFonts w:ascii="Times New Roman" w:hAnsi="Times New Roman" w:cs="Times New Roman"/>
          <w:lang w:val="sk-SK"/>
        </w:rPr>
        <w:t>u</w:t>
      </w:r>
      <w:r w:rsidRPr="00627D2C">
        <w:rPr>
          <w:rFonts w:ascii="Times New Roman" w:hAnsi="Times New Roman" w:cs="Times New Roman"/>
          <w:lang w:val="sk-SK"/>
        </w:rPr>
        <w:t xml:space="preserve"> (pozri časť 5.2).</w:t>
      </w:r>
    </w:p>
    <w:p w14:paraId="6D9331C2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Pacienti so závažnou poruchou funkcie pečene (pozri časť 5.2).</w:t>
      </w:r>
    </w:p>
    <w:p w14:paraId="42E8CEE5" w14:textId="77777777" w:rsidR="0039279A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Pacienti so závažnou poruchou funkcie obličiek alebo stredne závažnou poruchou funkcie pečene a pacienti, ktorí sú liečení s</w:t>
      </w:r>
      <w:r w:rsidR="0087638A" w:rsidRPr="00627D2C">
        <w:rPr>
          <w:rFonts w:ascii="Times New Roman" w:hAnsi="Times New Roman" w:cs="Times New Roman"/>
          <w:lang w:val="sk-SK"/>
        </w:rPr>
        <w:t xml:space="preserve">ilným inhibítorom CYP3A4, napr. </w:t>
      </w:r>
      <w:r w:rsidRPr="00627D2C">
        <w:rPr>
          <w:rFonts w:ascii="Times New Roman" w:hAnsi="Times New Roman" w:cs="Times New Roman"/>
          <w:lang w:val="sk-SK"/>
        </w:rPr>
        <w:t>ketokonazolom (pozri časť 4.5).</w:t>
      </w:r>
    </w:p>
    <w:p w14:paraId="785604EC" w14:textId="77777777" w:rsidR="00F52440" w:rsidRPr="00627D2C" w:rsidRDefault="0087638A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Osobitné upozornenia a opatrenia pri používaní</w:t>
      </w:r>
    </w:p>
    <w:p w14:paraId="1707DADB" w14:textId="77777777" w:rsidR="0098083D" w:rsidRPr="00627D2C" w:rsidRDefault="0098083D" w:rsidP="0098083D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2363C69F" w14:textId="6362AFFA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Pred začatím liečby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827F44">
        <w:rPr>
          <w:rFonts w:ascii="Times New Roman" w:hAnsi="Times New Roman" w:cs="Times New Roman"/>
          <w:lang w:val="sk-SK"/>
        </w:rPr>
        <w:t>om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="00827F44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sa majú zhodnotiť ďalšie príčiny častého močenia (zlyhávanie srdca alebo ochorenie obličiek). V prípade výskytu infekcie močovej sústavy sa má začať príslušná antibakteriálna liečba.</w:t>
      </w:r>
    </w:p>
    <w:p w14:paraId="45C78B0B" w14:textId="4055AC51" w:rsidR="00F52440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827F44">
        <w:rPr>
          <w:rFonts w:ascii="Times New Roman" w:hAnsi="Times New Roman" w:cs="Times New Roman"/>
          <w:lang w:val="sk-SK"/>
        </w:rPr>
        <w:t xml:space="preserve"> </w:t>
      </w:r>
      <w:r w:rsidR="00F52440" w:rsidRPr="00627D2C">
        <w:rPr>
          <w:rFonts w:ascii="Times New Roman" w:hAnsi="Times New Roman" w:cs="Times New Roman"/>
          <w:lang w:val="sk-SK"/>
        </w:rPr>
        <w:t>sa m</w:t>
      </w:r>
      <w:r w:rsidR="009D53DB" w:rsidRPr="00627D2C">
        <w:rPr>
          <w:rFonts w:ascii="Times New Roman" w:hAnsi="Times New Roman" w:cs="Times New Roman"/>
          <w:lang w:val="sk-SK"/>
        </w:rPr>
        <w:t xml:space="preserve">á podávať </w:t>
      </w:r>
      <w:r w:rsidR="006963C9">
        <w:rPr>
          <w:rFonts w:ascii="Times New Roman" w:hAnsi="Times New Roman" w:cs="Times New Roman"/>
          <w:lang w:val="sk-SK"/>
        </w:rPr>
        <w:t xml:space="preserve">s </w:t>
      </w:r>
      <w:r w:rsidR="009D53DB" w:rsidRPr="00627D2C">
        <w:rPr>
          <w:rFonts w:ascii="Times New Roman" w:hAnsi="Times New Roman" w:cs="Times New Roman"/>
          <w:lang w:val="sk-SK"/>
        </w:rPr>
        <w:t>opatrn</w:t>
      </w:r>
      <w:r w:rsidR="006963C9">
        <w:rPr>
          <w:rFonts w:ascii="Times New Roman" w:hAnsi="Times New Roman" w:cs="Times New Roman"/>
          <w:lang w:val="sk-SK"/>
        </w:rPr>
        <w:t>osťou</w:t>
      </w:r>
      <w:r w:rsidR="009D53DB" w:rsidRPr="00627D2C">
        <w:rPr>
          <w:rFonts w:ascii="Times New Roman" w:hAnsi="Times New Roman" w:cs="Times New Roman"/>
          <w:lang w:val="sk-SK"/>
        </w:rPr>
        <w:t xml:space="preserve"> u pacientov s</w:t>
      </w:r>
      <w:r w:rsidR="00F52440" w:rsidRPr="00627D2C">
        <w:rPr>
          <w:rFonts w:ascii="Times New Roman" w:hAnsi="Times New Roman" w:cs="Times New Roman"/>
          <w:lang w:val="sk-SK"/>
        </w:rPr>
        <w:t>:</w:t>
      </w:r>
    </w:p>
    <w:p w14:paraId="132DF134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klinicky významnou obštrukciou vývodu z močového mechúra s rizikom retencie moču,</w:t>
      </w:r>
    </w:p>
    <w:p w14:paraId="648B00F3" w14:textId="41320D59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gastrointestináln</w:t>
      </w:r>
      <w:r w:rsidR="00D16412">
        <w:rPr>
          <w:rFonts w:ascii="Times New Roman" w:hAnsi="Times New Roman" w:cs="Times New Roman"/>
          <w:lang w:val="sk-SK"/>
        </w:rPr>
        <w:t>ymi</w:t>
      </w:r>
      <w:r w:rsidRPr="00627D2C">
        <w:rPr>
          <w:rFonts w:ascii="Times New Roman" w:hAnsi="Times New Roman" w:cs="Times New Roman"/>
          <w:lang w:val="sk-SK"/>
        </w:rPr>
        <w:t xml:space="preserve"> obštrukčn</w:t>
      </w:r>
      <w:r w:rsidR="00D16412">
        <w:rPr>
          <w:rFonts w:ascii="Times New Roman" w:hAnsi="Times New Roman" w:cs="Times New Roman"/>
          <w:lang w:val="sk-SK"/>
        </w:rPr>
        <w:t>ými</w:t>
      </w:r>
      <w:r w:rsidRPr="00627D2C">
        <w:rPr>
          <w:rFonts w:ascii="Times New Roman" w:hAnsi="Times New Roman" w:cs="Times New Roman"/>
          <w:lang w:val="sk-SK"/>
        </w:rPr>
        <w:t xml:space="preserve"> poruch</w:t>
      </w:r>
      <w:r w:rsidR="00D16412">
        <w:rPr>
          <w:rFonts w:ascii="Times New Roman" w:hAnsi="Times New Roman" w:cs="Times New Roman"/>
          <w:lang w:val="sk-SK"/>
        </w:rPr>
        <w:t>ami</w:t>
      </w:r>
      <w:r w:rsidRPr="00627D2C">
        <w:rPr>
          <w:rFonts w:ascii="Times New Roman" w:hAnsi="Times New Roman" w:cs="Times New Roman"/>
          <w:lang w:val="sk-SK"/>
        </w:rPr>
        <w:t>,</w:t>
      </w:r>
    </w:p>
    <w:p w14:paraId="43B058CC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rizikom zníženej gastrointestinálnej motility,</w:t>
      </w:r>
    </w:p>
    <w:p w14:paraId="5F4B60E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závažnou poruchou funkcie obličiek (klírens kreatinínu ≤ 30 ml/min; pozri časti 4.2 a 5.2), u týchto pacientov dávka nemá presiahnuť 5 mg (5 ml),</w:t>
      </w:r>
    </w:p>
    <w:p w14:paraId="69D05840" w14:textId="005C36C9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stredne závažnou poruchou funkcie pečene (Child</w:t>
      </w:r>
      <w:r w:rsidR="00D16412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>-Pugh</w:t>
      </w:r>
      <w:r w:rsidR="00D16412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 xml:space="preserve"> skóre 7 až 9; pozri časti 4.2 a 5.2), u týchto pacientov dávka nemá presiahnuť 5 mg (5 ml),</w:t>
      </w:r>
    </w:p>
    <w:p w14:paraId="78D67825" w14:textId="3836E008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sú</w:t>
      </w:r>
      <w:r w:rsidR="00D16412">
        <w:rPr>
          <w:rFonts w:ascii="Times New Roman" w:hAnsi="Times New Roman" w:cs="Times New Roman"/>
          <w:lang w:val="sk-SK"/>
        </w:rPr>
        <w:t>bežným</w:t>
      </w:r>
      <w:r w:rsidRPr="00627D2C">
        <w:rPr>
          <w:rFonts w:ascii="Times New Roman" w:hAnsi="Times New Roman" w:cs="Times New Roman"/>
          <w:lang w:val="sk-SK"/>
        </w:rPr>
        <w:t xml:space="preserve"> užívaním silného inhibítora CYP3A4, napr. ketokonazolu (pozri časti 4.2 a 4.5),</w:t>
      </w:r>
    </w:p>
    <w:p w14:paraId="56CC2F08" w14:textId="4FD2BC9A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hiátovou prietržou/gastroezo</w:t>
      </w:r>
      <w:r w:rsidR="007C40D9">
        <w:rPr>
          <w:rFonts w:ascii="Times New Roman" w:hAnsi="Times New Roman" w:cs="Times New Roman"/>
          <w:lang w:val="sk-SK"/>
        </w:rPr>
        <w:t>fágovým</w:t>
      </w:r>
      <w:r w:rsidRPr="00627D2C">
        <w:rPr>
          <w:rFonts w:ascii="Times New Roman" w:hAnsi="Times New Roman" w:cs="Times New Roman"/>
          <w:lang w:val="sk-SK"/>
        </w:rPr>
        <w:t xml:space="preserve"> refluxom a/alebo u pacientov, ktorí sú</w:t>
      </w:r>
      <w:r w:rsidR="007C40D9">
        <w:rPr>
          <w:rFonts w:ascii="Times New Roman" w:hAnsi="Times New Roman" w:cs="Times New Roman"/>
          <w:lang w:val="sk-SK"/>
        </w:rPr>
        <w:t>bežne</w:t>
      </w:r>
      <w:r w:rsidRPr="00627D2C">
        <w:rPr>
          <w:rFonts w:ascii="Times New Roman" w:hAnsi="Times New Roman" w:cs="Times New Roman"/>
          <w:lang w:val="sk-SK"/>
        </w:rPr>
        <w:t xml:space="preserve"> užívajú lieky (napr. bisfosfonáty), ktoré môžu spôsobiť alebo zhoršiť ezofagitídu,</w:t>
      </w:r>
    </w:p>
    <w:p w14:paraId="72352F07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autonómnou neuropatiou.</w:t>
      </w:r>
    </w:p>
    <w:p w14:paraId="7D5A19AC" w14:textId="629A402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lastRenderedPageBreak/>
        <w:t xml:space="preserve">U pacientov s rizikovými faktormi, ako je </w:t>
      </w:r>
      <w:r w:rsidR="007C40D9">
        <w:rPr>
          <w:rFonts w:ascii="Times New Roman" w:hAnsi="Times New Roman" w:cs="Times New Roman"/>
          <w:lang w:val="sk-SK"/>
        </w:rPr>
        <w:t xml:space="preserve">už existujúci </w:t>
      </w:r>
      <w:r w:rsidRPr="00627D2C">
        <w:rPr>
          <w:rFonts w:ascii="Times New Roman" w:hAnsi="Times New Roman" w:cs="Times New Roman"/>
          <w:lang w:val="sk-SK"/>
        </w:rPr>
        <w:t>syndróm dlhého intervalu QT a hypokaliémia, bolo pozorované predĺženie QT intervalu a Torsade de pointes.</w:t>
      </w:r>
    </w:p>
    <w:p w14:paraId="0497DEB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U pacientov s neurogénnou príčinou hyperaktivity detruzora sa bezpečnosť a účinnosť tohto lieku zatiaľ nestanovila.</w:t>
      </w:r>
    </w:p>
    <w:p w14:paraId="5146BB83" w14:textId="4B090B69" w:rsidR="00972737" w:rsidRPr="00627D2C" w:rsidRDefault="00972737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Pacienti so zriedkavými dedičnými problémami galaktózovej intolerancie, </w:t>
      </w:r>
      <w:r w:rsidR="00F32C65">
        <w:rPr>
          <w:rFonts w:ascii="Times New Roman" w:hAnsi="Times New Roman" w:cs="Times New Roman"/>
          <w:lang w:val="sk-SK"/>
        </w:rPr>
        <w:t>celkovým</w:t>
      </w:r>
      <w:r w:rsidRPr="00627D2C">
        <w:rPr>
          <w:rFonts w:ascii="Times New Roman" w:hAnsi="Times New Roman" w:cs="Times New Roman"/>
          <w:lang w:val="sk-SK"/>
        </w:rPr>
        <w:t xml:space="preserve"> deficit</w:t>
      </w:r>
      <w:r w:rsidR="00F32C65">
        <w:rPr>
          <w:rFonts w:ascii="Times New Roman" w:hAnsi="Times New Roman" w:cs="Times New Roman"/>
          <w:lang w:val="sk-SK"/>
        </w:rPr>
        <w:t>om</w:t>
      </w:r>
      <w:r w:rsidRPr="00627D2C">
        <w:rPr>
          <w:rFonts w:ascii="Times New Roman" w:hAnsi="Times New Roman" w:cs="Times New Roman"/>
          <w:lang w:val="sk-SK"/>
        </w:rPr>
        <w:t xml:space="preserve"> laktázy alebo glukózo</w:t>
      </w:r>
      <w:r w:rsidR="00F32C65">
        <w:rPr>
          <w:rFonts w:ascii="Times New Roman" w:hAnsi="Times New Roman" w:cs="Times New Roman"/>
          <w:lang w:val="sk-SK"/>
        </w:rPr>
        <w:t>-</w:t>
      </w:r>
      <w:r w:rsidRPr="00627D2C">
        <w:rPr>
          <w:rFonts w:ascii="Times New Roman" w:hAnsi="Times New Roman" w:cs="Times New Roman"/>
          <w:lang w:val="sk-SK"/>
        </w:rPr>
        <w:t>galaktózov</w:t>
      </w:r>
      <w:r w:rsidR="00F32C65">
        <w:rPr>
          <w:rFonts w:ascii="Times New Roman" w:hAnsi="Times New Roman" w:cs="Times New Roman"/>
          <w:lang w:val="sk-SK"/>
        </w:rPr>
        <w:t>ou</w:t>
      </w:r>
      <w:r w:rsidRPr="00627D2C">
        <w:rPr>
          <w:rFonts w:ascii="Times New Roman" w:hAnsi="Times New Roman" w:cs="Times New Roman"/>
          <w:lang w:val="sk-SK"/>
        </w:rPr>
        <w:t xml:space="preserve"> malabsorpci</w:t>
      </w:r>
      <w:r w:rsidR="00F32C65">
        <w:rPr>
          <w:rFonts w:ascii="Times New Roman" w:hAnsi="Times New Roman" w:cs="Times New Roman"/>
          <w:lang w:val="sk-SK"/>
        </w:rPr>
        <w:t>ou</w:t>
      </w:r>
      <w:r w:rsidRPr="00627D2C">
        <w:rPr>
          <w:rFonts w:ascii="Times New Roman" w:hAnsi="Times New Roman" w:cs="Times New Roman"/>
          <w:lang w:val="sk-SK"/>
        </w:rPr>
        <w:t xml:space="preserve"> nesmú užívať tento liek</w:t>
      </w:r>
    </w:p>
    <w:p w14:paraId="2194659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Angioedém s obštrukciou dýchacích ciest bol hlásený u niektorých pacient</w:t>
      </w:r>
      <w:r w:rsidR="001B3389" w:rsidRPr="00627D2C">
        <w:rPr>
          <w:rFonts w:ascii="Times New Roman" w:hAnsi="Times New Roman" w:cs="Times New Roman"/>
          <w:lang w:val="sk-SK"/>
        </w:rPr>
        <w:t xml:space="preserve">ov užívajúcich </w:t>
      </w:r>
      <w:r w:rsidRPr="00627D2C">
        <w:rPr>
          <w:rFonts w:ascii="Times New Roman" w:hAnsi="Times New Roman" w:cs="Times New Roman"/>
          <w:lang w:val="sk-SK"/>
        </w:rPr>
        <w:t>solifenacíniumsukcinát. Pri vý</w:t>
      </w:r>
      <w:r w:rsidR="001B3389" w:rsidRPr="00627D2C">
        <w:rPr>
          <w:rFonts w:ascii="Times New Roman" w:hAnsi="Times New Roman" w:cs="Times New Roman"/>
          <w:lang w:val="sk-SK"/>
        </w:rPr>
        <w:t xml:space="preserve">skyte angioedému sa má užívanie </w:t>
      </w:r>
      <w:r w:rsidRPr="00627D2C">
        <w:rPr>
          <w:rFonts w:ascii="Times New Roman" w:hAnsi="Times New Roman" w:cs="Times New Roman"/>
          <w:lang w:val="sk-SK"/>
        </w:rPr>
        <w:t>solifenacíniumsukcinátu ukončiť a má byť podaná vhodná liečba a/alebo prijaté vhodné opatrenia.</w:t>
      </w:r>
    </w:p>
    <w:p w14:paraId="5508F80A" w14:textId="35078D6B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Anafylaktická reakcia bola hlásená u niektorých pacientov liečených solifenacíniumsukcinátom. U pacientov, u ktorých sa vyskytnú anafy</w:t>
      </w:r>
      <w:r w:rsidR="001B3389" w:rsidRPr="00627D2C">
        <w:rPr>
          <w:rFonts w:ascii="Times New Roman" w:hAnsi="Times New Roman" w:cs="Times New Roman"/>
          <w:lang w:val="sk-SK"/>
        </w:rPr>
        <w:t xml:space="preserve">laktické reakcie, sa má ukončiť užívanie </w:t>
      </w:r>
      <w:r w:rsidRPr="00627D2C">
        <w:rPr>
          <w:rFonts w:ascii="Times New Roman" w:hAnsi="Times New Roman" w:cs="Times New Roman"/>
          <w:lang w:val="sk-SK"/>
        </w:rPr>
        <w:t xml:space="preserve">solifenacíniumsukcinátu a má sa začať s </w:t>
      </w:r>
      <w:r w:rsidR="00F32C65">
        <w:rPr>
          <w:rFonts w:ascii="Times New Roman" w:hAnsi="Times New Roman" w:cs="Times New Roman"/>
          <w:lang w:val="sk-SK"/>
        </w:rPr>
        <w:t>vhodnou</w:t>
      </w:r>
      <w:r w:rsidRPr="00627D2C">
        <w:rPr>
          <w:rFonts w:ascii="Times New Roman" w:hAnsi="Times New Roman" w:cs="Times New Roman"/>
          <w:lang w:val="sk-SK"/>
        </w:rPr>
        <w:t xml:space="preserve"> liečbou a/alebo sa majú prijať vhodné opatrenia.</w:t>
      </w:r>
    </w:p>
    <w:p w14:paraId="54207059" w14:textId="2A598542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Maximálny účinok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827F44">
        <w:rPr>
          <w:rFonts w:ascii="Times New Roman" w:hAnsi="Times New Roman" w:cs="Times New Roman"/>
          <w:lang w:val="sk-SK"/>
        </w:rPr>
        <w:t>u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Pr="00627D2C">
        <w:rPr>
          <w:rFonts w:ascii="Times New Roman" w:hAnsi="Times New Roman" w:cs="Times New Roman"/>
          <w:lang w:val="sk-SK"/>
        </w:rPr>
        <w:t xml:space="preserve"> je možné stanoviť najskôr po uplynutí 4 týždňov od začiatku jeho užívania.</w:t>
      </w:r>
    </w:p>
    <w:p w14:paraId="7B82E291" w14:textId="77777777" w:rsidR="004648FF" w:rsidRPr="00627D2C" w:rsidRDefault="004648FF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Pomocné látky</w:t>
      </w:r>
    </w:p>
    <w:p w14:paraId="673AC584" w14:textId="71887C93" w:rsidR="00F52440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F52440" w:rsidRPr="00627D2C">
        <w:rPr>
          <w:rFonts w:ascii="Times New Roman" w:hAnsi="Times New Roman" w:cs="Times New Roman"/>
          <w:lang w:val="sk-SK"/>
        </w:rPr>
        <w:t xml:space="preserve"> obsahuje</w:t>
      </w:r>
      <w:r w:rsidR="00972737" w:rsidRPr="00627D2C">
        <w:rPr>
          <w:rFonts w:ascii="Times New Roman" w:hAnsi="Times New Roman" w:cs="Times New Roman"/>
          <w:lang w:val="sk-SK"/>
        </w:rPr>
        <w:t xml:space="preserve"> maltitol; </w:t>
      </w:r>
      <w:r w:rsidR="00DC21A8" w:rsidRPr="00627D2C">
        <w:rPr>
          <w:rFonts w:ascii="Times New Roman" w:hAnsi="Times New Roman" w:cs="Times New Roman"/>
          <w:lang w:val="sk-SK"/>
        </w:rPr>
        <w:t xml:space="preserve">pacienti so vzácnymi dedičnými problémami </w:t>
      </w:r>
      <w:r w:rsidR="00F32C65">
        <w:rPr>
          <w:rFonts w:ascii="Times New Roman" w:hAnsi="Times New Roman" w:cs="Times New Roman"/>
          <w:lang w:val="sk-SK"/>
        </w:rPr>
        <w:t xml:space="preserve">intolerancie </w:t>
      </w:r>
      <w:r w:rsidR="00DC21A8" w:rsidRPr="00627D2C">
        <w:rPr>
          <w:rFonts w:ascii="Times New Roman" w:hAnsi="Times New Roman" w:cs="Times New Roman"/>
          <w:lang w:val="sk-SK"/>
        </w:rPr>
        <w:t>fruktóz</w:t>
      </w:r>
      <w:r w:rsidR="00F32C65">
        <w:rPr>
          <w:rFonts w:ascii="Times New Roman" w:hAnsi="Times New Roman" w:cs="Times New Roman"/>
          <w:lang w:val="sk-SK"/>
        </w:rPr>
        <w:t>y</w:t>
      </w:r>
      <w:r w:rsidR="00972737" w:rsidRPr="00627D2C">
        <w:rPr>
          <w:rFonts w:ascii="Times New Roman" w:hAnsi="Times New Roman" w:cs="Times New Roman"/>
          <w:lang w:val="sk-SK"/>
        </w:rPr>
        <w:t xml:space="preserve"> nesmú užívať tento liek</w:t>
      </w:r>
      <w:r w:rsidR="00F52440" w:rsidRPr="00627D2C">
        <w:rPr>
          <w:rFonts w:ascii="Times New Roman" w:hAnsi="Times New Roman" w:cs="Times New Roman"/>
          <w:lang w:val="sk-SK"/>
        </w:rPr>
        <w:t>.</w:t>
      </w:r>
    </w:p>
    <w:p w14:paraId="54B84812" w14:textId="1BA4A753" w:rsidR="00F52440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F32C65" w:rsidRPr="00F32C65">
        <w:rPr>
          <w:rFonts w:ascii="Times New Roman" w:hAnsi="Times New Roman" w:cs="Times New Roman"/>
          <w:lang w:val="sk-SK"/>
        </w:rPr>
        <w:t xml:space="preserve"> </w:t>
      </w:r>
      <w:r w:rsidR="00DC21A8" w:rsidRPr="00627D2C">
        <w:rPr>
          <w:rFonts w:ascii="Times New Roman" w:hAnsi="Times New Roman" w:cs="Times New Roman"/>
          <w:lang w:val="sk-SK"/>
        </w:rPr>
        <w:t>obsahuje benzo</w:t>
      </w:r>
      <w:r w:rsidR="00F32C65">
        <w:rPr>
          <w:rFonts w:ascii="Times New Roman" w:hAnsi="Times New Roman" w:cs="Times New Roman"/>
          <w:lang w:val="sk-SK"/>
        </w:rPr>
        <w:t>an</w:t>
      </w:r>
      <w:r w:rsidR="00DC21A8" w:rsidRPr="00627D2C">
        <w:rPr>
          <w:rFonts w:ascii="Times New Roman" w:hAnsi="Times New Roman" w:cs="Times New Roman"/>
          <w:lang w:val="sk-SK"/>
        </w:rPr>
        <w:t xml:space="preserve"> sodný,</w:t>
      </w:r>
      <w:r w:rsidR="008006EB" w:rsidRPr="00627D2C">
        <w:rPr>
          <w:rFonts w:ascii="Times New Roman" w:hAnsi="Times New Roman" w:cs="Times New Roman"/>
          <w:lang w:val="sk-SK"/>
        </w:rPr>
        <w:t xml:space="preserve"> </w:t>
      </w:r>
      <w:r w:rsidR="00E01AB7">
        <w:rPr>
          <w:rFonts w:ascii="Times New Roman" w:hAnsi="Times New Roman" w:cs="Times New Roman"/>
          <w:lang w:val="sk-SK"/>
        </w:rPr>
        <w:t>ktorý</w:t>
      </w:r>
      <w:r w:rsidR="008006EB" w:rsidRPr="00627D2C">
        <w:rPr>
          <w:rFonts w:ascii="Times New Roman" w:hAnsi="Times New Roman" w:cs="Times New Roman"/>
          <w:lang w:val="sk-SK"/>
        </w:rPr>
        <w:t xml:space="preserve"> môže </w:t>
      </w:r>
      <w:r w:rsidR="00E01AB7">
        <w:rPr>
          <w:rFonts w:ascii="Times New Roman" w:hAnsi="Times New Roman" w:cs="Times New Roman"/>
          <w:lang w:val="sk-SK"/>
        </w:rPr>
        <w:t>zhoršiť</w:t>
      </w:r>
      <w:r w:rsidR="008006EB" w:rsidRPr="00627D2C">
        <w:rPr>
          <w:rFonts w:ascii="Times New Roman" w:hAnsi="Times New Roman" w:cs="Times New Roman"/>
          <w:lang w:val="sk-SK"/>
        </w:rPr>
        <w:t xml:space="preserve"> žltačk</w:t>
      </w:r>
      <w:r w:rsidR="00E01AB7">
        <w:rPr>
          <w:rFonts w:ascii="Times New Roman" w:hAnsi="Times New Roman" w:cs="Times New Roman"/>
          <w:lang w:val="sk-SK"/>
        </w:rPr>
        <w:t>u</w:t>
      </w:r>
      <w:r w:rsidR="008006EB" w:rsidRPr="00627D2C">
        <w:rPr>
          <w:rFonts w:ascii="Times New Roman" w:hAnsi="Times New Roman" w:cs="Times New Roman"/>
          <w:lang w:val="sk-SK"/>
        </w:rPr>
        <w:t xml:space="preserve"> (žltnutie kože a oč</w:t>
      </w:r>
      <w:r w:rsidR="00E01AB7">
        <w:rPr>
          <w:rFonts w:ascii="Times New Roman" w:hAnsi="Times New Roman" w:cs="Times New Roman"/>
          <w:lang w:val="sk-SK"/>
        </w:rPr>
        <w:t>í</w:t>
      </w:r>
      <w:r w:rsidR="008006EB" w:rsidRPr="00627D2C">
        <w:rPr>
          <w:rFonts w:ascii="Times New Roman" w:hAnsi="Times New Roman" w:cs="Times New Roman"/>
          <w:lang w:val="sk-SK"/>
        </w:rPr>
        <w:t>) u predčasne narodených a donosených novorodencov</w:t>
      </w:r>
      <w:r w:rsidR="00F52440" w:rsidRPr="00627D2C">
        <w:rPr>
          <w:rFonts w:ascii="Times New Roman" w:hAnsi="Times New Roman" w:cs="Times New Roman"/>
          <w:lang w:val="sk-SK"/>
        </w:rPr>
        <w:t>.</w:t>
      </w:r>
    </w:p>
    <w:p w14:paraId="3CB1C2B1" w14:textId="77777777" w:rsidR="00F52440" w:rsidRPr="00627D2C" w:rsidRDefault="00BF4B43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Liekové a iné interakcie</w:t>
      </w:r>
    </w:p>
    <w:p w14:paraId="0A86C636" w14:textId="77777777" w:rsidR="00DB2348" w:rsidRPr="00627D2C" w:rsidRDefault="00DB2348" w:rsidP="00DB2348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6F6ECB26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Farmakologické interakcie</w:t>
      </w:r>
    </w:p>
    <w:p w14:paraId="0874603A" w14:textId="03B912F2" w:rsidR="00F52440" w:rsidRPr="00627D2C" w:rsidRDefault="001D6EAD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Súbežná</w:t>
      </w:r>
      <w:r w:rsidR="00F52440" w:rsidRPr="00627D2C">
        <w:rPr>
          <w:rFonts w:ascii="Times New Roman" w:hAnsi="Times New Roman" w:cs="Times New Roman"/>
          <w:lang w:val="sk-SK"/>
        </w:rPr>
        <w:t xml:space="preserve"> liečba inými liekmi s anticholinergickými vlastnosťami môže vyústiť do výraznejších terapeutických účinkov a nežiaducich </w:t>
      </w:r>
      <w:r w:rsidR="00E178B0" w:rsidRPr="00627D2C">
        <w:rPr>
          <w:rFonts w:ascii="Times New Roman" w:hAnsi="Times New Roman" w:cs="Times New Roman"/>
          <w:lang w:val="sk-SK"/>
        </w:rPr>
        <w:t xml:space="preserve">účinkov. Medzi ukončením liečby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827F44">
        <w:rPr>
          <w:rFonts w:ascii="Times New Roman" w:hAnsi="Times New Roman" w:cs="Times New Roman"/>
          <w:lang w:val="sk-SK"/>
        </w:rPr>
        <w:t>om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="00F52440" w:rsidRPr="00627D2C">
        <w:rPr>
          <w:rFonts w:ascii="Times New Roman" w:hAnsi="Times New Roman" w:cs="Times New Roman"/>
          <w:lang w:val="sk-SK"/>
        </w:rPr>
        <w:t xml:space="preserve"> a začiatkom liečby iným anticholinergickým liekom má uplynúť približne jeden týždeň. Liečebný účinok solifenacínu sa mô</w:t>
      </w:r>
      <w:r w:rsidR="00E178B0" w:rsidRPr="00627D2C">
        <w:rPr>
          <w:rFonts w:ascii="Times New Roman" w:hAnsi="Times New Roman" w:cs="Times New Roman"/>
          <w:lang w:val="sk-SK"/>
        </w:rPr>
        <w:t xml:space="preserve">že znížiť pri </w:t>
      </w:r>
      <w:r>
        <w:rPr>
          <w:rFonts w:ascii="Times New Roman" w:hAnsi="Times New Roman" w:cs="Times New Roman"/>
          <w:lang w:val="sk-SK"/>
        </w:rPr>
        <w:t>súbežnom</w:t>
      </w:r>
      <w:r w:rsidR="00E178B0" w:rsidRPr="00627D2C">
        <w:rPr>
          <w:rFonts w:ascii="Times New Roman" w:hAnsi="Times New Roman" w:cs="Times New Roman"/>
          <w:lang w:val="sk-SK"/>
        </w:rPr>
        <w:t xml:space="preserve"> podávaní </w:t>
      </w:r>
      <w:r w:rsidR="00F52440" w:rsidRPr="00627D2C">
        <w:rPr>
          <w:rFonts w:ascii="Times New Roman" w:hAnsi="Times New Roman" w:cs="Times New Roman"/>
          <w:lang w:val="sk-SK"/>
        </w:rPr>
        <w:t>agonistov cholinergných receptorov.</w:t>
      </w:r>
    </w:p>
    <w:p w14:paraId="739C4871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Solifenacín môže znížiť účinok liekov, ktoré stimulujú motilitu gastrointestinálneho traktu, akými sú napríklad metoklopramid a cisaprid.</w:t>
      </w:r>
    </w:p>
    <w:p w14:paraId="4D93F9CE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Farmakokinetické interakcie</w:t>
      </w:r>
    </w:p>
    <w:p w14:paraId="40E33D43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Štúdie </w:t>
      </w:r>
      <w:r w:rsidRPr="00960DA5">
        <w:rPr>
          <w:rFonts w:ascii="Times New Roman" w:hAnsi="Times New Roman" w:cs="Times New Roman"/>
          <w:i/>
          <w:lang w:val="sk-SK"/>
        </w:rPr>
        <w:t>in vitro</w:t>
      </w:r>
      <w:r w:rsidRPr="00627D2C">
        <w:rPr>
          <w:rFonts w:ascii="Times New Roman" w:hAnsi="Times New Roman" w:cs="Times New Roman"/>
          <w:lang w:val="sk-SK"/>
        </w:rPr>
        <w:t xml:space="preserve"> dokázali, že solifenacín pri terapeutických koncentráciách neinhibuje CYP1A1/2, 2C9, 2C19, 2D6 alebo 3A4 odvodené z m</w:t>
      </w:r>
      <w:r w:rsidR="001C7E5D" w:rsidRPr="00627D2C">
        <w:rPr>
          <w:rFonts w:ascii="Times New Roman" w:hAnsi="Times New Roman" w:cs="Times New Roman"/>
          <w:lang w:val="sk-SK"/>
        </w:rPr>
        <w:t xml:space="preserve">ikrozómov ľudskej pečene. Preto </w:t>
      </w:r>
      <w:r w:rsidRPr="00627D2C">
        <w:rPr>
          <w:rFonts w:ascii="Times New Roman" w:hAnsi="Times New Roman" w:cs="Times New Roman"/>
          <w:lang w:val="sk-SK"/>
        </w:rPr>
        <w:t>je nepravdepodobné, že by solifenacín menil klírens liekov metabolizovaných pomocou týchto CYP enzýmov.</w:t>
      </w:r>
    </w:p>
    <w:p w14:paraId="68B1FC9E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Účinok iných liekov na farmakokinetické vlastnosti solifenacínu</w:t>
      </w:r>
    </w:p>
    <w:p w14:paraId="0F352BF8" w14:textId="44C3D70D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Solifenacín sa metabolizuje pomocou CYP3A4. </w:t>
      </w:r>
      <w:r w:rsidR="00D37B64">
        <w:rPr>
          <w:rFonts w:ascii="Times New Roman" w:hAnsi="Times New Roman" w:cs="Times New Roman"/>
          <w:lang w:val="sk-SK"/>
        </w:rPr>
        <w:t>Súbežné</w:t>
      </w:r>
      <w:r w:rsidRPr="00627D2C">
        <w:rPr>
          <w:rFonts w:ascii="Times New Roman" w:hAnsi="Times New Roman" w:cs="Times New Roman"/>
          <w:lang w:val="sk-SK"/>
        </w:rPr>
        <w:t xml:space="preserve"> podanie ketokonazolu (200 mg/deň), silného inhibítora CYP3A4, viedlo k dvojnásobnému zvýšeniu AUC</w:t>
      </w:r>
      <w:r w:rsidR="00697E4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solifenacínu, zatiaľ čo podanie</w:t>
      </w:r>
      <w:r w:rsidR="00697E4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ketokonazolu v dávke 400 mg/deň viedlo k trojnásobnému zvýšeniu AUC solifenacínu. Preto má byť maximálna dávka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827F44">
        <w:rPr>
          <w:rFonts w:ascii="Times New Roman" w:hAnsi="Times New Roman" w:cs="Times New Roman"/>
          <w:lang w:val="sk-SK"/>
        </w:rPr>
        <w:t>u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="00697E41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obmedzená na 5 mg v prípade, ak je pacient sú</w:t>
      </w:r>
      <w:r w:rsidR="00D37B64">
        <w:rPr>
          <w:rFonts w:ascii="Times New Roman" w:hAnsi="Times New Roman" w:cs="Times New Roman"/>
          <w:lang w:val="sk-SK"/>
        </w:rPr>
        <w:t>bežne</w:t>
      </w:r>
      <w:r w:rsidRPr="00627D2C">
        <w:rPr>
          <w:rFonts w:ascii="Times New Roman" w:hAnsi="Times New Roman" w:cs="Times New Roman"/>
          <w:lang w:val="sk-SK"/>
        </w:rPr>
        <w:t xml:space="preserve"> liečený ketokonazolom alebo terapeutickými dávkami iných silných inhib</w:t>
      </w:r>
      <w:r w:rsidR="00697E41" w:rsidRPr="00627D2C">
        <w:rPr>
          <w:rFonts w:ascii="Times New Roman" w:hAnsi="Times New Roman" w:cs="Times New Roman"/>
          <w:lang w:val="sk-SK"/>
        </w:rPr>
        <w:t xml:space="preserve">ítorov CYP3A4 (napr. ritonavir, </w:t>
      </w:r>
      <w:r w:rsidRPr="00627D2C">
        <w:rPr>
          <w:rFonts w:ascii="Times New Roman" w:hAnsi="Times New Roman" w:cs="Times New Roman"/>
          <w:lang w:val="sk-SK"/>
        </w:rPr>
        <w:t>nelfinavir, itrakonazol) (pozri časť 4.2).</w:t>
      </w:r>
    </w:p>
    <w:p w14:paraId="05E47229" w14:textId="281DE3AB" w:rsidR="00F52440" w:rsidRPr="00627D2C" w:rsidRDefault="00D37B64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Súbežná</w:t>
      </w:r>
      <w:r w:rsidR="00F52440" w:rsidRPr="00627D2C">
        <w:rPr>
          <w:rFonts w:ascii="Times New Roman" w:hAnsi="Times New Roman" w:cs="Times New Roman"/>
          <w:lang w:val="sk-SK"/>
        </w:rPr>
        <w:t xml:space="preserve"> liečba solifenacínom a silným inhibítorom CYP3A4 je kontraindikovaná u pacientov so závažnou poruchou funkcie obličiek </w:t>
      </w:r>
      <w:r w:rsidR="00697E41" w:rsidRPr="00627D2C">
        <w:rPr>
          <w:rFonts w:ascii="Times New Roman" w:hAnsi="Times New Roman" w:cs="Times New Roman"/>
          <w:lang w:val="sk-SK"/>
        </w:rPr>
        <w:t xml:space="preserve">alebo stredne závažnou poruchou </w:t>
      </w:r>
      <w:r w:rsidR="00F52440" w:rsidRPr="00627D2C">
        <w:rPr>
          <w:rFonts w:ascii="Times New Roman" w:hAnsi="Times New Roman" w:cs="Times New Roman"/>
          <w:lang w:val="sk-SK"/>
        </w:rPr>
        <w:t>funkcie pečene.</w:t>
      </w:r>
    </w:p>
    <w:p w14:paraId="27FC30B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Vplyv enzýmovej indukcie na farmakokinetické vlastnosti solifenacínu a jeho metabolitov nebol </w:t>
      </w:r>
      <w:r w:rsidR="00697E41" w:rsidRPr="00627D2C">
        <w:rPr>
          <w:rFonts w:ascii="Times New Roman" w:hAnsi="Times New Roman" w:cs="Times New Roman"/>
          <w:lang w:val="sk-SK"/>
        </w:rPr>
        <w:t>skúmaný</w:t>
      </w:r>
      <w:r w:rsidRPr="00627D2C">
        <w:rPr>
          <w:rFonts w:ascii="Times New Roman" w:hAnsi="Times New Roman" w:cs="Times New Roman"/>
          <w:lang w:val="sk-SK"/>
        </w:rPr>
        <w:t>, rovnako ako ani vplyv</w:t>
      </w:r>
      <w:r w:rsidR="00697E41" w:rsidRPr="00627D2C">
        <w:rPr>
          <w:rFonts w:ascii="Times New Roman" w:hAnsi="Times New Roman" w:cs="Times New Roman"/>
          <w:lang w:val="sk-SK"/>
        </w:rPr>
        <w:t xml:space="preserve"> substrátov s vyššou afinitou k </w:t>
      </w:r>
      <w:r w:rsidRPr="00627D2C">
        <w:rPr>
          <w:rFonts w:ascii="Times New Roman" w:hAnsi="Times New Roman" w:cs="Times New Roman"/>
          <w:lang w:val="sk-SK"/>
        </w:rPr>
        <w:t xml:space="preserve">CYP3A4 na expozíciu solifenacínu. </w:t>
      </w:r>
      <w:r w:rsidRPr="00627D2C">
        <w:rPr>
          <w:rFonts w:ascii="Times New Roman" w:hAnsi="Times New Roman" w:cs="Times New Roman"/>
          <w:lang w:val="sk-SK"/>
        </w:rPr>
        <w:lastRenderedPageBreak/>
        <w:t>Keďže solifenacín sa metabolizuje prostredníctvom CYP3A4, sú možné farmakokinetické interak</w:t>
      </w:r>
      <w:r w:rsidR="00697E41" w:rsidRPr="00627D2C">
        <w:rPr>
          <w:rFonts w:ascii="Times New Roman" w:hAnsi="Times New Roman" w:cs="Times New Roman"/>
          <w:lang w:val="sk-SK"/>
        </w:rPr>
        <w:t xml:space="preserve">cie s inými substrátmi CYP3A4 s </w:t>
      </w:r>
      <w:r w:rsidRPr="00627D2C">
        <w:rPr>
          <w:rFonts w:ascii="Times New Roman" w:hAnsi="Times New Roman" w:cs="Times New Roman"/>
          <w:lang w:val="sk-SK"/>
        </w:rPr>
        <w:t>vyššou afinitou k CYP3A4 (napr. verapamil, diltiazem) a induktormi CYP3A4 (napr. rifa</w:t>
      </w:r>
      <w:r w:rsidR="00697E41" w:rsidRPr="00627D2C">
        <w:rPr>
          <w:rFonts w:ascii="Times New Roman" w:hAnsi="Times New Roman" w:cs="Times New Roman"/>
          <w:lang w:val="sk-SK"/>
        </w:rPr>
        <w:t>mpicín, fenytoín, karbamazepín)</w:t>
      </w:r>
      <w:r w:rsidRPr="00627D2C">
        <w:rPr>
          <w:rFonts w:ascii="Times New Roman" w:hAnsi="Times New Roman" w:cs="Times New Roman"/>
          <w:lang w:val="sk-SK"/>
        </w:rPr>
        <w:t>.</w:t>
      </w:r>
    </w:p>
    <w:p w14:paraId="10E4A6B5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Vplyv solifenacínu na farmakokinetické vlastnosti iných liekov</w:t>
      </w:r>
    </w:p>
    <w:p w14:paraId="2EDC2E45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Perorálne kontraceptíva</w:t>
      </w:r>
    </w:p>
    <w:p w14:paraId="4FE7CF9A" w14:textId="17672AA0" w:rsidR="00587298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Užívanie </w:t>
      </w:r>
      <w:r w:rsidR="00E62632" w:rsidRPr="00627D2C">
        <w:rPr>
          <w:rFonts w:ascii="Times New Roman" w:hAnsi="Times New Roman" w:cs="Times New Roman"/>
          <w:lang w:val="sk-SK"/>
        </w:rPr>
        <w:t xml:space="preserve">solifenacíniumsukcinátu </w:t>
      </w:r>
      <w:r w:rsidRPr="00627D2C">
        <w:rPr>
          <w:rFonts w:ascii="Times New Roman" w:hAnsi="Times New Roman" w:cs="Times New Roman"/>
          <w:lang w:val="sk-SK"/>
        </w:rPr>
        <w:t>nepreukázalo žiadnu farmakokinetickú interakciu solifenacínu s kombinovan</w:t>
      </w:r>
      <w:r w:rsidR="00587298" w:rsidRPr="00627D2C">
        <w:rPr>
          <w:rFonts w:ascii="Times New Roman" w:hAnsi="Times New Roman" w:cs="Times New Roman"/>
          <w:lang w:val="sk-SK"/>
        </w:rPr>
        <w:t xml:space="preserve">ými perorálnymi kontraceptívami </w:t>
      </w:r>
      <w:r w:rsidRPr="00627D2C">
        <w:rPr>
          <w:rFonts w:ascii="Times New Roman" w:hAnsi="Times New Roman" w:cs="Times New Roman"/>
          <w:lang w:val="sk-SK"/>
        </w:rPr>
        <w:t xml:space="preserve">(etinylestradiol/levonorgestrel). </w:t>
      </w:r>
    </w:p>
    <w:p w14:paraId="0B142C2D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Warfarín</w:t>
      </w:r>
    </w:p>
    <w:p w14:paraId="1FEF7D09" w14:textId="36337E42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Užívanie </w:t>
      </w:r>
      <w:r w:rsidR="00AB239F" w:rsidRPr="00627D2C">
        <w:rPr>
          <w:rFonts w:ascii="Times New Roman" w:hAnsi="Times New Roman" w:cs="Times New Roman"/>
          <w:lang w:val="sk-SK"/>
        </w:rPr>
        <w:t>solifenacíniumsukcinátu</w:t>
      </w:r>
      <w:r w:rsidRPr="00627D2C">
        <w:rPr>
          <w:rFonts w:ascii="Times New Roman" w:hAnsi="Times New Roman" w:cs="Times New Roman"/>
          <w:lang w:val="sk-SK"/>
        </w:rPr>
        <w:t xml:space="preserve"> nezmenilo farmakokinetické vlastno</w:t>
      </w:r>
      <w:r w:rsidR="00545B1C" w:rsidRPr="00627D2C">
        <w:rPr>
          <w:rFonts w:ascii="Times New Roman" w:hAnsi="Times New Roman" w:cs="Times New Roman"/>
          <w:lang w:val="sk-SK"/>
        </w:rPr>
        <w:t>sti R-warfarínu ani S</w:t>
      </w:r>
      <w:r w:rsidR="00D37B64">
        <w:rPr>
          <w:rFonts w:ascii="Times New Roman" w:hAnsi="Times New Roman" w:cs="Times New Roman"/>
          <w:lang w:val="sk-SK"/>
        </w:rPr>
        <w:t>-</w:t>
      </w:r>
      <w:r w:rsidR="00545B1C" w:rsidRPr="00627D2C">
        <w:rPr>
          <w:rFonts w:ascii="Times New Roman" w:hAnsi="Times New Roman" w:cs="Times New Roman"/>
          <w:lang w:val="sk-SK"/>
        </w:rPr>
        <w:t>warfarínu</w:t>
      </w:r>
      <w:r w:rsidRPr="00627D2C">
        <w:rPr>
          <w:rFonts w:ascii="Times New Roman" w:hAnsi="Times New Roman" w:cs="Times New Roman"/>
          <w:lang w:val="sk-SK"/>
        </w:rPr>
        <w:t xml:space="preserve"> ani ich účinok na protrombínový čas.</w:t>
      </w:r>
    </w:p>
    <w:p w14:paraId="419C8F12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Digoxín</w:t>
      </w:r>
    </w:p>
    <w:p w14:paraId="2E298659" w14:textId="65B888C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Užívanie</w:t>
      </w:r>
      <w:r w:rsidR="0039279A" w:rsidRPr="00627D2C">
        <w:rPr>
          <w:rFonts w:ascii="Times New Roman" w:hAnsi="Times New Roman" w:cs="Times New Roman"/>
          <w:lang w:val="sk-SK"/>
        </w:rPr>
        <w:t xml:space="preserve"> </w:t>
      </w:r>
      <w:r w:rsidR="00AB239F" w:rsidRPr="00627D2C">
        <w:rPr>
          <w:rFonts w:ascii="Times New Roman" w:hAnsi="Times New Roman" w:cs="Times New Roman"/>
          <w:lang w:val="sk-SK"/>
        </w:rPr>
        <w:t xml:space="preserve">solifenacíniumsukcinátu </w:t>
      </w:r>
      <w:r w:rsidRPr="00627D2C">
        <w:rPr>
          <w:rFonts w:ascii="Times New Roman" w:hAnsi="Times New Roman" w:cs="Times New Roman"/>
          <w:lang w:val="sk-SK"/>
        </w:rPr>
        <w:t>nevykázalo žiaden vplyv na farmakokinetické vlastnosti digoxínu.</w:t>
      </w:r>
    </w:p>
    <w:p w14:paraId="0A13D1E3" w14:textId="77777777" w:rsidR="00F52440" w:rsidRPr="00627D2C" w:rsidRDefault="008271E6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Fertilita, gravidita a</w:t>
      </w:r>
      <w:r w:rsidR="00DB2348"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 </w:t>
      </w: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laktácia</w:t>
      </w:r>
    </w:p>
    <w:p w14:paraId="3567A4DE" w14:textId="77777777" w:rsidR="00DB2348" w:rsidRPr="00627D2C" w:rsidRDefault="00DB2348" w:rsidP="00DB2348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642CA35A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Gravidita</w:t>
      </w:r>
    </w:p>
    <w:p w14:paraId="1F839135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Nie sú k dispozícii žiadne klinické údaje o ženách, ktoré otehotneli počas užívania solifenacínu. Štúdie na zvieratách nepreukázali priame šk</w:t>
      </w:r>
      <w:r w:rsidR="006F3C28" w:rsidRPr="00627D2C">
        <w:rPr>
          <w:rFonts w:ascii="Times New Roman" w:hAnsi="Times New Roman" w:cs="Times New Roman"/>
          <w:lang w:val="sk-SK"/>
        </w:rPr>
        <w:t xml:space="preserve">odlivé účinky na plodnosť, </w:t>
      </w:r>
      <w:r w:rsidRPr="00627D2C">
        <w:rPr>
          <w:rFonts w:ascii="Times New Roman" w:hAnsi="Times New Roman" w:cs="Times New Roman"/>
          <w:lang w:val="sk-SK"/>
        </w:rPr>
        <w:t>embryonálny/fetálny vývoj</w:t>
      </w:r>
      <w:r w:rsidR="003143FF" w:rsidRPr="00627D2C">
        <w:rPr>
          <w:rFonts w:ascii="Times New Roman" w:hAnsi="Times New Roman" w:cs="Times New Roman"/>
          <w:lang w:val="sk-SK"/>
        </w:rPr>
        <w:t xml:space="preserve"> alebo pôrod (pozri časť 5.3). Možné</w:t>
      </w:r>
      <w:r w:rsidRPr="00627D2C">
        <w:rPr>
          <w:rFonts w:ascii="Times New Roman" w:hAnsi="Times New Roman" w:cs="Times New Roman"/>
          <w:lang w:val="sk-SK"/>
        </w:rPr>
        <w:t xml:space="preserve"> riziko u </w:t>
      </w:r>
      <w:r w:rsidR="003143FF" w:rsidRPr="00627D2C">
        <w:rPr>
          <w:rFonts w:ascii="Times New Roman" w:hAnsi="Times New Roman" w:cs="Times New Roman"/>
          <w:lang w:val="sk-SK"/>
        </w:rPr>
        <w:t>človeka</w:t>
      </w:r>
      <w:r w:rsidRPr="00627D2C">
        <w:rPr>
          <w:rFonts w:ascii="Times New Roman" w:hAnsi="Times New Roman" w:cs="Times New Roman"/>
          <w:lang w:val="sk-SK"/>
        </w:rPr>
        <w:t xml:space="preserve"> nie je známe. Pri predpisovaní lieku gravidným ženám je potrebná opatrnosť.</w:t>
      </w:r>
    </w:p>
    <w:p w14:paraId="15666C1B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Dojčenie</w:t>
      </w:r>
    </w:p>
    <w:p w14:paraId="154E1716" w14:textId="03B23AD3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Údaje o vylučovaní solifenacínu do materského mlieka nie sú k dispozícii. U myší sa solifenacín a/alebo jeho metabolity vylučovali d</w:t>
      </w:r>
      <w:r w:rsidR="006F3C28" w:rsidRPr="00627D2C">
        <w:rPr>
          <w:rFonts w:ascii="Times New Roman" w:hAnsi="Times New Roman" w:cs="Times New Roman"/>
          <w:lang w:val="sk-SK"/>
        </w:rPr>
        <w:t xml:space="preserve">o mlieka, čo spôsobilo od dávky </w:t>
      </w:r>
      <w:r w:rsidRPr="00627D2C">
        <w:rPr>
          <w:rFonts w:ascii="Times New Roman" w:hAnsi="Times New Roman" w:cs="Times New Roman"/>
          <w:lang w:val="sk-SK"/>
        </w:rPr>
        <w:t>závislé nedostatočné prospievanie novoroden</w:t>
      </w:r>
      <w:r w:rsidR="001527A1">
        <w:rPr>
          <w:rFonts w:ascii="Times New Roman" w:hAnsi="Times New Roman" w:cs="Times New Roman"/>
          <w:lang w:val="sk-SK"/>
        </w:rPr>
        <w:t>ých</w:t>
      </w:r>
      <w:r w:rsidRPr="00627D2C">
        <w:rPr>
          <w:rFonts w:ascii="Times New Roman" w:hAnsi="Times New Roman" w:cs="Times New Roman"/>
          <w:lang w:val="sk-SK"/>
        </w:rPr>
        <w:t xml:space="preserve"> myš</w:t>
      </w:r>
      <w:r w:rsidR="001527A1">
        <w:rPr>
          <w:rFonts w:ascii="Times New Roman" w:hAnsi="Times New Roman" w:cs="Times New Roman"/>
          <w:lang w:val="sk-SK"/>
        </w:rPr>
        <w:t>í</w:t>
      </w:r>
      <w:r w:rsidRPr="00627D2C">
        <w:rPr>
          <w:rFonts w:ascii="Times New Roman" w:hAnsi="Times New Roman" w:cs="Times New Roman"/>
          <w:lang w:val="sk-SK"/>
        </w:rPr>
        <w:t xml:space="preserve"> (pozri časť 5.3). Preto </w:t>
      </w:r>
      <w:r w:rsidR="001527A1">
        <w:rPr>
          <w:rFonts w:ascii="Times New Roman" w:hAnsi="Times New Roman" w:cs="Times New Roman"/>
          <w:lang w:val="sk-SK"/>
        </w:rPr>
        <w:t>je potrebné</w:t>
      </w:r>
      <w:r w:rsidRPr="00627D2C">
        <w:rPr>
          <w:rFonts w:ascii="Times New Roman" w:hAnsi="Times New Roman" w:cs="Times New Roman"/>
          <w:lang w:val="sk-SK"/>
        </w:rPr>
        <w:t xml:space="preserve"> sa počas obdobia dojčenia vyhnúť užívaniu </w:t>
      </w:r>
      <w:r w:rsidR="006A287B">
        <w:rPr>
          <w:rFonts w:ascii="Times New Roman" w:hAnsi="Times New Roman" w:cs="Times New Roman"/>
          <w:lang w:val="sk-SK"/>
        </w:rPr>
        <w:t>Solifenacín</w:t>
      </w:r>
      <w:r w:rsidR="00827F44">
        <w:rPr>
          <w:rFonts w:ascii="Times New Roman" w:hAnsi="Times New Roman" w:cs="Times New Roman"/>
          <w:lang w:val="sk-SK"/>
        </w:rPr>
        <w:t>u</w:t>
      </w:r>
      <w:r w:rsidR="006A287B">
        <w:rPr>
          <w:rFonts w:ascii="Times New Roman" w:hAnsi="Times New Roman" w:cs="Times New Roman"/>
          <w:lang w:val="sk-SK"/>
        </w:rPr>
        <w:t xml:space="preserve"> LM</w:t>
      </w:r>
      <w:r w:rsidRPr="00627D2C">
        <w:rPr>
          <w:rFonts w:ascii="Times New Roman" w:hAnsi="Times New Roman" w:cs="Times New Roman"/>
          <w:lang w:val="sk-SK"/>
        </w:rPr>
        <w:t>.</w:t>
      </w:r>
    </w:p>
    <w:p w14:paraId="6FD86135" w14:textId="67876E9E" w:rsidR="001017CE" w:rsidRPr="00627D2C" w:rsidRDefault="001527A1" w:rsidP="00F52440">
      <w:pPr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Fertilita</w:t>
      </w:r>
    </w:p>
    <w:p w14:paraId="5B1633A0" w14:textId="3C2F707A" w:rsidR="00834F89" w:rsidRPr="00627D2C" w:rsidRDefault="00834F89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Nie sú k dispozícii žiadne klinické údaje o možných účinkoch solifenacínu na mužskú a ženskú </w:t>
      </w:r>
      <w:r w:rsidR="001527A1">
        <w:rPr>
          <w:rFonts w:ascii="Times New Roman" w:hAnsi="Times New Roman" w:cs="Times New Roman"/>
          <w:lang w:val="sk-SK"/>
        </w:rPr>
        <w:t>fertilitu</w:t>
      </w:r>
      <w:r w:rsidRPr="00627D2C">
        <w:rPr>
          <w:rFonts w:ascii="Times New Roman" w:hAnsi="Times New Roman" w:cs="Times New Roman"/>
          <w:lang w:val="sk-SK"/>
        </w:rPr>
        <w:t xml:space="preserve">. Štúdie na zvieratách nepreukázali priame škodlivé účinky na plodnosť. </w:t>
      </w:r>
      <w:r w:rsidR="003143FF" w:rsidRPr="00627D2C">
        <w:rPr>
          <w:rFonts w:ascii="Times New Roman" w:hAnsi="Times New Roman" w:cs="Times New Roman"/>
          <w:lang w:val="sk-SK"/>
        </w:rPr>
        <w:t>Možné riziko u človeka nie je známe</w:t>
      </w:r>
      <w:r w:rsidRPr="00627D2C">
        <w:rPr>
          <w:rFonts w:ascii="Times New Roman" w:hAnsi="Times New Roman" w:cs="Times New Roman"/>
          <w:lang w:val="sk-SK"/>
        </w:rPr>
        <w:t>.</w:t>
      </w:r>
      <w:r w:rsidR="003143FF" w:rsidRPr="00627D2C">
        <w:t xml:space="preserve"> </w:t>
      </w:r>
      <w:r w:rsidR="008568B8" w:rsidRPr="00627D2C">
        <w:rPr>
          <w:rFonts w:ascii="Times New Roman" w:hAnsi="Times New Roman" w:cs="Times New Roman"/>
          <w:lang w:val="sk-SK"/>
        </w:rPr>
        <w:t xml:space="preserve">Ako preventívne opatrenie je vhodnejšie vyhnúť sa užívaniu </w:t>
      </w:r>
      <w:r w:rsidR="003143FF" w:rsidRPr="00627D2C">
        <w:rPr>
          <w:rFonts w:ascii="Times New Roman" w:hAnsi="Times New Roman" w:cs="Times New Roman"/>
          <w:lang w:val="sk-SK"/>
        </w:rPr>
        <w:t>solifenacíniumsukcinátu u pacient</w:t>
      </w:r>
      <w:r w:rsidR="00CC0378">
        <w:rPr>
          <w:rFonts w:ascii="Times New Roman" w:hAnsi="Times New Roman" w:cs="Times New Roman"/>
          <w:lang w:val="sk-SK"/>
        </w:rPr>
        <w:t>o</w:t>
      </w:r>
      <w:r w:rsidR="003143FF" w:rsidRPr="00627D2C">
        <w:rPr>
          <w:rFonts w:ascii="Times New Roman" w:hAnsi="Times New Roman" w:cs="Times New Roman"/>
          <w:lang w:val="sk-SK"/>
        </w:rPr>
        <w:t>k plánujúcich graviditu.</w:t>
      </w:r>
    </w:p>
    <w:p w14:paraId="7DC76740" w14:textId="77777777" w:rsidR="00F52440" w:rsidRPr="00627D2C" w:rsidRDefault="00764413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Ovplyvnenie schopnosti viesť vozidlá a obsluhovať stroje</w:t>
      </w:r>
    </w:p>
    <w:p w14:paraId="65D0F231" w14:textId="77777777" w:rsidR="00DB2348" w:rsidRPr="00627D2C" w:rsidRDefault="00DB2348" w:rsidP="00DB2348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1BE82A07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Keďže solifenacín, tak ako aj iné anticholinergiká, môže spôsobovať rozmazané videnie a menej často ospalosť a únavu (pozri časť 4</w:t>
      </w:r>
      <w:r w:rsidR="00712032" w:rsidRPr="00627D2C">
        <w:rPr>
          <w:rFonts w:ascii="Times New Roman" w:hAnsi="Times New Roman" w:cs="Times New Roman"/>
          <w:lang w:val="sk-SK"/>
        </w:rPr>
        <w:t xml:space="preserve">.8. Nežiaduce účinky), môže mať </w:t>
      </w:r>
      <w:r w:rsidRPr="00627D2C">
        <w:rPr>
          <w:rFonts w:ascii="Times New Roman" w:hAnsi="Times New Roman" w:cs="Times New Roman"/>
          <w:lang w:val="sk-SK"/>
        </w:rPr>
        <w:t>negatívny vplyv na schopnosť viesť vozidlá a obsluhovať stroje.</w:t>
      </w:r>
    </w:p>
    <w:p w14:paraId="34A11B6C" w14:textId="77777777" w:rsidR="00F52440" w:rsidRPr="00627D2C" w:rsidRDefault="00712032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Nežiaduce účinky</w:t>
      </w:r>
    </w:p>
    <w:p w14:paraId="23A5BFA6" w14:textId="77777777" w:rsidR="00DB2348" w:rsidRPr="00627D2C" w:rsidRDefault="00DB2348" w:rsidP="00DB2348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28B60CBC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Súhrn bezpečnostného profilu</w:t>
      </w:r>
    </w:p>
    <w:p w14:paraId="6B13626F" w14:textId="6BBC1C4C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D40715">
        <w:rPr>
          <w:rFonts w:ascii="Times New Roman" w:hAnsi="Times New Roman" w:cs="Times New Roman"/>
          <w:lang w:val="sk-SK"/>
        </w:rPr>
        <w:t>Vz</w:t>
      </w:r>
      <w:r w:rsidRPr="00627D2C">
        <w:rPr>
          <w:rFonts w:ascii="Times New Roman" w:hAnsi="Times New Roman" w:cs="Times New Roman"/>
          <w:lang w:val="sk-SK"/>
        </w:rPr>
        <w:t xml:space="preserve">hľadom na farmakologické účinky solifenacínu môže </w:t>
      </w:r>
      <w:r w:rsidR="00C71BCB">
        <w:rPr>
          <w:rFonts w:ascii="Times New Roman" w:hAnsi="Times New Roman" w:cs="Times New Roman"/>
          <w:lang w:val="sk-SK"/>
        </w:rPr>
        <w:t>S</w:t>
      </w:r>
      <w:r w:rsidR="00AB239F" w:rsidRPr="00627D2C">
        <w:rPr>
          <w:rFonts w:ascii="Times New Roman" w:hAnsi="Times New Roman" w:cs="Times New Roman"/>
          <w:lang w:val="sk-SK"/>
        </w:rPr>
        <w:t>olifenací</w:t>
      </w:r>
      <w:r w:rsidR="00C71BCB">
        <w:rPr>
          <w:rFonts w:ascii="Times New Roman" w:hAnsi="Times New Roman" w:cs="Times New Roman"/>
          <w:lang w:val="sk-SK"/>
        </w:rPr>
        <w:t>n LM</w:t>
      </w:r>
      <w:r w:rsidRPr="00627D2C">
        <w:rPr>
          <w:rFonts w:ascii="Times New Roman" w:hAnsi="Times New Roman" w:cs="Times New Roman"/>
          <w:lang w:val="sk-SK"/>
        </w:rPr>
        <w:t xml:space="preserve"> spôsobiť anticholinergické nežiaduce účinky (obvykle) miernej alebo </w:t>
      </w:r>
      <w:r w:rsidR="00553AB7" w:rsidRPr="00627D2C">
        <w:rPr>
          <w:rFonts w:ascii="Times New Roman" w:hAnsi="Times New Roman" w:cs="Times New Roman"/>
          <w:lang w:val="sk-SK"/>
        </w:rPr>
        <w:t xml:space="preserve">strednej závažnosti. Frekvencia </w:t>
      </w:r>
      <w:r w:rsidRPr="00627D2C">
        <w:rPr>
          <w:rFonts w:ascii="Times New Roman" w:hAnsi="Times New Roman" w:cs="Times New Roman"/>
          <w:lang w:val="sk-SK"/>
        </w:rPr>
        <w:t>anticholinergických nežiaducich účinkov je závislá od dávky.</w:t>
      </w:r>
    </w:p>
    <w:p w14:paraId="61B429DE" w14:textId="14AAA734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Najčastejšie hlásená nežiaduca reakcia pri užívaní </w:t>
      </w:r>
      <w:r w:rsidR="00AB239F" w:rsidRPr="00627D2C">
        <w:rPr>
          <w:rFonts w:ascii="Times New Roman" w:hAnsi="Times New Roman" w:cs="Times New Roman"/>
          <w:lang w:val="sk-SK"/>
        </w:rPr>
        <w:t xml:space="preserve">solifenacíniumsukcinátu </w:t>
      </w:r>
      <w:r w:rsidRPr="00627D2C">
        <w:rPr>
          <w:rFonts w:ascii="Times New Roman" w:hAnsi="Times New Roman" w:cs="Times New Roman"/>
          <w:lang w:val="sk-SK"/>
        </w:rPr>
        <w:t>bola sucho v ústach. K tejto reakcii došlo u 11 % pacientov, ktorí užíval</w:t>
      </w:r>
      <w:r w:rsidR="00553AB7" w:rsidRPr="00627D2C">
        <w:rPr>
          <w:rFonts w:ascii="Times New Roman" w:hAnsi="Times New Roman" w:cs="Times New Roman"/>
          <w:lang w:val="sk-SK"/>
        </w:rPr>
        <w:t>i dávku 5 mg jedenkrát denne, u</w:t>
      </w:r>
      <w:r w:rsidR="00D40715">
        <w:rPr>
          <w:rFonts w:ascii="Times New Roman" w:hAnsi="Times New Roman" w:cs="Times New Roman"/>
          <w:lang w:val="sk-SK"/>
        </w:rPr>
        <w:t> </w:t>
      </w:r>
      <w:r w:rsidR="00553AB7" w:rsidRPr="00627D2C">
        <w:rPr>
          <w:rFonts w:ascii="Times New Roman" w:hAnsi="Times New Roman" w:cs="Times New Roman"/>
          <w:lang w:val="sk-SK"/>
        </w:rPr>
        <w:t>22</w:t>
      </w:r>
      <w:r w:rsidR="00D40715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% pacientov, ktorí užívali dá</w:t>
      </w:r>
      <w:r w:rsidR="00553AB7" w:rsidRPr="00627D2C">
        <w:rPr>
          <w:rFonts w:ascii="Times New Roman" w:hAnsi="Times New Roman" w:cs="Times New Roman"/>
          <w:lang w:val="sk-SK"/>
        </w:rPr>
        <w:t>vku 10 mg jedenkrát denne, a u</w:t>
      </w:r>
      <w:r w:rsidR="00A00572" w:rsidRPr="00627D2C">
        <w:rPr>
          <w:rFonts w:ascii="Times New Roman" w:hAnsi="Times New Roman" w:cs="Times New Roman"/>
          <w:lang w:val="sk-SK"/>
        </w:rPr>
        <w:t> </w:t>
      </w:r>
      <w:r w:rsidR="00553AB7" w:rsidRPr="00627D2C">
        <w:rPr>
          <w:rFonts w:ascii="Times New Roman" w:hAnsi="Times New Roman" w:cs="Times New Roman"/>
          <w:lang w:val="sk-SK"/>
        </w:rPr>
        <w:t>4</w:t>
      </w:r>
      <w:r w:rsidR="00A00572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% pacientov, ktorí užívali placebo. Závažnosť sucha v </w:t>
      </w:r>
      <w:r w:rsidRPr="00627D2C">
        <w:rPr>
          <w:rFonts w:ascii="Times New Roman" w:hAnsi="Times New Roman" w:cs="Times New Roman"/>
          <w:lang w:val="sk-SK"/>
        </w:rPr>
        <w:lastRenderedPageBreak/>
        <w:t>ústach bola obvy</w:t>
      </w:r>
      <w:r w:rsidR="004270E7" w:rsidRPr="00627D2C">
        <w:rPr>
          <w:rFonts w:ascii="Times New Roman" w:hAnsi="Times New Roman" w:cs="Times New Roman"/>
          <w:lang w:val="sk-SK"/>
        </w:rPr>
        <w:t xml:space="preserve">kle mierna a len občas viedla k </w:t>
      </w:r>
      <w:r w:rsidRPr="00627D2C">
        <w:rPr>
          <w:rFonts w:ascii="Times New Roman" w:hAnsi="Times New Roman" w:cs="Times New Roman"/>
          <w:lang w:val="sk-SK"/>
        </w:rPr>
        <w:t>prerušeniu liečby. Compliance pacientov pri užívaní lieku bola vo všeobecn</w:t>
      </w:r>
      <w:r w:rsidR="004270E7" w:rsidRPr="00627D2C">
        <w:rPr>
          <w:rFonts w:ascii="Times New Roman" w:hAnsi="Times New Roman" w:cs="Times New Roman"/>
          <w:lang w:val="sk-SK"/>
        </w:rPr>
        <w:t>osti veľmi vysoká (približne 99</w:t>
      </w:r>
      <w:r w:rsidR="00A00572" w:rsidRPr="00627D2C">
        <w:rPr>
          <w:rFonts w:ascii="Times New Roman" w:hAnsi="Times New Roman" w:cs="Times New Roman"/>
          <w:lang w:val="sk-SK"/>
        </w:rPr>
        <w:t xml:space="preserve"> </w:t>
      </w:r>
      <w:r w:rsidR="004270E7" w:rsidRPr="00627D2C">
        <w:rPr>
          <w:rFonts w:ascii="Times New Roman" w:hAnsi="Times New Roman" w:cs="Times New Roman"/>
          <w:lang w:val="sk-SK"/>
        </w:rPr>
        <w:t>%) a približne 90</w:t>
      </w:r>
      <w:r w:rsidR="00A00572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% pacientov liečených </w:t>
      </w:r>
      <w:r w:rsidR="00D8541F">
        <w:rPr>
          <w:rFonts w:ascii="Times New Roman" w:hAnsi="Times New Roman" w:cs="Times New Roman"/>
          <w:lang w:val="sk-SK"/>
        </w:rPr>
        <w:t>solifenacíniumsukcinátom</w:t>
      </w:r>
      <w:r w:rsidR="00D8541F" w:rsidRPr="00D8541F">
        <w:rPr>
          <w:rFonts w:ascii="Times New Roman" w:hAnsi="Times New Roman" w:cs="Times New Roman"/>
          <w:lang w:val="sk-SK"/>
        </w:rPr>
        <w:t xml:space="preserve"> </w:t>
      </w:r>
      <w:r w:rsidR="004270E7" w:rsidRPr="00627D2C">
        <w:rPr>
          <w:rFonts w:ascii="Times New Roman" w:hAnsi="Times New Roman" w:cs="Times New Roman"/>
          <w:lang w:val="sk-SK"/>
        </w:rPr>
        <w:t xml:space="preserve">dokončilo </w:t>
      </w:r>
      <w:r w:rsidRPr="00627D2C">
        <w:rPr>
          <w:rFonts w:ascii="Times New Roman" w:hAnsi="Times New Roman" w:cs="Times New Roman"/>
          <w:lang w:val="sk-SK"/>
        </w:rPr>
        <w:t>celú štúdiu v trvaní 12 týždňov.</w:t>
      </w:r>
    </w:p>
    <w:p w14:paraId="57B71911" w14:textId="77777777" w:rsidR="00F52440" w:rsidRPr="00627D2C" w:rsidRDefault="00E2488C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Tabuľkový prehľad nežiaducich účinkov</w:t>
      </w:r>
    </w:p>
    <w:tbl>
      <w:tblPr>
        <w:tblStyle w:val="Mriekatabuky"/>
        <w:tblW w:w="5265" w:type="pct"/>
        <w:tblLayout w:type="fixed"/>
        <w:tblLook w:val="04A0" w:firstRow="1" w:lastRow="0" w:firstColumn="1" w:lastColumn="0" w:noHBand="0" w:noVBand="1"/>
      </w:tblPr>
      <w:tblGrid>
        <w:gridCol w:w="1415"/>
        <w:gridCol w:w="1313"/>
        <w:gridCol w:w="1362"/>
        <w:gridCol w:w="1364"/>
        <w:gridCol w:w="1362"/>
        <w:gridCol w:w="1362"/>
        <w:gridCol w:w="1362"/>
      </w:tblGrid>
      <w:tr w:rsidR="007240AC" w:rsidRPr="00627D2C" w14:paraId="48594404" w14:textId="77777777" w:rsidTr="00960DA5">
        <w:tc>
          <w:tcPr>
            <w:tcW w:w="741" w:type="pct"/>
          </w:tcPr>
          <w:p w14:paraId="26497ED7" w14:textId="77777777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Trieda orgánových systémov podľa databázy MedDRA</w:t>
            </w:r>
          </w:p>
        </w:tc>
        <w:tc>
          <w:tcPr>
            <w:tcW w:w="688" w:type="pct"/>
          </w:tcPr>
          <w:p w14:paraId="6C93B387" w14:textId="77777777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Veľmi časté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br/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(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≥ 1/10</w:t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)</w:t>
            </w:r>
          </w:p>
        </w:tc>
        <w:tc>
          <w:tcPr>
            <w:tcW w:w="714" w:type="pct"/>
          </w:tcPr>
          <w:p w14:paraId="795B2F6F" w14:textId="77777777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Časté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br/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(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≥ 1/100 až &lt; 1/10</w:t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)</w:t>
            </w:r>
          </w:p>
        </w:tc>
        <w:tc>
          <w:tcPr>
            <w:tcW w:w="715" w:type="pct"/>
          </w:tcPr>
          <w:p w14:paraId="3A37BD05" w14:textId="77777777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Menej časté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br/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(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≥ 1/1 000 až &lt; 1/100</w:t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)</w:t>
            </w:r>
          </w:p>
        </w:tc>
        <w:tc>
          <w:tcPr>
            <w:tcW w:w="714" w:type="pct"/>
          </w:tcPr>
          <w:p w14:paraId="075B40DC" w14:textId="71DD21CC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Zriedkavé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br/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(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≥ 1/10 000 až &lt; 1/1000</w:t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)</w:t>
            </w:r>
          </w:p>
        </w:tc>
        <w:tc>
          <w:tcPr>
            <w:tcW w:w="714" w:type="pct"/>
          </w:tcPr>
          <w:p w14:paraId="52D3FBCE" w14:textId="77777777" w:rsidR="00666F4E" w:rsidRPr="00627D2C" w:rsidRDefault="00666F4E" w:rsidP="00666F4E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Veľmi zriedkavé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br/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(</w:t>
            </w: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&lt; 1/10 000</w:t>
            </w:r>
            <w:r w:rsidR="008568B8"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)</w:t>
            </w:r>
          </w:p>
        </w:tc>
        <w:tc>
          <w:tcPr>
            <w:tcW w:w="715" w:type="pct"/>
          </w:tcPr>
          <w:p w14:paraId="296FFD68" w14:textId="77777777" w:rsidR="00666F4E" w:rsidRPr="00627D2C" w:rsidRDefault="00666F4E" w:rsidP="002E7BA6">
            <w:pPr>
              <w:rPr>
                <w:rFonts w:ascii="Times New Roman" w:eastAsia="Times New Roman" w:hAnsi="Times New Roman"/>
                <w:b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color w:val="2C2C2C"/>
                <w:lang w:val="sk-SK"/>
              </w:rPr>
              <w:t>Neznáme (z dostupných údajov)</w:t>
            </w:r>
          </w:p>
        </w:tc>
      </w:tr>
      <w:tr w:rsidR="007240AC" w:rsidRPr="00627D2C" w14:paraId="2EF14A9A" w14:textId="77777777" w:rsidTr="00960DA5">
        <w:tc>
          <w:tcPr>
            <w:tcW w:w="741" w:type="pct"/>
          </w:tcPr>
          <w:p w14:paraId="2393210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Infekcie a nákazy</w:t>
            </w:r>
          </w:p>
        </w:tc>
        <w:tc>
          <w:tcPr>
            <w:tcW w:w="688" w:type="pct"/>
          </w:tcPr>
          <w:p w14:paraId="5E65C4C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013B06F3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50864708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infekcia močových ciest</w:t>
            </w:r>
          </w:p>
          <w:p w14:paraId="4A5FE4E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cystitída</w:t>
            </w:r>
          </w:p>
        </w:tc>
        <w:tc>
          <w:tcPr>
            <w:tcW w:w="714" w:type="pct"/>
          </w:tcPr>
          <w:p w14:paraId="5BDE80C3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01FE8DD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1D93174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</w:tr>
      <w:tr w:rsidR="007240AC" w:rsidRPr="00627D2C" w14:paraId="2B627E79" w14:textId="77777777" w:rsidTr="00960DA5">
        <w:tc>
          <w:tcPr>
            <w:tcW w:w="741" w:type="pct"/>
          </w:tcPr>
          <w:p w14:paraId="79C7C2D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imunitného systému</w:t>
            </w:r>
          </w:p>
        </w:tc>
        <w:tc>
          <w:tcPr>
            <w:tcW w:w="688" w:type="pct"/>
          </w:tcPr>
          <w:p w14:paraId="7F89DA1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67F87A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4584FF65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1A468FB9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2004715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57DEFB9" w14:textId="60C044DF" w:rsidR="002C693B" w:rsidRPr="00627D2C" w:rsidRDefault="00D40715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A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>nafylaktic</w:t>
            </w:r>
            <w:r>
              <w:rPr>
                <w:rFonts w:ascii="Times New Roman" w:eastAsia="Times New Roman" w:hAnsi="Times New Roman"/>
                <w:color w:val="2C2C2C"/>
                <w:lang w:val="sk-SK"/>
              </w:rPr>
              <w:t>-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>ká reakcia*</w:t>
            </w:r>
          </w:p>
        </w:tc>
      </w:tr>
      <w:tr w:rsidR="007240AC" w:rsidRPr="00627D2C" w14:paraId="16CE6A9E" w14:textId="77777777" w:rsidTr="00960DA5">
        <w:tc>
          <w:tcPr>
            <w:tcW w:w="741" w:type="pct"/>
          </w:tcPr>
          <w:p w14:paraId="7C9AC1D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metabolizmu a výživy</w:t>
            </w:r>
          </w:p>
        </w:tc>
        <w:tc>
          <w:tcPr>
            <w:tcW w:w="688" w:type="pct"/>
          </w:tcPr>
          <w:p w14:paraId="580C60A7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DE4BC0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7B0D94A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30CDBA7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2F5381C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31A70058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znížená chuť do jedla*</w:t>
            </w:r>
          </w:p>
          <w:p w14:paraId="6EC50143" w14:textId="6EFE4676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hyperka</w:t>
            </w:r>
            <w:r w:rsidR="004F5AD3">
              <w:rPr>
                <w:rFonts w:ascii="Times New Roman" w:eastAsia="Times New Roman" w:hAnsi="Times New Roman"/>
                <w:color w:val="2C2C2C"/>
                <w:lang w:val="sk-SK"/>
              </w:rPr>
              <w:t>-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liémia*</w:t>
            </w:r>
          </w:p>
        </w:tc>
      </w:tr>
      <w:tr w:rsidR="007240AC" w:rsidRPr="00627D2C" w14:paraId="2ACE2B0A" w14:textId="77777777" w:rsidTr="00960DA5">
        <w:tc>
          <w:tcPr>
            <w:tcW w:w="741" w:type="pct"/>
          </w:tcPr>
          <w:p w14:paraId="07DCEBD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Psychické poruchy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41516D87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BE3B1A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1922424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2569BD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FA5DB27" w14:textId="77777777" w:rsidR="007240AC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halucinácie*</w:t>
            </w:r>
          </w:p>
          <w:p w14:paraId="78D542A7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stavy zmätenosti*</w:t>
            </w:r>
          </w:p>
        </w:tc>
        <w:tc>
          <w:tcPr>
            <w:tcW w:w="715" w:type="pct"/>
          </w:tcPr>
          <w:p w14:paraId="286AF88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delírium*</w:t>
            </w:r>
          </w:p>
        </w:tc>
      </w:tr>
      <w:tr w:rsidR="007240AC" w:rsidRPr="00627D2C" w14:paraId="4F926A43" w14:textId="77777777" w:rsidTr="00960DA5">
        <w:tc>
          <w:tcPr>
            <w:tcW w:w="741" w:type="pct"/>
          </w:tcPr>
          <w:p w14:paraId="4255F51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nervového systému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76A8B17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40AC5BC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2F4A84D7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somnolencia</w:t>
            </w:r>
          </w:p>
          <w:p w14:paraId="58D6FCE1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4AB0163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vnímania chuti</w:t>
            </w:r>
          </w:p>
        </w:tc>
        <w:tc>
          <w:tcPr>
            <w:tcW w:w="714" w:type="pct"/>
          </w:tcPr>
          <w:p w14:paraId="6051D51C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závrat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>*</w:t>
            </w:r>
          </w:p>
          <w:p w14:paraId="3E6980C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bolesť hlavy*</w:t>
            </w:r>
          </w:p>
        </w:tc>
        <w:tc>
          <w:tcPr>
            <w:tcW w:w="714" w:type="pct"/>
          </w:tcPr>
          <w:p w14:paraId="707EBB9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48F08E5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</w:tr>
      <w:tr w:rsidR="007240AC" w:rsidRPr="00627D2C" w14:paraId="1BEF5F58" w14:textId="77777777" w:rsidTr="00960DA5">
        <w:trPr>
          <w:trHeight w:val="2265"/>
        </w:trPr>
        <w:tc>
          <w:tcPr>
            <w:tcW w:w="741" w:type="pct"/>
          </w:tcPr>
          <w:p w14:paraId="3F037C6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oka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03C97DF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3F29684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rozmazané videnie</w:t>
            </w:r>
          </w:p>
        </w:tc>
        <w:tc>
          <w:tcPr>
            <w:tcW w:w="715" w:type="pct"/>
          </w:tcPr>
          <w:p w14:paraId="6C8536B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suché oči</w:t>
            </w:r>
          </w:p>
        </w:tc>
        <w:tc>
          <w:tcPr>
            <w:tcW w:w="714" w:type="pct"/>
          </w:tcPr>
          <w:p w14:paraId="4D9118D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272F4C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1F26509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glaukóm*</w:t>
            </w:r>
          </w:p>
        </w:tc>
      </w:tr>
      <w:tr w:rsidR="007240AC" w:rsidRPr="00627D2C" w14:paraId="1A7CF3C2" w14:textId="77777777" w:rsidTr="00960DA5">
        <w:tc>
          <w:tcPr>
            <w:tcW w:w="741" w:type="pct"/>
          </w:tcPr>
          <w:p w14:paraId="4929714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srdca a srdcovej činnosti</w:t>
            </w:r>
          </w:p>
        </w:tc>
        <w:tc>
          <w:tcPr>
            <w:tcW w:w="688" w:type="pct"/>
          </w:tcPr>
          <w:p w14:paraId="55ECC255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76E82086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4234B93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7BB2CC5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155649D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2A5BE9AB" w14:textId="2BE218CD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Torsade de</w:t>
            </w:r>
            <w:r w:rsidR="004F5AD3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pointes*</w:t>
            </w:r>
          </w:p>
          <w:p w14:paraId="232004D0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1E65622D" w14:textId="1BDE34BC" w:rsidR="007240AC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pre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dĺženie QT intervalu na elektrokar</w:t>
            </w:r>
            <w:r w:rsidR="004F5AD3">
              <w:rPr>
                <w:rFonts w:ascii="Times New Roman" w:eastAsia="Times New Roman" w:hAnsi="Times New Roman"/>
                <w:color w:val="2C2C2C"/>
                <w:lang w:val="sk-SK"/>
              </w:rPr>
              <w:t>-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diograme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*</w:t>
            </w:r>
          </w:p>
          <w:p w14:paraId="32741E2F" w14:textId="77777777" w:rsidR="007240AC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at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riálna fibrilácia*,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palpitácie*</w:t>
            </w:r>
          </w:p>
          <w:p w14:paraId="2BB6AFA4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tachykardia*</w:t>
            </w:r>
          </w:p>
        </w:tc>
      </w:tr>
      <w:tr w:rsidR="007240AC" w:rsidRPr="00627D2C" w14:paraId="022805C7" w14:textId="77777777" w:rsidTr="00960DA5">
        <w:tc>
          <w:tcPr>
            <w:tcW w:w="741" w:type="pct"/>
          </w:tcPr>
          <w:p w14:paraId="46A01066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lastRenderedPageBreak/>
              <w:t>Poruchy dýchacej sústavy, hrudníka a mediastína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05A1F85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31C1E36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763E85B1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sucho v nose</w:t>
            </w:r>
          </w:p>
        </w:tc>
        <w:tc>
          <w:tcPr>
            <w:tcW w:w="714" w:type="pct"/>
          </w:tcPr>
          <w:p w14:paraId="579BC0E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0D4328A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47BF30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dysfónia*</w:t>
            </w:r>
          </w:p>
        </w:tc>
      </w:tr>
      <w:tr w:rsidR="007240AC" w:rsidRPr="00627D2C" w14:paraId="2455C5B0" w14:textId="77777777" w:rsidTr="00960DA5">
        <w:tc>
          <w:tcPr>
            <w:tcW w:w="741" w:type="pct"/>
          </w:tcPr>
          <w:p w14:paraId="547264C8" w14:textId="2BF214D2" w:rsidR="002C693B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gastrointesti</w:t>
            </w:r>
            <w:r w:rsidR="004F5AD3">
              <w:rPr>
                <w:rFonts w:ascii="Times New Roman" w:eastAsia="Times New Roman" w:hAnsi="Times New Roman"/>
                <w:color w:val="2C2C2C"/>
                <w:lang w:val="sk-SK"/>
              </w:rPr>
              <w:t>-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nálneho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traktu</w:t>
            </w:r>
          </w:p>
        </w:tc>
        <w:tc>
          <w:tcPr>
            <w:tcW w:w="688" w:type="pct"/>
          </w:tcPr>
          <w:p w14:paraId="43911D0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sucho v ústach</w:t>
            </w:r>
          </w:p>
        </w:tc>
        <w:tc>
          <w:tcPr>
            <w:tcW w:w="714" w:type="pct"/>
          </w:tcPr>
          <w:p w14:paraId="31148F1C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zápcha</w:t>
            </w:r>
          </w:p>
          <w:p w14:paraId="7CC2E3A9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nauzea</w:t>
            </w:r>
          </w:p>
          <w:p w14:paraId="5BA4B6F7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dyspepsia</w:t>
            </w:r>
          </w:p>
          <w:p w14:paraId="590C0336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bolesť brucha</w:t>
            </w:r>
          </w:p>
        </w:tc>
        <w:tc>
          <w:tcPr>
            <w:tcW w:w="715" w:type="pct"/>
          </w:tcPr>
          <w:p w14:paraId="3CE41485" w14:textId="4B6679E2" w:rsidR="007240AC" w:rsidRPr="00627D2C" w:rsidRDefault="004F5AD3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G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astroezof</w:t>
            </w:r>
            <w:r>
              <w:rPr>
                <w:rFonts w:ascii="Times New Roman" w:eastAsia="Times New Roman" w:hAnsi="Times New Roman"/>
                <w:color w:val="2C2C2C"/>
                <w:lang w:val="sk-SK"/>
              </w:rPr>
              <w:t>á-gový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reflux</w:t>
            </w:r>
          </w:p>
          <w:p w14:paraId="14F40D5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sucho v hrdle</w:t>
            </w:r>
          </w:p>
        </w:tc>
        <w:tc>
          <w:tcPr>
            <w:tcW w:w="714" w:type="pct"/>
          </w:tcPr>
          <w:p w14:paraId="71B12A22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obštrukcia hrubého čreva</w:t>
            </w:r>
          </w:p>
          <w:p w14:paraId="34AA3E88" w14:textId="1F33C7D8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porucha vyprázdňovania hrubého čreva</w:t>
            </w:r>
          </w:p>
          <w:p w14:paraId="022DBBB4" w14:textId="77777777" w:rsidR="007F5E52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</w:p>
          <w:p w14:paraId="2F86A921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vracanie*</w:t>
            </w:r>
          </w:p>
        </w:tc>
        <w:tc>
          <w:tcPr>
            <w:tcW w:w="714" w:type="pct"/>
          </w:tcPr>
          <w:p w14:paraId="5C132E6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6E921D4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ileus*</w:t>
            </w:r>
          </w:p>
          <w:p w14:paraId="18C3A32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tráviace ťažkosti*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</w:tr>
      <w:tr w:rsidR="007240AC" w:rsidRPr="00627D2C" w14:paraId="29ECA9A1" w14:textId="77777777" w:rsidTr="00960DA5">
        <w:tc>
          <w:tcPr>
            <w:tcW w:w="741" w:type="pct"/>
          </w:tcPr>
          <w:p w14:paraId="098DBA39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pečene a žlčových ciest</w:t>
            </w:r>
          </w:p>
        </w:tc>
        <w:tc>
          <w:tcPr>
            <w:tcW w:w="688" w:type="pct"/>
          </w:tcPr>
          <w:p w14:paraId="1D2DC28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7F8D4448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9816CA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2532FFB1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3087F0C9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A2D0D6F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porucha funkcie pečene*</w:t>
            </w:r>
          </w:p>
          <w:p w14:paraId="5D6940ED" w14:textId="355EA6CC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neprimerané výsl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edky testov </w:t>
            </w:r>
            <w:r w:rsidR="00F34AF0">
              <w:rPr>
                <w:rFonts w:ascii="Times New Roman" w:eastAsia="Times New Roman" w:hAnsi="Times New Roman"/>
                <w:color w:val="2C2C2C"/>
                <w:lang w:val="sk-SK"/>
              </w:rPr>
              <w:t xml:space="preserve">funkcie 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peče</w:t>
            </w:r>
            <w:r w:rsidR="00F34AF0">
              <w:rPr>
                <w:rFonts w:ascii="Times New Roman" w:eastAsia="Times New Roman" w:hAnsi="Times New Roman"/>
                <w:color w:val="2C2C2C"/>
                <w:lang w:val="sk-SK"/>
              </w:rPr>
              <w:t>ne</w:t>
            </w:r>
            <w:r w:rsidR="007240AC" w:rsidRPr="00627D2C">
              <w:rPr>
                <w:rFonts w:ascii="Times New Roman" w:eastAsia="Times New Roman" w:hAnsi="Times New Roman"/>
                <w:color w:val="2C2C2C"/>
                <w:lang w:val="sk-SK"/>
              </w:rPr>
              <w:t>*</w:t>
            </w:r>
          </w:p>
        </w:tc>
      </w:tr>
      <w:tr w:rsidR="007240AC" w:rsidRPr="00627D2C" w14:paraId="74C8EA54" w14:textId="77777777" w:rsidTr="00960DA5">
        <w:tc>
          <w:tcPr>
            <w:tcW w:w="741" w:type="pct"/>
          </w:tcPr>
          <w:p w14:paraId="77343DA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kože a podkožného tkaniva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2A2F454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7280B0F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4E12ED1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suchá pokožka</w:t>
            </w:r>
          </w:p>
        </w:tc>
        <w:tc>
          <w:tcPr>
            <w:tcW w:w="714" w:type="pct"/>
          </w:tcPr>
          <w:p w14:paraId="471D9B7D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pruritus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>*</w:t>
            </w:r>
          </w:p>
          <w:p w14:paraId="55E2DCFB" w14:textId="77777777" w:rsidR="002C693B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vyrážka*</w:t>
            </w:r>
          </w:p>
        </w:tc>
        <w:tc>
          <w:tcPr>
            <w:tcW w:w="714" w:type="pct"/>
          </w:tcPr>
          <w:p w14:paraId="7B446977" w14:textId="77777777" w:rsidR="007240AC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multiformný erytém*</w:t>
            </w:r>
          </w:p>
          <w:p w14:paraId="0A8EE3BC" w14:textId="77777777" w:rsidR="007240AC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urtikária*</w:t>
            </w:r>
          </w:p>
          <w:p w14:paraId="26C34D2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angioedém*</w:t>
            </w:r>
          </w:p>
        </w:tc>
        <w:tc>
          <w:tcPr>
            <w:tcW w:w="715" w:type="pct"/>
          </w:tcPr>
          <w:p w14:paraId="2D74CC28" w14:textId="77777777" w:rsidR="002C693B" w:rsidRPr="00627D2C" w:rsidRDefault="007240AC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exfoliatívna dermatitída</w:t>
            </w:r>
            <w:r w:rsidR="002C693B" w:rsidRPr="00627D2C">
              <w:rPr>
                <w:rFonts w:ascii="Times New Roman" w:eastAsia="Times New Roman" w:hAnsi="Times New Roman"/>
                <w:color w:val="2C2C2C"/>
                <w:lang w:val="sk-SK"/>
              </w:rPr>
              <w:t>*</w:t>
            </w:r>
          </w:p>
        </w:tc>
      </w:tr>
      <w:tr w:rsidR="007240AC" w:rsidRPr="00627D2C" w14:paraId="24035343" w14:textId="77777777" w:rsidTr="00960DA5">
        <w:tc>
          <w:tcPr>
            <w:tcW w:w="741" w:type="pct"/>
          </w:tcPr>
          <w:p w14:paraId="5AD28383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kostrovej a svalovej sústavy a spojeného tkaniva</w:t>
            </w:r>
          </w:p>
        </w:tc>
        <w:tc>
          <w:tcPr>
            <w:tcW w:w="688" w:type="pct"/>
          </w:tcPr>
          <w:p w14:paraId="590C211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415F3E49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7DE54DCF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0E6EF7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167E80D4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0E21068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svalová slabosť*</w:t>
            </w:r>
          </w:p>
        </w:tc>
      </w:tr>
      <w:tr w:rsidR="007240AC" w:rsidRPr="00627D2C" w14:paraId="5D09599E" w14:textId="77777777" w:rsidTr="00960DA5">
        <w:tc>
          <w:tcPr>
            <w:tcW w:w="741" w:type="pct"/>
          </w:tcPr>
          <w:p w14:paraId="2E9E075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Poruchy obličiek a močových ciest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688" w:type="pct"/>
          </w:tcPr>
          <w:p w14:paraId="7F8D1BFA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63773191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6EB5694E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problémy pri močení </w:t>
            </w:r>
          </w:p>
        </w:tc>
        <w:tc>
          <w:tcPr>
            <w:tcW w:w="714" w:type="pct"/>
          </w:tcPr>
          <w:p w14:paraId="4095C92D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retencia moču</w:t>
            </w:r>
          </w:p>
        </w:tc>
        <w:tc>
          <w:tcPr>
            <w:tcW w:w="714" w:type="pct"/>
          </w:tcPr>
          <w:p w14:paraId="4D53964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1AB99803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porucha funkcie obličiek*</w:t>
            </w:r>
          </w:p>
        </w:tc>
      </w:tr>
      <w:tr w:rsidR="007240AC" w:rsidRPr="00627D2C" w14:paraId="002F56F7" w14:textId="77777777" w:rsidTr="00960DA5">
        <w:tc>
          <w:tcPr>
            <w:tcW w:w="741" w:type="pct"/>
          </w:tcPr>
          <w:p w14:paraId="4ABFFAE2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Celkové poruchy a reakcie v mieste podania</w:t>
            </w:r>
          </w:p>
        </w:tc>
        <w:tc>
          <w:tcPr>
            <w:tcW w:w="688" w:type="pct"/>
          </w:tcPr>
          <w:p w14:paraId="42088CF0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D13AF0C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572F53B9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únava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periférny edém</w:t>
            </w:r>
          </w:p>
        </w:tc>
        <w:tc>
          <w:tcPr>
            <w:tcW w:w="714" w:type="pct"/>
          </w:tcPr>
          <w:p w14:paraId="4DABBD6B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4" w:type="pct"/>
          </w:tcPr>
          <w:p w14:paraId="508E8A36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715" w:type="pct"/>
          </w:tcPr>
          <w:p w14:paraId="07591961" w14:textId="77777777" w:rsidR="002C693B" w:rsidRPr="00627D2C" w:rsidRDefault="002C693B" w:rsidP="002C693B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</w:tr>
    </w:tbl>
    <w:p w14:paraId="3327E21A" w14:textId="77777777" w:rsidR="00B1756A" w:rsidRPr="00627D2C" w:rsidRDefault="00B1756A" w:rsidP="00B1756A">
      <w:pPr>
        <w:widowControl w:val="0"/>
        <w:autoSpaceDE w:val="0"/>
        <w:autoSpaceDN w:val="0"/>
        <w:adjustRightInd w:val="0"/>
        <w:spacing w:after="0" w:line="240" w:lineRule="auto"/>
        <w:ind w:left="284" w:right="-10"/>
        <w:jc w:val="both"/>
        <w:rPr>
          <w:rFonts w:ascii="Times New Roman" w:hAnsi="Times New Roman"/>
          <w:spacing w:val="-1"/>
          <w:lang w:val="sk-SK"/>
        </w:rPr>
      </w:pPr>
      <w:r w:rsidRPr="00627D2C">
        <w:rPr>
          <w:rFonts w:ascii="Times New Roman" w:hAnsi="Times New Roman"/>
          <w:spacing w:val="-1"/>
          <w:lang w:val="sk-SK"/>
        </w:rPr>
        <w:t>*hlásené po uvedení na trh</w:t>
      </w:r>
    </w:p>
    <w:p w14:paraId="1C19C4E8" w14:textId="77777777" w:rsidR="00B1756A" w:rsidRPr="00627D2C" w:rsidRDefault="00B1756A" w:rsidP="00F52440">
      <w:pPr>
        <w:rPr>
          <w:rFonts w:ascii="Times New Roman" w:hAnsi="Times New Roman" w:cs="Times New Roman"/>
          <w:lang w:val="sk-SK"/>
        </w:rPr>
      </w:pPr>
    </w:p>
    <w:p w14:paraId="23A3C8C2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5D597119" w14:textId="594F7A31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Hlásenie podozrení na nežiaduce reakcie po registrácii lieku je dôležité. Umožňuje priebežné monitorovanie pomeru prínosu a rizika lieku</w:t>
      </w:r>
      <w:r w:rsidR="007F5E52" w:rsidRPr="00627D2C">
        <w:rPr>
          <w:rFonts w:ascii="Times New Roman" w:hAnsi="Times New Roman" w:cs="Times New Roman"/>
          <w:lang w:val="sk-SK"/>
        </w:rPr>
        <w:t xml:space="preserve">. Od zdravotníckych pracovníkov </w:t>
      </w:r>
      <w:r w:rsidRPr="00627D2C">
        <w:rPr>
          <w:rFonts w:ascii="Times New Roman" w:hAnsi="Times New Roman" w:cs="Times New Roman"/>
          <w:lang w:val="sk-SK"/>
        </w:rPr>
        <w:t xml:space="preserve">sa vyžaduje, aby hlásili akékoľvek podozrenia na nežiaduce reakcie </w:t>
      </w:r>
      <w:r w:rsidR="009F1925" w:rsidRPr="009F1925">
        <w:rPr>
          <w:rFonts w:ascii="Times New Roman" w:eastAsia="Times New Roman" w:hAnsi="Times New Roman" w:cs="Times New Roman"/>
          <w:noProof/>
          <w:lang w:val="sk-SK" w:eastAsia="sk-SK"/>
        </w:rPr>
        <w:t>na </w:t>
      </w:r>
      <w:r w:rsidR="009F1925" w:rsidRPr="009F1925">
        <w:rPr>
          <w:rFonts w:ascii="Times New Roman" w:eastAsia="Times New Roman" w:hAnsi="Times New Roman" w:cs="Times New Roman"/>
          <w:noProof/>
          <w:highlight w:val="lightGray"/>
          <w:lang w:val="sk-SK" w:eastAsia="sk-SK"/>
        </w:rPr>
        <w:t>národné centrum hlásenia uvedené v </w:t>
      </w:r>
      <w:hyperlink r:id="rId7" w:history="1">
        <w:r w:rsidR="00B1756A" w:rsidRPr="00627D2C">
          <w:rPr>
            <w:rFonts w:ascii="Times New Roman" w:hAnsi="Times New Roman"/>
            <w:color w:val="0000FF"/>
            <w:highlight w:val="lightGray"/>
            <w:u w:val="single"/>
            <w:lang w:val="sk-SK"/>
          </w:rPr>
          <w:t>Prílohe V</w:t>
        </w:r>
      </w:hyperlink>
      <w:r w:rsidR="00B1756A" w:rsidRPr="00627D2C">
        <w:rPr>
          <w:rFonts w:ascii="Times New Roman" w:hAnsi="Times New Roman" w:cs="Times New Roman"/>
          <w:lang w:val="sk-SK"/>
        </w:rPr>
        <w:t>.</w:t>
      </w:r>
    </w:p>
    <w:p w14:paraId="4B54B5E1" w14:textId="77777777" w:rsidR="00F52440" w:rsidRPr="00627D2C" w:rsidRDefault="007F5E52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lastRenderedPageBreak/>
        <w:t>Predávkovanie</w:t>
      </w:r>
    </w:p>
    <w:p w14:paraId="0BD264DD" w14:textId="77777777" w:rsidR="009745A2" w:rsidRPr="00627D2C" w:rsidRDefault="009745A2" w:rsidP="009745A2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217429E2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Symptómy</w:t>
      </w:r>
    </w:p>
    <w:p w14:paraId="00779467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Predávkovanie solifenacíniumsukcinátom môže viesť k ťažkým anticholinergickým účinkom. Najvyššia dávka solifenacíniumsu</w:t>
      </w:r>
      <w:r w:rsidR="000E106E" w:rsidRPr="00627D2C">
        <w:rPr>
          <w:rFonts w:ascii="Times New Roman" w:hAnsi="Times New Roman" w:cs="Times New Roman"/>
          <w:lang w:val="sk-SK"/>
        </w:rPr>
        <w:t xml:space="preserve">kcinátu, náhodne podaná jednému </w:t>
      </w:r>
      <w:r w:rsidRPr="00627D2C">
        <w:rPr>
          <w:rFonts w:ascii="Times New Roman" w:hAnsi="Times New Roman" w:cs="Times New Roman"/>
          <w:lang w:val="sk-SK"/>
        </w:rPr>
        <w:t>pacientovi, bola 280 mg počas 5 hodín a mala za následok zmeny duševného stavu, ktoré nevyžadovali hospitalizáciu.</w:t>
      </w:r>
    </w:p>
    <w:p w14:paraId="0684E9F8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Liečba</w:t>
      </w:r>
    </w:p>
    <w:p w14:paraId="34108B9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V prípade predávkovania solifenacíniumsukcinátom sa má pacient liečiť adsorpčným uhlím. Výplach žalúdka pomôže, ak sa vykoná do </w:t>
      </w:r>
      <w:r w:rsidR="00B1756A" w:rsidRPr="00627D2C">
        <w:rPr>
          <w:rFonts w:ascii="Times New Roman" w:hAnsi="Times New Roman" w:cs="Times New Roman"/>
          <w:lang w:val="sk-SK"/>
        </w:rPr>
        <w:t xml:space="preserve">1 hodiny, ale nemá sa vyvolávať </w:t>
      </w:r>
      <w:r w:rsidRPr="00627D2C">
        <w:rPr>
          <w:rFonts w:ascii="Times New Roman" w:hAnsi="Times New Roman" w:cs="Times New Roman"/>
          <w:lang w:val="sk-SK"/>
        </w:rPr>
        <w:t>vracanie.</w:t>
      </w:r>
    </w:p>
    <w:p w14:paraId="79C6E8AF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Tak ako p</w:t>
      </w:r>
      <w:r w:rsidR="000E106E" w:rsidRPr="00627D2C">
        <w:rPr>
          <w:rFonts w:ascii="Times New Roman" w:hAnsi="Times New Roman" w:cs="Times New Roman"/>
          <w:lang w:val="sk-SK"/>
        </w:rPr>
        <w:t xml:space="preserve">ri ostatných anticholinergikách </w:t>
      </w:r>
      <w:r w:rsidRPr="00627D2C">
        <w:rPr>
          <w:rFonts w:ascii="Times New Roman" w:hAnsi="Times New Roman" w:cs="Times New Roman"/>
          <w:lang w:val="sk-SK"/>
        </w:rPr>
        <w:t>sa môžu</w:t>
      </w:r>
      <w:r w:rsidR="000E106E" w:rsidRPr="00627D2C">
        <w:rPr>
          <w:rFonts w:ascii="Times New Roman" w:hAnsi="Times New Roman" w:cs="Times New Roman"/>
          <w:lang w:val="sk-SK"/>
        </w:rPr>
        <w:t xml:space="preserve"> príznaky</w:t>
      </w:r>
      <w:r w:rsidRPr="00627D2C">
        <w:rPr>
          <w:rFonts w:ascii="Times New Roman" w:hAnsi="Times New Roman" w:cs="Times New Roman"/>
          <w:lang w:val="sk-SK"/>
        </w:rPr>
        <w:t xml:space="preserve"> liečiť nasledovne:</w:t>
      </w:r>
    </w:p>
    <w:p w14:paraId="5ED98C87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Závažné centrálne anticholinergické účinky, ako napr. halucinácie alebo výrazná excitácia: liečba fyzostigmínom alebo karbacholom.</w:t>
      </w:r>
    </w:p>
    <w:p w14:paraId="5AF0FE85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Kŕče alebo výrazná excitácia: liečba benzodiazepínmi.</w:t>
      </w:r>
    </w:p>
    <w:p w14:paraId="6A61083C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Respiračná nedostatočnosť: liečba umelým dýchaním.</w:t>
      </w:r>
    </w:p>
    <w:p w14:paraId="2785D06C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Tachykardia: liečba beta-blokátormi.</w:t>
      </w:r>
    </w:p>
    <w:p w14:paraId="539984EB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Retencia moču: liečba katetrizáciou.</w:t>
      </w:r>
    </w:p>
    <w:p w14:paraId="438D025D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- Mydriáza: liečba pilokarpínovými očnými kvapkami a/alebo umiestnenie pacienta do tmavej miestnosti.</w:t>
      </w:r>
    </w:p>
    <w:p w14:paraId="13A07F35" w14:textId="590F9DCA" w:rsidR="00B1756A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Tak ako pri ostatných antimuskarinikách sa má v prípade predávkovania venovať zvláštna pozornosť pacientom so</w:t>
      </w:r>
      <w:r w:rsidR="00736C8F" w:rsidRPr="00627D2C">
        <w:rPr>
          <w:rFonts w:ascii="Times New Roman" w:hAnsi="Times New Roman" w:cs="Times New Roman"/>
          <w:lang w:val="sk-SK"/>
        </w:rPr>
        <w:t xml:space="preserve"> známym rizikom predĺženia QT </w:t>
      </w:r>
      <w:r w:rsidRPr="00627D2C">
        <w:rPr>
          <w:rFonts w:ascii="Times New Roman" w:hAnsi="Times New Roman" w:cs="Times New Roman"/>
          <w:lang w:val="sk-SK"/>
        </w:rPr>
        <w:t>intervalu (t.j. pri</w:t>
      </w:r>
      <w:r w:rsidR="007C3FDD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hypokaliémii, bradykardii a</w:t>
      </w:r>
      <w:r w:rsidR="007C3FDD" w:rsidRPr="00627D2C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pri</w:t>
      </w:r>
      <w:r w:rsidR="007C3FDD" w:rsidRPr="00627D2C">
        <w:rPr>
          <w:rFonts w:ascii="Times New Roman" w:hAnsi="Times New Roman" w:cs="Times New Roman"/>
          <w:lang w:val="sk-SK"/>
        </w:rPr>
        <w:t xml:space="preserve"> </w:t>
      </w:r>
      <w:r w:rsidR="009F1925">
        <w:rPr>
          <w:rFonts w:ascii="Times New Roman" w:hAnsi="Times New Roman" w:cs="Times New Roman"/>
          <w:lang w:val="sk-SK"/>
        </w:rPr>
        <w:t>súbežnom</w:t>
      </w:r>
      <w:r w:rsidRPr="00627D2C">
        <w:rPr>
          <w:rFonts w:ascii="Times New Roman" w:hAnsi="Times New Roman" w:cs="Times New Roman"/>
          <w:lang w:val="sk-SK"/>
        </w:rPr>
        <w:t xml:space="preserve"> užívaní liekov, u kt</w:t>
      </w:r>
      <w:r w:rsidR="007C3FDD" w:rsidRPr="00627D2C">
        <w:rPr>
          <w:rFonts w:ascii="Times New Roman" w:hAnsi="Times New Roman" w:cs="Times New Roman"/>
          <w:lang w:val="sk-SK"/>
        </w:rPr>
        <w:t xml:space="preserve">orých je známe, že predlžujú QT </w:t>
      </w:r>
      <w:r w:rsidRPr="00627D2C">
        <w:rPr>
          <w:rFonts w:ascii="Times New Roman" w:hAnsi="Times New Roman" w:cs="Times New Roman"/>
          <w:lang w:val="sk-SK"/>
        </w:rPr>
        <w:t xml:space="preserve">interval) a pacientom s už existujúcim ochorením srdca (t.j. s ischémiou myokardu, arytmiou, </w:t>
      </w:r>
      <w:r w:rsidR="001913B1" w:rsidRPr="00627D2C">
        <w:rPr>
          <w:rFonts w:ascii="Times New Roman" w:hAnsi="Times New Roman" w:cs="Times New Roman"/>
          <w:lang w:val="sk-SK"/>
        </w:rPr>
        <w:t>kongestívnym zlyhávaním srdca).</w:t>
      </w:r>
    </w:p>
    <w:p w14:paraId="4EBBD8AC" w14:textId="77777777" w:rsidR="009F1925" w:rsidRPr="00627D2C" w:rsidRDefault="009F1925" w:rsidP="00F52440">
      <w:pPr>
        <w:rPr>
          <w:rFonts w:ascii="Times New Roman" w:hAnsi="Times New Roman" w:cs="Times New Roman"/>
          <w:lang w:val="sk-SK"/>
        </w:rPr>
      </w:pPr>
    </w:p>
    <w:p w14:paraId="0F3CCA6E" w14:textId="77777777" w:rsidR="00F52440" w:rsidRPr="00627D2C" w:rsidRDefault="001913B1" w:rsidP="00F52440">
      <w:pPr>
        <w:keepNext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FARMAKOLOGICKÉ VLASTNOSTI</w:t>
      </w:r>
    </w:p>
    <w:p w14:paraId="2A2E9DF4" w14:textId="77777777" w:rsidR="001913B1" w:rsidRPr="00627D2C" w:rsidRDefault="001913B1" w:rsidP="001913B1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eastAsia="Times New Roman" w:hAnsi="Times New Roman" w:cs="Times New Roman"/>
          <w:lang w:val="sk-SK" w:eastAsia="sk-SK" w:bidi="sk-SK"/>
        </w:rPr>
      </w:pPr>
    </w:p>
    <w:p w14:paraId="596E51C3" w14:textId="77777777" w:rsidR="001913B1" w:rsidRPr="00627D2C" w:rsidRDefault="001913B1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Farmakodynamické vlastnosti</w:t>
      </w:r>
    </w:p>
    <w:p w14:paraId="7843818D" w14:textId="77777777" w:rsidR="001913B1" w:rsidRPr="00627D2C" w:rsidRDefault="001913B1" w:rsidP="001913B1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50CDE4A6" w14:textId="47252F1D" w:rsidR="00F36A34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Farmakoterapeutická skupina:</w:t>
      </w:r>
      <w:r w:rsidR="00994112" w:rsidRPr="00627D2C">
        <w:rPr>
          <w:rFonts w:ascii="Times New Roman" w:hAnsi="Times New Roman" w:cs="Times New Roman"/>
          <w:lang w:val="sk-SK"/>
        </w:rPr>
        <w:t xml:space="preserve"> urologiká, l</w:t>
      </w:r>
      <w:r w:rsidRPr="00627D2C">
        <w:rPr>
          <w:rFonts w:ascii="Times New Roman" w:hAnsi="Times New Roman" w:cs="Times New Roman"/>
          <w:lang w:val="sk-SK"/>
        </w:rPr>
        <w:t>iečivá na časté močenie a inkontinenciu, ATC kód: G04B</w:t>
      </w:r>
      <w:r w:rsidR="009F1925">
        <w:t> </w:t>
      </w:r>
      <w:r w:rsidRPr="00627D2C">
        <w:rPr>
          <w:rFonts w:ascii="Times New Roman" w:hAnsi="Times New Roman" w:cs="Times New Roman"/>
          <w:lang w:val="sk-SK"/>
        </w:rPr>
        <w:t>D08.</w:t>
      </w:r>
    </w:p>
    <w:p w14:paraId="05C999D6" w14:textId="77777777" w:rsidR="00F36A34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Mechanizmus účinku</w:t>
      </w:r>
    </w:p>
    <w:p w14:paraId="221F5EF1" w14:textId="77777777" w:rsidR="00046CDD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Solifenacín je kompetitívny špecifický antagonista cholinergných receptorov. </w:t>
      </w:r>
    </w:p>
    <w:p w14:paraId="2889FFDF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Močový mechúr je inervovaný parasympatickými cholinergnými nervami. Acetylcholín kontrahuje hladký sval detruzora prostredníctvom muskarínových receptorov,</w:t>
      </w:r>
      <w:r w:rsidR="00046CDD" w:rsidRPr="00627D2C">
        <w:rPr>
          <w:rFonts w:ascii="Times New Roman" w:hAnsi="Times New Roman" w:cs="Times New Roman"/>
          <w:lang w:val="sk-SK"/>
        </w:rPr>
        <w:t xml:space="preserve"> predovšetkým podtypom M3</w:t>
      </w:r>
      <w:r w:rsidRPr="00627D2C">
        <w:rPr>
          <w:rFonts w:ascii="Times New Roman" w:hAnsi="Times New Roman" w:cs="Times New Roman"/>
          <w:lang w:val="sk-SK"/>
        </w:rPr>
        <w:t xml:space="preserve">. Farmakologické štúdie </w:t>
      </w:r>
      <w:r w:rsidRPr="00960DA5">
        <w:rPr>
          <w:rFonts w:ascii="Times New Roman" w:hAnsi="Times New Roman" w:cs="Times New Roman"/>
          <w:i/>
          <w:lang w:val="sk-SK"/>
        </w:rPr>
        <w:t>in vitro</w:t>
      </w:r>
      <w:r w:rsidRPr="00627D2C">
        <w:rPr>
          <w:rFonts w:ascii="Times New Roman" w:hAnsi="Times New Roman" w:cs="Times New Roman"/>
          <w:lang w:val="sk-SK"/>
        </w:rPr>
        <w:t xml:space="preserve"> a </w:t>
      </w:r>
      <w:r w:rsidRPr="00960DA5">
        <w:rPr>
          <w:rFonts w:ascii="Times New Roman" w:hAnsi="Times New Roman" w:cs="Times New Roman"/>
          <w:i/>
          <w:lang w:val="sk-SK"/>
        </w:rPr>
        <w:t>in vivo</w:t>
      </w:r>
      <w:r w:rsidRPr="00627D2C">
        <w:rPr>
          <w:rFonts w:ascii="Times New Roman" w:hAnsi="Times New Roman" w:cs="Times New Roman"/>
          <w:lang w:val="sk-SK"/>
        </w:rPr>
        <w:t xml:space="preserve"> naznačujú, že solifenacín je kompetitívny inhibítor mu</w:t>
      </w:r>
      <w:r w:rsidR="00046CDD" w:rsidRPr="00627D2C">
        <w:rPr>
          <w:rFonts w:ascii="Times New Roman" w:hAnsi="Times New Roman" w:cs="Times New Roman"/>
          <w:lang w:val="sk-SK"/>
        </w:rPr>
        <w:t xml:space="preserve">skarínového receptora podtypu M3. Ukázalo sa, </w:t>
      </w:r>
      <w:r w:rsidRPr="00627D2C">
        <w:rPr>
          <w:rFonts w:ascii="Times New Roman" w:hAnsi="Times New Roman" w:cs="Times New Roman"/>
          <w:lang w:val="sk-SK"/>
        </w:rPr>
        <w:t>že solifenacín je navyše špecifickým antagon</w:t>
      </w:r>
      <w:r w:rsidR="00046CDD" w:rsidRPr="00627D2C">
        <w:rPr>
          <w:rFonts w:ascii="Times New Roman" w:hAnsi="Times New Roman" w:cs="Times New Roman"/>
          <w:lang w:val="sk-SK"/>
        </w:rPr>
        <w:t>istom muskarínových receptorov,</w:t>
      </w:r>
      <w:r w:rsidRPr="00627D2C">
        <w:rPr>
          <w:rFonts w:ascii="Times New Roman" w:hAnsi="Times New Roman" w:cs="Times New Roman"/>
          <w:lang w:val="sk-SK"/>
        </w:rPr>
        <w:t xml:space="preserve"> vykazuje</w:t>
      </w:r>
      <w:r w:rsidR="00046CDD" w:rsidRPr="00627D2C">
        <w:rPr>
          <w:rFonts w:ascii="Times New Roman" w:hAnsi="Times New Roman" w:cs="Times New Roman"/>
          <w:lang w:val="sk-SK"/>
        </w:rPr>
        <w:t xml:space="preserve"> totiž</w:t>
      </w:r>
      <w:r w:rsidRPr="00627D2C">
        <w:rPr>
          <w:rFonts w:ascii="Times New Roman" w:hAnsi="Times New Roman" w:cs="Times New Roman"/>
          <w:lang w:val="sk-SK"/>
        </w:rPr>
        <w:t xml:space="preserve"> nízku alebo žiadnu afinitu vo vzťahu k rôzn</w:t>
      </w:r>
      <w:r w:rsidR="00046CDD" w:rsidRPr="00627D2C">
        <w:rPr>
          <w:rFonts w:ascii="Times New Roman" w:hAnsi="Times New Roman" w:cs="Times New Roman"/>
          <w:lang w:val="sk-SK"/>
        </w:rPr>
        <w:t xml:space="preserve">ym iným testovaným receptorom a </w:t>
      </w:r>
      <w:r w:rsidRPr="00627D2C">
        <w:rPr>
          <w:rFonts w:ascii="Times New Roman" w:hAnsi="Times New Roman" w:cs="Times New Roman"/>
          <w:lang w:val="sk-SK"/>
        </w:rPr>
        <w:t>testovaným iónovým kanálom.</w:t>
      </w:r>
    </w:p>
    <w:p w14:paraId="5129C9F4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Farmakodynamické účinky</w:t>
      </w:r>
    </w:p>
    <w:p w14:paraId="4B357B78" w14:textId="77777777" w:rsidR="00DC67C1" w:rsidRPr="00627D2C" w:rsidRDefault="00DC67C1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Dospelí:</w:t>
      </w:r>
    </w:p>
    <w:p w14:paraId="5DCE7EA9" w14:textId="06495A0E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Liečba </w:t>
      </w:r>
      <w:r w:rsidR="00AB239F" w:rsidRPr="00627D2C">
        <w:rPr>
          <w:rFonts w:ascii="Times New Roman" w:hAnsi="Times New Roman" w:cs="Times New Roman"/>
          <w:lang w:val="sk-SK"/>
        </w:rPr>
        <w:t>solifenacíniumsukcinát</w:t>
      </w:r>
      <w:r w:rsidR="00C71BCB">
        <w:rPr>
          <w:rFonts w:ascii="Times New Roman" w:hAnsi="Times New Roman" w:cs="Times New Roman"/>
          <w:lang w:val="sk-SK"/>
        </w:rPr>
        <w:t>om</w:t>
      </w:r>
      <w:r w:rsidR="00AB239F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v dávkach 5 mg a 10 mg denne bola predmetom</w:t>
      </w:r>
      <w:r w:rsidR="002F28CA" w:rsidRPr="00627D2C">
        <w:rPr>
          <w:rFonts w:ascii="Times New Roman" w:hAnsi="Times New Roman" w:cs="Times New Roman"/>
          <w:lang w:val="sk-SK"/>
        </w:rPr>
        <w:t xml:space="preserve"> niekoľkých dvojito zaslepených randomizovaných</w:t>
      </w:r>
      <w:r w:rsidRPr="00627D2C">
        <w:rPr>
          <w:rFonts w:ascii="Times New Roman" w:hAnsi="Times New Roman" w:cs="Times New Roman"/>
          <w:lang w:val="sk-SK"/>
        </w:rPr>
        <w:t xml:space="preserve"> kontrolovanýc</w:t>
      </w:r>
      <w:r w:rsidR="002F28CA" w:rsidRPr="00627D2C">
        <w:rPr>
          <w:rFonts w:ascii="Times New Roman" w:hAnsi="Times New Roman" w:cs="Times New Roman"/>
          <w:lang w:val="sk-SK"/>
        </w:rPr>
        <w:t xml:space="preserve">h klinických štúdií, ktorých sa </w:t>
      </w:r>
      <w:r w:rsidRPr="00627D2C">
        <w:rPr>
          <w:rFonts w:ascii="Times New Roman" w:hAnsi="Times New Roman" w:cs="Times New Roman"/>
          <w:lang w:val="sk-SK"/>
        </w:rPr>
        <w:t>zúčastnili muži a ženy s hyperaktívnym močovým mechúrom.</w:t>
      </w:r>
    </w:p>
    <w:p w14:paraId="55DE11F4" w14:textId="4710830F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lastRenderedPageBreak/>
        <w:t xml:space="preserve">Podľa nižšie uvedenej tabuľky obe dávky 5 mg a 10 mg </w:t>
      </w:r>
      <w:r w:rsidR="00AB239F" w:rsidRPr="00627D2C">
        <w:rPr>
          <w:rFonts w:ascii="Times New Roman" w:hAnsi="Times New Roman" w:cs="Times New Roman"/>
          <w:lang w:val="sk-SK"/>
        </w:rPr>
        <w:t xml:space="preserve">solifenacíniumsukcinátu </w:t>
      </w:r>
      <w:r w:rsidRPr="00627D2C">
        <w:rPr>
          <w:rFonts w:ascii="Times New Roman" w:hAnsi="Times New Roman" w:cs="Times New Roman"/>
          <w:lang w:val="sk-SK"/>
        </w:rPr>
        <w:t>spôsobili štatisticky významné zlepšenia primárnych a sekundár</w:t>
      </w:r>
      <w:r w:rsidR="002F28CA" w:rsidRPr="00627D2C">
        <w:rPr>
          <w:rFonts w:ascii="Times New Roman" w:hAnsi="Times New Roman" w:cs="Times New Roman"/>
          <w:lang w:val="sk-SK"/>
        </w:rPr>
        <w:t xml:space="preserve">nych </w:t>
      </w:r>
      <w:r w:rsidR="00071DA6" w:rsidRPr="00627D2C">
        <w:rPr>
          <w:rFonts w:ascii="Times New Roman" w:hAnsi="Times New Roman" w:cs="Times New Roman"/>
          <w:lang w:val="sk-SK"/>
        </w:rPr>
        <w:t>cie</w:t>
      </w:r>
      <w:r w:rsidR="002F28CA" w:rsidRPr="00627D2C">
        <w:rPr>
          <w:rFonts w:ascii="Times New Roman" w:hAnsi="Times New Roman" w:cs="Times New Roman"/>
          <w:lang w:val="sk-SK"/>
        </w:rPr>
        <w:t>ľov</w:t>
      </w:r>
      <w:r w:rsidR="00071DA6" w:rsidRPr="00627D2C">
        <w:rPr>
          <w:rFonts w:ascii="Times New Roman" w:hAnsi="Times New Roman" w:cs="Times New Roman"/>
          <w:lang w:val="sk-SK"/>
        </w:rPr>
        <w:t>ých parametrov</w:t>
      </w:r>
      <w:r w:rsidR="002F28CA" w:rsidRPr="00627D2C">
        <w:rPr>
          <w:rFonts w:ascii="Times New Roman" w:hAnsi="Times New Roman" w:cs="Times New Roman"/>
          <w:lang w:val="sk-SK"/>
        </w:rPr>
        <w:t xml:space="preserve"> v porovnaní s </w:t>
      </w:r>
      <w:r w:rsidRPr="00627D2C">
        <w:rPr>
          <w:rFonts w:ascii="Times New Roman" w:hAnsi="Times New Roman" w:cs="Times New Roman"/>
          <w:lang w:val="sk-SK"/>
        </w:rPr>
        <w:t>placebom. Účinnosť lieku sa prejavila do jedného týždňa od začatia liečby a stabilizuje sa v priebehu 12 týždňov. Dlhodobá otvorená štúdia do</w:t>
      </w:r>
      <w:r w:rsidR="002F28CA" w:rsidRPr="00627D2C">
        <w:rPr>
          <w:rFonts w:ascii="Times New Roman" w:hAnsi="Times New Roman" w:cs="Times New Roman"/>
          <w:lang w:val="sk-SK"/>
        </w:rPr>
        <w:t>kázala, že účinnosť</w:t>
      </w:r>
      <w:r w:rsidR="00C71BCB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pretrvávala najmenej počas 12 mesiacov. Po 12</w:t>
      </w:r>
      <w:r w:rsidR="002F28CA" w:rsidRPr="00627D2C">
        <w:rPr>
          <w:rFonts w:ascii="Times New Roman" w:hAnsi="Times New Roman" w:cs="Times New Roman"/>
          <w:lang w:val="sk-SK"/>
        </w:rPr>
        <w:t xml:space="preserve"> týždňoch liečby u približne 50</w:t>
      </w:r>
      <w:r w:rsidR="00A00572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% pacientov, ktorí pred liečbou trpeli inkontinenciou, doš</w:t>
      </w:r>
      <w:r w:rsidR="002F28CA" w:rsidRPr="00627D2C">
        <w:rPr>
          <w:rFonts w:ascii="Times New Roman" w:hAnsi="Times New Roman" w:cs="Times New Roman"/>
          <w:lang w:val="sk-SK"/>
        </w:rPr>
        <w:t xml:space="preserve">lo k vymiznutiu </w:t>
      </w:r>
      <w:r w:rsidR="006F3FCC">
        <w:rPr>
          <w:rFonts w:ascii="Times New Roman" w:hAnsi="Times New Roman" w:cs="Times New Roman"/>
          <w:lang w:val="sk-SK"/>
        </w:rPr>
        <w:t xml:space="preserve">epizód </w:t>
      </w:r>
      <w:r w:rsidR="002F28CA" w:rsidRPr="00627D2C">
        <w:rPr>
          <w:rFonts w:ascii="Times New Roman" w:hAnsi="Times New Roman" w:cs="Times New Roman"/>
          <w:lang w:val="sk-SK"/>
        </w:rPr>
        <w:t>inkontinencie a navyše 35</w:t>
      </w:r>
      <w:r w:rsidR="00A00572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% pacientov dosiahlo zníženie frekvencie močenia na menej než 8-krát za deň. Liečenie príznakov hyperaktívneho m</w:t>
      </w:r>
      <w:r w:rsidR="002F28CA" w:rsidRPr="00627D2C">
        <w:rPr>
          <w:rFonts w:ascii="Times New Roman" w:hAnsi="Times New Roman" w:cs="Times New Roman"/>
          <w:lang w:val="sk-SK"/>
        </w:rPr>
        <w:t xml:space="preserve">očového mechúra malo prínos i s </w:t>
      </w:r>
      <w:r w:rsidRPr="00627D2C">
        <w:rPr>
          <w:rFonts w:ascii="Times New Roman" w:hAnsi="Times New Roman" w:cs="Times New Roman"/>
          <w:lang w:val="sk-SK"/>
        </w:rPr>
        <w:t xml:space="preserve">ohľadom na hodnotenie kvality života, napríklad na celkové vnímanie zdravia, </w:t>
      </w:r>
      <w:r w:rsidR="006F3FCC">
        <w:rPr>
          <w:rFonts w:ascii="Times New Roman" w:hAnsi="Times New Roman" w:cs="Times New Roman"/>
          <w:lang w:val="sk-SK"/>
        </w:rPr>
        <w:t>vplyv</w:t>
      </w:r>
      <w:r w:rsidRPr="00627D2C">
        <w:rPr>
          <w:rFonts w:ascii="Times New Roman" w:hAnsi="Times New Roman" w:cs="Times New Roman"/>
          <w:lang w:val="sk-SK"/>
        </w:rPr>
        <w:t xml:space="preserve"> inkontinencie, funkčné obmedzenia, </w:t>
      </w:r>
      <w:r w:rsidR="002F28CA" w:rsidRPr="00627D2C">
        <w:rPr>
          <w:rFonts w:ascii="Times New Roman" w:hAnsi="Times New Roman" w:cs="Times New Roman"/>
          <w:lang w:val="sk-SK"/>
        </w:rPr>
        <w:t xml:space="preserve">fyzické obmedzenia, spoločenské </w:t>
      </w:r>
      <w:r w:rsidRPr="00627D2C">
        <w:rPr>
          <w:rFonts w:ascii="Times New Roman" w:hAnsi="Times New Roman" w:cs="Times New Roman"/>
          <w:lang w:val="sk-SK"/>
        </w:rPr>
        <w:t>obmedzenia, emócie, závažnosť symptómov, úroveň závažnosti a spánok/vitalitu.</w:t>
      </w:r>
    </w:p>
    <w:p w14:paraId="4363A172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Výsledky (súhrn údajov) štyroch kontrolovaných štúdií fázy 3 s dĺžkou trvania liečby 12 týždňov</w:t>
      </w:r>
    </w:p>
    <w:tbl>
      <w:tblPr>
        <w:tblStyle w:val="Mriekatabuky"/>
        <w:tblW w:w="93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374"/>
        <w:gridCol w:w="1304"/>
        <w:gridCol w:w="1672"/>
        <w:gridCol w:w="1730"/>
        <w:gridCol w:w="1234"/>
      </w:tblGrid>
      <w:tr w:rsidR="008E1023" w:rsidRPr="00627D2C" w14:paraId="429601B1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356A27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364EE7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Placebo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7DF3F8" w14:textId="72F30093" w:rsidR="008E1023" w:rsidRPr="00627D2C" w:rsidRDefault="00234B81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S</w:t>
            </w:r>
            <w:r w:rsidR="00E272CE" w:rsidRPr="00E272CE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olifenacínium</w:t>
            </w:r>
            <w:r w:rsidR="00E272CE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sukcinát</w:t>
            </w:r>
            <w:r w:rsidR="008E1023"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 xml:space="preserve"> 5 mg jedenkrát denne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055B44" w14:textId="5CF44D85" w:rsidR="008E1023" w:rsidRPr="00627D2C" w:rsidRDefault="00234B81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S</w:t>
            </w:r>
            <w:r w:rsidR="00E272CE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olifenacínium-</w:t>
            </w:r>
            <w:r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sukcinát</w:t>
            </w:r>
            <w:r w:rsidR="008E1023"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 xml:space="preserve"> 10 mg jedenkrát denne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8B284E" w14:textId="234ED05E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Tolterodín 2</w:t>
            </w:r>
            <w:r w:rsidR="00E272CE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 </w:t>
            </w: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mg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dvakrát denne</w:t>
            </w:r>
          </w:p>
        </w:tc>
      </w:tr>
      <w:tr w:rsidR="008E1023" w:rsidRPr="00627D2C" w14:paraId="15240B43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CBB679" w14:textId="219C72F4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Počet močení/24 h</w:t>
            </w:r>
          </w:p>
        </w:tc>
      </w:tr>
      <w:tr w:rsidR="008E1023" w:rsidRPr="00627D2C" w14:paraId="4D971602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D0D1DF" w14:textId="09F2B51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Priemerná </w:t>
            </w:r>
            <w:r w:rsidR="00E272CE" w:rsidRPr="00E272CE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hodnota</w:t>
            </w:r>
          </w:p>
          <w:p w14:paraId="40102B42" w14:textId="5DE1E042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Priemerné zníženie v porovnaní s</w:t>
            </w:r>
            <w:r w:rsidR="00E272CE">
              <w:rPr>
                <w:rFonts w:ascii="Times New Roman" w:eastAsia="Times New Roman" w:hAnsi="Times New Roman"/>
                <w:color w:val="2C2C2C"/>
                <w:lang w:val="sk-SK"/>
              </w:rPr>
              <w:t> 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758553F" w14:textId="3D65350B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% zmena v porovnaní s</w:t>
            </w:r>
            <w:r w:rsidR="00E272CE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E272CE" w:rsidRPr="00E272CE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2CB3CA9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počet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9E2F303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91AF34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11,9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508F8F1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1,4 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443190F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(12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D251051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51EFD249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1 138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D1A1F1" w14:textId="6EB0C481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12,1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43E5B85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2,3 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7499CEF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(19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E166FB1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0DC79E3D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552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E0E41D5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0060A5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11,9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6A65323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2,7 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5D05270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(23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3F75BAA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38485D1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1 158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E0E5C79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FE549C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12,1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5FFC431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1,9 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0162E7E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(16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E02756F" w14:textId="77777777" w:rsidR="00DD1623" w:rsidRPr="00627D2C" w:rsidRDefault="00DD16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F5FFF1D" w14:textId="77777777" w:rsidR="00DD16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250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0CAC292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0,004</w:t>
            </w:r>
          </w:p>
        </w:tc>
      </w:tr>
      <w:tr w:rsidR="008E1023" w:rsidRPr="00627D2C" w14:paraId="4323C395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3422B1" w14:textId="661E379D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Počet epizód urgencie/24 h</w:t>
            </w:r>
          </w:p>
        </w:tc>
      </w:tr>
      <w:tr w:rsidR="008E1023" w:rsidRPr="00627D2C" w14:paraId="4CE697E3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12F874" w14:textId="30486996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Priemerná </w:t>
            </w:r>
            <w:r w:rsidR="00E272CE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hodnota</w:t>
            </w:r>
          </w:p>
          <w:p w14:paraId="05185396" w14:textId="77777777" w:rsidR="00EC0FE4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 xml:space="preserve">Priemerné zníženie v porovnaní s </w:t>
            </w:r>
            <w:r w:rsidR="00E272CE" w:rsidRPr="00E272CE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</w:p>
          <w:p w14:paraId="48D2655D" w14:textId="65077A61" w:rsidR="00444246" w:rsidRPr="00627D2C" w:rsidRDefault="00444246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4A8777DA" w14:textId="6AEEC1BD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% zmena v porovnaní s </w:t>
            </w:r>
            <w:r w:rsidR="00E272CE" w:rsidRPr="00E272CE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A0DC295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počet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CEEA68C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780939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6,3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1F377AB" w14:textId="77777777" w:rsidR="00EC0FE4" w:rsidRDefault="00444246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2,0 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CCE4F97" w14:textId="444292AE" w:rsidR="005C71C0" w:rsidRPr="00627D2C" w:rsidRDefault="00444246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(32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1D03C27" w14:textId="77777777" w:rsidR="005C71C0" w:rsidRPr="00627D2C" w:rsidRDefault="005C71C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5CA09E60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1 124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E8AC9B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5,9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A75031F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2,9 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605BBF0" w14:textId="77777777" w:rsidR="005C71C0" w:rsidRPr="00627D2C" w:rsidRDefault="00444246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(49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507D3CE" w14:textId="77777777" w:rsidR="005C71C0" w:rsidRPr="00627D2C" w:rsidRDefault="005C71C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8557C26" w14:textId="77777777" w:rsidR="005C71C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548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288905F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79328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6,2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268961A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3,4 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1532E60" w14:textId="77777777" w:rsidR="005C71C0" w:rsidRPr="00627D2C" w:rsidRDefault="00444246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(55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F26E4EE" w14:textId="77777777" w:rsidR="005C71C0" w:rsidRPr="00627D2C" w:rsidRDefault="005C71C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02293FF4" w14:textId="77777777" w:rsidR="005C71C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1 151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3871DAE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8A4BDD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5,4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7FD1213" w14:textId="77777777" w:rsidR="00444246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2,1 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2AB2AB0" w14:textId="77777777" w:rsidR="005C71C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(39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B9155DD" w14:textId="77777777" w:rsidR="005C71C0" w:rsidRPr="00627D2C" w:rsidRDefault="005C71C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197D468" w14:textId="77777777" w:rsidR="005C71C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250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8BC5A71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0,031</w:t>
            </w:r>
          </w:p>
        </w:tc>
      </w:tr>
      <w:tr w:rsidR="008E1023" w:rsidRPr="00627D2C" w14:paraId="38137194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5DBC73" w14:textId="648B5C14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Počet epizód inkontinencie/24 h</w:t>
            </w:r>
          </w:p>
        </w:tc>
      </w:tr>
      <w:tr w:rsidR="008E1023" w:rsidRPr="00627D2C" w14:paraId="5C9D6427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F90086" w14:textId="5158652C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Priemerná </w:t>
            </w:r>
            <w:r w:rsidR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hodnota</w:t>
            </w:r>
          </w:p>
          <w:p w14:paraId="5795F2A3" w14:textId="472E3721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 xml:space="preserve">Priemerné zníženie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="00EC0FE4" w:rsidRPr="00EC0FE4" w:rsidDel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</w:p>
          <w:p w14:paraId="2E8A4EE0" w14:textId="5305C747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 xml:space="preserve">% zmena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="00EC0FE4" w:rsidRPr="00EC0FE4" w:rsidDel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</w:p>
          <w:p w14:paraId="0B00C44A" w14:textId="77777777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počet</w:t>
            </w:r>
          </w:p>
          <w:p w14:paraId="3777075A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61D192" w14:textId="77777777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</w:t>
            </w:r>
            <w:r w:rsidR="00651930" w:rsidRPr="00627D2C">
              <w:rPr>
                <w:rFonts w:ascii="Times New Roman" w:eastAsia="Times New Roman" w:hAnsi="Times New Roman"/>
                <w:color w:val="2C2C2C"/>
                <w:lang w:val="sk-SK"/>
              </w:rPr>
              <w:t>,9</w:t>
            </w:r>
            <w:r w:rsidR="00651930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FB1D1FC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63D1ABCD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1,1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DB8D007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(38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611A6B6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5E356BDB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781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77A54C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2,6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30D2E4D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BB603B6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1,5 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0B91864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(58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7E97271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1D84925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314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17AEB8E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AB7BA0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2,9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4B2AF8D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605629B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1,8 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7A4987F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(62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07AFEDA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498FCC4F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778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C9DC7BF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04A415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2,3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9178E3A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7B7FD52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1,1 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87DF9BF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(48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3E2EEC1" w14:textId="77777777" w:rsidR="00651930" w:rsidRPr="00627D2C" w:rsidRDefault="00651930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3EE17D7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157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0154FA6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0,009</w:t>
            </w:r>
          </w:p>
        </w:tc>
      </w:tr>
      <w:tr w:rsidR="008E1023" w:rsidRPr="00627D2C" w14:paraId="3D9CED0C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1805A3" w14:textId="1FBAC3EA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Počet epizód nočného močenia (noktúrie)/24 h</w:t>
            </w:r>
          </w:p>
        </w:tc>
      </w:tr>
      <w:tr w:rsidR="008E1023" w:rsidRPr="00627D2C" w14:paraId="4ACB0437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3EACFE" w14:textId="5AFAA8AB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lastRenderedPageBreak/>
              <w:t xml:space="preserve">Priemerná </w:t>
            </w:r>
            <w:r w:rsidR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hodnota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77F58A1" w14:textId="5D259EF5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Priemerné zníženie v</w:t>
            </w:r>
            <w:r w:rsidR="004A4CEA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B77CF7C" w14:textId="074FF9FE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% zmena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="00EC0FE4" w:rsidRPr="00EC0FE4" w:rsidDel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E5FAE54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počet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7AF7DAB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74E8F5" w14:textId="77777777" w:rsidR="00651930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8B57548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0,4 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46101A1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(22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888595A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11D89FB3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1 005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734CE0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A3D1D3D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0,6 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5978C3E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(30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1EC139F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48B98038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494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F78CCCC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0,025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556987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FFBC20E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0,6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850891A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(33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4A86138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AA672B7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1 035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E8BBA5D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793A21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1,9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62FB872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0,5 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FC3DAF6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(26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7B3D86C" w14:textId="77777777" w:rsidR="004A4CEA" w:rsidRPr="00627D2C" w:rsidRDefault="004A4CEA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098284E6" w14:textId="77777777" w:rsidR="004A4CEA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232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F3120FA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0,199</w:t>
            </w:r>
          </w:p>
        </w:tc>
      </w:tr>
      <w:tr w:rsidR="008E1023" w:rsidRPr="00627D2C" w14:paraId="2BB93C08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6D934F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Objem vylúčeného moču/močenie</w:t>
            </w:r>
          </w:p>
        </w:tc>
      </w:tr>
      <w:tr w:rsidR="008E1023" w:rsidRPr="00627D2C" w14:paraId="4AABF6E0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40BBD2" w14:textId="223648B6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Priemerná </w:t>
            </w:r>
            <w:r w:rsidR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hodnota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A725AFA" w14:textId="179033E1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Priemerné zvýšenie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D22C111" w14:textId="6AD129D3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% zmena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9555F5A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počet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B37BFB0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C17B10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166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64A6D53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9 ml</w:t>
            </w:r>
          </w:p>
          <w:p w14:paraId="4050C83E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761ECA1D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163CA157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(5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F06422D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1E257B56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1 135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F9548E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146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6C308B2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32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3316057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(21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849D4FB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37C5FD3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552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574F5CC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066C46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163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C22C5A7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43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D056285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(26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2A173C5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06E2EBF7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1 156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A831A54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95F0CF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147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3D16908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24 ml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3B744ED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(16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8DC1CF3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0F4F8300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250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8615FFA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</w:tr>
      <w:tr w:rsidR="008E1023" w:rsidRPr="00627D2C" w14:paraId="7F61CA0B" w14:textId="77777777" w:rsidTr="008E1023">
        <w:tc>
          <w:tcPr>
            <w:tcW w:w="93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2ACF5C" w14:textId="753E73E4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b/>
                <w:bCs/>
                <w:color w:val="2C2C2C"/>
                <w:lang w:val="sk-SK"/>
              </w:rPr>
              <w:t>Počet vložiek/24</w:t>
            </w:r>
          </w:p>
        </w:tc>
      </w:tr>
      <w:tr w:rsidR="008E1023" w:rsidRPr="00627D2C" w14:paraId="1EDF84C1" w14:textId="77777777" w:rsidTr="00960DA5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910F17" w14:textId="721767ED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Priemerná </w:t>
            </w:r>
            <w:r w:rsidR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východisková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hodnota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8FCD261" w14:textId="06FADF6B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Priemerné zníženie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BD9AE59" w14:textId="6159CA23" w:rsidR="00EC0FE4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% zmena v porovnaní s </w:t>
            </w:r>
            <w:r w:rsidR="00EC0FE4" w:rsidRPr="00EC0FE4">
              <w:rPr>
                <w:rFonts w:ascii="Times New Roman" w:eastAsia="Times New Roman" w:hAnsi="Times New Roman"/>
                <w:color w:val="2C2C2C"/>
                <w:lang w:val="sk-SK"/>
              </w:rPr>
              <w:t>východiskovou hodnotou</w:t>
            </w:r>
            <w:r w:rsidR="00EC0FE4" w:rsidRPr="00EC0FE4" w:rsidDel="00EC0FE4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61F91BA" w14:textId="79026738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počet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4267924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p-hodnota*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023B7C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3,0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8009657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0,8 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29947BD2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405EF690" w14:textId="77777777" w:rsidR="003A6499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(27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588FA2D" w14:textId="77777777" w:rsidR="00EC0FE4" w:rsidRPr="00627D2C" w:rsidRDefault="00EC0FE4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1625D2E6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238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187A33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2,8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0D61E29D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1,3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="003A6499" w:rsidRPr="00627D2C">
              <w:rPr>
                <w:rFonts w:ascii="Times New Roman" w:eastAsia="Times New Roman" w:hAnsi="Times New Roman"/>
                <w:color w:val="2C2C2C"/>
                <w:lang w:val="sk-SK"/>
              </w:rPr>
              <w:t>(46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3A6499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</w:p>
          <w:p w14:paraId="48266F4F" w14:textId="77777777" w:rsidR="00EC0FE4" w:rsidRDefault="00EC0FE4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72F246F8" w14:textId="77777777" w:rsidR="00EC0FE4" w:rsidRDefault="00EC0FE4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7F3F62E5" w14:textId="77777777" w:rsidR="00662D5F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236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DC1DE6E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7F09E3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2,7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D175D46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1,3 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346234BA" w14:textId="77777777" w:rsidR="003A6499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(48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539981E4" w14:textId="77777777" w:rsidR="00EC0FE4" w:rsidRPr="00627D2C" w:rsidRDefault="00EC0FE4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68D856F" w14:textId="77777777" w:rsidR="00662D5F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242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6E44C033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&lt; 0,001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8E4C4D" w14:textId="77777777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2,7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14DCBA37" w14:textId="6C3EB5D8" w:rsidR="003A6499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1</w:t>
            </w:r>
            <w:r w:rsidR="003A6499" w:rsidRPr="00627D2C">
              <w:rPr>
                <w:rFonts w:ascii="Times New Roman" w:eastAsia="Times New Roman" w:hAnsi="Times New Roman"/>
                <w:color w:val="2C2C2C"/>
                <w:lang w:val="sk-SK"/>
              </w:rPr>
              <w:t>,0 </w:t>
            </w:r>
            <w:r w:rsidR="003A6499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2E0930A" w14:textId="77777777" w:rsidR="003A6499" w:rsidRPr="00627D2C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2C75D647" w14:textId="77777777" w:rsidR="003A6499" w:rsidRDefault="003A6499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(37</w:t>
            </w:r>
            <w:r w:rsidR="00A00572" w:rsidRPr="00627D2C">
              <w:rPr>
                <w:rFonts w:ascii="Times New Roman" w:eastAsia="Times New Roman" w:hAnsi="Times New Roman"/>
                <w:color w:val="2C2C2C"/>
                <w:lang w:val="sk-SK"/>
              </w:rPr>
              <w:t xml:space="preserve"> 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t>%)</w:t>
            </w:r>
            <w:r w:rsidR="008E1023"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4318F3F3" w14:textId="77777777" w:rsidR="00EC0FE4" w:rsidRPr="00627D2C" w:rsidRDefault="00EC0FE4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</w:p>
          <w:p w14:paraId="3FAA2E25" w14:textId="77777777" w:rsidR="00662D5F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250</w:t>
            </w: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br/>
            </w:r>
          </w:p>
          <w:p w14:paraId="7EB91ECC" w14:textId="77777777" w:rsidR="008E1023" w:rsidRPr="00627D2C" w:rsidRDefault="008E1023" w:rsidP="008E1023">
            <w:pPr>
              <w:rPr>
                <w:rFonts w:ascii="Times New Roman" w:eastAsia="Times New Roman" w:hAnsi="Times New Roman"/>
                <w:color w:val="2C2C2C"/>
                <w:lang w:val="sk-SK"/>
              </w:rPr>
            </w:pPr>
            <w:r w:rsidRPr="00627D2C">
              <w:rPr>
                <w:rFonts w:ascii="Times New Roman" w:eastAsia="Times New Roman" w:hAnsi="Times New Roman"/>
                <w:color w:val="2C2C2C"/>
                <w:lang w:val="sk-SK"/>
              </w:rPr>
              <w:t>0,010</w:t>
            </w:r>
          </w:p>
        </w:tc>
      </w:tr>
    </w:tbl>
    <w:p w14:paraId="2C0AE4B3" w14:textId="38C39F98" w:rsidR="00AB239F" w:rsidRPr="00627D2C" w:rsidRDefault="00B1756A" w:rsidP="00AB239F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u w:val="single"/>
          <w:lang w:val="sk-SK" w:eastAsia="en-GB"/>
        </w:rPr>
        <w:t>Poznámka: </w:t>
      </w:r>
      <w:r w:rsidRPr="00627D2C">
        <w:rPr>
          <w:sz w:val="22"/>
          <w:szCs w:val="22"/>
          <w:lang w:val="sk-SK" w:eastAsia="en-GB"/>
        </w:rPr>
        <w:t xml:space="preserve">V 4 pivotných štúdiách bol použitý </w:t>
      </w:r>
      <w:r w:rsidR="002573DA">
        <w:rPr>
          <w:sz w:val="22"/>
          <w:szCs w:val="22"/>
          <w:lang w:val="sk-SK" w:eastAsia="en-GB"/>
        </w:rPr>
        <w:t xml:space="preserve">solifenacíniumsukcinát </w:t>
      </w:r>
      <w:r w:rsidRPr="00627D2C">
        <w:rPr>
          <w:sz w:val="22"/>
          <w:szCs w:val="22"/>
          <w:lang w:val="sk-SK" w:eastAsia="en-GB"/>
        </w:rPr>
        <w:t>10 mg a placebo. V 2 zo 4 štúdií sa použil taktiež</w:t>
      </w:r>
      <w:r w:rsidR="00AB239F" w:rsidRPr="00627D2C">
        <w:rPr>
          <w:sz w:val="22"/>
          <w:szCs w:val="22"/>
          <w:lang w:val="sk-SK" w:eastAsia="en-GB"/>
        </w:rPr>
        <w:t xml:space="preserve"> </w:t>
      </w:r>
      <w:r w:rsidR="00AB239F">
        <w:rPr>
          <w:sz w:val="22"/>
          <w:szCs w:val="22"/>
          <w:lang w:val="sk-SK" w:eastAsia="en-GB"/>
        </w:rPr>
        <w:t xml:space="preserve">solifenacíniumsukcinát </w:t>
      </w:r>
      <w:r w:rsidR="00EC0FE4">
        <w:rPr>
          <w:sz w:val="22"/>
          <w:szCs w:val="22"/>
          <w:lang w:val="sk-SK" w:eastAsia="en-GB"/>
        </w:rPr>
        <w:t>5</w:t>
      </w:r>
      <w:r w:rsidR="00AB239F" w:rsidRPr="00627D2C">
        <w:rPr>
          <w:sz w:val="22"/>
          <w:szCs w:val="22"/>
          <w:lang w:val="sk-SK" w:eastAsia="en-GB"/>
        </w:rPr>
        <w:t xml:space="preserve"> mg a v jednej štúdii bol použitý tolterodín 2 mg dvakrát denne. </w:t>
      </w:r>
    </w:p>
    <w:p w14:paraId="64789D68" w14:textId="77777777" w:rsidR="00B1756A" w:rsidRPr="00627D2C" w:rsidRDefault="00B1756A" w:rsidP="00B1756A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lang w:val="sk-SK" w:eastAsia="en-GB"/>
        </w:rPr>
        <w:t>V každej jednotlivej štúdii neboli hodnotené všetky parametre a liečené skupiny. Preto sa uvedený počet pacientov môže v závislosti od parametrov a od liečených skupín líšiť.</w:t>
      </w:r>
    </w:p>
    <w:p w14:paraId="023B80B7" w14:textId="77777777" w:rsidR="00536062" w:rsidRPr="00627D2C" w:rsidRDefault="00536062" w:rsidP="00536062">
      <w:pPr>
        <w:pStyle w:val="Normlnywebov"/>
        <w:rPr>
          <w:sz w:val="22"/>
          <w:szCs w:val="22"/>
          <w:lang w:val="sk-SK"/>
        </w:rPr>
      </w:pPr>
      <w:r w:rsidRPr="00627D2C">
        <w:rPr>
          <w:sz w:val="22"/>
          <w:szCs w:val="22"/>
          <w:lang w:val="sk-SK"/>
        </w:rPr>
        <w:t>* p-hodnota znamená párové porovnanie s placebom.</w:t>
      </w:r>
    </w:p>
    <w:p w14:paraId="3FC5AF77" w14:textId="77777777" w:rsidR="00B1756A" w:rsidRPr="00627D2C" w:rsidRDefault="00801CA6" w:rsidP="00536062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i/>
          <w:sz w:val="22"/>
          <w:szCs w:val="22"/>
          <w:lang w:val="sk-SK" w:eastAsia="en-GB"/>
        </w:rPr>
        <w:t>Osobitné skupiny pacientov</w:t>
      </w:r>
      <w:r w:rsidR="00B1756A" w:rsidRPr="00627D2C">
        <w:rPr>
          <w:sz w:val="22"/>
          <w:szCs w:val="22"/>
          <w:lang w:val="sk-SK" w:eastAsia="en-GB"/>
        </w:rPr>
        <w:t>:</w:t>
      </w:r>
    </w:p>
    <w:p w14:paraId="1DE950E9" w14:textId="77777777" w:rsidR="00B1756A" w:rsidRPr="00627D2C" w:rsidRDefault="00801CA6" w:rsidP="00536062">
      <w:pPr>
        <w:pStyle w:val="Normlnywebov"/>
        <w:rPr>
          <w:i/>
          <w:sz w:val="22"/>
          <w:szCs w:val="22"/>
          <w:lang w:val="sk-SK" w:eastAsia="en-GB"/>
        </w:rPr>
      </w:pPr>
      <w:r w:rsidRPr="00627D2C">
        <w:rPr>
          <w:i/>
          <w:sz w:val="22"/>
          <w:szCs w:val="22"/>
          <w:lang w:val="sk-SK" w:eastAsia="en-GB"/>
        </w:rPr>
        <w:t>Deti a dospievajúci</w:t>
      </w:r>
      <w:r w:rsidR="00B1756A" w:rsidRPr="00627D2C">
        <w:rPr>
          <w:i/>
          <w:sz w:val="22"/>
          <w:szCs w:val="22"/>
          <w:lang w:val="sk-SK" w:eastAsia="en-GB"/>
        </w:rPr>
        <w:t xml:space="preserve"> (</w:t>
      </w:r>
      <w:r w:rsidRPr="00627D2C">
        <w:rPr>
          <w:i/>
          <w:sz w:val="22"/>
          <w:szCs w:val="22"/>
          <w:lang w:val="sk-SK" w:eastAsia="en-GB"/>
        </w:rPr>
        <w:t>vo veku</w:t>
      </w:r>
      <w:r w:rsidR="00B1756A" w:rsidRPr="00627D2C">
        <w:rPr>
          <w:i/>
          <w:sz w:val="22"/>
          <w:szCs w:val="22"/>
          <w:lang w:val="sk-SK" w:eastAsia="en-GB"/>
        </w:rPr>
        <w:t xml:space="preserve"> 5 </w:t>
      </w:r>
      <w:r w:rsidR="00D962B8" w:rsidRPr="00627D2C">
        <w:rPr>
          <w:i/>
          <w:sz w:val="22"/>
          <w:szCs w:val="22"/>
          <w:lang w:val="sk-SK" w:eastAsia="en-GB"/>
        </w:rPr>
        <w:t>rokov</w:t>
      </w:r>
      <w:r w:rsidR="00E419EF" w:rsidRPr="00627D2C">
        <w:rPr>
          <w:i/>
          <w:sz w:val="22"/>
          <w:szCs w:val="22"/>
          <w:lang w:val="sk-SK" w:eastAsia="en-GB"/>
        </w:rPr>
        <w:t xml:space="preserve"> a starší</w:t>
      </w:r>
      <w:r w:rsidR="00B1756A" w:rsidRPr="00627D2C">
        <w:rPr>
          <w:i/>
          <w:sz w:val="22"/>
          <w:szCs w:val="22"/>
          <w:lang w:val="sk-SK" w:eastAsia="en-GB"/>
        </w:rPr>
        <w:t xml:space="preserve">): </w:t>
      </w:r>
    </w:p>
    <w:p w14:paraId="1AD1BB9C" w14:textId="43DAE97D" w:rsidR="00CC00CD" w:rsidRPr="00627D2C" w:rsidRDefault="00CC00CD" w:rsidP="00CC00CD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lang w:val="sk-SK" w:eastAsia="en-GB"/>
        </w:rPr>
        <w:t xml:space="preserve">Liečba </w:t>
      </w:r>
      <w:r w:rsidR="00BA61B3">
        <w:rPr>
          <w:sz w:val="22"/>
          <w:szCs w:val="22"/>
          <w:lang w:val="sk-SK" w:eastAsia="en-GB"/>
        </w:rPr>
        <w:t xml:space="preserve">s perorálnou suspenziou </w:t>
      </w:r>
      <w:r w:rsidR="000F53C5" w:rsidRPr="00627D2C">
        <w:rPr>
          <w:sz w:val="22"/>
          <w:szCs w:val="22"/>
          <w:lang w:val="sk-SK" w:eastAsia="en-GB"/>
        </w:rPr>
        <w:t>s</w:t>
      </w:r>
      <w:r w:rsidR="000F53C5" w:rsidRPr="00627D2C">
        <w:rPr>
          <w:sz w:val="22"/>
          <w:szCs w:val="22"/>
          <w:lang w:val="sk-SK"/>
        </w:rPr>
        <w:t>olifenacíniumsukcinát</w:t>
      </w:r>
      <w:r w:rsidR="00BA61B3">
        <w:rPr>
          <w:sz w:val="22"/>
          <w:szCs w:val="22"/>
          <w:lang w:val="sk-SK"/>
        </w:rPr>
        <w:t>u</w:t>
      </w:r>
      <w:r w:rsidR="000F53C5" w:rsidRPr="00627D2C">
        <w:rPr>
          <w:sz w:val="22"/>
          <w:szCs w:val="22"/>
          <w:lang w:val="sk-SK"/>
        </w:rPr>
        <w:t xml:space="preserve"> </w:t>
      </w:r>
      <w:r w:rsidRPr="00627D2C">
        <w:rPr>
          <w:sz w:val="22"/>
          <w:szCs w:val="22"/>
          <w:lang w:val="sk-SK" w:eastAsia="en-GB"/>
        </w:rPr>
        <w:t xml:space="preserve">bola sledovaná v dvoch klinických skúšaniach. U 189 pediatrických pacientov s OAB </w:t>
      </w:r>
      <w:r w:rsidR="00BA61B3">
        <w:rPr>
          <w:sz w:val="22"/>
          <w:szCs w:val="22"/>
          <w:lang w:val="sk-SK" w:eastAsia="en-GB"/>
        </w:rPr>
        <w:t xml:space="preserve">– hyperaktívnym močovým mechúrom </w:t>
      </w:r>
      <w:r w:rsidRPr="00627D2C">
        <w:rPr>
          <w:sz w:val="22"/>
          <w:szCs w:val="22"/>
          <w:lang w:val="sk-SK" w:eastAsia="en-GB"/>
        </w:rPr>
        <w:t>(73 detí vo veku od 5 do 11 rokov a 22 dospievajúcich vo veku 12 až 17 rokov bolo liečených solifenacínom) bolo vykonan</w:t>
      </w:r>
      <w:r w:rsidR="00B70876" w:rsidRPr="00627D2C">
        <w:rPr>
          <w:sz w:val="22"/>
          <w:szCs w:val="22"/>
          <w:lang w:val="sk-SK" w:eastAsia="en-GB"/>
        </w:rPr>
        <w:t>é 12-týždňové dvojito-zaslepené</w:t>
      </w:r>
      <w:r w:rsidRPr="00627D2C">
        <w:rPr>
          <w:sz w:val="22"/>
          <w:szCs w:val="22"/>
          <w:lang w:val="sk-SK" w:eastAsia="en-GB"/>
        </w:rPr>
        <w:t xml:space="preserve"> randomizované placebom kontrolované klinické skúšanie (905-CL-</w:t>
      </w:r>
      <w:r w:rsidR="00B70876" w:rsidRPr="00627D2C">
        <w:rPr>
          <w:sz w:val="22"/>
          <w:szCs w:val="22"/>
          <w:lang w:val="sk-SK" w:eastAsia="en-GB"/>
        </w:rPr>
        <w:t>076). Po skúšaní nasledovalo 40-týždňové dlhodobé rozšírené otvorené skúšanie (905-</w:t>
      </w:r>
      <w:r w:rsidRPr="00627D2C">
        <w:rPr>
          <w:sz w:val="22"/>
          <w:szCs w:val="22"/>
          <w:lang w:val="sk-SK" w:eastAsia="en-GB"/>
        </w:rPr>
        <w:t xml:space="preserve">CL-077) u 148 pediatrických pacientov (119 detí a 29 dospievajúcich bolo liečených </w:t>
      </w:r>
      <w:r w:rsidRPr="00627D2C">
        <w:rPr>
          <w:sz w:val="22"/>
          <w:szCs w:val="22"/>
          <w:lang w:val="sk-SK" w:eastAsia="en-GB"/>
        </w:rPr>
        <w:lastRenderedPageBreak/>
        <w:t>solifenací</w:t>
      </w:r>
      <w:r w:rsidR="00B70876" w:rsidRPr="00627D2C">
        <w:rPr>
          <w:sz w:val="22"/>
          <w:szCs w:val="22"/>
          <w:lang w:val="sk-SK" w:eastAsia="en-GB"/>
        </w:rPr>
        <w:t>nom). V obidvoch skúšaniach boli dávky u</w:t>
      </w:r>
      <w:r w:rsidRPr="00627D2C">
        <w:rPr>
          <w:sz w:val="22"/>
          <w:szCs w:val="22"/>
          <w:lang w:val="sk-SK" w:eastAsia="en-GB"/>
        </w:rPr>
        <w:t xml:space="preserve"> väčšin</w:t>
      </w:r>
      <w:r w:rsidR="00B70876" w:rsidRPr="00627D2C">
        <w:rPr>
          <w:sz w:val="22"/>
          <w:szCs w:val="22"/>
          <w:lang w:val="sk-SK" w:eastAsia="en-GB"/>
        </w:rPr>
        <w:t>y pacientov titrované</w:t>
      </w:r>
      <w:r w:rsidR="00BA61B3">
        <w:rPr>
          <w:sz w:val="22"/>
          <w:szCs w:val="22"/>
          <w:lang w:val="sk-SK" w:eastAsia="en-GB"/>
        </w:rPr>
        <w:t xml:space="preserve"> podľa </w:t>
      </w:r>
      <w:r w:rsidRPr="00627D2C">
        <w:rPr>
          <w:sz w:val="22"/>
          <w:szCs w:val="22"/>
          <w:lang w:val="sk-SK" w:eastAsia="en-GB"/>
        </w:rPr>
        <w:t xml:space="preserve">hmotnosti, </w:t>
      </w:r>
      <w:r w:rsidR="00BA61B3">
        <w:rPr>
          <w:sz w:val="22"/>
          <w:szCs w:val="22"/>
          <w:lang w:val="sk-SK" w:eastAsia="en-GB"/>
        </w:rPr>
        <w:t>na dávky</w:t>
      </w:r>
      <w:r w:rsidRPr="00627D2C">
        <w:rPr>
          <w:sz w:val="22"/>
          <w:szCs w:val="22"/>
          <w:lang w:val="sk-SK" w:eastAsia="en-GB"/>
        </w:rPr>
        <w:t xml:space="preserve"> ekvivalentn</w:t>
      </w:r>
      <w:r w:rsidR="00BA61B3">
        <w:rPr>
          <w:sz w:val="22"/>
          <w:szCs w:val="22"/>
          <w:lang w:val="sk-SK" w:eastAsia="en-GB"/>
        </w:rPr>
        <w:t>é</w:t>
      </w:r>
      <w:r w:rsidRPr="00627D2C">
        <w:rPr>
          <w:sz w:val="22"/>
          <w:szCs w:val="22"/>
          <w:lang w:val="sk-SK" w:eastAsia="en-GB"/>
        </w:rPr>
        <w:t xml:space="preserve"> 10 mg u dospelých.</w:t>
      </w:r>
    </w:p>
    <w:p w14:paraId="7B1715A7" w14:textId="1F6DDE41" w:rsidR="00071DA6" w:rsidRPr="00627D2C" w:rsidRDefault="00CC00CD" w:rsidP="00CC00CD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lang w:val="sk-SK" w:eastAsia="en-GB"/>
        </w:rPr>
        <w:t xml:space="preserve">V štúdii 905-CL-076 </w:t>
      </w:r>
      <w:r w:rsidR="00F104EE" w:rsidRPr="00627D2C">
        <w:rPr>
          <w:sz w:val="22"/>
          <w:szCs w:val="22"/>
          <w:lang w:val="sk-SK" w:eastAsia="en-GB"/>
        </w:rPr>
        <w:t>neukázal</w:t>
      </w:r>
      <w:r w:rsidR="00BA61B3">
        <w:rPr>
          <w:sz w:val="22"/>
          <w:szCs w:val="22"/>
          <w:lang w:val="sk-SK" w:eastAsia="en-GB"/>
        </w:rPr>
        <w:t>a</w:t>
      </w:r>
      <w:r w:rsidR="00F104EE" w:rsidRPr="00627D2C">
        <w:rPr>
          <w:sz w:val="22"/>
          <w:szCs w:val="22"/>
          <w:lang w:val="sk-SK" w:eastAsia="en-GB"/>
        </w:rPr>
        <w:t xml:space="preserve"> peroráln</w:t>
      </w:r>
      <w:r w:rsidR="00BA61B3">
        <w:rPr>
          <w:sz w:val="22"/>
          <w:szCs w:val="22"/>
          <w:lang w:val="sk-SK" w:eastAsia="en-GB"/>
        </w:rPr>
        <w:t>a</w:t>
      </w:r>
      <w:r w:rsidR="00F104EE" w:rsidRPr="00627D2C">
        <w:rPr>
          <w:sz w:val="22"/>
          <w:szCs w:val="22"/>
          <w:lang w:val="sk-SK" w:eastAsia="en-GB"/>
        </w:rPr>
        <w:t xml:space="preserve"> </w:t>
      </w:r>
      <w:r w:rsidR="00BA61B3">
        <w:rPr>
          <w:sz w:val="22"/>
          <w:szCs w:val="22"/>
          <w:lang w:val="sk-SK" w:eastAsia="en-GB"/>
        </w:rPr>
        <w:t>suspenzia</w:t>
      </w:r>
      <w:r w:rsidR="00F104EE" w:rsidRPr="00627D2C">
        <w:rPr>
          <w:sz w:val="22"/>
          <w:szCs w:val="22"/>
          <w:lang w:val="sk-SK" w:eastAsia="en-GB"/>
        </w:rPr>
        <w:t xml:space="preserve"> solifenacíniumsukcinátu</w:t>
      </w:r>
      <w:r w:rsidRPr="00627D2C">
        <w:rPr>
          <w:sz w:val="22"/>
          <w:szCs w:val="22"/>
          <w:lang w:val="sk-SK" w:eastAsia="en-GB"/>
        </w:rPr>
        <w:t xml:space="preserve"> v celkovej populácii štatistic</w:t>
      </w:r>
      <w:r w:rsidR="00071DA6" w:rsidRPr="00627D2C">
        <w:rPr>
          <w:sz w:val="22"/>
          <w:szCs w:val="22"/>
          <w:lang w:val="sk-SK" w:eastAsia="en-GB"/>
        </w:rPr>
        <w:t>ky významné zlepšenie primárneho cieľového parametra priemerného</w:t>
      </w:r>
      <w:r w:rsidRPr="00627D2C">
        <w:rPr>
          <w:sz w:val="22"/>
          <w:szCs w:val="22"/>
          <w:lang w:val="sk-SK" w:eastAsia="en-GB"/>
        </w:rPr>
        <w:t xml:space="preserve"> objem</w:t>
      </w:r>
      <w:r w:rsidR="00071DA6" w:rsidRPr="00627D2C">
        <w:rPr>
          <w:sz w:val="22"/>
          <w:szCs w:val="22"/>
          <w:lang w:val="sk-SK" w:eastAsia="en-GB"/>
        </w:rPr>
        <w:t>u moč</w:t>
      </w:r>
      <w:r w:rsidR="00BA61B3">
        <w:rPr>
          <w:sz w:val="22"/>
          <w:szCs w:val="22"/>
          <w:lang w:val="sk-SK" w:eastAsia="en-GB"/>
        </w:rPr>
        <w:t>u</w:t>
      </w:r>
      <w:r w:rsidRPr="00627D2C">
        <w:rPr>
          <w:sz w:val="22"/>
          <w:szCs w:val="22"/>
          <w:lang w:val="sk-SK" w:eastAsia="en-GB"/>
        </w:rPr>
        <w:t xml:space="preserve"> </w:t>
      </w:r>
      <w:r w:rsidR="00BA61B3">
        <w:rPr>
          <w:sz w:val="22"/>
          <w:szCs w:val="22"/>
          <w:lang w:val="sk-SK" w:eastAsia="en-GB"/>
        </w:rPr>
        <w:t>pri</w:t>
      </w:r>
      <w:r w:rsidRPr="00627D2C">
        <w:rPr>
          <w:sz w:val="22"/>
          <w:szCs w:val="22"/>
          <w:lang w:val="sk-SK" w:eastAsia="en-GB"/>
        </w:rPr>
        <w:t xml:space="preserve"> močen</w:t>
      </w:r>
      <w:r w:rsidR="00BA61B3">
        <w:rPr>
          <w:sz w:val="22"/>
          <w:szCs w:val="22"/>
          <w:lang w:val="sk-SK" w:eastAsia="en-GB"/>
        </w:rPr>
        <w:t>í</w:t>
      </w:r>
      <w:r w:rsidRPr="00627D2C">
        <w:rPr>
          <w:sz w:val="22"/>
          <w:szCs w:val="22"/>
          <w:lang w:val="sk-SK" w:eastAsia="en-GB"/>
        </w:rPr>
        <w:t xml:space="preserve"> v porovnaní s placebom. </w:t>
      </w:r>
    </w:p>
    <w:p w14:paraId="3FA69A89" w14:textId="77777777" w:rsidR="00CC00CD" w:rsidRPr="00627D2C" w:rsidRDefault="00071DA6" w:rsidP="00CC00CD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lang w:val="sk-SK" w:eastAsia="en-GB"/>
        </w:rPr>
        <w:t>U</w:t>
      </w:r>
      <w:r w:rsidR="00CC00CD" w:rsidRPr="00627D2C">
        <w:rPr>
          <w:sz w:val="22"/>
          <w:szCs w:val="22"/>
          <w:lang w:val="sk-SK" w:eastAsia="en-GB"/>
        </w:rPr>
        <w:t xml:space="preserve"> detí (vo veku 5 až 11 rokov)</w:t>
      </w:r>
      <w:r w:rsidRPr="00627D2C">
        <w:rPr>
          <w:sz w:val="22"/>
          <w:szCs w:val="22"/>
          <w:lang w:val="sk-SK" w:eastAsia="en-GB"/>
        </w:rPr>
        <w:t xml:space="preserve"> bol pre tento primárny cieľový parameter pozorovaný</w:t>
      </w:r>
      <w:r w:rsidR="00CC00CD" w:rsidRPr="00627D2C">
        <w:rPr>
          <w:sz w:val="22"/>
          <w:szCs w:val="22"/>
          <w:lang w:val="sk-SK" w:eastAsia="en-GB"/>
        </w:rPr>
        <w:t xml:space="preserve"> štatisticky významný rozdiel. Nebolo pozorované žiadne štatisticky významné zlepšenie sekundárnych </w:t>
      </w:r>
      <w:r w:rsidR="003E20EB" w:rsidRPr="00627D2C">
        <w:rPr>
          <w:sz w:val="22"/>
          <w:szCs w:val="22"/>
          <w:lang w:val="sk-SK" w:eastAsia="en-GB"/>
        </w:rPr>
        <w:t>cieľových parametrov</w:t>
      </w:r>
      <w:r w:rsidR="00075AC3" w:rsidRPr="00627D2C">
        <w:rPr>
          <w:sz w:val="22"/>
          <w:szCs w:val="22"/>
          <w:lang w:val="sk-SK" w:eastAsia="en-GB"/>
        </w:rPr>
        <w:t xml:space="preserve"> frekvencie močenia, poč</w:t>
      </w:r>
      <w:r w:rsidR="00CC00CD" w:rsidRPr="00627D2C">
        <w:rPr>
          <w:sz w:val="22"/>
          <w:szCs w:val="22"/>
          <w:lang w:val="sk-SK" w:eastAsia="en-GB"/>
        </w:rPr>
        <w:t>t</w:t>
      </w:r>
      <w:r w:rsidR="00075AC3" w:rsidRPr="00627D2C">
        <w:rPr>
          <w:sz w:val="22"/>
          <w:szCs w:val="22"/>
          <w:lang w:val="sk-SK" w:eastAsia="en-GB"/>
        </w:rPr>
        <w:t>u</w:t>
      </w:r>
      <w:r w:rsidR="00CC00CD" w:rsidRPr="00627D2C">
        <w:rPr>
          <w:sz w:val="22"/>
          <w:szCs w:val="22"/>
          <w:lang w:val="sk-SK" w:eastAsia="en-GB"/>
        </w:rPr>
        <w:t xml:space="preserve"> ep</w:t>
      </w:r>
      <w:r w:rsidR="00075AC3" w:rsidRPr="00627D2C">
        <w:rPr>
          <w:sz w:val="22"/>
          <w:szCs w:val="22"/>
          <w:lang w:val="sk-SK" w:eastAsia="en-GB"/>
        </w:rPr>
        <w:t>izód inkontinencie za deň a poč</w:t>
      </w:r>
      <w:r w:rsidR="00CC00CD" w:rsidRPr="00627D2C">
        <w:rPr>
          <w:sz w:val="22"/>
          <w:szCs w:val="22"/>
          <w:lang w:val="sk-SK" w:eastAsia="en-GB"/>
        </w:rPr>
        <w:t>t</w:t>
      </w:r>
      <w:r w:rsidR="00075AC3" w:rsidRPr="00627D2C">
        <w:rPr>
          <w:sz w:val="22"/>
          <w:szCs w:val="22"/>
          <w:lang w:val="sk-SK" w:eastAsia="en-GB"/>
        </w:rPr>
        <w:t>u</w:t>
      </w:r>
      <w:r w:rsidR="00CC00CD" w:rsidRPr="00627D2C">
        <w:rPr>
          <w:sz w:val="22"/>
          <w:szCs w:val="22"/>
          <w:lang w:val="sk-SK" w:eastAsia="en-GB"/>
        </w:rPr>
        <w:t xml:space="preserve"> suchých dní za týždeň. Neboli hlásené žiadne neočakávané či neuvedené nežiaduce účinky pre celý testovaný rozsah dávky.</w:t>
      </w:r>
    </w:p>
    <w:p w14:paraId="75833EC7" w14:textId="54F43955" w:rsidR="00CC00CD" w:rsidRPr="00627D2C" w:rsidRDefault="00075AC3" w:rsidP="00CC00CD">
      <w:pPr>
        <w:pStyle w:val="Normlnywebov"/>
        <w:rPr>
          <w:sz w:val="22"/>
          <w:szCs w:val="22"/>
          <w:lang w:val="sk-SK" w:eastAsia="en-GB"/>
        </w:rPr>
      </w:pPr>
      <w:r w:rsidRPr="00627D2C">
        <w:rPr>
          <w:sz w:val="22"/>
          <w:szCs w:val="22"/>
          <w:lang w:val="sk-SK" w:eastAsia="en-GB"/>
        </w:rPr>
        <w:t xml:space="preserve">V </w:t>
      </w:r>
      <w:r w:rsidR="0049188F">
        <w:rPr>
          <w:sz w:val="22"/>
          <w:szCs w:val="22"/>
          <w:lang w:val="sk-SK" w:eastAsia="en-GB"/>
        </w:rPr>
        <w:t>rozšírenej</w:t>
      </w:r>
      <w:r w:rsidRPr="00627D2C">
        <w:rPr>
          <w:sz w:val="22"/>
          <w:szCs w:val="22"/>
          <w:lang w:val="sk-SK" w:eastAsia="en-GB"/>
        </w:rPr>
        <w:t xml:space="preserve"> otvorenej štúdii</w:t>
      </w:r>
      <w:r w:rsidR="00CC00CD" w:rsidRPr="00627D2C">
        <w:rPr>
          <w:sz w:val="22"/>
          <w:szCs w:val="22"/>
          <w:lang w:val="sk-SK" w:eastAsia="en-GB"/>
        </w:rPr>
        <w:t xml:space="preserve"> neboli hlásené žiadne neočakávané alebo neuvedené nežiaduce účinky. Bezpečnostný profil solifenacínu u detských pacientov počas dlhodobej expozície bol porovnateľný s tým, ktorý bol zistený u dospelých.</w:t>
      </w:r>
    </w:p>
    <w:p w14:paraId="470C3D4C" w14:textId="77777777" w:rsidR="00F52440" w:rsidRPr="00627D2C" w:rsidRDefault="00CF02DB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Farmakokinetické vlastnosti</w:t>
      </w:r>
    </w:p>
    <w:p w14:paraId="3B9860C1" w14:textId="77777777" w:rsidR="00CF02DB" w:rsidRPr="00627D2C" w:rsidRDefault="00CF02DB" w:rsidP="00CF02DB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5FC4A547" w14:textId="77777777" w:rsidR="00F52440" w:rsidRPr="00960DA5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960DA5">
        <w:rPr>
          <w:rFonts w:ascii="Times New Roman" w:hAnsi="Times New Roman" w:cs="Times New Roman"/>
          <w:i/>
          <w:u w:val="single"/>
          <w:lang w:val="sk-SK"/>
        </w:rPr>
        <w:t>Absorpcia</w:t>
      </w:r>
    </w:p>
    <w:p w14:paraId="1605747B" w14:textId="302BD3B7" w:rsidR="0020607E" w:rsidRPr="00627D2C" w:rsidRDefault="007170FB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Po </w:t>
      </w:r>
      <w:r w:rsidR="00E91E84" w:rsidRPr="00627D2C">
        <w:rPr>
          <w:rFonts w:ascii="Times New Roman" w:hAnsi="Times New Roman" w:cs="Times New Roman"/>
          <w:lang w:val="sk-SK"/>
        </w:rPr>
        <w:t xml:space="preserve">perorálnom </w:t>
      </w:r>
      <w:r w:rsidRPr="00627D2C">
        <w:rPr>
          <w:rFonts w:ascii="Times New Roman" w:hAnsi="Times New Roman" w:cs="Times New Roman"/>
          <w:lang w:val="sk-SK"/>
        </w:rPr>
        <w:t xml:space="preserve">užití </w:t>
      </w:r>
      <w:r w:rsidR="00E91E84" w:rsidRPr="00627D2C">
        <w:rPr>
          <w:rFonts w:ascii="Times New Roman" w:hAnsi="Times New Roman" w:cs="Times New Roman"/>
          <w:lang w:val="sk-SK"/>
        </w:rPr>
        <w:t>solifenacíniumsukcinátu</w:t>
      </w:r>
      <w:r w:rsidRPr="00627D2C">
        <w:rPr>
          <w:rFonts w:ascii="Times New Roman" w:hAnsi="Times New Roman" w:cs="Times New Roman"/>
          <w:lang w:val="sk-SK"/>
        </w:rPr>
        <w:t xml:space="preserve"> </w:t>
      </w:r>
      <w:r w:rsidR="0049188F">
        <w:rPr>
          <w:rFonts w:ascii="Times New Roman" w:hAnsi="Times New Roman" w:cs="Times New Roman"/>
          <w:lang w:val="sk-SK"/>
        </w:rPr>
        <w:t xml:space="preserve">sa </w:t>
      </w:r>
      <w:r w:rsidRPr="00627D2C">
        <w:rPr>
          <w:rFonts w:ascii="Times New Roman" w:hAnsi="Times New Roman" w:cs="Times New Roman"/>
          <w:lang w:val="sk-SK"/>
        </w:rPr>
        <w:t>dosiahne maximáln</w:t>
      </w:r>
      <w:r w:rsidR="0049188F">
        <w:rPr>
          <w:rFonts w:ascii="Times New Roman" w:hAnsi="Times New Roman" w:cs="Times New Roman"/>
          <w:lang w:val="sk-SK"/>
        </w:rPr>
        <w:t>a plazmatická</w:t>
      </w:r>
      <w:r w:rsidRPr="00627D2C">
        <w:rPr>
          <w:rFonts w:ascii="Times New Roman" w:hAnsi="Times New Roman" w:cs="Times New Roman"/>
          <w:lang w:val="sk-SK"/>
        </w:rPr>
        <w:t xml:space="preserve"> koncentráci</w:t>
      </w:r>
      <w:r w:rsidR="0049188F">
        <w:rPr>
          <w:rFonts w:ascii="Times New Roman" w:hAnsi="Times New Roman" w:cs="Times New Roman"/>
          <w:lang w:val="sk-SK"/>
        </w:rPr>
        <w:t>a solifenacínu</w:t>
      </w:r>
      <w:r w:rsidRPr="00627D2C">
        <w:rPr>
          <w:rFonts w:ascii="Times New Roman" w:hAnsi="Times New Roman" w:cs="Times New Roman"/>
          <w:lang w:val="sk-SK"/>
        </w:rPr>
        <w:t xml:space="preserve"> (C</w:t>
      </w:r>
      <w:r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) po 3 až 8 hodinách. </w:t>
      </w:r>
      <w:r w:rsidR="00202DAE" w:rsidRPr="00627D2C">
        <w:rPr>
          <w:rFonts w:ascii="Times New Roman" w:hAnsi="Times New Roman" w:cs="Times New Roman"/>
          <w:lang w:val="sk-SK"/>
        </w:rPr>
        <w:t xml:space="preserve">Hodnota </w:t>
      </w:r>
      <w:r w:rsidRPr="00627D2C">
        <w:rPr>
          <w:rFonts w:ascii="Times New Roman" w:hAnsi="Times New Roman" w:cs="Times New Roman"/>
          <w:lang w:val="sk-SK"/>
        </w:rPr>
        <w:t>t</w:t>
      </w:r>
      <w:r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nezávisí od dávky. </w:t>
      </w:r>
      <w:r w:rsidR="00202DAE" w:rsidRPr="00627D2C">
        <w:rPr>
          <w:rFonts w:ascii="Times New Roman" w:hAnsi="Times New Roman" w:cs="Times New Roman"/>
          <w:lang w:val="sk-SK"/>
        </w:rPr>
        <w:t xml:space="preserve">Hodnota </w:t>
      </w:r>
      <w:r w:rsidRPr="00627D2C">
        <w:rPr>
          <w:rFonts w:ascii="Times New Roman" w:hAnsi="Times New Roman" w:cs="Times New Roman"/>
          <w:lang w:val="sk-SK"/>
        </w:rPr>
        <w:t>C</w:t>
      </w:r>
      <w:r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a</w:t>
      </w:r>
      <w:r w:rsidR="00202DAE" w:rsidRPr="00627D2C">
        <w:rPr>
          <w:rFonts w:ascii="Times New Roman" w:hAnsi="Times New Roman" w:cs="Times New Roman"/>
          <w:lang w:val="sk-SK"/>
        </w:rPr>
        <w:t xml:space="preserve"> plocha pod krivkou (AUC) rastú</w:t>
      </w:r>
      <w:r w:rsidRPr="00627D2C">
        <w:rPr>
          <w:rFonts w:ascii="Times New Roman" w:hAnsi="Times New Roman" w:cs="Times New Roman"/>
          <w:lang w:val="sk-SK"/>
        </w:rPr>
        <w:t xml:space="preserve"> proporcionálne s dávkou v rozmedzí 5 až 40 mg. Absolútna biologická dostupnosť je približne 90 %. </w:t>
      </w:r>
    </w:p>
    <w:p w14:paraId="6A52446F" w14:textId="77777777" w:rsidR="00F52440" w:rsidRPr="00627D2C" w:rsidRDefault="007170FB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Príjem potravy neovplyvňuje C</w:t>
      </w:r>
      <w:r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ani AUC solifenacínu.</w:t>
      </w:r>
    </w:p>
    <w:p w14:paraId="7118478A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Distribúcia</w:t>
      </w:r>
    </w:p>
    <w:p w14:paraId="4B7D6494" w14:textId="1C65E11C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Zdanlivý distribučný objem solifenacínu po intravenóznom podaní dosahuje približnú hodnotu 600 l. Solifenacín sa značne (pr</w:t>
      </w:r>
      <w:r w:rsidR="0020607E" w:rsidRPr="00627D2C">
        <w:rPr>
          <w:rFonts w:ascii="Times New Roman" w:hAnsi="Times New Roman" w:cs="Times New Roman"/>
          <w:lang w:val="sk-SK"/>
        </w:rPr>
        <w:t>ibližne z 98%) viaže na plazmatické bielkoviny, najmä na α1</w:t>
      </w:r>
      <w:r w:rsidR="0049188F">
        <w:rPr>
          <w:rFonts w:ascii="Times New Roman" w:hAnsi="Times New Roman" w:cs="Times New Roman"/>
          <w:lang w:val="sk-SK"/>
        </w:rPr>
        <w:t>-</w:t>
      </w:r>
      <w:r w:rsidRPr="00627D2C">
        <w:rPr>
          <w:rFonts w:ascii="Times New Roman" w:hAnsi="Times New Roman" w:cs="Times New Roman"/>
          <w:lang w:val="sk-SK"/>
        </w:rPr>
        <w:t>kyslý glykoproteín.</w:t>
      </w:r>
    </w:p>
    <w:p w14:paraId="24886DE4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Biotransformácia</w:t>
      </w:r>
    </w:p>
    <w:p w14:paraId="20EC7B6D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Solifenacín sa vo veľkej miere metabolizuje v pečeni, primárne prostredníctvom cytochrómu P450 3A4 (CYP3A4). Okrem toho existujú aj alternatívne cesty metabol</w:t>
      </w:r>
      <w:r w:rsidR="00CF56D8" w:rsidRPr="00627D2C">
        <w:rPr>
          <w:rFonts w:ascii="Times New Roman" w:hAnsi="Times New Roman" w:cs="Times New Roman"/>
          <w:lang w:val="sk-SK"/>
        </w:rPr>
        <w:t xml:space="preserve">izácie, </w:t>
      </w:r>
      <w:r w:rsidRPr="00627D2C">
        <w:rPr>
          <w:rFonts w:ascii="Times New Roman" w:hAnsi="Times New Roman" w:cs="Times New Roman"/>
          <w:lang w:val="sk-SK"/>
        </w:rPr>
        <w:t>ktoré môžu prispieť k metabolizmu solifenacínu. Systémový klírens solifenacínu je približne 9,5 l/h a termi</w:t>
      </w:r>
      <w:r w:rsidR="00CF56D8" w:rsidRPr="00627D2C">
        <w:rPr>
          <w:rFonts w:ascii="Times New Roman" w:hAnsi="Times New Roman" w:cs="Times New Roman"/>
          <w:lang w:val="sk-SK"/>
        </w:rPr>
        <w:t xml:space="preserve">nálny polčas solifenacínu je 45–68 hodín. Po perorálnom užití </w:t>
      </w:r>
      <w:r w:rsidRPr="00627D2C">
        <w:rPr>
          <w:rFonts w:ascii="Times New Roman" w:hAnsi="Times New Roman" w:cs="Times New Roman"/>
          <w:lang w:val="sk-SK"/>
        </w:rPr>
        <w:t>bol okrem solifenacínu v plazme identifikovaný jeden farmakologicky aktívny (4R-hydroxysolifenacín) a tri inaktívne metabolity (N-glukuro</w:t>
      </w:r>
      <w:r w:rsidR="00CF56D8" w:rsidRPr="00627D2C">
        <w:rPr>
          <w:rFonts w:ascii="Times New Roman" w:hAnsi="Times New Roman" w:cs="Times New Roman"/>
          <w:lang w:val="sk-SK"/>
        </w:rPr>
        <w:t xml:space="preserve">nid, N-oxid a 4R-hydroxy-N-oxid </w:t>
      </w:r>
      <w:r w:rsidRPr="00627D2C">
        <w:rPr>
          <w:rFonts w:ascii="Times New Roman" w:hAnsi="Times New Roman" w:cs="Times New Roman"/>
          <w:lang w:val="sk-SK"/>
        </w:rPr>
        <w:t>solifenacínu).</w:t>
      </w:r>
    </w:p>
    <w:p w14:paraId="2B47D5E5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Eliminácia</w:t>
      </w:r>
    </w:p>
    <w:p w14:paraId="7DE58F19" w14:textId="2348BEC6" w:rsidR="00F52440" w:rsidRPr="00627D2C" w:rsidRDefault="00CF56D8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Po jednorazovom podaní 10 mg [</w:t>
      </w:r>
      <w:r w:rsidRPr="00627D2C">
        <w:rPr>
          <w:rFonts w:ascii="Times New Roman" w:hAnsi="Times New Roman"/>
          <w:vertAlign w:val="superscript"/>
        </w:rPr>
        <w:t>14</w:t>
      </w:r>
      <w:r w:rsidR="00F52440" w:rsidRPr="00627D2C">
        <w:rPr>
          <w:rFonts w:ascii="Times New Roman" w:hAnsi="Times New Roman" w:cs="Times New Roman"/>
          <w:lang w:val="sk-SK"/>
        </w:rPr>
        <w:t xml:space="preserve">C-označeného]-solifenacínu sa zistilo približne 70 % rádioaktivity v moči a 23 % v stolici počas 26 dní. V </w:t>
      </w:r>
      <w:r w:rsidR="00DB4FF4" w:rsidRPr="00627D2C">
        <w:rPr>
          <w:rFonts w:ascii="Times New Roman" w:hAnsi="Times New Roman" w:cs="Times New Roman"/>
          <w:lang w:val="sk-SK"/>
        </w:rPr>
        <w:t xml:space="preserve">moči sa približne 11 % </w:t>
      </w:r>
      <w:r w:rsidR="00F52440" w:rsidRPr="00627D2C">
        <w:rPr>
          <w:rFonts w:ascii="Times New Roman" w:hAnsi="Times New Roman" w:cs="Times New Roman"/>
          <w:lang w:val="sk-SK"/>
        </w:rPr>
        <w:t>izotopom značenej látky vyskytovalo vo forme nezmenenej aktívnej látky; približne 18 % vo forme N-oxid –</w:t>
      </w:r>
      <w:r w:rsidR="0049188F">
        <w:rPr>
          <w:rFonts w:ascii="Times New Roman" w:hAnsi="Times New Roman" w:cs="Times New Roman"/>
          <w:lang w:val="sk-SK"/>
        </w:rPr>
        <w:t xml:space="preserve"> </w:t>
      </w:r>
      <w:r w:rsidR="00F52440" w:rsidRPr="00627D2C">
        <w:rPr>
          <w:rFonts w:ascii="Times New Roman" w:hAnsi="Times New Roman" w:cs="Times New Roman"/>
          <w:lang w:val="sk-SK"/>
        </w:rPr>
        <w:t>metabolitu, 9 % vo forme 4R-hy</w:t>
      </w:r>
      <w:r w:rsidR="00DB4FF4" w:rsidRPr="00627D2C">
        <w:rPr>
          <w:rFonts w:ascii="Times New Roman" w:hAnsi="Times New Roman" w:cs="Times New Roman"/>
          <w:lang w:val="sk-SK"/>
        </w:rPr>
        <w:t xml:space="preserve">droxy-N-oxid - metabolitu a 8 % </w:t>
      </w:r>
      <w:r w:rsidR="00F52440" w:rsidRPr="00627D2C">
        <w:rPr>
          <w:rFonts w:ascii="Times New Roman" w:hAnsi="Times New Roman" w:cs="Times New Roman"/>
          <w:lang w:val="sk-SK"/>
        </w:rPr>
        <w:t>vo forme 4R-hydroxy - metabolitu (aktívny metabolit).</w:t>
      </w:r>
    </w:p>
    <w:p w14:paraId="6AAFBB46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Linearita/nelinearita</w:t>
      </w:r>
    </w:p>
    <w:p w14:paraId="72B05CBF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Farmakokinetika je v rozsahu terapeutických dávok lineárna.</w:t>
      </w:r>
    </w:p>
    <w:p w14:paraId="72E2EFF0" w14:textId="77777777" w:rsidR="00F52440" w:rsidRPr="00627D2C" w:rsidRDefault="00F52440" w:rsidP="00F52440">
      <w:pPr>
        <w:rPr>
          <w:rFonts w:ascii="Times New Roman" w:hAnsi="Times New Roman" w:cs="Times New Roman"/>
          <w:u w:val="single"/>
          <w:lang w:val="sk-SK"/>
        </w:rPr>
      </w:pPr>
      <w:r w:rsidRPr="00627D2C">
        <w:rPr>
          <w:rFonts w:ascii="Times New Roman" w:hAnsi="Times New Roman" w:cs="Times New Roman"/>
          <w:u w:val="single"/>
          <w:lang w:val="sk-SK"/>
        </w:rPr>
        <w:t>Osobitné skupiny pacientov</w:t>
      </w:r>
    </w:p>
    <w:p w14:paraId="071BC167" w14:textId="77777777" w:rsidR="00F52440" w:rsidRPr="00627D2C" w:rsidRDefault="00F52440" w:rsidP="00F52440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Starší pacienti</w:t>
      </w:r>
    </w:p>
    <w:p w14:paraId="4ED73F98" w14:textId="1CDDEB80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Nie je potrebná úprava dávkovania v závislosti od veku pacienta. Štúdie u starších pacientov dokázali, že pôsobenie solifenacínu, vyjadrené vo f</w:t>
      </w:r>
      <w:r w:rsidR="00D962B8" w:rsidRPr="00627D2C">
        <w:rPr>
          <w:rFonts w:ascii="Times New Roman" w:hAnsi="Times New Roman" w:cs="Times New Roman"/>
          <w:lang w:val="sk-SK"/>
        </w:rPr>
        <w:t xml:space="preserve">orme AUC, po podaní </w:t>
      </w:r>
      <w:r w:rsidRPr="00627D2C">
        <w:rPr>
          <w:rFonts w:ascii="Times New Roman" w:hAnsi="Times New Roman" w:cs="Times New Roman"/>
          <w:lang w:val="sk-SK"/>
        </w:rPr>
        <w:t xml:space="preserve">solifenacíniumsukcinátu (5 mg </w:t>
      </w:r>
      <w:r w:rsidRPr="00627D2C">
        <w:rPr>
          <w:rFonts w:ascii="Times New Roman" w:hAnsi="Times New Roman" w:cs="Times New Roman"/>
          <w:lang w:val="sk-SK"/>
        </w:rPr>
        <w:lastRenderedPageBreak/>
        <w:t>a</w:t>
      </w:r>
      <w:r w:rsidR="0049188F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10</w:t>
      </w:r>
      <w:r w:rsidR="0049188F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>mg jedenkrát denne) bolo podobné u zdravých starších jedincov (vo veku 65 až 80 rokov) a u zdravý</w:t>
      </w:r>
      <w:r w:rsidR="005D186C" w:rsidRPr="00627D2C">
        <w:rPr>
          <w:rFonts w:ascii="Times New Roman" w:hAnsi="Times New Roman" w:cs="Times New Roman"/>
          <w:lang w:val="sk-SK"/>
        </w:rPr>
        <w:t xml:space="preserve">ch mladých jedincov (vo veku do </w:t>
      </w:r>
      <w:r w:rsidRPr="00627D2C">
        <w:rPr>
          <w:rFonts w:ascii="Times New Roman" w:hAnsi="Times New Roman" w:cs="Times New Roman"/>
          <w:lang w:val="sk-SK"/>
        </w:rPr>
        <w:t>55 rokov). Stredná hodnota rýchlosti absorpcie vyjadrená ako t</w:t>
      </w:r>
      <w:r w:rsidR="005D186C"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bola u starších jedincov mierne pomalšia a terminálny polčas bol u sta</w:t>
      </w:r>
      <w:r w:rsidR="005D186C" w:rsidRPr="00627D2C">
        <w:rPr>
          <w:rFonts w:ascii="Times New Roman" w:hAnsi="Times New Roman" w:cs="Times New Roman"/>
          <w:lang w:val="sk-SK"/>
        </w:rPr>
        <w:t>rších jedincov približne o</w:t>
      </w:r>
      <w:r w:rsidR="0049188F">
        <w:rPr>
          <w:rFonts w:ascii="Times New Roman" w:hAnsi="Times New Roman" w:cs="Times New Roman"/>
          <w:lang w:val="sk-SK"/>
        </w:rPr>
        <w:t> </w:t>
      </w:r>
      <w:r w:rsidR="005D186C" w:rsidRPr="00627D2C">
        <w:rPr>
          <w:rFonts w:ascii="Times New Roman" w:hAnsi="Times New Roman" w:cs="Times New Roman"/>
          <w:lang w:val="sk-SK"/>
        </w:rPr>
        <w:t>20</w:t>
      </w:r>
      <w:r w:rsidR="0049188F">
        <w:rPr>
          <w:rFonts w:ascii="Times New Roman" w:hAnsi="Times New Roman" w:cs="Times New Roman"/>
          <w:lang w:val="sk-SK"/>
        </w:rPr>
        <w:t> </w:t>
      </w:r>
      <w:r w:rsidR="005D186C" w:rsidRPr="00627D2C">
        <w:rPr>
          <w:rFonts w:ascii="Times New Roman" w:hAnsi="Times New Roman" w:cs="Times New Roman"/>
          <w:lang w:val="sk-SK"/>
        </w:rPr>
        <w:t xml:space="preserve">% </w:t>
      </w:r>
      <w:r w:rsidRPr="00627D2C">
        <w:rPr>
          <w:rFonts w:ascii="Times New Roman" w:hAnsi="Times New Roman" w:cs="Times New Roman"/>
          <w:lang w:val="sk-SK"/>
        </w:rPr>
        <w:t>dlhší. Tieto mierne odchýlky sa nepovažujú za klinicky významné.</w:t>
      </w:r>
    </w:p>
    <w:p w14:paraId="32AF8662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U detí a dospievajúcich sa farmakokinetické vlastnosti solifenacínu nestanovili.</w:t>
      </w:r>
    </w:p>
    <w:p w14:paraId="12C3211D" w14:textId="77777777" w:rsidR="00F8200C" w:rsidRPr="00627D2C" w:rsidRDefault="00F8200C" w:rsidP="00F8200C">
      <w:pPr>
        <w:rPr>
          <w:rFonts w:ascii="Times New Roman" w:hAnsi="Times New Roman" w:cs="Times New Roman"/>
          <w:i/>
          <w:lang w:val="sk-SK"/>
        </w:rPr>
      </w:pPr>
      <w:r w:rsidRPr="00627D2C">
        <w:rPr>
          <w:rFonts w:ascii="Times New Roman" w:hAnsi="Times New Roman" w:cs="Times New Roman"/>
          <w:i/>
          <w:lang w:val="sk-SK"/>
        </w:rPr>
        <w:t>Deti a </w:t>
      </w:r>
      <w:r w:rsidR="00C760D3" w:rsidRPr="00627D2C">
        <w:rPr>
          <w:rFonts w:ascii="Times New Roman" w:hAnsi="Times New Roman" w:cs="Times New Roman"/>
          <w:i/>
          <w:lang w:val="sk-SK"/>
        </w:rPr>
        <w:t>dospievajúci</w:t>
      </w:r>
      <w:r w:rsidRPr="00627D2C">
        <w:rPr>
          <w:rFonts w:ascii="Times New Roman" w:hAnsi="Times New Roman" w:cs="Times New Roman"/>
          <w:i/>
          <w:lang w:val="sk-SK"/>
        </w:rPr>
        <w:t xml:space="preserve"> (vo veku 5 rokov a starší):</w:t>
      </w:r>
    </w:p>
    <w:p w14:paraId="62DA2243" w14:textId="7132019A" w:rsidR="00F8200C" w:rsidRPr="00627D2C" w:rsidRDefault="00F8200C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Farmakokinetika solifenacínu sledujúca dávku upravenú s ohľadom na hmotnosť u detí a </w:t>
      </w:r>
      <w:r w:rsidR="00D31675" w:rsidRPr="00627D2C">
        <w:rPr>
          <w:rFonts w:ascii="Times New Roman" w:hAnsi="Times New Roman" w:cs="Times New Roman"/>
          <w:lang w:val="sk-SK"/>
        </w:rPr>
        <w:t>dospievajúcich</w:t>
      </w:r>
      <w:r w:rsidRPr="00627D2C">
        <w:rPr>
          <w:rFonts w:ascii="Times New Roman" w:hAnsi="Times New Roman" w:cs="Times New Roman"/>
          <w:lang w:val="sk-SK"/>
        </w:rPr>
        <w:t xml:space="preserve"> s OAB bola podobná </w:t>
      </w:r>
      <w:r w:rsidR="00D31675" w:rsidRPr="00627D2C">
        <w:rPr>
          <w:rFonts w:ascii="Times New Roman" w:hAnsi="Times New Roman" w:cs="Times New Roman"/>
          <w:lang w:val="sk-SK"/>
        </w:rPr>
        <w:t>ako u dospelých s mierne kratší</w:t>
      </w:r>
      <w:r w:rsidR="0049188F">
        <w:rPr>
          <w:rFonts w:ascii="Times New Roman" w:hAnsi="Times New Roman" w:cs="Times New Roman"/>
          <w:lang w:val="sk-SK"/>
        </w:rPr>
        <w:t>mi</w:t>
      </w:r>
      <w:r w:rsidRPr="00627D2C">
        <w:rPr>
          <w:rFonts w:ascii="Times New Roman" w:hAnsi="Times New Roman" w:cs="Times New Roman"/>
          <w:lang w:val="sk-SK"/>
        </w:rPr>
        <w:t xml:space="preserve"> t</w:t>
      </w:r>
      <w:r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="00D31675" w:rsidRPr="00627D2C">
        <w:rPr>
          <w:rFonts w:ascii="Times New Roman" w:hAnsi="Times New Roman" w:cs="Times New Roman"/>
          <w:vertAlign w:val="subscript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a</w:t>
      </w:r>
      <w:r w:rsidR="00D31675" w:rsidRPr="00627D2C">
        <w:rPr>
          <w:rFonts w:ascii="Times New Roman" w:hAnsi="Times New Roman" w:cs="Times New Roman"/>
          <w:lang w:val="sk-SK"/>
        </w:rPr>
        <w:t xml:space="preserve"> t</w:t>
      </w:r>
      <w:r w:rsidR="00D31675" w:rsidRPr="00627D2C">
        <w:rPr>
          <w:rFonts w:ascii="Times New Roman" w:hAnsi="Times New Roman"/>
        </w:rPr>
        <w:t>½</w:t>
      </w:r>
      <w:r w:rsidRPr="00627D2C">
        <w:rPr>
          <w:rFonts w:ascii="Times New Roman" w:hAnsi="Times New Roman" w:cs="Times New Roman"/>
          <w:lang w:val="sk-SK"/>
        </w:rPr>
        <w:t>, tieto rozdiely neboli považované za klinicky významné.</w:t>
      </w:r>
    </w:p>
    <w:p w14:paraId="65613E2D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Pohlavie</w:t>
      </w:r>
    </w:p>
    <w:p w14:paraId="5E9B3C62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Pohlavie nemá vplyv na farmakokinetické vlastnosti solifenacínu.</w:t>
      </w:r>
    </w:p>
    <w:p w14:paraId="046854FF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Rasa</w:t>
      </w:r>
    </w:p>
    <w:p w14:paraId="31916280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Rasa nemá vplyv na farmakokinetické vlastnosti solifenacínu.</w:t>
      </w:r>
    </w:p>
    <w:p w14:paraId="317C9441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Porucha funkcie obličiek</w:t>
      </w:r>
    </w:p>
    <w:p w14:paraId="13504D98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AUC a C</w:t>
      </w:r>
      <w:r w:rsidR="00A27CA6" w:rsidRPr="00960DA5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solifenacínu nemali u pacientov s miernou a stredne závažnou poruchou funkcie obličiek významne odlišné hodnoty v porov</w:t>
      </w:r>
      <w:r w:rsidR="00A27CA6" w:rsidRPr="00627D2C">
        <w:rPr>
          <w:rFonts w:ascii="Times New Roman" w:hAnsi="Times New Roman" w:cs="Times New Roman"/>
          <w:lang w:val="sk-SK"/>
        </w:rPr>
        <w:t xml:space="preserve">naní so zdravými dobrovoľníkmi. </w:t>
      </w:r>
      <w:r w:rsidRPr="00627D2C">
        <w:rPr>
          <w:rFonts w:ascii="Times New Roman" w:hAnsi="Times New Roman" w:cs="Times New Roman"/>
          <w:lang w:val="sk-SK"/>
        </w:rPr>
        <w:t>U pacientov so závažnou poruchou funkcie obličiek (klírens kreatinínu ≤ 30 ml/min) bola expozícia solifenacínu významne vyššia než u kon</w:t>
      </w:r>
      <w:r w:rsidR="00A27CA6" w:rsidRPr="00627D2C">
        <w:rPr>
          <w:rFonts w:ascii="Times New Roman" w:hAnsi="Times New Roman" w:cs="Times New Roman"/>
          <w:lang w:val="sk-SK"/>
        </w:rPr>
        <w:t xml:space="preserve">trolnej skupiny, pričom došlo k </w:t>
      </w:r>
      <w:r w:rsidRPr="00627D2C">
        <w:rPr>
          <w:rFonts w:ascii="Times New Roman" w:hAnsi="Times New Roman" w:cs="Times New Roman"/>
          <w:lang w:val="sk-SK"/>
        </w:rPr>
        <w:t>nárastu C</w:t>
      </w:r>
      <w:r w:rsidR="00A27CA6"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o približne 30 %, AUC o viac než 100 % a t</w:t>
      </w:r>
      <w:r w:rsidR="00F36535" w:rsidRPr="00627D2C">
        <w:rPr>
          <w:rFonts w:ascii="Times New Roman" w:hAnsi="Times New Roman"/>
        </w:rPr>
        <w:t>½</w:t>
      </w:r>
      <w:r w:rsidRPr="00627D2C">
        <w:rPr>
          <w:rFonts w:ascii="Times New Roman" w:hAnsi="Times New Roman" w:cs="Times New Roman"/>
          <w:lang w:val="sk-SK"/>
        </w:rPr>
        <w:t xml:space="preserve"> o viac než 60 %. Štatisticky významný vzťah bol zistený medzi klírensom kreatinínu a klírensom solifenacínu.</w:t>
      </w:r>
    </w:p>
    <w:p w14:paraId="0ABD7ABE" w14:textId="07FD7C15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Farmakokinetické vlastnosti u</w:t>
      </w:r>
      <w:r w:rsidR="0049425B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 xml:space="preserve">pacientov </w:t>
      </w:r>
      <w:r w:rsidR="0049425B">
        <w:rPr>
          <w:rFonts w:ascii="Times New Roman" w:hAnsi="Times New Roman" w:cs="Times New Roman"/>
          <w:lang w:val="sk-SK"/>
        </w:rPr>
        <w:t xml:space="preserve">podstupujúcich hemodialýzu </w:t>
      </w:r>
      <w:r w:rsidRPr="00627D2C">
        <w:rPr>
          <w:rFonts w:ascii="Times New Roman" w:hAnsi="Times New Roman" w:cs="Times New Roman"/>
          <w:lang w:val="sk-SK"/>
        </w:rPr>
        <w:t xml:space="preserve">neboli </w:t>
      </w:r>
      <w:r w:rsidR="00BA65D0" w:rsidRPr="00627D2C">
        <w:rPr>
          <w:rFonts w:ascii="Times New Roman" w:hAnsi="Times New Roman" w:cs="Times New Roman"/>
          <w:lang w:val="sk-SK"/>
        </w:rPr>
        <w:t>skúmané</w:t>
      </w:r>
      <w:r w:rsidRPr="00627D2C">
        <w:rPr>
          <w:rFonts w:ascii="Times New Roman" w:hAnsi="Times New Roman" w:cs="Times New Roman"/>
          <w:lang w:val="sk-SK"/>
        </w:rPr>
        <w:t>.</w:t>
      </w:r>
    </w:p>
    <w:p w14:paraId="221A792E" w14:textId="77777777" w:rsidR="00F52440" w:rsidRPr="00627D2C" w:rsidRDefault="00F52440" w:rsidP="00F52440">
      <w:pPr>
        <w:rPr>
          <w:rFonts w:ascii="Times New Roman" w:hAnsi="Times New Roman" w:cs="Times New Roman"/>
          <w:i/>
          <w:u w:val="single"/>
          <w:lang w:val="sk-SK"/>
        </w:rPr>
      </w:pPr>
      <w:r w:rsidRPr="00627D2C">
        <w:rPr>
          <w:rFonts w:ascii="Times New Roman" w:hAnsi="Times New Roman" w:cs="Times New Roman"/>
          <w:i/>
          <w:u w:val="single"/>
          <w:lang w:val="sk-SK"/>
        </w:rPr>
        <w:t>Porucha funkcie pečene</w:t>
      </w:r>
    </w:p>
    <w:p w14:paraId="6CA7AF5A" w14:textId="3AD4E0E4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U pacientov so stredne závažnou poruchou funkcie pečene (Child</w:t>
      </w:r>
      <w:r w:rsidR="0049425B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>-Pugh</w:t>
      </w:r>
      <w:r w:rsidR="0049425B">
        <w:rPr>
          <w:rFonts w:ascii="Times New Roman" w:hAnsi="Times New Roman" w:cs="Times New Roman"/>
          <w:lang w:val="sk-SK"/>
        </w:rPr>
        <w:t>ovo</w:t>
      </w:r>
      <w:r w:rsidRPr="00627D2C">
        <w:rPr>
          <w:rFonts w:ascii="Times New Roman" w:hAnsi="Times New Roman" w:cs="Times New Roman"/>
          <w:lang w:val="sk-SK"/>
        </w:rPr>
        <w:t xml:space="preserve"> skóre 7 až 9) nebola hodnota C</w:t>
      </w:r>
      <w:r w:rsidR="00466192" w:rsidRPr="00627D2C">
        <w:rPr>
          <w:rFonts w:ascii="Times New Roman" w:hAnsi="Times New Roman" w:cs="Times New Roman"/>
          <w:vertAlign w:val="subscript"/>
          <w:lang w:val="sk-SK"/>
        </w:rPr>
        <w:t>max</w:t>
      </w:r>
      <w:r w:rsidRPr="00627D2C">
        <w:rPr>
          <w:rFonts w:ascii="Times New Roman" w:hAnsi="Times New Roman" w:cs="Times New Roman"/>
          <w:lang w:val="sk-SK"/>
        </w:rPr>
        <w:t xml:space="preserve"> ovplyvnená, avšak hodnota </w:t>
      </w:r>
      <w:r w:rsidR="00466192" w:rsidRPr="00627D2C">
        <w:rPr>
          <w:rFonts w:ascii="Times New Roman" w:hAnsi="Times New Roman" w:cs="Times New Roman"/>
          <w:lang w:val="sk-SK"/>
        </w:rPr>
        <w:t xml:space="preserve">AUC sa zvýšila o 60 % a hodnota </w:t>
      </w:r>
      <w:r w:rsidRPr="00627D2C">
        <w:rPr>
          <w:rFonts w:ascii="Times New Roman" w:hAnsi="Times New Roman" w:cs="Times New Roman"/>
          <w:lang w:val="sk-SK"/>
        </w:rPr>
        <w:t>t</w:t>
      </w:r>
      <w:r w:rsidR="00466192" w:rsidRPr="00627D2C">
        <w:rPr>
          <w:rFonts w:ascii="Times New Roman" w:hAnsi="Times New Roman"/>
        </w:rPr>
        <w:t>½</w:t>
      </w:r>
      <w:r w:rsidR="00466192" w:rsidRPr="00627D2C">
        <w:rPr>
          <w:rFonts w:ascii="Times New Roman" w:hAnsi="Times New Roman" w:cs="Times New Roman"/>
          <w:lang w:val="sk-SK"/>
        </w:rPr>
        <w:t xml:space="preserve"> sa zdvojnásobila. </w:t>
      </w:r>
      <w:r w:rsidRPr="00627D2C">
        <w:rPr>
          <w:rFonts w:ascii="Times New Roman" w:hAnsi="Times New Roman" w:cs="Times New Roman"/>
          <w:lang w:val="sk-SK"/>
        </w:rPr>
        <w:t xml:space="preserve">Farmakokinetické vlastnosti solifenacínu u pacientov so závažnou poruchou funkcie pečene neboli </w:t>
      </w:r>
      <w:r w:rsidR="00466192" w:rsidRPr="00627D2C">
        <w:rPr>
          <w:rFonts w:ascii="Times New Roman" w:hAnsi="Times New Roman" w:cs="Times New Roman"/>
          <w:lang w:val="sk-SK"/>
        </w:rPr>
        <w:t>skúmané</w:t>
      </w:r>
      <w:r w:rsidRPr="00627D2C">
        <w:rPr>
          <w:rFonts w:ascii="Times New Roman" w:hAnsi="Times New Roman" w:cs="Times New Roman"/>
          <w:lang w:val="sk-SK"/>
        </w:rPr>
        <w:t>.</w:t>
      </w:r>
    </w:p>
    <w:p w14:paraId="77FF0122" w14:textId="77777777" w:rsidR="00F52440" w:rsidRPr="00627D2C" w:rsidRDefault="00C425E7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Predklinické údaje o bezpečnosti</w:t>
      </w:r>
    </w:p>
    <w:p w14:paraId="0CDB75DB" w14:textId="77777777" w:rsidR="00C425E7" w:rsidRPr="00627D2C" w:rsidRDefault="00C425E7" w:rsidP="00C425E7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5A4519D0" w14:textId="36BDE3F3" w:rsidR="00F52440" w:rsidRDefault="00F52440" w:rsidP="00F52440">
      <w:pPr>
        <w:rPr>
          <w:rFonts w:ascii="Times New Roman" w:hAnsi="Times New Roman" w:cs="Times New Roman"/>
          <w:lang w:val="sk-SK"/>
        </w:rPr>
      </w:pPr>
      <w:r w:rsidRPr="0045683A">
        <w:rPr>
          <w:rFonts w:ascii="Times New Roman" w:hAnsi="Times New Roman" w:cs="Times New Roman"/>
          <w:lang w:val="sk-SK"/>
        </w:rPr>
        <w:t>Predklinické</w:t>
      </w:r>
      <w:r w:rsidRPr="00627D2C">
        <w:rPr>
          <w:rFonts w:ascii="Times New Roman" w:hAnsi="Times New Roman" w:cs="Times New Roman"/>
          <w:lang w:val="sk-SK"/>
        </w:rPr>
        <w:t xml:space="preserve"> údaje </w:t>
      </w:r>
      <w:r w:rsidR="0045683A">
        <w:rPr>
          <w:rFonts w:ascii="Times New Roman" w:hAnsi="Times New Roman" w:cs="Times New Roman"/>
          <w:lang w:val="sk-SK"/>
        </w:rPr>
        <w:t xml:space="preserve">získané </w:t>
      </w:r>
      <w:r w:rsidRPr="00627D2C">
        <w:rPr>
          <w:rFonts w:ascii="Times New Roman" w:hAnsi="Times New Roman" w:cs="Times New Roman"/>
          <w:lang w:val="sk-SK"/>
        </w:rPr>
        <w:t>na základe obvyklých farmakologick</w:t>
      </w:r>
      <w:r w:rsidR="0045683A">
        <w:rPr>
          <w:rFonts w:ascii="Times New Roman" w:hAnsi="Times New Roman" w:cs="Times New Roman"/>
          <w:lang w:val="sk-SK"/>
        </w:rPr>
        <w:t>ých štúdií</w:t>
      </w:r>
      <w:r w:rsidRPr="00627D2C">
        <w:rPr>
          <w:rFonts w:ascii="Times New Roman" w:hAnsi="Times New Roman" w:cs="Times New Roman"/>
          <w:lang w:val="sk-SK"/>
        </w:rPr>
        <w:t xml:space="preserve"> bezpečnosti, toxicity po opakovanom podaní, fertility, vývinu</w:t>
      </w:r>
      <w:r w:rsidR="00B37456" w:rsidRPr="00627D2C">
        <w:rPr>
          <w:rFonts w:ascii="Times New Roman" w:hAnsi="Times New Roman" w:cs="Times New Roman"/>
          <w:lang w:val="sk-SK"/>
        </w:rPr>
        <w:t xml:space="preserve"> embrya a plodu, genotoxicity a </w:t>
      </w:r>
      <w:r w:rsidRPr="00627D2C">
        <w:rPr>
          <w:rFonts w:ascii="Times New Roman" w:hAnsi="Times New Roman" w:cs="Times New Roman"/>
          <w:lang w:val="sk-SK"/>
        </w:rPr>
        <w:t>karcinogénneho potenciálu neodhalili žiadne osobitné riziko pre ľudí. Štúdia pre- a postnatálneho vývoja u myší odhalila, že podávanie so</w:t>
      </w:r>
      <w:r w:rsidR="00B37456" w:rsidRPr="00627D2C">
        <w:rPr>
          <w:rFonts w:ascii="Times New Roman" w:hAnsi="Times New Roman" w:cs="Times New Roman"/>
          <w:lang w:val="sk-SK"/>
        </w:rPr>
        <w:t xml:space="preserve">lifenacínu matke počas dojčenia </w:t>
      </w:r>
      <w:r w:rsidRPr="00627D2C">
        <w:rPr>
          <w:rFonts w:ascii="Times New Roman" w:hAnsi="Times New Roman" w:cs="Times New Roman"/>
          <w:lang w:val="sk-SK"/>
        </w:rPr>
        <w:t>spôsobilo klinicky významné od dávky závislé zníženie miery prežitia po narodení, nižšiu hmotnosť mláďat a pomalší fyzický rozvoj mláďat. Be</w:t>
      </w:r>
      <w:r w:rsidR="00B37456" w:rsidRPr="00627D2C">
        <w:rPr>
          <w:rFonts w:ascii="Times New Roman" w:hAnsi="Times New Roman" w:cs="Times New Roman"/>
          <w:lang w:val="sk-SK"/>
        </w:rPr>
        <w:t xml:space="preserve">z predchádzajúcich </w:t>
      </w:r>
      <w:r w:rsidRPr="00627D2C">
        <w:rPr>
          <w:rFonts w:ascii="Times New Roman" w:hAnsi="Times New Roman" w:cs="Times New Roman"/>
          <w:lang w:val="sk-SK"/>
        </w:rPr>
        <w:t>klinických prejavov sa vyskytla zvýšená mortalita v závislosti od dávky u mláďat myší, ktorých liečba začala od 10. alebo 21. dňa po n</w:t>
      </w:r>
      <w:r w:rsidR="00B37456" w:rsidRPr="00627D2C">
        <w:rPr>
          <w:rFonts w:ascii="Times New Roman" w:hAnsi="Times New Roman" w:cs="Times New Roman"/>
          <w:lang w:val="sk-SK"/>
        </w:rPr>
        <w:t xml:space="preserve">arodení dávkami, ktoré dosiahli </w:t>
      </w:r>
      <w:r w:rsidRPr="00627D2C">
        <w:rPr>
          <w:rFonts w:ascii="Times New Roman" w:hAnsi="Times New Roman" w:cs="Times New Roman"/>
          <w:lang w:val="sk-SK"/>
        </w:rPr>
        <w:t>farmakologický účinok a u obidvoch skupín bola vyššia mortalita v porov</w:t>
      </w:r>
      <w:r w:rsidR="00B37456" w:rsidRPr="00627D2C">
        <w:rPr>
          <w:rFonts w:ascii="Times New Roman" w:hAnsi="Times New Roman" w:cs="Times New Roman"/>
          <w:lang w:val="sk-SK"/>
        </w:rPr>
        <w:t xml:space="preserve">naní s dospelými jedincami. </w:t>
      </w:r>
      <w:r w:rsidRPr="00627D2C">
        <w:rPr>
          <w:rFonts w:ascii="Times New Roman" w:hAnsi="Times New Roman" w:cs="Times New Roman"/>
          <w:lang w:val="sk-SK"/>
        </w:rPr>
        <w:t>U mláďat myší, u ktorých začala liečba 10. deň po pôrode, bola expozícia v plazme vyššia než u dospelých myší, pri liečbe po 2</w:t>
      </w:r>
      <w:r w:rsidR="00B37456" w:rsidRPr="00627D2C">
        <w:rPr>
          <w:rFonts w:ascii="Times New Roman" w:hAnsi="Times New Roman" w:cs="Times New Roman"/>
          <w:lang w:val="sk-SK"/>
        </w:rPr>
        <w:t xml:space="preserve">1. dni po pôrode bola systémová </w:t>
      </w:r>
      <w:r w:rsidRPr="00627D2C">
        <w:rPr>
          <w:rFonts w:ascii="Times New Roman" w:hAnsi="Times New Roman" w:cs="Times New Roman"/>
          <w:lang w:val="sk-SK"/>
        </w:rPr>
        <w:t>expozícia porovnateľná s expozíciou u dospelých myší. Klinický dopad zvýšenej mortal</w:t>
      </w:r>
      <w:r w:rsidR="00B37456" w:rsidRPr="00627D2C">
        <w:rPr>
          <w:rFonts w:ascii="Times New Roman" w:hAnsi="Times New Roman" w:cs="Times New Roman"/>
          <w:lang w:val="sk-SK"/>
        </w:rPr>
        <w:t xml:space="preserve">ity u mláďat myší nie je známy. </w:t>
      </w:r>
      <w:r w:rsidRPr="00627D2C">
        <w:rPr>
          <w:rFonts w:ascii="Times New Roman" w:hAnsi="Times New Roman" w:cs="Times New Roman"/>
          <w:lang w:val="sk-SK"/>
        </w:rPr>
        <w:t xml:space="preserve">V testoch na králikoch </w:t>
      </w:r>
      <w:r w:rsidR="002F6661">
        <w:rPr>
          <w:rFonts w:ascii="Times New Roman" w:hAnsi="Times New Roman" w:cs="Times New Roman"/>
          <w:lang w:val="sk-SK"/>
        </w:rPr>
        <w:t xml:space="preserve">perorálny roztok </w:t>
      </w:r>
      <w:r w:rsidR="00746B2F">
        <w:rPr>
          <w:rFonts w:ascii="Times New Roman" w:hAnsi="Times New Roman" w:cs="Times New Roman"/>
          <w:lang w:val="sk-SK"/>
        </w:rPr>
        <w:t>solifenacíniumsukcinát</w:t>
      </w:r>
      <w:r w:rsidR="002F6661">
        <w:rPr>
          <w:rFonts w:ascii="Times New Roman" w:hAnsi="Times New Roman" w:cs="Times New Roman"/>
          <w:lang w:val="sk-SK"/>
        </w:rPr>
        <w:t>u</w:t>
      </w:r>
      <w:r w:rsidR="00746B2F" w:rsidRPr="00627D2C">
        <w:rPr>
          <w:rFonts w:ascii="Times New Roman" w:hAnsi="Times New Roman" w:cs="Times New Roman"/>
          <w:lang w:val="sk-SK"/>
        </w:rPr>
        <w:t xml:space="preserve"> </w:t>
      </w:r>
      <w:r w:rsidRPr="00627D2C">
        <w:rPr>
          <w:rFonts w:ascii="Times New Roman" w:hAnsi="Times New Roman" w:cs="Times New Roman"/>
          <w:lang w:val="sk-SK"/>
        </w:rPr>
        <w:t>nepreukázal nijaký potenciál pre iritáciu očí.</w:t>
      </w:r>
    </w:p>
    <w:p w14:paraId="5ECEEBBF" w14:textId="77777777" w:rsidR="002F6661" w:rsidRPr="00627D2C" w:rsidRDefault="002F6661" w:rsidP="00F52440">
      <w:pPr>
        <w:rPr>
          <w:rFonts w:ascii="Times New Roman" w:hAnsi="Times New Roman" w:cs="Times New Roman"/>
          <w:lang w:val="sk-SK"/>
        </w:rPr>
      </w:pPr>
    </w:p>
    <w:p w14:paraId="27FC36CD" w14:textId="77777777" w:rsidR="00F52440" w:rsidRPr="00627D2C" w:rsidRDefault="001C7420" w:rsidP="00F52440">
      <w:pPr>
        <w:keepNext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lastRenderedPageBreak/>
        <w:t>FARMACEUTICKÉ INFORMÁCIE</w:t>
      </w:r>
    </w:p>
    <w:p w14:paraId="11CF2214" w14:textId="77777777" w:rsidR="001C7420" w:rsidRPr="00627D2C" w:rsidRDefault="001C7420" w:rsidP="001C7420">
      <w:pPr>
        <w:keepNext/>
        <w:tabs>
          <w:tab w:val="left" w:pos="567"/>
        </w:tabs>
        <w:suppressAutoHyphens/>
        <w:spacing w:after="0" w:line="240" w:lineRule="auto"/>
        <w:ind w:left="93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525B174E" w14:textId="77777777" w:rsidR="00F52440" w:rsidRPr="00627D2C" w:rsidRDefault="001C7420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Zoznam pomocných látok</w:t>
      </w:r>
    </w:p>
    <w:p w14:paraId="0B99F477" w14:textId="77777777" w:rsidR="001C7420" w:rsidRPr="00627D2C" w:rsidRDefault="001C7420" w:rsidP="001C7420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2C4426A3" w14:textId="2DDEB439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Benzo</w:t>
      </w:r>
      <w:r w:rsidR="002F6661">
        <w:rPr>
          <w:rFonts w:ascii="Times New Roman" w:hAnsi="Times New Roman" w:cs="Times New Roman"/>
          <w:lang w:val="sk-SK"/>
        </w:rPr>
        <w:t>an</w:t>
      </w:r>
      <w:r w:rsidRPr="00627D2C">
        <w:rPr>
          <w:rFonts w:ascii="Times New Roman" w:hAnsi="Times New Roman" w:cs="Times New Roman"/>
          <w:lang w:val="sk-SK"/>
        </w:rPr>
        <w:t xml:space="preserve"> sodný (E211)</w:t>
      </w:r>
    </w:p>
    <w:p w14:paraId="4D8B17E7" w14:textId="77777777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Kyselina citrónová, monohydrát</w:t>
      </w:r>
    </w:p>
    <w:p w14:paraId="6C20C6D7" w14:textId="77777777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Sukralóza (E955)</w:t>
      </w:r>
    </w:p>
    <w:p w14:paraId="407922B6" w14:textId="77777777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Tekutý maltitol (E965)</w:t>
      </w:r>
    </w:p>
    <w:p w14:paraId="02357CA8" w14:textId="77777777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Mätová príchuť</w:t>
      </w:r>
    </w:p>
    <w:p w14:paraId="58FBF905" w14:textId="77777777" w:rsidR="00D5221B" w:rsidRPr="00627D2C" w:rsidRDefault="00D5221B" w:rsidP="00D5221B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Čistená voda</w:t>
      </w:r>
    </w:p>
    <w:p w14:paraId="558D134D" w14:textId="77777777" w:rsidR="00F52440" w:rsidRPr="00627D2C" w:rsidRDefault="009456B6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Inkompatibility</w:t>
      </w:r>
    </w:p>
    <w:p w14:paraId="202A63B1" w14:textId="77777777" w:rsidR="009456B6" w:rsidRPr="00627D2C" w:rsidRDefault="009456B6" w:rsidP="009456B6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153F344D" w14:textId="53B4CB78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Nevykonali sa štúdie kompatibility, preto sa tento liek nesmie miešať s inými liekmi</w:t>
      </w:r>
      <w:r w:rsidR="00F063EB" w:rsidRPr="00627D2C">
        <w:rPr>
          <w:rFonts w:ascii="Times New Roman" w:hAnsi="Times New Roman" w:cs="Times New Roman"/>
          <w:lang w:val="sk-SK"/>
        </w:rPr>
        <w:t xml:space="preserve"> alebo </w:t>
      </w:r>
      <w:r w:rsidR="002F6661">
        <w:rPr>
          <w:rFonts w:ascii="Times New Roman" w:hAnsi="Times New Roman" w:cs="Times New Roman"/>
          <w:lang w:val="sk-SK"/>
        </w:rPr>
        <w:t>jedlom</w:t>
      </w:r>
      <w:r w:rsidRPr="00627D2C">
        <w:rPr>
          <w:rFonts w:ascii="Times New Roman" w:hAnsi="Times New Roman" w:cs="Times New Roman"/>
          <w:lang w:val="sk-SK"/>
        </w:rPr>
        <w:t>.</w:t>
      </w:r>
    </w:p>
    <w:p w14:paraId="34C62DE3" w14:textId="77777777" w:rsidR="00F52440" w:rsidRPr="00627D2C" w:rsidRDefault="009456B6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Čas použiteľnosti</w:t>
      </w:r>
    </w:p>
    <w:p w14:paraId="31DB34FB" w14:textId="77777777" w:rsidR="009456B6" w:rsidRPr="00627D2C" w:rsidRDefault="009456B6" w:rsidP="009456B6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418C6104" w14:textId="77777777" w:rsidR="00F52440" w:rsidRPr="00627D2C" w:rsidRDefault="001A4FEF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18 mesiacov</w:t>
      </w:r>
      <w:r w:rsidR="00F52440" w:rsidRPr="00627D2C">
        <w:rPr>
          <w:rFonts w:ascii="Times New Roman" w:hAnsi="Times New Roman" w:cs="Times New Roman"/>
          <w:lang w:val="sk-SK"/>
        </w:rPr>
        <w:t>.</w:t>
      </w:r>
    </w:p>
    <w:p w14:paraId="4172BC81" w14:textId="5B5EA736" w:rsidR="00F52440" w:rsidRPr="00627D2C" w:rsidRDefault="00B45CA7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Perorálny roztok</w:t>
      </w:r>
      <w:r w:rsidR="00F52440" w:rsidRPr="00627D2C">
        <w:rPr>
          <w:rFonts w:ascii="Times New Roman" w:hAnsi="Times New Roman" w:cs="Times New Roman"/>
          <w:lang w:val="sk-SK"/>
        </w:rPr>
        <w:t xml:space="preserve"> sa môže uchovávať do </w:t>
      </w:r>
      <w:r w:rsidR="001A4FEF" w:rsidRPr="00627D2C">
        <w:rPr>
          <w:rFonts w:ascii="Times New Roman" w:hAnsi="Times New Roman" w:cs="Times New Roman"/>
          <w:lang w:val="sk-SK"/>
        </w:rPr>
        <w:t>30</w:t>
      </w:r>
      <w:r w:rsidR="00DE3F1A">
        <w:rPr>
          <w:rFonts w:ascii="Times New Roman" w:hAnsi="Times New Roman" w:cs="Times New Roman"/>
          <w:lang w:val="sk-SK"/>
        </w:rPr>
        <w:t xml:space="preserve"> dní po prvom otvorení fľaše</w:t>
      </w:r>
      <w:r w:rsidR="00F52440" w:rsidRPr="00627D2C">
        <w:rPr>
          <w:rFonts w:ascii="Times New Roman" w:hAnsi="Times New Roman" w:cs="Times New Roman"/>
          <w:lang w:val="sk-SK"/>
        </w:rPr>
        <w:t>.</w:t>
      </w:r>
    </w:p>
    <w:p w14:paraId="69B689D6" w14:textId="77777777" w:rsidR="00F52440" w:rsidRPr="00627D2C" w:rsidRDefault="009456B6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Špeciálne upozornenia na uchovávanie</w:t>
      </w:r>
    </w:p>
    <w:p w14:paraId="1AD2C2F1" w14:textId="77777777" w:rsidR="009456B6" w:rsidRPr="00627D2C" w:rsidRDefault="009456B6" w:rsidP="009456B6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228D561E" w14:textId="77777777" w:rsidR="00F52440" w:rsidRPr="00627D2C" w:rsidRDefault="00B563C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Uchovávajte pri teplote do 30 </w:t>
      </w:r>
      <w:r w:rsidRPr="00627D2C">
        <w:rPr>
          <w:rFonts w:ascii="Times New Roman" w:hAnsi="Times New Roman" w:cs="Times New Roman"/>
          <w:lang w:val="sk-SK"/>
        </w:rPr>
        <w:sym w:font="Symbol" w:char="F0B0"/>
      </w:r>
      <w:r w:rsidRPr="00627D2C">
        <w:rPr>
          <w:rFonts w:ascii="Times New Roman" w:hAnsi="Times New Roman" w:cs="Times New Roman"/>
          <w:lang w:val="sk-SK"/>
        </w:rPr>
        <w:t xml:space="preserve">C. </w:t>
      </w:r>
      <w:r w:rsidR="009456B6" w:rsidRPr="00627D2C">
        <w:rPr>
          <w:rFonts w:ascii="Times New Roman" w:hAnsi="Times New Roman" w:cs="Times New Roman"/>
          <w:lang w:val="sk-SK"/>
        </w:rPr>
        <w:t>Uchovávajte</w:t>
      </w:r>
      <w:r w:rsidR="00F52440" w:rsidRPr="00627D2C">
        <w:rPr>
          <w:rFonts w:ascii="Times New Roman" w:hAnsi="Times New Roman" w:cs="Times New Roman"/>
          <w:lang w:val="sk-SK"/>
        </w:rPr>
        <w:t xml:space="preserve"> v pôvodnom obale.</w:t>
      </w:r>
    </w:p>
    <w:p w14:paraId="232D8A14" w14:textId="77777777" w:rsidR="003E539B" w:rsidRPr="00627D2C" w:rsidRDefault="003E539B" w:rsidP="003E53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 w:eastAsia="sk-SK" w:bidi="sk-SK"/>
        </w:rPr>
      </w:pPr>
    </w:p>
    <w:p w14:paraId="2516D831" w14:textId="77777777" w:rsidR="00F52440" w:rsidRPr="00627D2C" w:rsidRDefault="003E539B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Druh obalu a obsah balenia</w:t>
      </w:r>
    </w:p>
    <w:p w14:paraId="787088BE" w14:textId="77777777" w:rsidR="003E539B" w:rsidRPr="00627D2C" w:rsidRDefault="003E539B" w:rsidP="003E539B">
      <w:pPr>
        <w:keepNext/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</w:p>
    <w:p w14:paraId="103AE307" w14:textId="230B2CE5" w:rsidR="00F52440" w:rsidRPr="00627D2C" w:rsidRDefault="006A287B" w:rsidP="00F5244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7E55C1" w:rsidRPr="007E55C1">
        <w:rPr>
          <w:rFonts w:ascii="Times New Roman" w:hAnsi="Times New Roman" w:cs="Times New Roman"/>
          <w:lang w:val="sk-SK"/>
        </w:rPr>
        <w:t xml:space="preserve"> </w:t>
      </w:r>
      <w:r w:rsidR="007E55C1">
        <w:rPr>
          <w:rFonts w:ascii="Times New Roman" w:hAnsi="Times New Roman" w:cs="Times New Roman"/>
          <w:lang w:val="sk-SK"/>
        </w:rPr>
        <w:t xml:space="preserve">v </w:t>
      </w:r>
      <w:r w:rsidR="00F67DFB" w:rsidRPr="00627D2C">
        <w:rPr>
          <w:rFonts w:ascii="Times New Roman" w:hAnsi="Times New Roman" w:cs="Times New Roman"/>
          <w:lang w:val="sk-SK"/>
        </w:rPr>
        <w:t xml:space="preserve">150 ml </w:t>
      </w:r>
      <w:r w:rsidR="007E55C1">
        <w:rPr>
          <w:rFonts w:ascii="Times New Roman" w:hAnsi="Times New Roman" w:cs="Times New Roman"/>
          <w:lang w:val="sk-SK"/>
        </w:rPr>
        <w:t>jantárovej</w:t>
      </w:r>
      <w:r w:rsidR="00F52440" w:rsidRPr="00627D2C">
        <w:rPr>
          <w:rFonts w:ascii="Times New Roman" w:hAnsi="Times New Roman" w:cs="Times New Roman"/>
          <w:lang w:val="sk-SK"/>
        </w:rPr>
        <w:t xml:space="preserve"> polyetyléntereftalátovej (PET) fľaši s</w:t>
      </w:r>
      <w:r w:rsidR="007E55C1">
        <w:rPr>
          <w:rFonts w:ascii="Times New Roman" w:hAnsi="Times New Roman" w:cs="Times New Roman"/>
          <w:lang w:val="sk-SK"/>
        </w:rPr>
        <w:t xml:space="preserve"> detským </w:t>
      </w:r>
      <w:r w:rsidR="00C23977" w:rsidRPr="00627D2C">
        <w:rPr>
          <w:rFonts w:ascii="Times New Roman" w:hAnsi="Times New Roman" w:cs="Times New Roman"/>
          <w:lang w:val="sk-SK"/>
        </w:rPr>
        <w:t xml:space="preserve">bezpečnostným </w:t>
      </w:r>
      <w:r w:rsidR="00F52440" w:rsidRPr="00627D2C">
        <w:rPr>
          <w:rFonts w:ascii="Times New Roman" w:hAnsi="Times New Roman" w:cs="Times New Roman"/>
          <w:lang w:val="sk-SK"/>
        </w:rPr>
        <w:t xml:space="preserve">uzáverom </w:t>
      </w:r>
      <w:r w:rsidR="00C23977" w:rsidRPr="00627D2C">
        <w:rPr>
          <w:rFonts w:ascii="Times New Roman" w:hAnsi="Times New Roman" w:cs="Times New Roman"/>
          <w:lang w:val="sk-SK"/>
        </w:rPr>
        <w:t>proti manipulácii</w:t>
      </w:r>
      <w:r w:rsidR="00E7738F" w:rsidRPr="00627D2C">
        <w:rPr>
          <w:rFonts w:ascii="Times New Roman" w:hAnsi="Times New Roman" w:cs="Times New Roman"/>
          <w:lang w:val="sk-SK"/>
        </w:rPr>
        <w:t>, zabalený</w:t>
      </w:r>
      <w:r w:rsidR="00F52440" w:rsidRPr="00627D2C">
        <w:rPr>
          <w:rFonts w:ascii="Times New Roman" w:hAnsi="Times New Roman" w:cs="Times New Roman"/>
          <w:lang w:val="sk-SK"/>
        </w:rPr>
        <w:t xml:space="preserve"> v </w:t>
      </w:r>
      <w:r w:rsidR="00321A48" w:rsidRPr="00627D2C">
        <w:rPr>
          <w:rFonts w:ascii="Times New Roman" w:hAnsi="Times New Roman" w:cs="Times New Roman"/>
          <w:lang w:val="sk-SK"/>
        </w:rPr>
        <w:t>škat</w:t>
      </w:r>
      <w:r w:rsidR="00321A48">
        <w:rPr>
          <w:rFonts w:ascii="Times New Roman" w:hAnsi="Times New Roman" w:cs="Times New Roman"/>
          <w:lang w:val="sk-SK"/>
        </w:rPr>
        <w:t>uľke</w:t>
      </w:r>
      <w:r w:rsidR="00F52440" w:rsidRPr="00627D2C">
        <w:rPr>
          <w:rFonts w:ascii="Times New Roman" w:hAnsi="Times New Roman" w:cs="Times New Roman"/>
          <w:lang w:val="sk-SK"/>
        </w:rPr>
        <w:t>.</w:t>
      </w:r>
    </w:p>
    <w:p w14:paraId="3E243CB7" w14:textId="1169FFE0" w:rsidR="00F579BB" w:rsidRPr="00627D2C" w:rsidRDefault="00F579BB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Každé balenie obsahuje 1 fľašu a</w:t>
      </w:r>
      <w:r w:rsidR="007156B6">
        <w:rPr>
          <w:rFonts w:ascii="Times New Roman" w:hAnsi="Times New Roman" w:cs="Times New Roman"/>
          <w:lang w:val="sk-SK"/>
        </w:rPr>
        <w:t> </w:t>
      </w:r>
      <w:r w:rsidR="00246F33">
        <w:rPr>
          <w:rFonts w:ascii="Times New Roman" w:hAnsi="Times New Roman" w:cs="Times New Roman"/>
          <w:lang w:val="sk-SK"/>
        </w:rPr>
        <w:t>5</w:t>
      </w:r>
      <w:r w:rsidR="007156B6">
        <w:rPr>
          <w:rFonts w:ascii="Times New Roman" w:hAnsi="Times New Roman" w:cs="Times New Roman"/>
          <w:lang w:val="sk-SK"/>
        </w:rPr>
        <w:t xml:space="preserve"> </w:t>
      </w:r>
      <w:r w:rsidR="00246F33">
        <w:rPr>
          <w:rFonts w:ascii="Times New Roman" w:hAnsi="Times New Roman" w:cs="Times New Roman"/>
          <w:lang w:val="sk-SK"/>
        </w:rPr>
        <w:t xml:space="preserve">ml </w:t>
      </w:r>
      <w:r w:rsidRPr="00627D2C">
        <w:rPr>
          <w:rFonts w:ascii="Times New Roman" w:hAnsi="Times New Roman" w:cs="Times New Roman"/>
          <w:lang w:val="sk-SK"/>
        </w:rPr>
        <w:t>perorálnu striekačku s adaptérom (</w:t>
      </w:r>
      <w:r w:rsidR="00740031" w:rsidRPr="00627D2C">
        <w:rPr>
          <w:rFonts w:ascii="Times New Roman" w:hAnsi="Times New Roman" w:cs="Times New Roman"/>
          <w:lang w:val="sk-SK"/>
        </w:rPr>
        <w:t>so stupnicou s dielikmi</w:t>
      </w:r>
      <w:r w:rsidRPr="00627D2C">
        <w:rPr>
          <w:rFonts w:ascii="Times New Roman" w:hAnsi="Times New Roman" w:cs="Times New Roman"/>
          <w:lang w:val="sk-SK"/>
        </w:rPr>
        <w:t xml:space="preserve"> 0,5</w:t>
      </w:r>
      <w:r w:rsidR="007156B6">
        <w:rPr>
          <w:rFonts w:ascii="Times New Roman" w:hAnsi="Times New Roman" w:cs="Times New Roman"/>
          <w:lang w:val="sk-SK"/>
        </w:rPr>
        <w:t> </w:t>
      </w:r>
      <w:r w:rsidRPr="00627D2C">
        <w:rPr>
          <w:rFonts w:ascii="Times New Roman" w:hAnsi="Times New Roman" w:cs="Times New Roman"/>
          <w:lang w:val="sk-SK"/>
        </w:rPr>
        <w:t xml:space="preserve">ml, čo zodpovedá 0,5 mg).  </w:t>
      </w:r>
    </w:p>
    <w:p w14:paraId="0F3A02AA" w14:textId="77777777" w:rsidR="00F52440" w:rsidRPr="00627D2C" w:rsidRDefault="00507DCC" w:rsidP="00F52440">
      <w:pPr>
        <w:keepNext/>
        <w:numPr>
          <w:ilvl w:val="1"/>
          <w:numId w:val="3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Špeciálne opatrenia na likvidáciu a</w:t>
      </w:r>
      <w:r w:rsidRPr="00627D2C">
        <w:rPr>
          <w:rFonts w:ascii="Times New Roman" w:eastAsia="Times New Roman" w:hAnsi="Times New Roman" w:cs="Times New Roman"/>
          <w:b/>
          <w:noProof/>
          <w:lang w:val="sk-SK" w:eastAsia="sk-SK" w:bidi="sk-SK"/>
        </w:rPr>
        <w:t> </w:t>
      </w: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iné zaobchádzanie s</w:t>
      </w:r>
      <w:r w:rsidRPr="00627D2C">
        <w:rPr>
          <w:rFonts w:ascii="Times New Roman" w:eastAsia="Times New Roman" w:hAnsi="Times New Roman" w:cs="Times New Roman"/>
          <w:b/>
          <w:noProof/>
          <w:lang w:val="sk-SK" w:eastAsia="sk-SK" w:bidi="sk-SK"/>
        </w:rPr>
        <w:t> </w:t>
      </w:r>
      <w:r w:rsidRPr="00627D2C">
        <w:rPr>
          <w:rFonts w:ascii="Times New Roman" w:eastAsia="Times New Roman" w:hAnsi="Times New Roman" w:cs="Times New Roman"/>
          <w:b/>
          <w:lang w:val="sk-SK" w:eastAsia="sk-SK" w:bidi="sk-SK"/>
        </w:rPr>
        <w:t>liekom</w:t>
      </w:r>
    </w:p>
    <w:p w14:paraId="3F84E07E" w14:textId="77777777" w:rsidR="00507DCC" w:rsidRPr="00627D2C" w:rsidRDefault="00507DCC" w:rsidP="00507DCC">
      <w:pPr>
        <w:keepNext/>
        <w:tabs>
          <w:tab w:val="left" w:pos="567"/>
        </w:tabs>
        <w:spacing w:after="0" w:line="240" w:lineRule="auto"/>
        <w:ind w:left="570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</w:p>
    <w:p w14:paraId="67A5061B" w14:textId="77777777" w:rsidR="00F52440" w:rsidRPr="00627D2C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>Žiadne zvláštne požiadavky.</w:t>
      </w:r>
    </w:p>
    <w:p w14:paraId="40E82CD3" w14:textId="77777777" w:rsidR="00F52440" w:rsidRDefault="00F52440" w:rsidP="00F52440">
      <w:pPr>
        <w:rPr>
          <w:rFonts w:ascii="Times New Roman" w:hAnsi="Times New Roman" w:cs="Times New Roman"/>
          <w:lang w:val="sk-SK"/>
        </w:rPr>
      </w:pPr>
      <w:r w:rsidRPr="00627D2C">
        <w:rPr>
          <w:rFonts w:ascii="Times New Roman" w:hAnsi="Times New Roman" w:cs="Times New Roman"/>
          <w:lang w:val="sk-SK"/>
        </w:rPr>
        <w:t xml:space="preserve">Zlikvidujte akýkoľvek zvyšok lieku, ktorý zostal po </w:t>
      </w:r>
      <w:r w:rsidR="00536062" w:rsidRPr="00627D2C">
        <w:rPr>
          <w:rFonts w:ascii="Times New Roman" w:hAnsi="Times New Roman" w:cs="Times New Roman"/>
          <w:lang w:val="sk-SK"/>
        </w:rPr>
        <w:t>30</w:t>
      </w:r>
      <w:r w:rsidRPr="00627D2C">
        <w:rPr>
          <w:rFonts w:ascii="Times New Roman" w:hAnsi="Times New Roman" w:cs="Times New Roman"/>
          <w:lang w:val="sk-SK"/>
        </w:rPr>
        <w:t xml:space="preserve"> dňoch od prvého otvorenia fľaše. Všetok nepoužitý liek alebo odpad vzniknutý z lie</w:t>
      </w:r>
      <w:r w:rsidR="00536062" w:rsidRPr="00627D2C">
        <w:rPr>
          <w:rFonts w:ascii="Times New Roman" w:hAnsi="Times New Roman" w:cs="Times New Roman"/>
          <w:lang w:val="sk-SK"/>
        </w:rPr>
        <w:t xml:space="preserve">ku sa má zlikvidovať v súlade s </w:t>
      </w:r>
      <w:r w:rsidRPr="00627D2C">
        <w:rPr>
          <w:rFonts w:ascii="Times New Roman" w:hAnsi="Times New Roman" w:cs="Times New Roman"/>
          <w:lang w:val="sk-SK"/>
        </w:rPr>
        <w:t>národnými požiadavkami. Lieky sa nesmú likvidovať odpadovou vodou alebo domovým odpadom. Tieto opatrenia pomôžu chrániť životné prostredie.</w:t>
      </w:r>
    </w:p>
    <w:p w14:paraId="260C6D86" w14:textId="77777777" w:rsidR="002E1086" w:rsidRPr="002E1086" w:rsidRDefault="002E1086" w:rsidP="002E10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5D28379" w14:textId="77777777" w:rsidR="002E1086" w:rsidRPr="002E1086" w:rsidRDefault="002E1086" w:rsidP="002E1086">
      <w:pPr>
        <w:keepNext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2E108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DRŽITEĽ ROZHODNUTIA O</w:t>
      </w:r>
      <w:r w:rsidRPr="002E1086">
        <w:rPr>
          <w:rFonts w:ascii="Times New Roman" w:eastAsia="Times New Roman" w:hAnsi="Times New Roman" w:cs="Times New Roman"/>
          <w:b/>
          <w:noProof/>
          <w:szCs w:val="20"/>
          <w:lang w:val="sk-SK" w:eastAsia="sk-SK" w:bidi="sk-SK"/>
        </w:rPr>
        <w:t> </w:t>
      </w:r>
      <w:r w:rsidRPr="002E108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REGISTRÁCII</w:t>
      </w:r>
    </w:p>
    <w:p w14:paraId="380A91F9" w14:textId="77777777" w:rsidR="002E1086" w:rsidRPr="002E1086" w:rsidRDefault="002E1086" w:rsidP="002E108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1FCFF21" w14:textId="77777777" w:rsidR="00AB239F" w:rsidRPr="00AB239F" w:rsidRDefault="00AB239F" w:rsidP="00AB23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AB239F">
        <w:rPr>
          <w:rFonts w:ascii="Times New Roman" w:eastAsia="Times New Roman" w:hAnsi="Times New Roman" w:cs="Times New Roman"/>
          <w:szCs w:val="20"/>
          <w:lang w:val="sk-SK" w:eastAsia="sk-SK" w:bidi="sk-SK"/>
        </w:rPr>
        <w:t>LM Manufacturing Limited</w:t>
      </w:r>
    </w:p>
    <w:p w14:paraId="31D45F8B" w14:textId="77777777" w:rsidR="00AB239F" w:rsidRPr="00AB239F" w:rsidRDefault="00AB239F" w:rsidP="00AB23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AB239F">
        <w:rPr>
          <w:rFonts w:ascii="Times New Roman" w:eastAsia="Times New Roman" w:hAnsi="Times New Roman" w:cs="Times New Roman"/>
          <w:szCs w:val="20"/>
          <w:lang w:val="sk-SK" w:eastAsia="sk-SK" w:bidi="sk-SK"/>
        </w:rPr>
        <w:t>Cavendish House</w:t>
      </w:r>
    </w:p>
    <w:p w14:paraId="3B622712" w14:textId="77777777" w:rsidR="00AB239F" w:rsidRPr="00AB239F" w:rsidRDefault="00AB239F" w:rsidP="00AB23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AB239F">
        <w:rPr>
          <w:rFonts w:ascii="Times New Roman" w:eastAsia="Times New Roman" w:hAnsi="Times New Roman" w:cs="Times New Roman"/>
          <w:szCs w:val="20"/>
          <w:lang w:val="sk-SK" w:eastAsia="sk-SK" w:bidi="sk-SK"/>
        </w:rPr>
        <w:t>369 Burnt Oak Broadway</w:t>
      </w:r>
    </w:p>
    <w:p w14:paraId="7936CBE4" w14:textId="4207B2AF" w:rsidR="002E1086" w:rsidRPr="002E1086" w:rsidRDefault="00AB239F" w:rsidP="00AB23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AB239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Edgware HA8 5AW, </w:t>
      </w:r>
      <w:r w:rsidR="0004133B" w:rsidRPr="0004133B">
        <w:rPr>
          <w:rFonts w:ascii="Times New Roman" w:eastAsia="Times New Roman" w:hAnsi="Times New Roman" w:cs="Times New Roman"/>
          <w:szCs w:val="20"/>
          <w:lang w:val="sk-SK" w:eastAsia="sk-SK" w:bidi="sk-SK"/>
        </w:rPr>
        <w:t>Spojené Kráľovstvo</w:t>
      </w:r>
    </w:p>
    <w:p w14:paraId="4638DC78" w14:textId="77777777" w:rsidR="002E1086" w:rsidRDefault="002E1086" w:rsidP="002E10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AFA050C" w14:textId="77777777" w:rsidR="007156B6" w:rsidRPr="002E1086" w:rsidRDefault="007156B6" w:rsidP="002E10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E6EBE24" w14:textId="0A92C536" w:rsidR="002E1086" w:rsidRPr="002E1086" w:rsidRDefault="002E1086" w:rsidP="002E1086">
      <w:pPr>
        <w:keepNext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2E108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REGISTRAČNÉ ČÍSLO</w:t>
      </w:r>
    </w:p>
    <w:p w14:paraId="498116B0" w14:textId="77777777" w:rsidR="002E1086" w:rsidRPr="002E1086" w:rsidRDefault="002E1086" w:rsidP="002E108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8502CD5" w14:textId="032CBF33" w:rsidR="002E1086" w:rsidRPr="002E1086" w:rsidRDefault="00663017" w:rsidP="002E10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663017">
        <w:rPr>
          <w:rFonts w:ascii="Times New Roman" w:eastAsia="Times New Roman" w:hAnsi="Times New Roman" w:cs="Times New Roman"/>
          <w:szCs w:val="20"/>
          <w:lang w:val="sk-SK" w:eastAsia="sk-SK" w:bidi="sk-SK"/>
        </w:rPr>
        <w:t>73/0349/18-S</w:t>
      </w:r>
      <w:bookmarkStart w:id="0" w:name="_GoBack"/>
      <w:bookmarkEnd w:id="0"/>
    </w:p>
    <w:p w14:paraId="36D4F1D9" w14:textId="77777777" w:rsidR="002E1086" w:rsidRPr="002E1086" w:rsidRDefault="002E1086" w:rsidP="002E1086">
      <w:pPr>
        <w:keepNext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2E108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lastRenderedPageBreak/>
        <w:t>DÁTUM PRVEJ REGISTRÁCIE/PREDĹŽENIA REGISTRÁCIE</w:t>
      </w:r>
    </w:p>
    <w:p w14:paraId="4E8593E5" w14:textId="77777777" w:rsidR="002E1086" w:rsidRPr="002E1086" w:rsidRDefault="002E1086" w:rsidP="00960DA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5879420" w14:textId="77777777" w:rsidR="002E1086" w:rsidRPr="002E1086" w:rsidRDefault="002E1086" w:rsidP="002E108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D4A8AF4" w14:textId="77777777" w:rsidR="002E1086" w:rsidRPr="002E1086" w:rsidRDefault="002E1086" w:rsidP="002E1086">
      <w:pPr>
        <w:keepNext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2E108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DÁTUM REVÍZIE TEXTU</w:t>
      </w:r>
    </w:p>
    <w:p w14:paraId="5FC1B23E" w14:textId="77777777" w:rsidR="002E1086" w:rsidRPr="002E1086" w:rsidRDefault="002E1086" w:rsidP="002E108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9FED0C6" w14:textId="77777777" w:rsidR="0049425B" w:rsidRDefault="0049425B" w:rsidP="00F52440">
      <w:pPr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10/2018</w:t>
      </w:r>
    </w:p>
    <w:p w14:paraId="11B1CE4C" w14:textId="77777777" w:rsidR="002E1086" w:rsidRPr="00627D2C" w:rsidRDefault="002E1086" w:rsidP="00F52440">
      <w:pPr>
        <w:rPr>
          <w:rFonts w:ascii="Times New Roman" w:hAnsi="Times New Roman" w:cs="Times New Roman"/>
          <w:lang w:val="sk-SK"/>
        </w:rPr>
      </w:pPr>
    </w:p>
    <w:p w14:paraId="6D43E717" w14:textId="77777777" w:rsidR="002037C9" w:rsidRPr="00627D2C" w:rsidRDefault="002037C9" w:rsidP="00F52440">
      <w:pPr>
        <w:rPr>
          <w:rFonts w:ascii="Times New Roman" w:hAnsi="Times New Roman" w:cs="Times New Roman"/>
          <w:lang w:val="sk-SK"/>
        </w:rPr>
      </w:pPr>
    </w:p>
    <w:sectPr w:rsidR="002037C9" w:rsidRPr="00627D2C" w:rsidSect="00960DA5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859B9" w14:textId="77777777" w:rsidR="00553F18" w:rsidRDefault="00553F18" w:rsidP="00237A32">
      <w:pPr>
        <w:spacing w:after="0" w:line="240" w:lineRule="auto"/>
      </w:pPr>
      <w:r>
        <w:separator/>
      </w:r>
    </w:p>
  </w:endnote>
  <w:endnote w:type="continuationSeparator" w:id="0">
    <w:p w14:paraId="316B9844" w14:textId="77777777" w:rsidR="00553F18" w:rsidRDefault="00553F18" w:rsidP="0023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701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2DBB0D7" w14:textId="17F6EFF2" w:rsidR="00A9131B" w:rsidRPr="00960DA5" w:rsidRDefault="00A9131B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60DA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60DA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60DA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63017" w:rsidRPr="00663017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13</w:t>
        </w:r>
        <w:r w:rsidRPr="00960DA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66BEA17" w14:textId="77777777" w:rsidR="00A9131B" w:rsidRDefault="00A913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B4B20" w14:textId="77777777" w:rsidR="00553F18" w:rsidRDefault="00553F18" w:rsidP="00237A32">
      <w:pPr>
        <w:spacing w:after="0" w:line="240" w:lineRule="auto"/>
      </w:pPr>
      <w:r>
        <w:separator/>
      </w:r>
    </w:p>
  </w:footnote>
  <w:footnote w:type="continuationSeparator" w:id="0">
    <w:p w14:paraId="38EF9B08" w14:textId="77777777" w:rsidR="00553F18" w:rsidRDefault="00553F18" w:rsidP="0023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F0129" w14:textId="04EFD4EF" w:rsidR="00A9131B" w:rsidRPr="00237A32" w:rsidRDefault="00A9131B" w:rsidP="00237A3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sk-SK" w:eastAsia="cs-CZ"/>
      </w:rPr>
    </w:pPr>
    <w:r w:rsidRPr="00237A32">
      <w:rPr>
        <w:rFonts w:ascii="Times New Roman" w:eastAsia="Times New Roman" w:hAnsi="Times New Roman" w:cs="Times New Roman"/>
        <w:sz w:val="18"/>
        <w:szCs w:val="18"/>
        <w:lang w:val="sk-SK" w:eastAsia="cs-CZ"/>
      </w:rPr>
      <w:t>Schválený text k rozhodnutiu o</w:t>
    </w:r>
    <w:r>
      <w:rPr>
        <w:rFonts w:ascii="Times New Roman" w:eastAsia="Times New Roman" w:hAnsi="Times New Roman" w:cs="Times New Roman"/>
        <w:sz w:val="18"/>
        <w:szCs w:val="18"/>
        <w:lang w:val="sk-SK" w:eastAsia="cs-CZ"/>
      </w:rPr>
      <w:t> registrácii, ev. č.: 2016/03156</w:t>
    </w:r>
    <w:r w:rsidRPr="00237A32">
      <w:rPr>
        <w:rFonts w:ascii="Times New Roman" w:eastAsia="Times New Roman" w:hAnsi="Times New Roman" w:cs="Times New Roman"/>
        <w:sz w:val="18"/>
        <w:szCs w:val="18"/>
        <w:lang w:val="sk-SK" w:eastAsia="cs-CZ"/>
      </w:rPr>
      <w:t>-REG</w:t>
    </w:r>
  </w:p>
  <w:p w14:paraId="51199B77" w14:textId="77777777" w:rsidR="00A9131B" w:rsidRDefault="00A9131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D2F3D"/>
    <w:multiLevelType w:val="hybridMultilevel"/>
    <w:tmpl w:val="0D049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40"/>
    <w:rsid w:val="00007D36"/>
    <w:rsid w:val="0004133B"/>
    <w:rsid w:val="00046CDD"/>
    <w:rsid w:val="000552B5"/>
    <w:rsid w:val="00062FF1"/>
    <w:rsid w:val="00071DA6"/>
    <w:rsid w:val="00075AC3"/>
    <w:rsid w:val="000C6289"/>
    <w:rsid w:val="000E106E"/>
    <w:rsid w:val="000F53C5"/>
    <w:rsid w:val="001017CE"/>
    <w:rsid w:val="00115047"/>
    <w:rsid w:val="00115EB1"/>
    <w:rsid w:val="00116626"/>
    <w:rsid w:val="00130E04"/>
    <w:rsid w:val="00146E78"/>
    <w:rsid w:val="001527A1"/>
    <w:rsid w:val="001913B1"/>
    <w:rsid w:val="001A4FEF"/>
    <w:rsid w:val="001A6585"/>
    <w:rsid w:val="001B3389"/>
    <w:rsid w:val="001C7420"/>
    <w:rsid w:val="001C7E5D"/>
    <w:rsid w:val="001D6EAD"/>
    <w:rsid w:val="001E2EDB"/>
    <w:rsid w:val="00202DAE"/>
    <w:rsid w:val="002037C9"/>
    <w:rsid w:val="0020607E"/>
    <w:rsid w:val="00234B81"/>
    <w:rsid w:val="00237A32"/>
    <w:rsid w:val="00246F33"/>
    <w:rsid w:val="002573DA"/>
    <w:rsid w:val="00274708"/>
    <w:rsid w:val="002C34A4"/>
    <w:rsid w:val="002C693B"/>
    <w:rsid w:val="002E1086"/>
    <w:rsid w:val="002E7BA6"/>
    <w:rsid w:val="002F28CA"/>
    <w:rsid w:val="002F6661"/>
    <w:rsid w:val="00313524"/>
    <w:rsid w:val="003143FF"/>
    <w:rsid w:val="003201A2"/>
    <w:rsid w:val="00321A48"/>
    <w:rsid w:val="00370BA8"/>
    <w:rsid w:val="0039279A"/>
    <w:rsid w:val="003A17D0"/>
    <w:rsid w:val="003A6499"/>
    <w:rsid w:val="003E20EB"/>
    <w:rsid w:val="003E539B"/>
    <w:rsid w:val="00403231"/>
    <w:rsid w:val="004270E7"/>
    <w:rsid w:val="00444246"/>
    <w:rsid w:val="0045683A"/>
    <w:rsid w:val="0046208C"/>
    <w:rsid w:val="004644C1"/>
    <w:rsid w:val="004648FF"/>
    <w:rsid w:val="00466192"/>
    <w:rsid w:val="0049188F"/>
    <w:rsid w:val="004928EE"/>
    <w:rsid w:val="0049425B"/>
    <w:rsid w:val="004A48DF"/>
    <w:rsid w:val="004A4CEA"/>
    <w:rsid w:val="004C0275"/>
    <w:rsid w:val="004E016D"/>
    <w:rsid w:val="004F5AD3"/>
    <w:rsid w:val="00505ADA"/>
    <w:rsid w:val="00507DCC"/>
    <w:rsid w:val="00531AD4"/>
    <w:rsid w:val="00534F92"/>
    <w:rsid w:val="00536062"/>
    <w:rsid w:val="00545B1C"/>
    <w:rsid w:val="00553AB7"/>
    <w:rsid w:val="00553F18"/>
    <w:rsid w:val="0055765E"/>
    <w:rsid w:val="00587298"/>
    <w:rsid w:val="005C71C0"/>
    <w:rsid w:val="005D186C"/>
    <w:rsid w:val="005E54AE"/>
    <w:rsid w:val="00627D2C"/>
    <w:rsid w:val="00651930"/>
    <w:rsid w:val="00662D5F"/>
    <w:rsid w:val="00663017"/>
    <w:rsid w:val="00666F4E"/>
    <w:rsid w:val="00673BD8"/>
    <w:rsid w:val="006963C9"/>
    <w:rsid w:val="00697E41"/>
    <w:rsid w:val="006A287B"/>
    <w:rsid w:val="006F3C28"/>
    <w:rsid w:val="006F3FCC"/>
    <w:rsid w:val="00710A61"/>
    <w:rsid w:val="00712032"/>
    <w:rsid w:val="007137F2"/>
    <w:rsid w:val="007156B6"/>
    <w:rsid w:val="007170FB"/>
    <w:rsid w:val="007179E8"/>
    <w:rsid w:val="007240AC"/>
    <w:rsid w:val="00736C8F"/>
    <w:rsid w:val="00740031"/>
    <w:rsid w:val="00746B2F"/>
    <w:rsid w:val="007541B2"/>
    <w:rsid w:val="00764413"/>
    <w:rsid w:val="007835BA"/>
    <w:rsid w:val="007C3FDD"/>
    <w:rsid w:val="007C40D9"/>
    <w:rsid w:val="007E55C1"/>
    <w:rsid w:val="007F5E52"/>
    <w:rsid w:val="008006EB"/>
    <w:rsid w:val="00801CA6"/>
    <w:rsid w:val="008271E6"/>
    <w:rsid w:val="00827F44"/>
    <w:rsid w:val="00834F89"/>
    <w:rsid w:val="008568B8"/>
    <w:rsid w:val="0087638A"/>
    <w:rsid w:val="008E1023"/>
    <w:rsid w:val="009456B6"/>
    <w:rsid w:val="00960DA5"/>
    <w:rsid w:val="00972737"/>
    <w:rsid w:val="009745A2"/>
    <w:rsid w:val="0098083D"/>
    <w:rsid w:val="00994112"/>
    <w:rsid w:val="009A0AF4"/>
    <w:rsid w:val="009A257C"/>
    <w:rsid w:val="009C055E"/>
    <w:rsid w:val="009D53DB"/>
    <w:rsid w:val="009F1925"/>
    <w:rsid w:val="009F3956"/>
    <w:rsid w:val="00A00572"/>
    <w:rsid w:val="00A27CA6"/>
    <w:rsid w:val="00A9131B"/>
    <w:rsid w:val="00AB239F"/>
    <w:rsid w:val="00AD5767"/>
    <w:rsid w:val="00AE041C"/>
    <w:rsid w:val="00AE40C8"/>
    <w:rsid w:val="00B060D3"/>
    <w:rsid w:val="00B1756A"/>
    <w:rsid w:val="00B37456"/>
    <w:rsid w:val="00B45CA7"/>
    <w:rsid w:val="00B563C0"/>
    <w:rsid w:val="00B70876"/>
    <w:rsid w:val="00BA61B3"/>
    <w:rsid w:val="00BA65D0"/>
    <w:rsid w:val="00BF4B43"/>
    <w:rsid w:val="00C23977"/>
    <w:rsid w:val="00C373A7"/>
    <w:rsid w:val="00C425E7"/>
    <w:rsid w:val="00C4647E"/>
    <w:rsid w:val="00C71BCB"/>
    <w:rsid w:val="00C760D3"/>
    <w:rsid w:val="00CB3F50"/>
    <w:rsid w:val="00CB42BB"/>
    <w:rsid w:val="00CC00CD"/>
    <w:rsid w:val="00CC0378"/>
    <w:rsid w:val="00CE5E39"/>
    <w:rsid w:val="00CF02DB"/>
    <w:rsid w:val="00CF56D8"/>
    <w:rsid w:val="00D16412"/>
    <w:rsid w:val="00D31675"/>
    <w:rsid w:val="00D37B64"/>
    <w:rsid w:val="00D40715"/>
    <w:rsid w:val="00D5221B"/>
    <w:rsid w:val="00D66A3F"/>
    <w:rsid w:val="00D81B32"/>
    <w:rsid w:val="00D84BF3"/>
    <w:rsid w:val="00D8541F"/>
    <w:rsid w:val="00D962B8"/>
    <w:rsid w:val="00DA3B11"/>
    <w:rsid w:val="00DA611D"/>
    <w:rsid w:val="00DB2348"/>
    <w:rsid w:val="00DB4FF4"/>
    <w:rsid w:val="00DC21A8"/>
    <w:rsid w:val="00DC67C1"/>
    <w:rsid w:val="00DD1623"/>
    <w:rsid w:val="00DE3F1A"/>
    <w:rsid w:val="00E01AB7"/>
    <w:rsid w:val="00E02B90"/>
    <w:rsid w:val="00E178B0"/>
    <w:rsid w:val="00E2488C"/>
    <w:rsid w:val="00E272CE"/>
    <w:rsid w:val="00E419EF"/>
    <w:rsid w:val="00E62632"/>
    <w:rsid w:val="00E7738F"/>
    <w:rsid w:val="00E91E84"/>
    <w:rsid w:val="00E974CE"/>
    <w:rsid w:val="00EA5467"/>
    <w:rsid w:val="00EC0FE4"/>
    <w:rsid w:val="00ED4300"/>
    <w:rsid w:val="00F063EB"/>
    <w:rsid w:val="00F100DD"/>
    <w:rsid w:val="00F104EE"/>
    <w:rsid w:val="00F32C65"/>
    <w:rsid w:val="00F34AF0"/>
    <w:rsid w:val="00F36535"/>
    <w:rsid w:val="00F36A34"/>
    <w:rsid w:val="00F52440"/>
    <w:rsid w:val="00F56E11"/>
    <w:rsid w:val="00F579BB"/>
    <w:rsid w:val="00F646FD"/>
    <w:rsid w:val="00F67DFB"/>
    <w:rsid w:val="00F8200C"/>
    <w:rsid w:val="00FA181D"/>
    <w:rsid w:val="00FA420F"/>
    <w:rsid w:val="00FE4720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5257"/>
  <w15:chartTrackingRefBased/>
  <w15:docId w15:val="{57CA56B8-9C1D-4BDD-9B8F-D84ADE4A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756A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B175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paragraph" w:styleId="Odsekzoznamu">
    <w:name w:val="List Paragraph"/>
    <w:basedOn w:val="Normlny"/>
    <w:uiPriority w:val="34"/>
    <w:qFormat/>
    <w:rsid w:val="00062FF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928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28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28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2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28E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8E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3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7A32"/>
  </w:style>
  <w:style w:type="paragraph" w:styleId="Pta">
    <w:name w:val="footer"/>
    <w:basedOn w:val="Normlny"/>
    <w:link w:val="PtaChar"/>
    <w:uiPriority w:val="99"/>
    <w:unhideWhenUsed/>
    <w:rsid w:val="0023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7A32"/>
  </w:style>
  <w:style w:type="paragraph" w:styleId="Revzia">
    <w:name w:val="Revision"/>
    <w:hidden/>
    <w:uiPriority w:val="99"/>
    <w:semiHidden/>
    <w:rsid w:val="00A91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13</Pages>
  <Words>3887</Words>
  <Characters>22161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Lacková, Beáta</cp:lastModifiedBy>
  <cp:revision>22</cp:revision>
  <dcterms:created xsi:type="dcterms:W3CDTF">2017-09-20T14:41:00Z</dcterms:created>
  <dcterms:modified xsi:type="dcterms:W3CDTF">2018-10-17T11:06:00Z</dcterms:modified>
</cp:coreProperties>
</file>