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9C527" w14:textId="77777777" w:rsidR="00BB5DFE" w:rsidRPr="008A4CD9" w:rsidRDefault="00BB5DFE">
      <w:pPr>
        <w:jc w:val="center"/>
        <w:rPr>
          <w:b/>
          <w:bCs/>
          <w:sz w:val="22"/>
          <w:szCs w:val="22"/>
          <w:lang w:val="sk-SK"/>
        </w:rPr>
      </w:pPr>
    </w:p>
    <w:p w14:paraId="6E2D5BF5" w14:textId="77777777" w:rsidR="00B94AD8" w:rsidRPr="008A4CD9" w:rsidRDefault="00B94AD8">
      <w:pPr>
        <w:jc w:val="center"/>
        <w:rPr>
          <w:b/>
          <w:bCs/>
          <w:sz w:val="22"/>
          <w:szCs w:val="22"/>
          <w:lang w:val="sk-SK"/>
        </w:rPr>
      </w:pPr>
      <w:r w:rsidRPr="008A4CD9">
        <w:rPr>
          <w:b/>
          <w:bCs/>
          <w:sz w:val="22"/>
          <w:szCs w:val="22"/>
          <w:lang w:val="sk-SK"/>
        </w:rPr>
        <w:t>SÚHRN CHARAKTERISTICKÝCH VLASTNOSTÍ LIEKU</w:t>
      </w:r>
    </w:p>
    <w:p w14:paraId="5D2DAA55" w14:textId="77777777" w:rsidR="00B94AD8" w:rsidRPr="008A4CD9" w:rsidRDefault="00B94AD8">
      <w:pPr>
        <w:jc w:val="both"/>
        <w:rPr>
          <w:sz w:val="22"/>
          <w:szCs w:val="22"/>
          <w:lang w:val="sk-SK"/>
        </w:rPr>
      </w:pPr>
    </w:p>
    <w:p w14:paraId="3BEC611C" w14:textId="77777777" w:rsidR="00B94AD8" w:rsidRPr="008A4CD9" w:rsidRDefault="00B94AD8">
      <w:pPr>
        <w:jc w:val="both"/>
        <w:rPr>
          <w:sz w:val="22"/>
          <w:szCs w:val="22"/>
          <w:lang w:val="sk-SK"/>
        </w:rPr>
      </w:pPr>
    </w:p>
    <w:p w14:paraId="76564E07" w14:textId="77777777" w:rsidR="00B94AD8" w:rsidRPr="008A4CD9" w:rsidRDefault="00B94AD8" w:rsidP="008002ED">
      <w:pPr>
        <w:numPr>
          <w:ilvl w:val="0"/>
          <w:numId w:val="1"/>
        </w:numPr>
        <w:tabs>
          <w:tab w:val="clear" w:pos="720"/>
          <w:tab w:val="num" w:pos="360"/>
        </w:tabs>
        <w:ind w:left="360"/>
        <w:rPr>
          <w:b/>
          <w:bCs/>
          <w:sz w:val="22"/>
          <w:szCs w:val="22"/>
          <w:lang w:val="sk-SK"/>
        </w:rPr>
      </w:pPr>
      <w:r w:rsidRPr="008A4CD9">
        <w:rPr>
          <w:b/>
          <w:bCs/>
          <w:sz w:val="22"/>
          <w:szCs w:val="22"/>
          <w:lang w:val="sk-SK"/>
        </w:rPr>
        <w:t>NÁZOV LIEKU</w:t>
      </w:r>
    </w:p>
    <w:p w14:paraId="67FC6118" w14:textId="77777777" w:rsidR="00B94AD8" w:rsidRPr="008A4CD9" w:rsidRDefault="00B94AD8" w:rsidP="008002ED">
      <w:pPr>
        <w:rPr>
          <w:sz w:val="22"/>
          <w:szCs w:val="22"/>
          <w:lang w:val="sk-SK"/>
        </w:rPr>
      </w:pPr>
    </w:p>
    <w:p w14:paraId="5825CDFA" w14:textId="77777777" w:rsidR="00B94AD8" w:rsidRPr="008A4CD9" w:rsidRDefault="00B94AD8" w:rsidP="008002ED">
      <w:pPr>
        <w:rPr>
          <w:sz w:val="22"/>
          <w:szCs w:val="22"/>
          <w:lang w:val="sk-SK"/>
        </w:rPr>
      </w:pPr>
      <w:r w:rsidRPr="008A4CD9">
        <w:rPr>
          <w:sz w:val="22"/>
          <w:szCs w:val="22"/>
          <w:lang w:val="sk-SK"/>
        </w:rPr>
        <w:t>PATENTBLAU V</w:t>
      </w:r>
    </w:p>
    <w:p w14:paraId="6110BB9D" w14:textId="77777777" w:rsidR="002D0DB3" w:rsidRPr="008A4CD9" w:rsidRDefault="002D0DB3" w:rsidP="008A4CD9">
      <w:pPr>
        <w:rPr>
          <w:sz w:val="22"/>
          <w:szCs w:val="22"/>
          <w:lang w:val="sk-SK"/>
        </w:rPr>
      </w:pPr>
      <w:r w:rsidRPr="008A4CD9">
        <w:rPr>
          <w:sz w:val="22"/>
          <w:szCs w:val="22"/>
          <w:lang w:val="sk-SK"/>
        </w:rPr>
        <w:t>50 mg / 2 ml injekčný roztok</w:t>
      </w:r>
    </w:p>
    <w:p w14:paraId="0864E6C4" w14:textId="77777777" w:rsidR="00B94AD8" w:rsidRPr="008A4CD9" w:rsidRDefault="00B94AD8" w:rsidP="008002ED">
      <w:pPr>
        <w:rPr>
          <w:sz w:val="22"/>
          <w:szCs w:val="22"/>
          <w:lang w:val="sk-SK"/>
        </w:rPr>
      </w:pPr>
    </w:p>
    <w:p w14:paraId="21F593B8" w14:textId="77777777" w:rsidR="001D228A" w:rsidRPr="008A4CD9" w:rsidRDefault="001D228A" w:rsidP="008002ED">
      <w:pPr>
        <w:rPr>
          <w:sz w:val="22"/>
          <w:szCs w:val="22"/>
          <w:lang w:val="sk-SK"/>
        </w:rPr>
      </w:pPr>
    </w:p>
    <w:p w14:paraId="6530BB41" w14:textId="77777777" w:rsidR="00B94AD8" w:rsidRPr="008A4CD9" w:rsidRDefault="00B94AD8" w:rsidP="008002ED">
      <w:pPr>
        <w:numPr>
          <w:ilvl w:val="0"/>
          <w:numId w:val="1"/>
        </w:numPr>
        <w:tabs>
          <w:tab w:val="clear" w:pos="720"/>
          <w:tab w:val="num" w:pos="360"/>
        </w:tabs>
        <w:ind w:left="360"/>
        <w:rPr>
          <w:b/>
          <w:bCs/>
          <w:sz w:val="22"/>
          <w:szCs w:val="22"/>
          <w:lang w:val="sk-SK"/>
        </w:rPr>
      </w:pPr>
      <w:r w:rsidRPr="008A4CD9">
        <w:rPr>
          <w:b/>
          <w:bCs/>
          <w:sz w:val="22"/>
          <w:szCs w:val="22"/>
          <w:lang w:val="sk-SK"/>
        </w:rPr>
        <w:t>KVALITATÍVNE A KVANTITATÍVNE ZLOŽENIE</w:t>
      </w:r>
    </w:p>
    <w:p w14:paraId="198C9C69" w14:textId="77777777" w:rsidR="00B94AD8" w:rsidRPr="008A4CD9" w:rsidRDefault="00B94AD8" w:rsidP="008002ED">
      <w:pPr>
        <w:rPr>
          <w:sz w:val="22"/>
          <w:szCs w:val="22"/>
          <w:lang w:val="sk-SK"/>
        </w:rPr>
      </w:pPr>
    </w:p>
    <w:p w14:paraId="42591BEC" w14:textId="158F9C55" w:rsidR="00B94AD8" w:rsidRPr="008A4CD9" w:rsidRDefault="00B94AD8" w:rsidP="008002ED">
      <w:pPr>
        <w:rPr>
          <w:sz w:val="22"/>
          <w:szCs w:val="22"/>
          <w:lang w:val="sk-SK"/>
        </w:rPr>
      </w:pPr>
      <w:r w:rsidRPr="008A4CD9">
        <w:rPr>
          <w:sz w:val="22"/>
          <w:szCs w:val="22"/>
          <w:lang w:val="sk-SK"/>
        </w:rPr>
        <w:t>2 ml injekčného roztoku</w:t>
      </w:r>
      <w:r w:rsidR="00C6475C" w:rsidRPr="008A4CD9">
        <w:rPr>
          <w:sz w:val="22"/>
          <w:szCs w:val="22"/>
          <w:lang w:val="sk-SK"/>
        </w:rPr>
        <w:t xml:space="preserve"> obsahujú 50 mg farbiva </w:t>
      </w:r>
      <w:proofErr w:type="spellStart"/>
      <w:r w:rsidR="00C6475C" w:rsidRPr="008A4CD9">
        <w:rPr>
          <w:bCs/>
          <w:sz w:val="22"/>
          <w:szCs w:val="22"/>
        </w:rPr>
        <w:t>patentná</w:t>
      </w:r>
      <w:proofErr w:type="spellEnd"/>
      <w:r w:rsidR="00C6475C" w:rsidRPr="008A4CD9">
        <w:rPr>
          <w:bCs/>
          <w:sz w:val="22"/>
          <w:szCs w:val="22"/>
        </w:rPr>
        <w:t xml:space="preserve"> modrá V (sodná </w:t>
      </w:r>
      <w:proofErr w:type="spellStart"/>
      <w:r w:rsidR="00C6475C" w:rsidRPr="008A4CD9">
        <w:rPr>
          <w:bCs/>
          <w:sz w:val="22"/>
          <w:szCs w:val="22"/>
        </w:rPr>
        <w:t>soľ</w:t>
      </w:r>
      <w:proofErr w:type="spellEnd"/>
      <w:r w:rsidR="00C6475C" w:rsidRPr="008A4CD9">
        <w:rPr>
          <w:bCs/>
          <w:sz w:val="22"/>
          <w:szCs w:val="22"/>
        </w:rPr>
        <w:t>) (</w:t>
      </w:r>
      <w:proofErr w:type="spellStart"/>
      <w:r w:rsidR="00C6475C" w:rsidRPr="008A4CD9">
        <w:rPr>
          <w:sz w:val="22"/>
          <w:szCs w:val="22"/>
          <w:lang w:val="sk-SK"/>
        </w:rPr>
        <w:t>Ceruleum</w:t>
      </w:r>
      <w:proofErr w:type="spellEnd"/>
      <w:r w:rsidR="00C6475C" w:rsidRPr="008A4CD9">
        <w:rPr>
          <w:sz w:val="22"/>
          <w:szCs w:val="22"/>
          <w:lang w:val="sk-SK"/>
        </w:rPr>
        <w:t xml:space="preserve"> </w:t>
      </w:r>
      <w:proofErr w:type="spellStart"/>
      <w:r w:rsidR="00C6475C" w:rsidRPr="008A4CD9">
        <w:rPr>
          <w:sz w:val="22"/>
          <w:szCs w:val="22"/>
          <w:lang w:val="sk-SK"/>
        </w:rPr>
        <w:t>protectum</w:t>
      </w:r>
      <w:proofErr w:type="spellEnd"/>
      <w:r w:rsidR="008A4CD9" w:rsidRPr="008A4CD9">
        <w:rPr>
          <w:sz w:val="22"/>
          <w:szCs w:val="22"/>
          <w:lang w:val="sk-SK"/>
        </w:rPr>
        <w:t> </w:t>
      </w:r>
      <w:r w:rsidR="00C6475C" w:rsidRPr="008A4CD9">
        <w:rPr>
          <w:sz w:val="22"/>
          <w:szCs w:val="22"/>
          <w:lang w:val="sk-SK"/>
        </w:rPr>
        <w:t xml:space="preserve">V (sal </w:t>
      </w:r>
      <w:proofErr w:type="spellStart"/>
      <w:r w:rsidR="00C6475C" w:rsidRPr="008A4CD9">
        <w:rPr>
          <w:sz w:val="22"/>
          <w:szCs w:val="22"/>
          <w:lang w:val="sk-SK"/>
        </w:rPr>
        <w:t>natricum</w:t>
      </w:r>
      <w:proofErr w:type="spellEnd"/>
      <w:r w:rsidR="00C6475C" w:rsidRPr="008A4CD9">
        <w:rPr>
          <w:sz w:val="22"/>
          <w:szCs w:val="22"/>
          <w:lang w:val="sk-SK"/>
        </w:rPr>
        <w:t>))</w:t>
      </w:r>
    </w:p>
    <w:p w14:paraId="6F90F3EA" w14:textId="77777777" w:rsidR="00B94AD8" w:rsidRPr="008A4CD9" w:rsidRDefault="00B94AD8" w:rsidP="008002ED">
      <w:pPr>
        <w:rPr>
          <w:sz w:val="22"/>
          <w:szCs w:val="22"/>
          <w:lang w:eastAsia="en-US"/>
        </w:rPr>
      </w:pPr>
    </w:p>
    <w:p w14:paraId="195D4CA4" w14:textId="545EF364" w:rsidR="002D0DB3" w:rsidRPr="008A4CD9" w:rsidRDefault="002D0DB3" w:rsidP="008A4CD9">
      <w:pPr>
        <w:pStyle w:val="Zarkazkladnhotextu"/>
        <w:ind w:left="0"/>
        <w:jc w:val="both"/>
        <w:rPr>
          <w:sz w:val="22"/>
          <w:szCs w:val="22"/>
        </w:rPr>
      </w:pPr>
      <w:r w:rsidRPr="008A4CD9">
        <w:rPr>
          <w:sz w:val="22"/>
          <w:szCs w:val="22"/>
          <w:u w:val="single"/>
        </w:rPr>
        <w:t xml:space="preserve">Pomocná látka so známym účinkom: </w:t>
      </w:r>
      <w:r w:rsidR="00722CBC" w:rsidRPr="008A4CD9">
        <w:rPr>
          <w:sz w:val="22"/>
          <w:szCs w:val="22"/>
        </w:rPr>
        <w:t>Tento liek obsahuje mene</w:t>
      </w:r>
      <w:r w:rsidR="008A4CD9" w:rsidRPr="008A4CD9">
        <w:rPr>
          <w:sz w:val="22"/>
          <w:szCs w:val="22"/>
        </w:rPr>
        <w:t>j ako 1 mmol sodíka (23 mg) na 1 </w:t>
      </w:r>
      <w:r w:rsidR="00722CBC" w:rsidRPr="008A4CD9">
        <w:rPr>
          <w:sz w:val="22"/>
          <w:szCs w:val="22"/>
        </w:rPr>
        <w:t>ml, to znamená v podstate „bez sodíka“.</w:t>
      </w:r>
    </w:p>
    <w:p w14:paraId="0749F213" w14:textId="77777777" w:rsidR="002D0DB3" w:rsidRPr="008A4CD9" w:rsidRDefault="002D0DB3" w:rsidP="008002ED">
      <w:pPr>
        <w:rPr>
          <w:sz w:val="22"/>
          <w:szCs w:val="22"/>
          <w:lang w:eastAsia="en-US"/>
        </w:rPr>
      </w:pPr>
    </w:p>
    <w:p w14:paraId="26EA4747" w14:textId="77777777" w:rsidR="00B94AD8" w:rsidRPr="008A4CD9" w:rsidRDefault="00B94AD8" w:rsidP="008002ED">
      <w:pPr>
        <w:rPr>
          <w:sz w:val="22"/>
          <w:szCs w:val="22"/>
          <w:lang w:val="sk-SK"/>
        </w:rPr>
      </w:pPr>
      <w:r w:rsidRPr="008A4CD9">
        <w:rPr>
          <w:sz w:val="22"/>
          <w:szCs w:val="22"/>
          <w:lang w:eastAsia="en-US"/>
        </w:rPr>
        <w:t xml:space="preserve">Úplný </w:t>
      </w:r>
      <w:proofErr w:type="spellStart"/>
      <w:r w:rsidRPr="008A4CD9">
        <w:rPr>
          <w:sz w:val="22"/>
          <w:szCs w:val="22"/>
          <w:lang w:eastAsia="en-US"/>
        </w:rPr>
        <w:t>zoznam</w:t>
      </w:r>
      <w:proofErr w:type="spellEnd"/>
      <w:r w:rsidRPr="008A4CD9">
        <w:rPr>
          <w:sz w:val="22"/>
          <w:szCs w:val="22"/>
          <w:lang w:eastAsia="en-US"/>
        </w:rPr>
        <w:t xml:space="preserve"> pomocných </w:t>
      </w:r>
      <w:proofErr w:type="spellStart"/>
      <w:r w:rsidRPr="008A4CD9">
        <w:rPr>
          <w:sz w:val="22"/>
          <w:szCs w:val="22"/>
          <w:lang w:eastAsia="en-US"/>
        </w:rPr>
        <w:t>látok</w:t>
      </w:r>
      <w:proofErr w:type="spellEnd"/>
      <w:r w:rsidRPr="008A4CD9">
        <w:rPr>
          <w:sz w:val="22"/>
          <w:szCs w:val="22"/>
          <w:lang w:eastAsia="en-US"/>
        </w:rPr>
        <w:t xml:space="preserve">, </w:t>
      </w:r>
      <w:proofErr w:type="spellStart"/>
      <w:r w:rsidRPr="008A4CD9">
        <w:rPr>
          <w:sz w:val="22"/>
          <w:szCs w:val="22"/>
          <w:lang w:eastAsia="en-US"/>
        </w:rPr>
        <w:t>pozri</w:t>
      </w:r>
      <w:proofErr w:type="spellEnd"/>
      <w:r w:rsidRPr="008A4CD9">
        <w:rPr>
          <w:sz w:val="22"/>
          <w:szCs w:val="22"/>
          <w:lang w:eastAsia="en-US"/>
        </w:rPr>
        <w:t xml:space="preserve"> časť 6.1.</w:t>
      </w:r>
    </w:p>
    <w:p w14:paraId="04BD3E98" w14:textId="77777777" w:rsidR="00B94AD8" w:rsidRPr="008A4CD9" w:rsidRDefault="00B94AD8" w:rsidP="008002ED">
      <w:pPr>
        <w:rPr>
          <w:sz w:val="22"/>
          <w:szCs w:val="22"/>
          <w:lang w:val="sk-SK"/>
        </w:rPr>
      </w:pPr>
    </w:p>
    <w:p w14:paraId="6B1711DA" w14:textId="77777777" w:rsidR="00131542" w:rsidRPr="008A4CD9" w:rsidRDefault="00131542" w:rsidP="008002ED">
      <w:pPr>
        <w:rPr>
          <w:sz w:val="22"/>
          <w:szCs w:val="22"/>
          <w:lang w:val="sk-SK"/>
        </w:rPr>
      </w:pPr>
    </w:p>
    <w:p w14:paraId="6F14C0B8" w14:textId="77777777" w:rsidR="00B94AD8" w:rsidRPr="008A4CD9" w:rsidRDefault="00B94AD8" w:rsidP="008002ED">
      <w:pPr>
        <w:numPr>
          <w:ilvl w:val="0"/>
          <w:numId w:val="1"/>
        </w:numPr>
        <w:tabs>
          <w:tab w:val="clear" w:pos="720"/>
          <w:tab w:val="num" w:pos="360"/>
        </w:tabs>
        <w:ind w:left="360"/>
        <w:rPr>
          <w:b/>
          <w:bCs/>
          <w:sz w:val="22"/>
          <w:szCs w:val="22"/>
          <w:lang w:val="sk-SK"/>
        </w:rPr>
      </w:pPr>
      <w:r w:rsidRPr="008A4CD9">
        <w:rPr>
          <w:b/>
          <w:bCs/>
          <w:sz w:val="22"/>
          <w:szCs w:val="22"/>
          <w:lang w:val="sk-SK"/>
        </w:rPr>
        <w:t>LIEKOVÁ FORMA</w:t>
      </w:r>
    </w:p>
    <w:p w14:paraId="0A323BAC" w14:textId="77777777" w:rsidR="00B94AD8" w:rsidRPr="008A4CD9" w:rsidRDefault="00B94AD8" w:rsidP="008002ED">
      <w:pPr>
        <w:rPr>
          <w:sz w:val="22"/>
          <w:szCs w:val="22"/>
          <w:lang w:val="sk-SK"/>
        </w:rPr>
      </w:pPr>
    </w:p>
    <w:p w14:paraId="4427ED75" w14:textId="77777777" w:rsidR="00B94AD8" w:rsidRPr="008A4CD9" w:rsidRDefault="00B94AD8" w:rsidP="008002ED">
      <w:pPr>
        <w:rPr>
          <w:sz w:val="22"/>
          <w:szCs w:val="22"/>
          <w:lang w:val="sk-SK"/>
        </w:rPr>
      </w:pPr>
      <w:r w:rsidRPr="008A4CD9">
        <w:rPr>
          <w:sz w:val="22"/>
          <w:szCs w:val="22"/>
          <w:lang w:val="sk-SK"/>
        </w:rPr>
        <w:t>Injekčný roztok</w:t>
      </w:r>
    </w:p>
    <w:p w14:paraId="4ACD6F47" w14:textId="77777777" w:rsidR="00B94AD8" w:rsidRPr="008A4CD9" w:rsidRDefault="004C4917" w:rsidP="008002ED">
      <w:pPr>
        <w:rPr>
          <w:sz w:val="22"/>
          <w:szCs w:val="22"/>
          <w:lang w:val="sk-SK"/>
        </w:rPr>
      </w:pPr>
      <w:r w:rsidRPr="008A4CD9">
        <w:rPr>
          <w:sz w:val="22"/>
          <w:szCs w:val="22"/>
          <w:lang w:val="sk-SK"/>
        </w:rPr>
        <w:t>Číry modrý roztok</w:t>
      </w:r>
      <w:r w:rsidR="00F21719" w:rsidRPr="008A4CD9">
        <w:rPr>
          <w:sz w:val="22"/>
          <w:szCs w:val="22"/>
          <w:lang w:val="sk-SK"/>
        </w:rPr>
        <w:t>.</w:t>
      </w:r>
    </w:p>
    <w:p w14:paraId="4632E576" w14:textId="77777777" w:rsidR="00B94AD8" w:rsidRPr="008A4CD9" w:rsidRDefault="00B94AD8" w:rsidP="008002ED">
      <w:pPr>
        <w:rPr>
          <w:sz w:val="22"/>
          <w:szCs w:val="22"/>
          <w:lang w:val="sk-SK"/>
        </w:rPr>
      </w:pPr>
    </w:p>
    <w:p w14:paraId="2999C493" w14:textId="77777777" w:rsidR="00F21719" w:rsidRPr="008A4CD9" w:rsidRDefault="00F21719" w:rsidP="008002ED">
      <w:pPr>
        <w:rPr>
          <w:sz w:val="22"/>
          <w:szCs w:val="22"/>
          <w:lang w:val="sk-SK"/>
        </w:rPr>
      </w:pPr>
    </w:p>
    <w:p w14:paraId="0B16F3AD" w14:textId="77777777" w:rsidR="00B94AD8" w:rsidRPr="008A4CD9" w:rsidRDefault="00B94AD8" w:rsidP="008002ED">
      <w:pPr>
        <w:numPr>
          <w:ilvl w:val="0"/>
          <w:numId w:val="1"/>
        </w:numPr>
        <w:tabs>
          <w:tab w:val="clear" w:pos="720"/>
          <w:tab w:val="num" w:pos="360"/>
        </w:tabs>
        <w:ind w:left="360"/>
        <w:rPr>
          <w:b/>
          <w:bCs/>
          <w:sz w:val="22"/>
          <w:szCs w:val="22"/>
          <w:lang w:val="sk-SK"/>
        </w:rPr>
      </w:pPr>
      <w:r w:rsidRPr="008A4CD9">
        <w:rPr>
          <w:b/>
          <w:bCs/>
          <w:sz w:val="22"/>
          <w:szCs w:val="22"/>
          <w:lang w:val="sk-SK"/>
        </w:rPr>
        <w:t>KLINICKÉ ÚDAJE</w:t>
      </w:r>
    </w:p>
    <w:p w14:paraId="0A8EF723" w14:textId="77777777" w:rsidR="00CE783D" w:rsidRPr="008A4CD9" w:rsidRDefault="00CE783D" w:rsidP="008002ED">
      <w:pPr>
        <w:ind w:left="360"/>
        <w:rPr>
          <w:b/>
          <w:bCs/>
          <w:sz w:val="22"/>
          <w:szCs w:val="22"/>
          <w:lang w:val="sk-SK"/>
        </w:rPr>
      </w:pPr>
    </w:p>
    <w:p w14:paraId="29ABB18A" w14:textId="77777777" w:rsidR="00B94AD8" w:rsidRPr="008A4CD9" w:rsidRDefault="00B94AD8" w:rsidP="008002ED">
      <w:pPr>
        <w:numPr>
          <w:ilvl w:val="1"/>
          <w:numId w:val="7"/>
        </w:numPr>
        <w:rPr>
          <w:b/>
          <w:bCs/>
          <w:sz w:val="22"/>
          <w:szCs w:val="22"/>
          <w:lang w:val="sk-SK"/>
        </w:rPr>
      </w:pPr>
      <w:r w:rsidRPr="008A4CD9">
        <w:rPr>
          <w:b/>
          <w:bCs/>
          <w:sz w:val="22"/>
          <w:szCs w:val="22"/>
          <w:lang w:val="sk-SK"/>
        </w:rPr>
        <w:t>Terapeutické indikácie</w:t>
      </w:r>
    </w:p>
    <w:p w14:paraId="3AC6BAF9" w14:textId="77777777" w:rsidR="00B94AD8" w:rsidRPr="008A4CD9" w:rsidRDefault="00B94AD8" w:rsidP="008002ED">
      <w:pPr>
        <w:rPr>
          <w:sz w:val="22"/>
          <w:szCs w:val="22"/>
          <w:lang w:val="sk-SK"/>
        </w:rPr>
      </w:pPr>
    </w:p>
    <w:p w14:paraId="74FFB301" w14:textId="77777777" w:rsidR="00B94AD8" w:rsidRPr="008A4CD9" w:rsidRDefault="00B94AD8" w:rsidP="0074417D">
      <w:pPr>
        <w:pStyle w:val="Zkladntext"/>
        <w:rPr>
          <w:sz w:val="22"/>
          <w:szCs w:val="22"/>
        </w:rPr>
      </w:pPr>
      <w:r w:rsidRPr="008A4CD9">
        <w:rPr>
          <w:sz w:val="22"/>
          <w:szCs w:val="22"/>
        </w:rPr>
        <w:t xml:space="preserve">Tento liek je </w:t>
      </w:r>
      <w:r w:rsidRPr="008A4CD9">
        <w:rPr>
          <w:noProof/>
          <w:sz w:val="22"/>
          <w:szCs w:val="22"/>
        </w:rPr>
        <w:t xml:space="preserve">určený </w:t>
      </w:r>
      <w:r w:rsidRPr="008A4CD9">
        <w:rPr>
          <w:sz w:val="22"/>
          <w:szCs w:val="22"/>
        </w:rPr>
        <w:t>len na diagnostické použitie.</w:t>
      </w:r>
    </w:p>
    <w:p w14:paraId="10831152" w14:textId="77777777" w:rsidR="00F87048" w:rsidRPr="008A4CD9" w:rsidRDefault="00B1139E" w:rsidP="0074417D">
      <w:pPr>
        <w:pStyle w:val="Zkladntext"/>
        <w:rPr>
          <w:sz w:val="22"/>
          <w:szCs w:val="22"/>
        </w:rPr>
      </w:pPr>
      <w:r w:rsidRPr="008A4CD9">
        <w:rPr>
          <w:sz w:val="22"/>
          <w:szCs w:val="22"/>
        </w:rPr>
        <w:t>Pomocný diagnostický liek</w:t>
      </w:r>
      <w:r w:rsidR="00B94AD8" w:rsidRPr="008A4CD9">
        <w:rPr>
          <w:sz w:val="22"/>
          <w:szCs w:val="22"/>
        </w:rPr>
        <w:t xml:space="preserve"> (farbivo) </w:t>
      </w:r>
      <w:r w:rsidR="00F87048" w:rsidRPr="008A4CD9">
        <w:rPr>
          <w:sz w:val="22"/>
          <w:szCs w:val="22"/>
        </w:rPr>
        <w:t>na:</w:t>
      </w:r>
    </w:p>
    <w:p w14:paraId="0F3C3642" w14:textId="65525A50" w:rsidR="00B94AD8" w:rsidRPr="008A4CD9" w:rsidRDefault="00B94AD8" w:rsidP="008A4CD9">
      <w:pPr>
        <w:pStyle w:val="Zkladntext"/>
        <w:numPr>
          <w:ilvl w:val="0"/>
          <w:numId w:val="9"/>
        </w:numPr>
        <w:ind w:left="567" w:hanging="567"/>
        <w:rPr>
          <w:sz w:val="22"/>
          <w:szCs w:val="22"/>
        </w:rPr>
      </w:pPr>
      <w:r w:rsidRPr="008A4CD9">
        <w:rPr>
          <w:sz w:val="22"/>
          <w:szCs w:val="22"/>
        </w:rPr>
        <w:t>zobrazeni</w:t>
      </w:r>
      <w:r w:rsidR="00F87048" w:rsidRPr="008A4CD9">
        <w:rPr>
          <w:sz w:val="22"/>
          <w:szCs w:val="22"/>
        </w:rPr>
        <w:t>e</w:t>
      </w:r>
      <w:r w:rsidRPr="008A4CD9">
        <w:rPr>
          <w:sz w:val="22"/>
          <w:szCs w:val="22"/>
        </w:rPr>
        <w:t xml:space="preserve"> lymfatických ciev pred lymfografiou</w:t>
      </w:r>
    </w:p>
    <w:p w14:paraId="13FA2FB0" w14:textId="6933159A" w:rsidR="00F87048" w:rsidRPr="008A4CD9" w:rsidRDefault="00F87048" w:rsidP="008A4CD9">
      <w:pPr>
        <w:pStyle w:val="Odsekzoznamu"/>
        <w:numPr>
          <w:ilvl w:val="0"/>
          <w:numId w:val="9"/>
        </w:numPr>
        <w:ind w:left="567" w:hanging="567"/>
        <w:jc w:val="both"/>
        <w:rPr>
          <w:sz w:val="22"/>
          <w:szCs w:val="22"/>
        </w:rPr>
      </w:pPr>
      <w:r w:rsidRPr="008A4CD9">
        <w:rPr>
          <w:sz w:val="22"/>
          <w:szCs w:val="22"/>
          <w:lang w:val="sk-SK"/>
        </w:rPr>
        <w:t xml:space="preserve">značenie </w:t>
      </w:r>
      <w:proofErr w:type="spellStart"/>
      <w:r w:rsidRPr="008A4CD9">
        <w:rPr>
          <w:sz w:val="22"/>
          <w:szCs w:val="22"/>
          <w:lang w:val="sk-SK"/>
        </w:rPr>
        <w:t>sentinelových</w:t>
      </w:r>
      <w:proofErr w:type="spellEnd"/>
      <w:r w:rsidRPr="008A4CD9">
        <w:rPr>
          <w:sz w:val="22"/>
          <w:szCs w:val="22"/>
          <w:lang w:val="sk-SK"/>
        </w:rPr>
        <w:t xml:space="preserve"> uzlín pred biopsiou u pacientov s operabilným karcinómom prsníka</w:t>
      </w:r>
    </w:p>
    <w:p w14:paraId="391D4F5F" w14:textId="77777777" w:rsidR="00131542" w:rsidRPr="008A4CD9" w:rsidRDefault="00131542" w:rsidP="008002ED">
      <w:pPr>
        <w:rPr>
          <w:sz w:val="22"/>
          <w:szCs w:val="22"/>
          <w:lang w:val="sk-SK"/>
        </w:rPr>
      </w:pPr>
    </w:p>
    <w:p w14:paraId="347AC741" w14:textId="77777777" w:rsidR="00F87048" w:rsidRPr="008A4CD9" w:rsidRDefault="00B94AD8" w:rsidP="008002ED">
      <w:pPr>
        <w:pStyle w:val="Nzov"/>
        <w:numPr>
          <w:ilvl w:val="1"/>
          <w:numId w:val="7"/>
        </w:numPr>
        <w:jc w:val="left"/>
        <w:rPr>
          <w:sz w:val="22"/>
          <w:szCs w:val="22"/>
          <w:lang w:val="sk-SK"/>
        </w:rPr>
      </w:pPr>
      <w:r w:rsidRPr="008A4CD9">
        <w:rPr>
          <w:sz w:val="22"/>
          <w:szCs w:val="22"/>
          <w:lang w:val="sk-SK"/>
        </w:rPr>
        <w:t xml:space="preserve">Dávkovanie a spôsob podávania </w:t>
      </w:r>
    </w:p>
    <w:p w14:paraId="653AE4D9" w14:textId="77777777" w:rsidR="00B94AD8" w:rsidRPr="008A4CD9" w:rsidRDefault="00B94AD8" w:rsidP="008002ED">
      <w:pPr>
        <w:pStyle w:val="Nzov"/>
        <w:jc w:val="left"/>
        <w:rPr>
          <w:b w:val="0"/>
          <w:bCs w:val="0"/>
          <w:sz w:val="22"/>
          <w:szCs w:val="22"/>
          <w:lang w:val="sk-SK"/>
        </w:rPr>
      </w:pPr>
    </w:p>
    <w:p w14:paraId="1F6A49AD" w14:textId="77777777" w:rsidR="00F87048" w:rsidRPr="008A4CD9" w:rsidRDefault="00F87048" w:rsidP="0074417D">
      <w:pPr>
        <w:pStyle w:val="Nzov"/>
        <w:jc w:val="both"/>
        <w:rPr>
          <w:b w:val="0"/>
          <w:bCs w:val="0"/>
          <w:sz w:val="22"/>
          <w:szCs w:val="22"/>
          <w:lang w:val="sk-SK"/>
        </w:rPr>
      </w:pPr>
      <w:r w:rsidRPr="008A4CD9">
        <w:rPr>
          <w:b w:val="0"/>
          <w:bCs w:val="0"/>
          <w:sz w:val="22"/>
          <w:szCs w:val="22"/>
          <w:lang w:val="sk-SK"/>
        </w:rPr>
        <w:t>Z</w:t>
      </w:r>
      <w:r w:rsidR="00131542" w:rsidRPr="008A4CD9">
        <w:rPr>
          <w:b w:val="0"/>
          <w:bCs w:val="0"/>
          <w:sz w:val="22"/>
          <w:szCs w:val="22"/>
          <w:lang w:val="sk-SK"/>
        </w:rPr>
        <w:t>obraze</w:t>
      </w:r>
      <w:r w:rsidRPr="008A4CD9">
        <w:rPr>
          <w:b w:val="0"/>
          <w:bCs w:val="0"/>
          <w:sz w:val="22"/>
          <w:szCs w:val="22"/>
          <w:lang w:val="sk-SK"/>
        </w:rPr>
        <w:t>nie lymfatických ciev</w:t>
      </w:r>
    </w:p>
    <w:p w14:paraId="4B993A74" w14:textId="77777777" w:rsidR="00B94AD8" w:rsidRPr="008A4CD9" w:rsidRDefault="007C3164" w:rsidP="0074417D">
      <w:pPr>
        <w:pStyle w:val="Nzov"/>
        <w:jc w:val="both"/>
        <w:rPr>
          <w:b w:val="0"/>
          <w:bCs w:val="0"/>
          <w:sz w:val="22"/>
          <w:szCs w:val="22"/>
          <w:lang w:val="sk-SK"/>
        </w:rPr>
      </w:pPr>
      <w:r w:rsidRPr="008A4CD9">
        <w:rPr>
          <w:b w:val="0"/>
          <w:sz w:val="22"/>
          <w:szCs w:val="22"/>
          <w:lang w:val="sk-SK"/>
        </w:rPr>
        <w:t>PATENTBLAU V</w:t>
      </w:r>
      <w:r w:rsidR="00B1139E" w:rsidRPr="008A4CD9">
        <w:rPr>
          <w:b w:val="0"/>
          <w:bCs w:val="0"/>
          <w:sz w:val="22"/>
          <w:szCs w:val="22"/>
          <w:lang w:val="sk-SK"/>
        </w:rPr>
        <w:t> sa podáva v jednora</w:t>
      </w:r>
      <w:r w:rsidR="00B94AD8" w:rsidRPr="008A4CD9">
        <w:rPr>
          <w:b w:val="0"/>
          <w:bCs w:val="0"/>
          <w:sz w:val="22"/>
          <w:szCs w:val="22"/>
          <w:lang w:val="sk-SK"/>
        </w:rPr>
        <w:t>zovej dávke 1 -10 ml pred lymfografickým vyšetrením podkožnou injekciou po miestnom znecitlivení. Miestom aplikácie je podľa oblasti vyšetrenia chrbát nohy alebo ruky v mieste prvej, alebo druhej medziprstnej riasy. Po masáži alebo pasívnych pohyboch nôh alebo rúk, sa prevedie priečna alebo vo smere lymfatickej cievy orientovaná incízia kože, ktorou sa obnaží nafarbená lymfatická cieva.</w:t>
      </w:r>
    </w:p>
    <w:p w14:paraId="50644E5B" w14:textId="77777777" w:rsidR="00B94AD8" w:rsidRPr="008A4CD9" w:rsidRDefault="00B94AD8" w:rsidP="0074417D">
      <w:pPr>
        <w:pStyle w:val="Nzov"/>
        <w:ind w:left="360" w:hanging="360"/>
        <w:jc w:val="both"/>
        <w:rPr>
          <w:b w:val="0"/>
          <w:bCs w:val="0"/>
          <w:sz w:val="22"/>
          <w:szCs w:val="22"/>
          <w:lang w:val="sk-SK"/>
        </w:rPr>
      </w:pPr>
      <w:r w:rsidRPr="008A4CD9">
        <w:rPr>
          <w:b w:val="0"/>
          <w:bCs w:val="0"/>
          <w:sz w:val="22"/>
          <w:szCs w:val="22"/>
          <w:lang w:val="sk-SK"/>
        </w:rPr>
        <w:t xml:space="preserve">V rámci lymfografického vyšetrenia  sa </w:t>
      </w:r>
      <w:r w:rsidR="007C3164" w:rsidRPr="008A4CD9">
        <w:rPr>
          <w:b w:val="0"/>
          <w:sz w:val="22"/>
          <w:szCs w:val="22"/>
          <w:lang w:val="sk-SK"/>
        </w:rPr>
        <w:t>PATENTBLAU V</w:t>
      </w:r>
      <w:r w:rsidR="00B1139E" w:rsidRPr="008A4CD9">
        <w:rPr>
          <w:b w:val="0"/>
          <w:bCs w:val="0"/>
          <w:sz w:val="22"/>
          <w:szCs w:val="22"/>
          <w:lang w:val="sk-SK"/>
        </w:rPr>
        <w:t> podáva spravidla jednora</w:t>
      </w:r>
      <w:r w:rsidRPr="008A4CD9">
        <w:rPr>
          <w:b w:val="0"/>
          <w:bCs w:val="0"/>
          <w:sz w:val="22"/>
          <w:szCs w:val="22"/>
          <w:lang w:val="sk-SK"/>
        </w:rPr>
        <w:t>zovo.</w:t>
      </w:r>
    </w:p>
    <w:p w14:paraId="331EC736" w14:textId="77777777" w:rsidR="00B94AD8" w:rsidRPr="008A4CD9" w:rsidRDefault="00B94AD8" w:rsidP="0074417D">
      <w:pPr>
        <w:jc w:val="both"/>
        <w:rPr>
          <w:sz w:val="22"/>
          <w:szCs w:val="22"/>
          <w:lang w:val="sk-SK"/>
        </w:rPr>
      </w:pPr>
    </w:p>
    <w:p w14:paraId="3ECD2767" w14:textId="77777777" w:rsidR="00F87048" w:rsidRPr="008A4CD9" w:rsidRDefault="00F87048" w:rsidP="0074417D">
      <w:pPr>
        <w:jc w:val="both"/>
        <w:rPr>
          <w:sz w:val="22"/>
          <w:szCs w:val="22"/>
          <w:lang w:val="sk-SK"/>
        </w:rPr>
      </w:pPr>
      <w:r w:rsidRPr="008A4CD9">
        <w:rPr>
          <w:sz w:val="22"/>
          <w:szCs w:val="22"/>
          <w:lang w:val="sk-SK"/>
        </w:rPr>
        <w:t>Značenie sentinelových uzlín</w:t>
      </w:r>
    </w:p>
    <w:p w14:paraId="5F6D6A84" w14:textId="77777777" w:rsidR="00F87048" w:rsidRPr="008A4CD9" w:rsidRDefault="007C3164" w:rsidP="0074417D">
      <w:pPr>
        <w:jc w:val="both"/>
        <w:rPr>
          <w:sz w:val="22"/>
          <w:szCs w:val="22"/>
          <w:lang w:val="sk-SK"/>
        </w:rPr>
      </w:pPr>
      <w:r w:rsidRPr="008A4CD9">
        <w:rPr>
          <w:sz w:val="22"/>
          <w:szCs w:val="22"/>
          <w:lang w:val="sk-SK"/>
        </w:rPr>
        <w:t>PATENTBLAU V</w:t>
      </w:r>
      <w:r w:rsidR="00F87048" w:rsidRPr="008A4CD9">
        <w:rPr>
          <w:sz w:val="22"/>
          <w:szCs w:val="22"/>
          <w:lang w:val="sk-SK"/>
        </w:rPr>
        <w:t> sa podáva v jednorazovej dávke 1-2 ml podkožnou injekciou v okolí nádoru alebo prsných dvorcov</w:t>
      </w:r>
      <w:r w:rsidR="004B6359" w:rsidRPr="008A4CD9">
        <w:rPr>
          <w:sz w:val="22"/>
          <w:szCs w:val="22"/>
          <w:lang w:val="sk-SK"/>
        </w:rPr>
        <w:t>.</w:t>
      </w:r>
    </w:p>
    <w:p w14:paraId="039C2A77" w14:textId="77777777" w:rsidR="00131542" w:rsidRPr="008A4CD9" w:rsidRDefault="00131542" w:rsidP="00930694">
      <w:pPr>
        <w:rPr>
          <w:sz w:val="22"/>
          <w:szCs w:val="22"/>
          <w:lang w:val="sk-SK"/>
        </w:rPr>
      </w:pPr>
    </w:p>
    <w:p w14:paraId="1915C8E9" w14:textId="77777777" w:rsidR="00B94AD8" w:rsidRPr="008A4CD9" w:rsidRDefault="00B94AD8" w:rsidP="00930694">
      <w:pPr>
        <w:rPr>
          <w:b/>
          <w:bCs/>
          <w:sz w:val="22"/>
          <w:szCs w:val="22"/>
          <w:lang w:val="sk-SK"/>
        </w:rPr>
      </w:pPr>
      <w:r w:rsidRPr="008A4CD9">
        <w:rPr>
          <w:b/>
          <w:bCs/>
          <w:sz w:val="22"/>
          <w:szCs w:val="22"/>
          <w:lang w:val="sk-SK"/>
        </w:rPr>
        <w:t>4.3 Kontraindikácie</w:t>
      </w:r>
    </w:p>
    <w:p w14:paraId="73C95687" w14:textId="77777777" w:rsidR="00B94AD8" w:rsidRPr="008A4CD9" w:rsidRDefault="00B94AD8" w:rsidP="00930694">
      <w:pPr>
        <w:pStyle w:val="Zarkazkladnhotextu"/>
        <w:ind w:left="0"/>
        <w:rPr>
          <w:sz w:val="22"/>
          <w:szCs w:val="22"/>
        </w:rPr>
      </w:pPr>
    </w:p>
    <w:p w14:paraId="0E09689D" w14:textId="77777777" w:rsidR="00B94AD8" w:rsidRPr="008A4CD9" w:rsidRDefault="00B94AD8" w:rsidP="0074417D">
      <w:pPr>
        <w:pStyle w:val="Zarkazkladnhotextu"/>
        <w:ind w:left="0"/>
        <w:jc w:val="both"/>
        <w:rPr>
          <w:sz w:val="22"/>
          <w:szCs w:val="22"/>
        </w:rPr>
      </w:pPr>
      <w:r w:rsidRPr="008A4CD9">
        <w:rPr>
          <w:sz w:val="22"/>
          <w:szCs w:val="22"/>
        </w:rPr>
        <w:t xml:space="preserve">Precitlivenosť na </w:t>
      </w:r>
      <w:r w:rsidR="0051320D" w:rsidRPr="008A4CD9">
        <w:rPr>
          <w:sz w:val="22"/>
          <w:szCs w:val="22"/>
        </w:rPr>
        <w:t>liečivo</w:t>
      </w:r>
      <w:r w:rsidRPr="008A4CD9">
        <w:rPr>
          <w:sz w:val="22"/>
          <w:szCs w:val="22"/>
        </w:rPr>
        <w:t>, trifenylmetánové farbivá alebo na ktorúkoľvek z pomocných látok uvedených v časti 6.1.</w:t>
      </w:r>
    </w:p>
    <w:p w14:paraId="19FF1459" w14:textId="77777777" w:rsidR="00B94AD8" w:rsidRPr="008A4CD9" w:rsidRDefault="00BB5DFE" w:rsidP="0074417D">
      <w:pPr>
        <w:jc w:val="both"/>
        <w:rPr>
          <w:sz w:val="22"/>
          <w:szCs w:val="22"/>
          <w:lang w:val="sk-SK"/>
        </w:rPr>
      </w:pPr>
      <w:r w:rsidRPr="008A4CD9">
        <w:rPr>
          <w:sz w:val="22"/>
          <w:szCs w:val="22"/>
          <w:lang w:val="sk-SK"/>
        </w:rPr>
        <w:lastRenderedPageBreak/>
        <w:t>Liek sa všeobecne neodporúča</w:t>
      </w:r>
      <w:r w:rsidR="00B94AD8" w:rsidRPr="008A4CD9">
        <w:rPr>
          <w:sz w:val="22"/>
          <w:szCs w:val="22"/>
          <w:lang w:val="sk-SK"/>
        </w:rPr>
        <w:t xml:space="preserve"> podávať v tehotenstve.</w:t>
      </w:r>
    </w:p>
    <w:p w14:paraId="781BAEB4" w14:textId="77777777" w:rsidR="00B94AD8" w:rsidRPr="008A4CD9" w:rsidRDefault="00B94AD8" w:rsidP="00930694">
      <w:pPr>
        <w:rPr>
          <w:b/>
          <w:bCs/>
          <w:sz w:val="22"/>
          <w:szCs w:val="22"/>
          <w:lang w:val="sk-SK"/>
        </w:rPr>
      </w:pPr>
      <w:r w:rsidRPr="008A4CD9">
        <w:rPr>
          <w:b/>
          <w:bCs/>
          <w:sz w:val="22"/>
          <w:szCs w:val="22"/>
          <w:lang w:val="sk-SK"/>
        </w:rPr>
        <w:t xml:space="preserve">4.4 </w:t>
      </w:r>
      <w:r w:rsidRPr="008A4CD9">
        <w:rPr>
          <w:b/>
          <w:sz w:val="22"/>
          <w:szCs w:val="22"/>
        </w:rPr>
        <w:t xml:space="preserve"> </w:t>
      </w:r>
      <w:proofErr w:type="spellStart"/>
      <w:r w:rsidRPr="008A4CD9">
        <w:rPr>
          <w:b/>
          <w:sz w:val="22"/>
          <w:szCs w:val="22"/>
        </w:rPr>
        <w:t>Osobitné</w:t>
      </w:r>
      <w:proofErr w:type="spellEnd"/>
      <w:r w:rsidRPr="008A4CD9">
        <w:rPr>
          <w:b/>
          <w:sz w:val="22"/>
          <w:szCs w:val="22"/>
        </w:rPr>
        <w:t xml:space="preserve"> </w:t>
      </w:r>
      <w:proofErr w:type="spellStart"/>
      <w:r w:rsidRPr="008A4CD9">
        <w:rPr>
          <w:b/>
          <w:sz w:val="22"/>
          <w:szCs w:val="22"/>
        </w:rPr>
        <w:t>upozornenia</w:t>
      </w:r>
      <w:proofErr w:type="spellEnd"/>
      <w:r w:rsidRPr="008A4CD9">
        <w:rPr>
          <w:b/>
          <w:sz w:val="22"/>
          <w:szCs w:val="22"/>
        </w:rPr>
        <w:t xml:space="preserve"> a </w:t>
      </w:r>
      <w:proofErr w:type="spellStart"/>
      <w:r w:rsidRPr="008A4CD9">
        <w:rPr>
          <w:b/>
          <w:sz w:val="22"/>
          <w:szCs w:val="22"/>
        </w:rPr>
        <w:t>opatrenia</w:t>
      </w:r>
      <w:proofErr w:type="spellEnd"/>
      <w:r w:rsidRPr="008A4CD9">
        <w:rPr>
          <w:b/>
          <w:sz w:val="22"/>
          <w:szCs w:val="22"/>
        </w:rPr>
        <w:t xml:space="preserve"> </w:t>
      </w:r>
      <w:proofErr w:type="spellStart"/>
      <w:r w:rsidRPr="008A4CD9">
        <w:rPr>
          <w:b/>
          <w:sz w:val="22"/>
          <w:szCs w:val="22"/>
        </w:rPr>
        <w:t>pri</w:t>
      </w:r>
      <w:proofErr w:type="spellEnd"/>
      <w:r w:rsidRPr="008A4CD9">
        <w:rPr>
          <w:b/>
          <w:sz w:val="22"/>
          <w:szCs w:val="22"/>
        </w:rPr>
        <w:t xml:space="preserve"> používaní</w:t>
      </w:r>
    </w:p>
    <w:p w14:paraId="590A306A" w14:textId="77777777" w:rsidR="00B94AD8" w:rsidRPr="008A4CD9" w:rsidRDefault="00B94AD8" w:rsidP="00930694">
      <w:pPr>
        <w:pStyle w:val="Zarkazkladnhotextu"/>
        <w:ind w:left="0"/>
        <w:rPr>
          <w:sz w:val="22"/>
          <w:szCs w:val="22"/>
        </w:rPr>
      </w:pPr>
    </w:p>
    <w:p w14:paraId="76F04A9D" w14:textId="77777777" w:rsidR="00B94AD8" w:rsidRPr="008A4CD9" w:rsidRDefault="00B94AD8" w:rsidP="0074417D">
      <w:pPr>
        <w:pStyle w:val="AmmListePuces1"/>
        <w:numPr>
          <w:ilvl w:val="0"/>
          <w:numId w:val="0"/>
        </w:numPr>
        <w:jc w:val="both"/>
        <w:rPr>
          <w:rFonts w:ascii="Times New Roman" w:hAnsi="Times New Roman"/>
          <w:sz w:val="22"/>
          <w:szCs w:val="22"/>
          <w:lang w:val="sk-SK"/>
        </w:rPr>
      </w:pPr>
      <w:r w:rsidRPr="008A4CD9">
        <w:rPr>
          <w:rFonts w:ascii="Times New Roman" w:hAnsi="Times New Roman"/>
          <w:sz w:val="22"/>
          <w:szCs w:val="22"/>
          <w:lang w:val="sk-SK"/>
        </w:rPr>
        <w:t xml:space="preserve">Pri všetkých spôsoboch podania alebo dávkach existuje riziko vzniku alergických reakcií. </w:t>
      </w:r>
      <w:r w:rsidR="007C3164" w:rsidRPr="008A4CD9">
        <w:rPr>
          <w:rFonts w:ascii="Times New Roman" w:hAnsi="Times New Roman"/>
          <w:sz w:val="22"/>
          <w:szCs w:val="22"/>
          <w:lang w:val="sk-SK"/>
        </w:rPr>
        <w:t>PATENTBLAU V</w:t>
      </w:r>
      <w:r w:rsidRPr="008A4CD9">
        <w:rPr>
          <w:rFonts w:ascii="Times New Roman" w:hAnsi="Times New Roman"/>
          <w:sz w:val="22"/>
          <w:szCs w:val="22"/>
          <w:lang w:val="sk-SK"/>
        </w:rPr>
        <w:t xml:space="preserve"> môže vyvolať málo alebo veľmi závažné alergické reakcie, ktoré môžu byť život ohrozujúce alebo až fatálne (anafylaktický šok). Často sú nepredvídateľné, no častejšie sa vyskytujú u pacientov s anamnézou reakcií precitlivenosti na </w:t>
      </w:r>
      <w:r w:rsidR="007C3164" w:rsidRPr="008A4CD9">
        <w:rPr>
          <w:rFonts w:ascii="Times New Roman" w:hAnsi="Times New Roman"/>
          <w:sz w:val="22"/>
          <w:szCs w:val="22"/>
          <w:lang w:val="sk-SK"/>
        </w:rPr>
        <w:t>PATENTBLAU V</w:t>
      </w:r>
      <w:r w:rsidRPr="008A4CD9">
        <w:rPr>
          <w:rFonts w:ascii="Times New Roman" w:hAnsi="Times New Roman"/>
          <w:sz w:val="22"/>
          <w:szCs w:val="22"/>
          <w:lang w:val="sk-SK"/>
        </w:rPr>
        <w:t xml:space="preserve"> alebo podobné trifenylmetánové farbivá obsiahnuté v liekoch, potravinách a kozmetike. Pri týchto predisponovaných pacientoch je potrebné indikáciu veľmi starostlivo zvážiť. U pacientov s rizikom reakcií intolerancie (anamnéza intolerancie na </w:t>
      </w:r>
      <w:r w:rsidR="007C3164" w:rsidRPr="008A4CD9">
        <w:rPr>
          <w:rFonts w:ascii="Times New Roman" w:hAnsi="Times New Roman"/>
          <w:sz w:val="22"/>
          <w:szCs w:val="22"/>
          <w:lang w:val="sk-SK"/>
        </w:rPr>
        <w:t>PATENTBLAU V</w:t>
      </w:r>
      <w:r w:rsidRPr="008A4CD9">
        <w:rPr>
          <w:rFonts w:ascii="Times New Roman" w:hAnsi="Times New Roman"/>
          <w:sz w:val="22"/>
          <w:szCs w:val="22"/>
          <w:lang w:val="sk-SK"/>
        </w:rPr>
        <w:t xml:space="preserve"> alebo podobné trifenylmetánové farbivá) sa ako premedikácia odporúčajú kortikosteroidy a antihistaminiká typu H1. Nezabraňujú však výskytu vážneho alebo fatálneho anafylaktického šoku.</w:t>
      </w:r>
    </w:p>
    <w:p w14:paraId="7B6B6FC1" w14:textId="77777777" w:rsidR="00B94AD8" w:rsidRPr="008A4CD9" w:rsidRDefault="00B94AD8" w:rsidP="0074417D">
      <w:pPr>
        <w:pStyle w:val="AmmListePuces1"/>
        <w:numPr>
          <w:ilvl w:val="0"/>
          <w:numId w:val="0"/>
        </w:numPr>
        <w:jc w:val="both"/>
        <w:rPr>
          <w:rFonts w:ascii="Times New Roman" w:hAnsi="Times New Roman"/>
          <w:sz w:val="22"/>
          <w:szCs w:val="22"/>
          <w:lang w:val="sk-SK"/>
        </w:rPr>
      </w:pPr>
    </w:p>
    <w:p w14:paraId="63AB2FBB" w14:textId="77777777" w:rsidR="00B94AD8" w:rsidRPr="008A4CD9" w:rsidRDefault="00B94AD8" w:rsidP="0074417D">
      <w:pPr>
        <w:pStyle w:val="AmmListePuces1"/>
        <w:numPr>
          <w:ilvl w:val="0"/>
          <w:numId w:val="0"/>
        </w:numPr>
        <w:jc w:val="both"/>
        <w:rPr>
          <w:rFonts w:ascii="Times New Roman" w:hAnsi="Times New Roman"/>
          <w:sz w:val="22"/>
          <w:szCs w:val="22"/>
          <w:lang w:val="sk-SK"/>
        </w:rPr>
      </w:pPr>
      <w:r w:rsidRPr="008A4CD9">
        <w:rPr>
          <w:rFonts w:ascii="Times New Roman" w:hAnsi="Times New Roman"/>
          <w:sz w:val="22"/>
          <w:szCs w:val="22"/>
          <w:lang w:val="sk-SK"/>
        </w:rPr>
        <w:t>Vzhľadom na riziko závažnejšej reakcie musia byť okamžite k dispozícii pohotovostné op</w:t>
      </w:r>
      <w:r w:rsidR="00B1139E" w:rsidRPr="008A4CD9">
        <w:rPr>
          <w:rFonts w:ascii="Times New Roman" w:hAnsi="Times New Roman"/>
          <w:sz w:val="22"/>
          <w:szCs w:val="22"/>
          <w:lang w:val="sk-SK"/>
        </w:rPr>
        <w:t>atrenia, najmä pri pacientoch užívajúcich beta blokátory</w:t>
      </w:r>
      <w:r w:rsidR="00B06F44" w:rsidRPr="008A4CD9">
        <w:rPr>
          <w:rFonts w:ascii="Times New Roman" w:hAnsi="Times New Roman"/>
          <w:sz w:val="22"/>
          <w:szCs w:val="22"/>
          <w:lang w:val="sk-SK"/>
        </w:rPr>
        <w:t>, u ktorých by bola regulácia krvného tlaku  a vaskulárny prietok nedostatočný</w:t>
      </w:r>
      <w:r w:rsidRPr="008A4CD9">
        <w:rPr>
          <w:rFonts w:ascii="Times New Roman" w:hAnsi="Times New Roman"/>
          <w:sz w:val="22"/>
          <w:szCs w:val="22"/>
          <w:lang w:val="sk-SK"/>
        </w:rPr>
        <w:t xml:space="preserve">. Preto sa </w:t>
      </w:r>
      <w:r w:rsidR="007C3164" w:rsidRPr="008A4CD9">
        <w:rPr>
          <w:rFonts w:ascii="Times New Roman" w:hAnsi="Times New Roman"/>
          <w:sz w:val="22"/>
          <w:szCs w:val="22"/>
          <w:lang w:val="sk-SK"/>
        </w:rPr>
        <w:t>PATENTBLAU V</w:t>
      </w:r>
      <w:r w:rsidRPr="008A4CD9">
        <w:rPr>
          <w:rFonts w:ascii="Times New Roman" w:hAnsi="Times New Roman"/>
          <w:sz w:val="22"/>
          <w:szCs w:val="22"/>
          <w:lang w:val="sk-SK"/>
        </w:rPr>
        <w:t xml:space="preserve"> musí podávať len v zariadení, ktoré je schopné poskytnúť adekvátnu liečbu.</w:t>
      </w:r>
    </w:p>
    <w:p w14:paraId="3952F313" w14:textId="77777777" w:rsidR="00B94AD8" w:rsidRPr="008A4CD9" w:rsidRDefault="00B94AD8" w:rsidP="0074417D">
      <w:pPr>
        <w:jc w:val="both"/>
        <w:rPr>
          <w:sz w:val="22"/>
          <w:szCs w:val="22"/>
          <w:lang w:val="sk-SK"/>
        </w:rPr>
      </w:pPr>
    </w:p>
    <w:p w14:paraId="3E43E716" w14:textId="77777777" w:rsidR="00B94AD8" w:rsidRPr="008A4CD9" w:rsidRDefault="00B94AD8" w:rsidP="0074417D">
      <w:pPr>
        <w:jc w:val="both"/>
        <w:rPr>
          <w:sz w:val="22"/>
          <w:szCs w:val="22"/>
          <w:lang w:val="sk-SK"/>
        </w:rPr>
      </w:pPr>
      <w:r w:rsidRPr="008A4CD9">
        <w:rPr>
          <w:sz w:val="22"/>
          <w:szCs w:val="22"/>
          <w:lang w:val="sk-SK"/>
        </w:rPr>
        <w:t xml:space="preserve">Pred podaním </w:t>
      </w:r>
      <w:r w:rsidR="007C3164" w:rsidRPr="008A4CD9">
        <w:rPr>
          <w:sz w:val="22"/>
          <w:szCs w:val="22"/>
          <w:lang w:val="sk-SK"/>
        </w:rPr>
        <w:t>PATENTBLAU V</w:t>
      </w:r>
      <w:r w:rsidRPr="008A4CD9">
        <w:rPr>
          <w:sz w:val="22"/>
          <w:szCs w:val="22"/>
          <w:lang w:val="sk-SK"/>
        </w:rPr>
        <w:t>:</w:t>
      </w:r>
    </w:p>
    <w:p w14:paraId="4E04FFE6" w14:textId="77777777" w:rsidR="00B94AD8" w:rsidRPr="008A4CD9" w:rsidRDefault="00B94AD8" w:rsidP="0074417D">
      <w:pPr>
        <w:pStyle w:val="AmmListePuces1"/>
        <w:jc w:val="both"/>
        <w:rPr>
          <w:rFonts w:ascii="Times New Roman" w:hAnsi="Times New Roman"/>
          <w:sz w:val="22"/>
          <w:szCs w:val="22"/>
          <w:lang w:val="sk-SK"/>
        </w:rPr>
      </w:pPr>
      <w:r w:rsidRPr="008A4CD9">
        <w:rPr>
          <w:rFonts w:ascii="Times New Roman" w:hAnsi="Times New Roman"/>
          <w:sz w:val="22"/>
          <w:szCs w:val="22"/>
          <w:lang w:val="sk-SK"/>
        </w:rPr>
        <w:t>Identifikujte rizikových pacientov dôkladným rozhovorom o ich anamnéze.</w:t>
      </w:r>
    </w:p>
    <w:p w14:paraId="30D9EA48" w14:textId="77777777" w:rsidR="00B94AD8" w:rsidRPr="008A4CD9" w:rsidRDefault="00B94AD8" w:rsidP="0074417D">
      <w:pPr>
        <w:pStyle w:val="AmmListePuces1"/>
        <w:jc w:val="both"/>
        <w:rPr>
          <w:rFonts w:ascii="Times New Roman" w:hAnsi="Times New Roman"/>
          <w:sz w:val="22"/>
          <w:szCs w:val="22"/>
          <w:lang w:val="sk-SK"/>
        </w:rPr>
      </w:pPr>
      <w:r w:rsidRPr="008A4CD9">
        <w:rPr>
          <w:rFonts w:ascii="Times New Roman" w:hAnsi="Times New Roman"/>
          <w:sz w:val="22"/>
          <w:szCs w:val="22"/>
          <w:lang w:val="sk-SK"/>
        </w:rPr>
        <w:t xml:space="preserve">Zaveďte </w:t>
      </w:r>
      <w:r w:rsidR="00B1139E" w:rsidRPr="008A4CD9">
        <w:rPr>
          <w:rFonts w:ascii="Times New Roman" w:hAnsi="Times New Roman"/>
          <w:sz w:val="22"/>
          <w:szCs w:val="22"/>
          <w:lang w:val="sk-SK"/>
        </w:rPr>
        <w:t>intra</w:t>
      </w:r>
      <w:r w:rsidRPr="008A4CD9">
        <w:rPr>
          <w:rFonts w:ascii="Times New Roman" w:hAnsi="Times New Roman"/>
          <w:sz w:val="22"/>
          <w:szCs w:val="22"/>
          <w:lang w:val="sk-SK"/>
        </w:rPr>
        <w:t>venózny katéter</w:t>
      </w:r>
    </w:p>
    <w:p w14:paraId="32FD89D3" w14:textId="77777777" w:rsidR="00B94AD8" w:rsidRPr="008A4CD9" w:rsidRDefault="00B94AD8" w:rsidP="0074417D">
      <w:pPr>
        <w:jc w:val="both"/>
        <w:rPr>
          <w:sz w:val="22"/>
          <w:szCs w:val="22"/>
          <w:lang w:val="sk-SK"/>
        </w:rPr>
      </w:pPr>
    </w:p>
    <w:p w14:paraId="439D29EF" w14:textId="77777777" w:rsidR="00B94AD8" w:rsidRPr="008A4CD9" w:rsidRDefault="00B94AD8" w:rsidP="0074417D">
      <w:pPr>
        <w:jc w:val="both"/>
        <w:rPr>
          <w:sz w:val="22"/>
          <w:szCs w:val="22"/>
          <w:lang w:val="sk-SK"/>
        </w:rPr>
      </w:pPr>
      <w:r w:rsidRPr="008A4CD9">
        <w:rPr>
          <w:sz w:val="22"/>
          <w:szCs w:val="22"/>
          <w:lang w:val="sk-SK"/>
        </w:rPr>
        <w:t>Počas vyšetrenia udržiavajte:</w:t>
      </w:r>
    </w:p>
    <w:p w14:paraId="7F5E9E32" w14:textId="77777777" w:rsidR="00B94AD8" w:rsidRPr="008A4CD9" w:rsidRDefault="00B94AD8" w:rsidP="0074417D">
      <w:pPr>
        <w:pStyle w:val="AmmListePuces1"/>
        <w:jc w:val="both"/>
        <w:rPr>
          <w:rFonts w:ascii="Times New Roman" w:hAnsi="Times New Roman"/>
          <w:sz w:val="22"/>
          <w:szCs w:val="22"/>
          <w:lang w:val="sk-SK"/>
        </w:rPr>
      </w:pPr>
      <w:r w:rsidRPr="008A4CD9">
        <w:rPr>
          <w:rFonts w:ascii="Times New Roman" w:hAnsi="Times New Roman"/>
          <w:sz w:val="22"/>
          <w:szCs w:val="22"/>
          <w:lang w:val="sk-SK"/>
        </w:rPr>
        <w:t>lekársky dohľad</w:t>
      </w:r>
    </w:p>
    <w:p w14:paraId="6BE7E557" w14:textId="77777777" w:rsidR="00B94AD8" w:rsidRPr="008A4CD9" w:rsidRDefault="00B94AD8" w:rsidP="0074417D">
      <w:pPr>
        <w:pStyle w:val="AmmListePuces1"/>
        <w:jc w:val="both"/>
        <w:rPr>
          <w:rFonts w:ascii="Times New Roman" w:hAnsi="Times New Roman"/>
          <w:sz w:val="22"/>
          <w:szCs w:val="22"/>
          <w:lang w:val="sk-SK"/>
        </w:rPr>
      </w:pPr>
      <w:r w:rsidRPr="008A4CD9">
        <w:rPr>
          <w:rFonts w:ascii="Times New Roman" w:hAnsi="Times New Roman"/>
          <w:sz w:val="22"/>
          <w:szCs w:val="22"/>
          <w:lang w:val="sk-SK"/>
        </w:rPr>
        <w:t>zavedený intravenózny katéter</w:t>
      </w:r>
    </w:p>
    <w:p w14:paraId="3A561A24" w14:textId="77777777" w:rsidR="00B94AD8" w:rsidRPr="008A4CD9" w:rsidRDefault="00B94AD8" w:rsidP="0074417D">
      <w:pPr>
        <w:pStyle w:val="AmmListePuces"/>
        <w:numPr>
          <w:ilvl w:val="0"/>
          <w:numId w:val="4"/>
        </w:numPr>
        <w:rPr>
          <w:rFonts w:ascii="Times New Roman" w:hAnsi="Times New Roman"/>
          <w:bCs/>
          <w:szCs w:val="22"/>
          <w:lang w:val="sk-SK"/>
        </w:rPr>
      </w:pPr>
      <w:r w:rsidRPr="008A4CD9">
        <w:rPr>
          <w:rFonts w:ascii="Times New Roman" w:hAnsi="Times New Roman"/>
          <w:bCs/>
          <w:szCs w:val="22"/>
          <w:lang w:val="sk-SK"/>
        </w:rPr>
        <w:t>dostupné lieky a pomôcky na resuscitáciu</w:t>
      </w:r>
    </w:p>
    <w:p w14:paraId="1435A156" w14:textId="77777777" w:rsidR="00B94AD8" w:rsidRPr="008A4CD9" w:rsidRDefault="00B94AD8" w:rsidP="0074417D">
      <w:pPr>
        <w:jc w:val="both"/>
        <w:rPr>
          <w:sz w:val="22"/>
          <w:szCs w:val="22"/>
          <w:lang w:val="sk-SK"/>
        </w:rPr>
      </w:pPr>
    </w:p>
    <w:p w14:paraId="687B13F1" w14:textId="77777777" w:rsidR="00B94AD8" w:rsidRPr="008A4CD9" w:rsidRDefault="00B94AD8" w:rsidP="0074417D">
      <w:pPr>
        <w:pStyle w:val="Zarkazkladnhotextu"/>
        <w:ind w:left="0"/>
        <w:jc w:val="both"/>
        <w:rPr>
          <w:sz w:val="22"/>
          <w:szCs w:val="22"/>
        </w:rPr>
      </w:pPr>
      <w:r w:rsidRPr="008A4CD9">
        <w:rPr>
          <w:sz w:val="22"/>
          <w:szCs w:val="22"/>
        </w:rPr>
        <w:t xml:space="preserve">Po podaní </w:t>
      </w:r>
      <w:r w:rsidR="007C3164" w:rsidRPr="008A4CD9">
        <w:rPr>
          <w:sz w:val="22"/>
          <w:szCs w:val="22"/>
        </w:rPr>
        <w:t>PATENTBLAU V</w:t>
      </w:r>
      <w:r w:rsidRPr="008A4CD9">
        <w:rPr>
          <w:sz w:val="22"/>
          <w:szCs w:val="22"/>
        </w:rPr>
        <w:t xml:space="preserve"> musí byť pacient sledovaný aspoň 30 minút.</w:t>
      </w:r>
    </w:p>
    <w:p w14:paraId="54B8EB20" w14:textId="77777777" w:rsidR="00B94AD8" w:rsidRPr="008A4CD9" w:rsidRDefault="00B94AD8" w:rsidP="00930694">
      <w:pPr>
        <w:pStyle w:val="Zarkazkladnhotextu"/>
        <w:ind w:left="0"/>
        <w:rPr>
          <w:sz w:val="22"/>
          <w:szCs w:val="22"/>
        </w:rPr>
      </w:pPr>
    </w:p>
    <w:p w14:paraId="55211E03" w14:textId="77777777" w:rsidR="00F87048" w:rsidRPr="008A4CD9" w:rsidRDefault="00F87048" w:rsidP="0074417D">
      <w:pPr>
        <w:pStyle w:val="Zarkazkladnhotextu"/>
        <w:ind w:left="0"/>
        <w:jc w:val="both"/>
        <w:rPr>
          <w:sz w:val="22"/>
          <w:szCs w:val="22"/>
        </w:rPr>
      </w:pPr>
      <w:r w:rsidRPr="008A4CD9">
        <w:rPr>
          <w:sz w:val="22"/>
          <w:szCs w:val="22"/>
        </w:rPr>
        <w:t>V prípade alergickej reakcie sa musí určiť, či spomedzi liekov použitých počas operácie a pri celkovej anstézii, je za reakciu zodpovedný pr</w:t>
      </w:r>
      <w:r w:rsidR="007C3164" w:rsidRPr="008A4CD9">
        <w:rPr>
          <w:sz w:val="22"/>
          <w:szCs w:val="22"/>
        </w:rPr>
        <w:t>á</w:t>
      </w:r>
      <w:r w:rsidRPr="008A4CD9">
        <w:rPr>
          <w:sz w:val="22"/>
          <w:szCs w:val="22"/>
        </w:rPr>
        <w:t xml:space="preserve">ve </w:t>
      </w:r>
      <w:r w:rsidR="007C3164" w:rsidRPr="008A4CD9">
        <w:rPr>
          <w:sz w:val="22"/>
          <w:szCs w:val="22"/>
        </w:rPr>
        <w:t>liek PATENTBLAU V</w:t>
      </w:r>
      <w:r w:rsidRPr="008A4CD9">
        <w:rPr>
          <w:sz w:val="22"/>
          <w:szCs w:val="22"/>
        </w:rPr>
        <w:t xml:space="preserve">. </w:t>
      </w:r>
      <w:r w:rsidR="007712DA" w:rsidRPr="008A4CD9">
        <w:rPr>
          <w:sz w:val="22"/>
          <w:szCs w:val="22"/>
        </w:rPr>
        <w:t>Tento výsledok je dôležitý v prípade následnej operácie (napr. pri kontralaterálnej rakovine).</w:t>
      </w:r>
    </w:p>
    <w:p w14:paraId="72894ECD" w14:textId="77777777" w:rsidR="007712DA" w:rsidRPr="008A4CD9" w:rsidRDefault="007712DA" w:rsidP="0074417D">
      <w:pPr>
        <w:pStyle w:val="Zarkazkladnhotextu"/>
        <w:ind w:left="0"/>
        <w:jc w:val="both"/>
        <w:rPr>
          <w:sz w:val="22"/>
          <w:szCs w:val="22"/>
        </w:rPr>
      </w:pPr>
      <w:r w:rsidRPr="008A4CD9">
        <w:rPr>
          <w:sz w:val="22"/>
          <w:szCs w:val="22"/>
        </w:rPr>
        <w:t>Pri označovaní sentinelovej uzliny musí byť v technike vyškolený celý personál, starajúci sa o pacienta.</w:t>
      </w:r>
    </w:p>
    <w:p w14:paraId="18A0F607" w14:textId="77777777" w:rsidR="007712DA" w:rsidRPr="008A4CD9" w:rsidRDefault="007712DA" w:rsidP="0074417D">
      <w:pPr>
        <w:pStyle w:val="Zarkazkladnhotextu"/>
        <w:ind w:left="0"/>
        <w:jc w:val="both"/>
        <w:rPr>
          <w:sz w:val="22"/>
          <w:szCs w:val="22"/>
        </w:rPr>
      </w:pPr>
      <w:r w:rsidRPr="008A4CD9">
        <w:rPr>
          <w:sz w:val="22"/>
          <w:szCs w:val="22"/>
        </w:rPr>
        <w:t>Údaje v literatúre poukazujú na to, že miera identifikácie sa zlepšuje vykonaním dvojitej detekcie rádiofarmakom a</w:t>
      </w:r>
      <w:r w:rsidR="00131542" w:rsidRPr="008A4CD9">
        <w:rPr>
          <w:sz w:val="22"/>
          <w:szCs w:val="22"/>
        </w:rPr>
        <w:t> </w:t>
      </w:r>
      <w:r w:rsidRPr="008A4CD9">
        <w:rPr>
          <w:sz w:val="22"/>
          <w:szCs w:val="22"/>
        </w:rPr>
        <w:t>farbivom</w:t>
      </w:r>
      <w:r w:rsidR="00131542" w:rsidRPr="008A4CD9">
        <w:rPr>
          <w:sz w:val="22"/>
          <w:szCs w:val="22"/>
        </w:rPr>
        <w:t>.</w:t>
      </w:r>
    </w:p>
    <w:p w14:paraId="720B1F37" w14:textId="77777777" w:rsidR="00131542" w:rsidRPr="008A4CD9" w:rsidRDefault="00131542" w:rsidP="00744062">
      <w:pPr>
        <w:pStyle w:val="Zarkazkladnhotextu"/>
        <w:ind w:left="0"/>
        <w:rPr>
          <w:sz w:val="22"/>
          <w:szCs w:val="22"/>
        </w:rPr>
      </w:pPr>
    </w:p>
    <w:p w14:paraId="2FB9756C" w14:textId="77777777" w:rsidR="00B94AD8" w:rsidRPr="008A4CD9" w:rsidRDefault="00B94AD8" w:rsidP="00744062">
      <w:pPr>
        <w:rPr>
          <w:b/>
          <w:sz w:val="22"/>
          <w:szCs w:val="22"/>
        </w:rPr>
      </w:pPr>
      <w:r w:rsidRPr="008A4CD9">
        <w:rPr>
          <w:b/>
          <w:bCs/>
          <w:sz w:val="22"/>
          <w:szCs w:val="22"/>
          <w:lang w:val="sk-SK"/>
        </w:rPr>
        <w:t xml:space="preserve">4.5 </w:t>
      </w:r>
      <w:proofErr w:type="spellStart"/>
      <w:r w:rsidRPr="008A4CD9">
        <w:rPr>
          <w:b/>
          <w:sz w:val="22"/>
          <w:szCs w:val="22"/>
        </w:rPr>
        <w:t>Liekové</w:t>
      </w:r>
      <w:proofErr w:type="spellEnd"/>
      <w:r w:rsidRPr="008A4CD9">
        <w:rPr>
          <w:b/>
          <w:sz w:val="22"/>
          <w:szCs w:val="22"/>
        </w:rPr>
        <w:t xml:space="preserve"> a </w:t>
      </w:r>
      <w:proofErr w:type="spellStart"/>
      <w:r w:rsidRPr="008A4CD9">
        <w:rPr>
          <w:b/>
          <w:sz w:val="22"/>
          <w:szCs w:val="22"/>
        </w:rPr>
        <w:t>iné</w:t>
      </w:r>
      <w:proofErr w:type="spellEnd"/>
      <w:r w:rsidRPr="008A4CD9">
        <w:rPr>
          <w:b/>
          <w:sz w:val="22"/>
          <w:szCs w:val="22"/>
        </w:rPr>
        <w:t xml:space="preserve"> </w:t>
      </w:r>
      <w:proofErr w:type="spellStart"/>
      <w:r w:rsidRPr="008A4CD9">
        <w:rPr>
          <w:b/>
          <w:sz w:val="22"/>
          <w:szCs w:val="22"/>
        </w:rPr>
        <w:t>interakcie</w:t>
      </w:r>
      <w:proofErr w:type="spellEnd"/>
      <w:r w:rsidR="00244A68" w:rsidRPr="008A4CD9">
        <w:rPr>
          <w:b/>
          <w:sz w:val="22"/>
          <w:szCs w:val="22"/>
        </w:rPr>
        <w:t xml:space="preserve">   </w:t>
      </w:r>
    </w:p>
    <w:p w14:paraId="78DA6E32" w14:textId="77777777" w:rsidR="00244A68" w:rsidRPr="008A4CD9" w:rsidRDefault="00244A68" w:rsidP="00744062">
      <w:pPr>
        <w:rPr>
          <w:sz w:val="22"/>
          <w:szCs w:val="22"/>
          <w:u w:val="single"/>
          <w:lang w:val="sk-SK" w:eastAsia="en-US"/>
        </w:rPr>
      </w:pPr>
    </w:p>
    <w:p w14:paraId="6EC27CAE" w14:textId="77777777" w:rsidR="00B94AD8" w:rsidRPr="008A4CD9" w:rsidRDefault="00B94AD8" w:rsidP="00744062">
      <w:pPr>
        <w:rPr>
          <w:iCs/>
          <w:sz w:val="22"/>
          <w:szCs w:val="22"/>
          <w:u w:val="single"/>
          <w:lang w:val="sk-SK"/>
        </w:rPr>
      </w:pPr>
      <w:r w:rsidRPr="008A4CD9">
        <w:rPr>
          <w:sz w:val="22"/>
          <w:szCs w:val="22"/>
          <w:u w:val="single"/>
          <w:lang w:val="sk-SK" w:eastAsia="en-US"/>
        </w:rPr>
        <w:t>Lieky</w:t>
      </w:r>
    </w:p>
    <w:p w14:paraId="36361D9E" w14:textId="77777777" w:rsidR="00B94AD8" w:rsidRPr="008A4CD9" w:rsidRDefault="00B94AD8" w:rsidP="0074417D">
      <w:pPr>
        <w:pStyle w:val="AmmIAM"/>
        <w:numPr>
          <w:ilvl w:val="0"/>
          <w:numId w:val="0"/>
        </w:numPr>
        <w:rPr>
          <w:rFonts w:ascii="Times New Roman" w:hAnsi="Times New Roman"/>
          <w:bCs w:val="0"/>
          <w:sz w:val="22"/>
          <w:szCs w:val="22"/>
          <w:lang w:val="sk-SK"/>
        </w:rPr>
      </w:pPr>
      <w:r w:rsidRPr="008A4CD9">
        <w:rPr>
          <w:rFonts w:ascii="Times New Roman" w:hAnsi="Times New Roman"/>
          <w:bCs w:val="0"/>
          <w:sz w:val="22"/>
          <w:szCs w:val="22"/>
          <w:lang w:val="sk-SK"/>
        </w:rPr>
        <w:t>Beta blokátory, vazoaktívne látky, inhibítory enzýmu konvertujúceho angiotenzín, antagonisty receptora angiotenzínu.</w:t>
      </w:r>
    </w:p>
    <w:p w14:paraId="551AFA5C" w14:textId="77777777" w:rsidR="00B94AD8" w:rsidRPr="008A4CD9" w:rsidRDefault="00B94AD8" w:rsidP="0074417D">
      <w:pPr>
        <w:jc w:val="both"/>
        <w:rPr>
          <w:sz w:val="22"/>
          <w:szCs w:val="22"/>
          <w:lang w:val="sk-SK"/>
        </w:rPr>
      </w:pPr>
      <w:r w:rsidRPr="008A4CD9">
        <w:rPr>
          <w:sz w:val="22"/>
          <w:szCs w:val="22"/>
          <w:lang w:val="sk-SK"/>
        </w:rPr>
        <w:t xml:space="preserve">Tieto lieky znižujú účinnosť mechanizmov kardiovaskulárnej kompenzácie pri hemodynamických poruchách. Pred injekčným podaním </w:t>
      </w:r>
      <w:r w:rsidR="007C3164" w:rsidRPr="008A4CD9">
        <w:rPr>
          <w:sz w:val="22"/>
          <w:szCs w:val="22"/>
          <w:lang w:val="sk-SK"/>
        </w:rPr>
        <w:t>PATENTBLAU V</w:t>
      </w:r>
      <w:r w:rsidRPr="008A4CD9">
        <w:rPr>
          <w:sz w:val="22"/>
          <w:szCs w:val="22"/>
          <w:lang w:val="sk-SK"/>
        </w:rPr>
        <w:t xml:space="preserve"> si musí byť lekár tohto faktu vedomý a musia byť k dispozícii pohotovostné opatrenia. </w:t>
      </w:r>
    </w:p>
    <w:p w14:paraId="07036B99" w14:textId="77777777" w:rsidR="00B94AD8" w:rsidRPr="008A4CD9" w:rsidRDefault="00B94AD8" w:rsidP="00744062">
      <w:pPr>
        <w:rPr>
          <w:sz w:val="22"/>
          <w:szCs w:val="22"/>
          <w:lang w:val="sk-SK"/>
        </w:rPr>
      </w:pPr>
    </w:p>
    <w:p w14:paraId="29438DB2" w14:textId="77777777" w:rsidR="00B94AD8" w:rsidRPr="008A4CD9" w:rsidRDefault="00DC327A" w:rsidP="00744062">
      <w:pPr>
        <w:rPr>
          <w:sz w:val="22"/>
          <w:szCs w:val="22"/>
          <w:u w:val="single"/>
          <w:lang w:val="sk-SK" w:eastAsia="en-US"/>
        </w:rPr>
      </w:pPr>
      <w:r w:rsidRPr="008A4CD9">
        <w:rPr>
          <w:sz w:val="22"/>
          <w:szCs w:val="22"/>
          <w:u w:val="single"/>
          <w:lang w:val="sk-SK" w:eastAsia="en-US"/>
        </w:rPr>
        <w:t>Iné interakcie</w:t>
      </w:r>
    </w:p>
    <w:p w14:paraId="1F9FB996" w14:textId="77777777" w:rsidR="00B94AD8" w:rsidRPr="008A4CD9" w:rsidRDefault="00B94AD8" w:rsidP="0074417D">
      <w:pPr>
        <w:jc w:val="both"/>
        <w:rPr>
          <w:sz w:val="22"/>
          <w:szCs w:val="22"/>
          <w:lang w:val="sk-SK"/>
        </w:rPr>
      </w:pPr>
      <w:r w:rsidRPr="008A4CD9">
        <w:rPr>
          <w:sz w:val="22"/>
          <w:szCs w:val="22"/>
          <w:lang w:val="sk-SK"/>
        </w:rPr>
        <w:t>Hodnota parciálneho tlaku kyslíka meraná spektrofotometriou môže počas vyšetrení s </w:t>
      </w:r>
      <w:r w:rsidR="007C3164" w:rsidRPr="008A4CD9">
        <w:rPr>
          <w:sz w:val="22"/>
          <w:szCs w:val="22"/>
          <w:lang w:val="sk-SK"/>
        </w:rPr>
        <w:t>PATENTBLAU V</w:t>
      </w:r>
      <w:r w:rsidRPr="008A4CD9">
        <w:rPr>
          <w:sz w:val="22"/>
          <w:szCs w:val="22"/>
          <w:lang w:val="sk-SK"/>
        </w:rPr>
        <w:t xml:space="preserve"> vykazovať prechodný falošný pokles o 5 až 10 % pod východiskovými hodnotami. V prípade pochybností sa odporúča vykonať analýzu plynov v arteriálnej krvi. Hodnota sérového methemoglobínu meraná tou istou spektrofotometrickou metódou môže byť falošne zvýšená.</w:t>
      </w:r>
    </w:p>
    <w:p w14:paraId="4D9F73C0" w14:textId="77777777" w:rsidR="00131542" w:rsidRPr="008A4CD9" w:rsidRDefault="00131542" w:rsidP="00744062">
      <w:pPr>
        <w:rPr>
          <w:sz w:val="22"/>
          <w:szCs w:val="22"/>
          <w:lang w:val="sk-SK"/>
        </w:rPr>
      </w:pPr>
    </w:p>
    <w:p w14:paraId="792878CB" w14:textId="77777777" w:rsidR="00B94AD8" w:rsidRPr="008A4CD9" w:rsidRDefault="00B94AD8" w:rsidP="008A4CD9">
      <w:pPr>
        <w:keepNext/>
        <w:rPr>
          <w:b/>
          <w:bCs/>
          <w:sz w:val="22"/>
          <w:szCs w:val="22"/>
          <w:lang w:val="sk-SK"/>
        </w:rPr>
      </w:pPr>
      <w:r w:rsidRPr="008A4CD9">
        <w:rPr>
          <w:b/>
          <w:bCs/>
          <w:sz w:val="22"/>
          <w:szCs w:val="22"/>
          <w:lang w:val="sk-SK"/>
        </w:rPr>
        <w:lastRenderedPageBreak/>
        <w:t xml:space="preserve">4.6 </w:t>
      </w:r>
      <w:r w:rsidRPr="008A4CD9">
        <w:rPr>
          <w:b/>
          <w:noProof/>
          <w:sz w:val="22"/>
          <w:szCs w:val="22"/>
        </w:rPr>
        <w:t>Fertilita, g</w:t>
      </w:r>
      <w:r w:rsidRPr="008A4CD9">
        <w:rPr>
          <w:b/>
          <w:sz w:val="22"/>
          <w:szCs w:val="22"/>
        </w:rPr>
        <w:t>ravidita a laktácia</w:t>
      </w:r>
    </w:p>
    <w:p w14:paraId="20AF011A" w14:textId="77777777" w:rsidR="00B94AD8" w:rsidRPr="008A4CD9" w:rsidRDefault="00B94AD8" w:rsidP="008A4CD9">
      <w:pPr>
        <w:pStyle w:val="Zarkazkladnhotextu"/>
        <w:keepNext/>
        <w:ind w:left="0"/>
        <w:rPr>
          <w:sz w:val="22"/>
          <w:szCs w:val="22"/>
        </w:rPr>
      </w:pPr>
    </w:p>
    <w:p w14:paraId="74CA17F0" w14:textId="77777777" w:rsidR="00B94AD8" w:rsidRPr="008A4CD9" w:rsidRDefault="00B94AD8" w:rsidP="008A4CD9">
      <w:pPr>
        <w:pStyle w:val="AmmAnnexeTitre3"/>
        <w:keepNext/>
        <w:jc w:val="left"/>
        <w:rPr>
          <w:rFonts w:ascii="Times New Roman" w:hAnsi="Times New Roman"/>
          <w:i w:val="0"/>
          <w:szCs w:val="22"/>
          <w:lang w:val="sk-SK"/>
        </w:rPr>
      </w:pPr>
      <w:r w:rsidRPr="008A4CD9">
        <w:rPr>
          <w:rFonts w:ascii="Times New Roman" w:hAnsi="Times New Roman"/>
          <w:i w:val="0"/>
          <w:szCs w:val="22"/>
          <w:lang w:val="sk-SK"/>
        </w:rPr>
        <w:t>Gravidita</w:t>
      </w:r>
    </w:p>
    <w:p w14:paraId="080535B2" w14:textId="77777777" w:rsidR="00B94AD8" w:rsidRPr="008A4CD9" w:rsidRDefault="00BB5DFE" w:rsidP="008A4CD9">
      <w:pPr>
        <w:keepNext/>
        <w:tabs>
          <w:tab w:val="left" w:pos="3544"/>
        </w:tabs>
        <w:jc w:val="both"/>
        <w:rPr>
          <w:sz w:val="22"/>
          <w:szCs w:val="22"/>
          <w:lang w:val="sk-SK"/>
        </w:rPr>
      </w:pPr>
      <w:r w:rsidRPr="008A4CD9">
        <w:rPr>
          <w:sz w:val="22"/>
          <w:szCs w:val="22"/>
          <w:lang w:val="sk-SK"/>
        </w:rPr>
        <w:t>Hodnoverné údaje o teratogeni</w:t>
      </w:r>
      <w:r w:rsidR="00B94AD8" w:rsidRPr="008A4CD9">
        <w:rPr>
          <w:sz w:val="22"/>
          <w:szCs w:val="22"/>
          <w:lang w:val="sk-SK"/>
        </w:rPr>
        <w:t>te u zvierat nie sú k dispozícii.</w:t>
      </w:r>
    </w:p>
    <w:p w14:paraId="4AE9A988" w14:textId="77777777" w:rsidR="00B94AD8" w:rsidRPr="008A4CD9" w:rsidRDefault="00B94AD8" w:rsidP="0074417D">
      <w:pPr>
        <w:tabs>
          <w:tab w:val="left" w:pos="3544"/>
        </w:tabs>
        <w:jc w:val="both"/>
        <w:rPr>
          <w:sz w:val="22"/>
          <w:szCs w:val="22"/>
          <w:lang w:val="sk-SK"/>
        </w:rPr>
      </w:pPr>
      <w:r w:rsidRPr="008A4CD9">
        <w:rPr>
          <w:sz w:val="22"/>
          <w:szCs w:val="22"/>
          <w:lang w:val="sk-SK"/>
        </w:rPr>
        <w:t>V súčasnosti nie sú dostupné relevantné alebo nie sú dostupné údaje v dost</w:t>
      </w:r>
      <w:r w:rsidR="00B1139E" w:rsidRPr="008A4CD9">
        <w:rPr>
          <w:sz w:val="22"/>
          <w:szCs w:val="22"/>
          <w:lang w:val="sk-SK"/>
        </w:rPr>
        <w:t>atočnom počte, ktoré umožňujú posúdenie teratogeni</w:t>
      </w:r>
      <w:r w:rsidRPr="008A4CD9">
        <w:rPr>
          <w:sz w:val="22"/>
          <w:szCs w:val="22"/>
          <w:lang w:val="sk-SK"/>
        </w:rPr>
        <w:t xml:space="preserve">ty alebo fetálnej toxicity súvisiacej s podaním </w:t>
      </w:r>
      <w:r w:rsidR="007C3164" w:rsidRPr="008A4CD9">
        <w:rPr>
          <w:sz w:val="22"/>
          <w:szCs w:val="22"/>
          <w:lang w:val="sk-SK"/>
        </w:rPr>
        <w:t>PATENTBLAU V</w:t>
      </w:r>
      <w:r w:rsidRPr="008A4CD9">
        <w:rPr>
          <w:sz w:val="22"/>
          <w:szCs w:val="22"/>
          <w:lang w:val="sk-SK"/>
        </w:rPr>
        <w:t xml:space="preserve"> počas gravidity. Preto sa použitie tohto lieku počas gravidity neodporúča.</w:t>
      </w:r>
    </w:p>
    <w:p w14:paraId="0119A545" w14:textId="77777777" w:rsidR="00B94AD8" w:rsidRPr="008A4CD9" w:rsidRDefault="00B94AD8" w:rsidP="00744062">
      <w:pPr>
        <w:tabs>
          <w:tab w:val="left" w:pos="3544"/>
        </w:tabs>
        <w:rPr>
          <w:sz w:val="22"/>
          <w:szCs w:val="22"/>
          <w:lang w:val="sk-SK"/>
        </w:rPr>
      </w:pPr>
    </w:p>
    <w:p w14:paraId="4FE5F9E5" w14:textId="77777777" w:rsidR="00B94AD8" w:rsidRPr="008A4CD9" w:rsidRDefault="00B94AD8" w:rsidP="00744062">
      <w:pPr>
        <w:pStyle w:val="AmmAnnexeTitre3"/>
        <w:jc w:val="left"/>
        <w:rPr>
          <w:rFonts w:ascii="Times New Roman" w:hAnsi="Times New Roman"/>
          <w:szCs w:val="22"/>
          <w:lang w:val="sk-SK"/>
        </w:rPr>
      </w:pPr>
      <w:r w:rsidRPr="008A4CD9">
        <w:rPr>
          <w:rFonts w:ascii="Times New Roman" w:hAnsi="Times New Roman"/>
          <w:i w:val="0"/>
          <w:szCs w:val="22"/>
          <w:lang w:val="sk-SK"/>
        </w:rPr>
        <w:t>Laktácia</w:t>
      </w:r>
    </w:p>
    <w:p w14:paraId="44B09804" w14:textId="77777777" w:rsidR="00B94AD8" w:rsidRPr="008A4CD9" w:rsidRDefault="00B94AD8" w:rsidP="0074417D">
      <w:pPr>
        <w:pStyle w:val="AmmCorpsTexte"/>
        <w:spacing w:after="0"/>
        <w:rPr>
          <w:rFonts w:ascii="Times New Roman" w:eastAsia="SimSun" w:hAnsi="Times New Roman" w:cs="Times New Roman"/>
          <w:sz w:val="22"/>
          <w:szCs w:val="22"/>
          <w:lang w:val="sk-SK" w:eastAsia="zh-CN"/>
        </w:rPr>
      </w:pPr>
      <w:r w:rsidRPr="008A4CD9">
        <w:rPr>
          <w:rFonts w:ascii="Times New Roman" w:hAnsi="Times New Roman" w:cs="Times New Roman"/>
          <w:sz w:val="22"/>
          <w:szCs w:val="22"/>
          <w:lang w:val="sk-SK"/>
        </w:rPr>
        <w:t xml:space="preserve">Nie je známe, či sa </w:t>
      </w:r>
      <w:r w:rsidR="007C3164" w:rsidRPr="008A4CD9">
        <w:rPr>
          <w:rFonts w:ascii="Times New Roman" w:hAnsi="Times New Roman" w:cs="Times New Roman"/>
          <w:sz w:val="22"/>
          <w:szCs w:val="22"/>
          <w:lang w:val="sk-SK"/>
        </w:rPr>
        <w:t>PATENTBLAU V</w:t>
      </w:r>
      <w:r w:rsidRPr="008A4CD9">
        <w:rPr>
          <w:rFonts w:ascii="Times New Roman" w:hAnsi="Times New Roman" w:cs="Times New Roman"/>
          <w:sz w:val="22"/>
          <w:szCs w:val="22"/>
          <w:lang w:val="sk-SK"/>
        </w:rPr>
        <w:t xml:space="preserve"> vylučuje do materského mlieka.</w:t>
      </w:r>
      <w:r w:rsidR="003E06EC" w:rsidRPr="008A4CD9">
        <w:rPr>
          <w:rFonts w:ascii="Times New Roman" w:hAnsi="Times New Roman" w:cs="Times New Roman"/>
          <w:sz w:val="22"/>
          <w:szCs w:val="22"/>
          <w:lang w:val="sk-SK"/>
        </w:rPr>
        <w:t xml:space="preserve"> </w:t>
      </w:r>
      <w:r w:rsidR="000507F1" w:rsidRPr="008A4CD9">
        <w:rPr>
          <w:rFonts w:ascii="Times New Roman" w:hAnsi="Times New Roman" w:cs="Times New Roman"/>
          <w:sz w:val="22"/>
          <w:szCs w:val="22"/>
          <w:lang w:val="sk-SK"/>
        </w:rPr>
        <w:t>Odporúča sa prerušiť dojčenie na 48 hodín</w:t>
      </w:r>
    </w:p>
    <w:p w14:paraId="45C49DE1" w14:textId="77777777" w:rsidR="00131542" w:rsidRPr="008A4CD9" w:rsidRDefault="00131542" w:rsidP="00744062">
      <w:pPr>
        <w:rPr>
          <w:sz w:val="22"/>
          <w:szCs w:val="22"/>
          <w:lang w:val="sk-SK"/>
        </w:rPr>
      </w:pPr>
    </w:p>
    <w:p w14:paraId="22E9A512" w14:textId="77777777" w:rsidR="00B94AD8" w:rsidRPr="008A4CD9" w:rsidRDefault="00B94AD8" w:rsidP="00744062">
      <w:pPr>
        <w:rPr>
          <w:b/>
          <w:bCs/>
          <w:sz w:val="22"/>
          <w:szCs w:val="22"/>
          <w:lang w:val="sk-SK"/>
        </w:rPr>
      </w:pPr>
      <w:r w:rsidRPr="008A4CD9">
        <w:rPr>
          <w:b/>
          <w:bCs/>
          <w:sz w:val="22"/>
          <w:szCs w:val="22"/>
          <w:lang w:val="sk-SK"/>
        </w:rPr>
        <w:t>4.7 Ovplyvnenie schopnosti viesť vozidlá a obsluhovať stroje</w:t>
      </w:r>
    </w:p>
    <w:p w14:paraId="786E5F54" w14:textId="77777777" w:rsidR="00B94AD8" w:rsidRPr="008A4CD9" w:rsidRDefault="00B94AD8" w:rsidP="00744062">
      <w:pPr>
        <w:pStyle w:val="Zarkazkladnhotextu"/>
        <w:ind w:left="0"/>
        <w:rPr>
          <w:sz w:val="22"/>
          <w:szCs w:val="22"/>
        </w:rPr>
      </w:pPr>
    </w:p>
    <w:p w14:paraId="3D4C17C5" w14:textId="77777777" w:rsidR="00B94AD8" w:rsidRPr="008A4CD9" w:rsidRDefault="007C3164" w:rsidP="0074417D">
      <w:pPr>
        <w:pStyle w:val="Zarkazkladnhotextu"/>
        <w:ind w:left="0"/>
        <w:jc w:val="both"/>
        <w:rPr>
          <w:sz w:val="22"/>
          <w:szCs w:val="22"/>
        </w:rPr>
      </w:pPr>
      <w:r w:rsidRPr="008A4CD9">
        <w:rPr>
          <w:sz w:val="22"/>
          <w:szCs w:val="22"/>
        </w:rPr>
        <w:t xml:space="preserve">PATENTBLAU V </w:t>
      </w:r>
      <w:r w:rsidR="00131542" w:rsidRPr="008A4CD9">
        <w:rPr>
          <w:sz w:val="22"/>
          <w:szCs w:val="22"/>
        </w:rPr>
        <w:t>nemá žiadny vplyv na schopnosť viesť vozidlá a obsluhovať stroje.</w:t>
      </w:r>
    </w:p>
    <w:p w14:paraId="2B38BCF4" w14:textId="77777777" w:rsidR="00B94AD8" w:rsidRPr="008A4CD9" w:rsidRDefault="00B94AD8" w:rsidP="004265DD">
      <w:pPr>
        <w:rPr>
          <w:sz w:val="22"/>
          <w:szCs w:val="22"/>
          <w:lang w:val="sk-SK"/>
        </w:rPr>
      </w:pPr>
    </w:p>
    <w:p w14:paraId="3AB5B50F" w14:textId="77777777" w:rsidR="00B94AD8" w:rsidRPr="008A4CD9" w:rsidRDefault="00CE783D" w:rsidP="004265DD">
      <w:pPr>
        <w:rPr>
          <w:b/>
          <w:bCs/>
          <w:sz w:val="22"/>
          <w:szCs w:val="22"/>
          <w:lang w:val="sk-SK"/>
        </w:rPr>
      </w:pPr>
      <w:r w:rsidRPr="008A4CD9">
        <w:rPr>
          <w:b/>
          <w:bCs/>
          <w:sz w:val="22"/>
          <w:szCs w:val="22"/>
          <w:lang w:val="sk-SK"/>
        </w:rPr>
        <w:t>4.8 Nežiadu</w:t>
      </w:r>
      <w:r w:rsidR="00B94AD8" w:rsidRPr="008A4CD9">
        <w:rPr>
          <w:b/>
          <w:bCs/>
          <w:sz w:val="22"/>
          <w:szCs w:val="22"/>
          <w:lang w:val="sk-SK"/>
        </w:rPr>
        <w:t>ce účinky</w:t>
      </w:r>
    </w:p>
    <w:p w14:paraId="5F00F026" w14:textId="77777777" w:rsidR="00912E13" w:rsidRPr="008A4CD9" w:rsidRDefault="00912E13" w:rsidP="008A4CD9">
      <w:pPr>
        <w:suppressLineNumbers/>
        <w:autoSpaceDE w:val="0"/>
        <w:autoSpaceDN w:val="0"/>
        <w:adjustRightInd w:val="0"/>
        <w:rPr>
          <w:noProof/>
          <w:sz w:val="22"/>
          <w:szCs w:val="22"/>
        </w:rPr>
      </w:pPr>
    </w:p>
    <w:p w14:paraId="4209CA2E" w14:textId="77777777" w:rsidR="00B94AD8" w:rsidRPr="008A4CD9" w:rsidRDefault="00B94AD8" w:rsidP="0074417D">
      <w:pPr>
        <w:pStyle w:val="AmmCorpsTexte"/>
        <w:spacing w:after="0"/>
        <w:rPr>
          <w:rFonts w:ascii="Times New Roman" w:hAnsi="Times New Roman" w:cs="Times New Roman"/>
          <w:sz w:val="22"/>
          <w:szCs w:val="22"/>
          <w:lang w:val="sk-SK"/>
        </w:rPr>
      </w:pPr>
      <w:r w:rsidRPr="008A4CD9">
        <w:rPr>
          <w:rFonts w:ascii="Times New Roman" w:hAnsi="Times New Roman" w:cs="Times New Roman"/>
          <w:sz w:val="22"/>
          <w:szCs w:val="22"/>
          <w:lang w:val="sk-SK"/>
        </w:rPr>
        <w:t>Možné sú okamžité reakcie precitlivenosti. Tieto reakcie môžu zahŕňať jeden alebo viac účinkov, ktoré sa prejavia súbežne alebo za sebou a zvyčajne zahŕňajú kožné, respiračné a/alebo kardiovaskulárne manifestácie, pričom každá môže byť varovným signálom začínajúceho šoku a vo veľmi zriedkavých prípadoch môžu byť dokonca aj fatálne.</w:t>
      </w:r>
    </w:p>
    <w:p w14:paraId="0C9E2187" w14:textId="77777777" w:rsidR="00B94AD8" w:rsidRPr="008A4CD9" w:rsidRDefault="00B94AD8" w:rsidP="0074417D">
      <w:pPr>
        <w:pStyle w:val="AmmCorpsTexte"/>
        <w:spacing w:after="0"/>
        <w:rPr>
          <w:rFonts w:ascii="Times New Roman" w:hAnsi="Times New Roman" w:cs="Times New Roman"/>
          <w:sz w:val="22"/>
          <w:szCs w:val="22"/>
          <w:lang w:val="sk-SK"/>
        </w:rPr>
      </w:pPr>
    </w:p>
    <w:p w14:paraId="2978F137" w14:textId="77777777" w:rsidR="00B94AD8" w:rsidRPr="008A4CD9" w:rsidRDefault="00B94AD8" w:rsidP="0074417D">
      <w:pPr>
        <w:autoSpaceDE w:val="0"/>
        <w:autoSpaceDN w:val="0"/>
        <w:adjustRightInd w:val="0"/>
        <w:jc w:val="both"/>
        <w:rPr>
          <w:bCs/>
          <w:sz w:val="22"/>
          <w:szCs w:val="22"/>
          <w:lang w:val="sk-SK"/>
        </w:rPr>
      </w:pPr>
      <w:r w:rsidRPr="008A4CD9">
        <w:rPr>
          <w:sz w:val="22"/>
          <w:szCs w:val="22"/>
          <w:lang w:val="sk-SK"/>
        </w:rPr>
        <w:t>Po injekcii sa pozoruje modrasté sfarbenie pokožky, ktoré mizne v priebehu 24 až 48 hodín. U pacientov s lymfatickou stázou alebo poruchami obehu môže toto zafarbenie pretrvávať dlhšie.</w:t>
      </w:r>
    </w:p>
    <w:p w14:paraId="1FCA9529" w14:textId="77777777" w:rsidR="00B94AD8" w:rsidRPr="008A4CD9" w:rsidRDefault="00B94AD8" w:rsidP="0074417D">
      <w:pPr>
        <w:autoSpaceDE w:val="0"/>
        <w:autoSpaceDN w:val="0"/>
        <w:adjustRightInd w:val="0"/>
        <w:jc w:val="both"/>
        <w:rPr>
          <w:bCs/>
          <w:sz w:val="22"/>
          <w:szCs w:val="22"/>
          <w:lang w:val="sk-SK"/>
        </w:rPr>
      </w:pPr>
    </w:p>
    <w:p w14:paraId="39C918FE" w14:textId="77777777" w:rsidR="00B94AD8" w:rsidRPr="008A4CD9" w:rsidRDefault="00B94AD8" w:rsidP="0074417D">
      <w:pPr>
        <w:pStyle w:val="Texte"/>
        <w:rPr>
          <w:sz w:val="22"/>
          <w:szCs w:val="22"/>
          <w:lang w:val="sk-SK"/>
        </w:rPr>
      </w:pPr>
      <w:r w:rsidRPr="008A4CD9">
        <w:rPr>
          <w:sz w:val="22"/>
          <w:szCs w:val="22"/>
          <w:lang w:val="sk-SK"/>
        </w:rPr>
        <w:t>Nežiaduce účinky sú uvedené v tabuľke podľa tried systémových orgánov a frekvencie výskytu pomocou týchto kategórií: veľmi časté (</w:t>
      </w:r>
      <w:r w:rsidRPr="008A4CD9">
        <w:rPr>
          <w:sz w:val="22"/>
          <w:szCs w:val="22"/>
          <w:lang w:val="sk-SK"/>
        </w:rPr>
        <w:sym w:font="Symbol" w:char="F0B3"/>
      </w:r>
      <w:r w:rsidRPr="008A4CD9">
        <w:rPr>
          <w:sz w:val="22"/>
          <w:szCs w:val="22"/>
          <w:lang w:val="sk-SK"/>
        </w:rPr>
        <w:t xml:space="preserve"> 1/10), časté (</w:t>
      </w:r>
      <w:r w:rsidRPr="008A4CD9">
        <w:rPr>
          <w:sz w:val="22"/>
          <w:szCs w:val="22"/>
          <w:lang w:val="sk-SK"/>
        </w:rPr>
        <w:sym w:font="Symbol" w:char="F0B3"/>
      </w:r>
      <w:r w:rsidRPr="008A4CD9">
        <w:rPr>
          <w:sz w:val="22"/>
          <w:szCs w:val="22"/>
          <w:lang w:val="sk-SK"/>
        </w:rPr>
        <w:t>1/100 až &lt;1/10), menej časté (</w:t>
      </w:r>
      <w:r w:rsidRPr="008A4CD9">
        <w:rPr>
          <w:sz w:val="22"/>
          <w:szCs w:val="22"/>
          <w:lang w:val="sk-SK"/>
        </w:rPr>
        <w:sym w:font="Symbol" w:char="F0B3"/>
      </w:r>
      <w:r w:rsidRPr="008A4CD9">
        <w:rPr>
          <w:sz w:val="22"/>
          <w:szCs w:val="22"/>
          <w:lang w:val="sk-SK"/>
        </w:rPr>
        <w:t>1/1000 až &lt;1/100), zriedkavé (</w:t>
      </w:r>
      <w:r w:rsidRPr="008A4CD9">
        <w:rPr>
          <w:sz w:val="22"/>
          <w:szCs w:val="22"/>
          <w:lang w:val="sk-SK"/>
        </w:rPr>
        <w:sym w:font="Symbol" w:char="F0B3"/>
      </w:r>
      <w:r w:rsidR="000507F1" w:rsidRPr="008A4CD9">
        <w:rPr>
          <w:sz w:val="22"/>
          <w:szCs w:val="22"/>
          <w:lang w:val="sk-SK"/>
        </w:rPr>
        <w:t>1/10</w:t>
      </w:r>
      <w:r w:rsidRPr="008A4CD9">
        <w:rPr>
          <w:sz w:val="22"/>
          <w:szCs w:val="22"/>
          <w:lang w:val="sk-SK"/>
        </w:rPr>
        <w:t>0</w:t>
      </w:r>
      <w:r w:rsidR="000507F1" w:rsidRPr="008A4CD9">
        <w:rPr>
          <w:sz w:val="22"/>
          <w:szCs w:val="22"/>
          <w:lang w:val="sk-SK"/>
        </w:rPr>
        <w:t>00 až&lt;1/1000), zriedkavé (&lt;1/10</w:t>
      </w:r>
      <w:r w:rsidRPr="008A4CD9">
        <w:rPr>
          <w:sz w:val="22"/>
          <w:szCs w:val="22"/>
          <w:lang w:val="sk-SK"/>
        </w:rPr>
        <w:t>000), neznáme (z dostupných údajov).</w:t>
      </w:r>
    </w:p>
    <w:p w14:paraId="72D08C9B" w14:textId="77777777" w:rsidR="00131542" w:rsidRPr="008A4CD9" w:rsidRDefault="00131542" w:rsidP="00372071">
      <w:pPr>
        <w:pStyle w:val="AmmCorpsTexte"/>
        <w:autoSpaceDE w:val="0"/>
        <w:autoSpaceDN w:val="0"/>
        <w:adjustRightInd w:val="0"/>
        <w:spacing w:after="0"/>
        <w:jc w:val="left"/>
        <w:rPr>
          <w:rFonts w:ascii="Times New Roman" w:hAnsi="Times New Roman" w:cs="Times New Roman"/>
          <w:bCs/>
          <w:snapToGrid/>
          <w:sz w:val="22"/>
          <w:szCs w:val="22"/>
          <w:lang w:val="sk-SK" w:eastAsia="fr-FR"/>
        </w:rPr>
      </w:pPr>
    </w:p>
    <w:p w14:paraId="45AF0953" w14:textId="77777777" w:rsidR="00B94AD8" w:rsidRPr="008A4CD9" w:rsidRDefault="00B94AD8" w:rsidP="00372071">
      <w:pPr>
        <w:rPr>
          <w:sz w:val="22"/>
          <w:szCs w:val="22"/>
          <w:lang w:val="sk-SK"/>
        </w:rPr>
      </w:pPr>
    </w:p>
    <w:tbl>
      <w:tblPr>
        <w:tblW w:w="75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140"/>
      </w:tblGrid>
      <w:tr w:rsidR="00B94AD8" w:rsidRPr="008A4CD9" w14:paraId="57F74A5D" w14:textId="77777777">
        <w:trPr>
          <w:trHeight w:val="340"/>
        </w:trPr>
        <w:tc>
          <w:tcPr>
            <w:tcW w:w="3420" w:type="dxa"/>
            <w:vAlign w:val="center"/>
          </w:tcPr>
          <w:p w14:paraId="67058819" w14:textId="77777777" w:rsidR="00B94AD8" w:rsidRPr="008A4CD9" w:rsidRDefault="00B94AD8" w:rsidP="00372071">
            <w:pPr>
              <w:rPr>
                <w:b/>
                <w:bCs/>
                <w:sz w:val="22"/>
                <w:szCs w:val="22"/>
                <w:lang w:val="sk-SK"/>
              </w:rPr>
            </w:pPr>
            <w:r w:rsidRPr="008A4CD9">
              <w:rPr>
                <w:b/>
                <w:bCs/>
                <w:sz w:val="22"/>
                <w:szCs w:val="22"/>
                <w:lang w:val="sk-SK"/>
              </w:rPr>
              <w:t>Trieda orgánových systémov</w:t>
            </w:r>
          </w:p>
        </w:tc>
        <w:tc>
          <w:tcPr>
            <w:tcW w:w="4140" w:type="dxa"/>
            <w:vAlign w:val="center"/>
          </w:tcPr>
          <w:p w14:paraId="5A4303D8" w14:textId="77777777" w:rsidR="00B94AD8" w:rsidRPr="008A4CD9" w:rsidRDefault="00B94AD8" w:rsidP="00372071">
            <w:pPr>
              <w:pStyle w:val="TableHeading"/>
              <w:spacing w:before="0" w:after="0"/>
              <w:jc w:val="left"/>
              <w:rPr>
                <w:bCs/>
                <w:sz w:val="22"/>
                <w:szCs w:val="22"/>
                <w:lang w:val="sk-SK"/>
              </w:rPr>
            </w:pPr>
            <w:r w:rsidRPr="008A4CD9">
              <w:rPr>
                <w:bCs/>
                <w:sz w:val="22"/>
                <w:szCs w:val="22"/>
                <w:lang w:val="sk-SK"/>
              </w:rPr>
              <w:t>Frekvencia : nežiaduca reakcia</w:t>
            </w:r>
          </w:p>
        </w:tc>
      </w:tr>
      <w:tr w:rsidR="00B94AD8" w:rsidRPr="008A4CD9" w14:paraId="360D50D7" w14:textId="77777777">
        <w:trPr>
          <w:trHeight w:val="520"/>
        </w:trPr>
        <w:tc>
          <w:tcPr>
            <w:tcW w:w="3420" w:type="dxa"/>
          </w:tcPr>
          <w:p w14:paraId="44ECA3E8" w14:textId="77777777" w:rsidR="00B94AD8" w:rsidRPr="008A4CD9" w:rsidRDefault="00B94AD8" w:rsidP="00372071">
            <w:pPr>
              <w:rPr>
                <w:sz w:val="22"/>
                <w:szCs w:val="22"/>
                <w:lang w:val="sk-SK"/>
              </w:rPr>
            </w:pPr>
            <w:r w:rsidRPr="008A4CD9">
              <w:rPr>
                <w:sz w:val="22"/>
                <w:szCs w:val="22"/>
                <w:lang w:val="sk-SK"/>
              </w:rPr>
              <w:t>Poruchy imunitného systému</w:t>
            </w:r>
          </w:p>
        </w:tc>
        <w:tc>
          <w:tcPr>
            <w:tcW w:w="4140" w:type="dxa"/>
          </w:tcPr>
          <w:p w14:paraId="4558D81E" w14:textId="77777777" w:rsidR="00B94AD8" w:rsidRPr="008A4CD9" w:rsidRDefault="00B94AD8" w:rsidP="00372071">
            <w:pPr>
              <w:rPr>
                <w:sz w:val="22"/>
                <w:szCs w:val="22"/>
                <w:lang w:val="sk-SK"/>
              </w:rPr>
            </w:pPr>
            <w:r w:rsidRPr="008A4CD9">
              <w:rPr>
                <w:sz w:val="22"/>
                <w:szCs w:val="22"/>
                <w:lang w:val="sk-SK"/>
              </w:rPr>
              <w:t>Neznáme: Anafylaktický šok,</w:t>
            </w:r>
          </w:p>
          <w:p w14:paraId="7C67D2C2" w14:textId="77777777" w:rsidR="00B94AD8" w:rsidRPr="008A4CD9" w:rsidRDefault="00B94AD8" w:rsidP="00372071">
            <w:pPr>
              <w:rPr>
                <w:sz w:val="22"/>
                <w:szCs w:val="22"/>
                <w:lang w:val="sk-SK"/>
              </w:rPr>
            </w:pPr>
            <w:r w:rsidRPr="008A4CD9">
              <w:rPr>
                <w:sz w:val="22"/>
                <w:szCs w:val="22"/>
                <w:lang w:val="sk-SK"/>
              </w:rPr>
              <w:t>precitlivenosť</w:t>
            </w:r>
          </w:p>
        </w:tc>
      </w:tr>
      <w:tr w:rsidR="00B94AD8" w:rsidRPr="008A4CD9" w14:paraId="456EE4DA" w14:textId="77777777">
        <w:trPr>
          <w:trHeight w:val="812"/>
        </w:trPr>
        <w:tc>
          <w:tcPr>
            <w:tcW w:w="3420" w:type="dxa"/>
          </w:tcPr>
          <w:p w14:paraId="37E32564" w14:textId="77777777" w:rsidR="00B94AD8" w:rsidRPr="008A4CD9" w:rsidRDefault="00B94AD8" w:rsidP="00372071">
            <w:pPr>
              <w:pStyle w:val="Normlnywebov"/>
              <w:spacing w:before="0" w:beforeAutospacing="0" w:after="0" w:afterAutospacing="0"/>
              <w:rPr>
                <w:rFonts w:ascii="Times New Roman" w:eastAsia="Times New Roman" w:hAnsi="Times New Roman" w:cs="Times New Roman"/>
                <w:sz w:val="22"/>
                <w:szCs w:val="22"/>
                <w:lang w:val="sk-SK"/>
              </w:rPr>
            </w:pPr>
            <w:r w:rsidRPr="008A4CD9">
              <w:rPr>
                <w:rFonts w:ascii="Times New Roman" w:eastAsia="Times New Roman" w:hAnsi="Times New Roman" w:cs="Times New Roman"/>
                <w:sz w:val="22"/>
                <w:szCs w:val="22"/>
                <w:lang w:val="sk-SK"/>
              </w:rPr>
              <w:t>Poruchy dýchacej sústavy, hrudníka a mediastína</w:t>
            </w:r>
          </w:p>
        </w:tc>
        <w:tc>
          <w:tcPr>
            <w:tcW w:w="4140" w:type="dxa"/>
          </w:tcPr>
          <w:p w14:paraId="201E4CA4" w14:textId="77777777" w:rsidR="00B94AD8" w:rsidRPr="008A4CD9" w:rsidRDefault="00B94AD8" w:rsidP="00372071">
            <w:pPr>
              <w:rPr>
                <w:sz w:val="22"/>
                <w:szCs w:val="22"/>
                <w:lang w:val="sk-SK"/>
              </w:rPr>
            </w:pPr>
            <w:r w:rsidRPr="008A4CD9">
              <w:rPr>
                <w:sz w:val="22"/>
                <w:szCs w:val="22"/>
                <w:lang w:val="sk-SK"/>
              </w:rPr>
              <w:t>Neznáme: Bronchospazmus</w:t>
            </w:r>
          </w:p>
        </w:tc>
      </w:tr>
      <w:tr w:rsidR="00B94AD8" w:rsidRPr="008A4CD9" w14:paraId="345D7831" w14:textId="77777777">
        <w:trPr>
          <w:trHeight w:val="812"/>
        </w:trPr>
        <w:tc>
          <w:tcPr>
            <w:tcW w:w="3420" w:type="dxa"/>
          </w:tcPr>
          <w:p w14:paraId="4A4E5EA7" w14:textId="77777777" w:rsidR="00B94AD8" w:rsidRPr="008A4CD9" w:rsidRDefault="00B94AD8" w:rsidP="00372071">
            <w:pPr>
              <w:rPr>
                <w:sz w:val="22"/>
                <w:szCs w:val="22"/>
                <w:lang w:val="sk-SK"/>
              </w:rPr>
            </w:pPr>
            <w:r w:rsidRPr="008A4CD9">
              <w:rPr>
                <w:sz w:val="22"/>
                <w:szCs w:val="22"/>
                <w:lang w:val="sk-SK"/>
              </w:rPr>
              <w:t>Poruchy kože a podkožného tkaniva</w:t>
            </w:r>
          </w:p>
        </w:tc>
        <w:tc>
          <w:tcPr>
            <w:tcW w:w="4140" w:type="dxa"/>
          </w:tcPr>
          <w:p w14:paraId="3B92163E" w14:textId="77777777" w:rsidR="00B94AD8" w:rsidRPr="008A4CD9" w:rsidRDefault="00B94AD8" w:rsidP="00372071">
            <w:pPr>
              <w:rPr>
                <w:sz w:val="22"/>
                <w:szCs w:val="22"/>
                <w:lang w:val="sk-SK"/>
              </w:rPr>
            </w:pPr>
            <w:r w:rsidRPr="008A4CD9">
              <w:rPr>
                <w:sz w:val="22"/>
                <w:szCs w:val="22"/>
                <w:lang w:val="sk-SK"/>
              </w:rPr>
              <w:t>Neznáme:</w:t>
            </w:r>
          </w:p>
          <w:p w14:paraId="6E6C1FBD" w14:textId="77777777" w:rsidR="00B94AD8" w:rsidRPr="008A4CD9" w:rsidRDefault="00B94AD8" w:rsidP="00372071">
            <w:pPr>
              <w:rPr>
                <w:sz w:val="22"/>
                <w:szCs w:val="22"/>
                <w:lang w:val="sk-SK"/>
              </w:rPr>
            </w:pPr>
            <w:r w:rsidRPr="008A4CD9">
              <w:rPr>
                <w:spacing w:val="-3"/>
                <w:sz w:val="22"/>
                <w:szCs w:val="22"/>
                <w:lang w:val="sk-SK"/>
              </w:rPr>
              <w:t>Angioedém, urtikária</w:t>
            </w:r>
            <w:r w:rsidR="00F2640E" w:rsidRPr="008A4CD9">
              <w:rPr>
                <w:sz w:val="22"/>
                <w:szCs w:val="22"/>
                <w:lang w:val="sk-SK"/>
              </w:rPr>
              <w:t xml:space="preserve">, </w:t>
            </w:r>
          </w:p>
          <w:p w14:paraId="450A7FFC" w14:textId="77777777" w:rsidR="00B94AD8" w:rsidRPr="008A4CD9" w:rsidRDefault="00F2640E" w:rsidP="00372071">
            <w:pPr>
              <w:rPr>
                <w:i/>
                <w:sz w:val="22"/>
                <w:szCs w:val="22"/>
                <w:lang w:val="sk-SK"/>
              </w:rPr>
            </w:pPr>
            <w:r w:rsidRPr="008A4CD9">
              <w:rPr>
                <w:sz w:val="22"/>
                <w:szCs w:val="22"/>
                <w:lang w:val="sk-SK"/>
              </w:rPr>
              <w:t>zmena s</w:t>
            </w:r>
            <w:r w:rsidR="00B94AD8" w:rsidRPr="008A4CD9">
              <w:rPr>
                <w:sz w:val="22"/>
                <w:szCs w:val="22"/>
                <w:lang w:val="sk-SK"/>
              </w:rPr>
              <w:t>farbenia pokožky</w:t>
            </w:r>
            <w:r w:rsidR="00B94AD8" w:rsidRPr="008A4CD9">
              <w:rPr>
                <w:i/>
                <w:sz w:val="22"/>
                <w:szCs w:val="22"/>
                <w:lang w:val="sk-SK"/>
              </w:rPr>
              <w:t>(modrá)</w:t>
            </w:r>
          </w:p>
          <w:p w14:paraId="3EDCB6CC" w14:textId="77777777" w:rsidR="00B94AD8" w:rsidRPr="008A4CD9" w:rsidRDefault="00B94AD8" w:rsidP="00372071">
            <w:pPr>
              <w:rPr>
                <w:spacing w:val="-3"/>
                <w:sz w:val="22"/>
                <w:szCs w:val="22"/>
                <w:lang w:val="sk-SK"/>
              </w:rPr>
            </w:pPr>
          </w:p>
        </w:tc>
      </w:tr>
      <w:tr w:rsidR="00B94AD8" w:rsidRPr="008A4CD9" w14:paraId="7969854A" w14:textId="77777777">
        <w:trPr>
          <w:trHeight w:val="538"/>
        </w:trPr>
        <w:tc>
          <w:tcPr>
            <w:tcW w:w="3420" w:type="dxa"/>
          </w:tcPr>
          <w:p w14:paraId="00D8BF9B" w14:textId="77777777" w:rsidR="00B94AD8" w:rsidRPr="008A4CD9" w:rsidRDefault="00B94AD8" w:rsidP="00372071">
            <w:pPr>
              <w:rPr>
                <w:sz w:val="22"/>
                <w:szCs w:val="22"/>
                <w:lang w:val="sk-SK"/>
              </w:rPr>
            </w:pPr>
            <w:r w:rsidRPr="008A4CD9">
              <w:rPr>
                <w:sz w:val="22"/>
                <w:szCs w:val="22"/>
                <w:lang w:val="sk-SK"/>
              </w:rPr>
              <w:t>Celkové poruchy a reakcie v mieste podania</w:t>
            </w:r>
          </w:p>
        </w:tc>
        <w:tc>
          <w:tcPr>
            <w:tcW w:w="4140" w:type="dxa"/>
          </w:tcPr>
          <w:p w14:paraId="163B3B95" w14:textId="77777777" w:rsidR="00B94AD8" w:rsidRPr="008A4CD9" w:rsidRDefault="00B94AD8" w:rsidP="00372071">
            <w:pPr>
              <w:rPr>
                <w:b/>
                <w:sz w:val="22"/>
                <w:szCs w:val="22"/>
                <w:lang w:val="sk-SK"/>
              </w:rPr>
            </w:pPr>
            <w:r w:rsidRPr="008A4CD9">
              <w:rPr>
                <w:sz w:val="22"/>
                <w:szCs w:val="22"/>
                <w:lang w:val="sk-SK"/>
              </w:rPr>
              <w:t>Neznáme</w:t>
            </w:r>
            <w:r w:rsidRPr="008A4CD9">
              <w:rPr>
                <w:b/>
                <w:sz w:val="22"/>
                <w:szCs w:val="22"/>
                <w:lang w:val="sk-SK"/>
              </w:rPr>
              <w:t xml:space="preserve">: </w:t>
            </w:r>
            <w:r w:rsidR="00F2640E" w:rsidRPr="008A4CD9">
              <w:rPr>
                <w:bCs/>
                <w:sz w:val="22"/>
                <w:szCs w:val="22"/>
                <w:lang w:val="sk-SK"/>
              </w:rPr>
              <w:t>Zmena s</w:t>
            </w:r>
            <w:r w:rsidRPr="008A4CD9">
              <w:rPr>
                <w:bCs/>
                <w:sz w:val="22"/>
                <w:szCs w:val="22"/>
                <w:lang w:val="sk-SK"/>
              </w:rPr>
              <w:t>farbenia miesta vpichu.</w:t>
            </w:r>
          </w:p>
        </w:tc>
      </w:tr>
    </w:tbl>
    <w:p w14:paraId="602B5C22" w14:textId="77777777" w:rsidR="00B94AD8" w:rsidRPr="008A4CD9" w:rsidRDefault="00B94AD8" w:rsidP="00372071">
      <w:pPr>
        <w:autoSpaceDE w:val="0"/>
        <w:autoSpaceDN w:val="0"/>
        <w:adjustRightInd w:val="0"/>
        <w:rPr>
          <w:bCs/>
          <w:sz w:val="22"/>
          <w:szCs w:val="22"/>
          <w:lang w:val="sk-SK"/>
        </w:rPr>
      </w:pPr>
    </w:p>
    <w:p w14:paraId="7A7A6A53" w14:textId="77777777" w:rsidR="00D062DE" w:rsidRPr="008A4CD9" w:rsidRDefault="00D062DE" w:rsidP="00BD3FD9">
      <w:pPr>
        <w:suppressLineNumbers/>
        <w:tabs>
          <w:tab w:val="left" w:pos="567"/>
        </w:tabs>
        <w:autoSpaceDE w:val="0"/>
        <w:autoSpaceDN w:val="0"/>
        <w:adjustRightInd w:val="0"/>
        <w:jc w:val="both"/>
        <w:rPr>
          <w:b/>
          <w:sz w:val="22"/>
          <w:szCs w:val="22"/>
          <w:u w:val="single"/>
          <w:lang w:val="sk-SK" w:eastAsia="en-US"/>
        </w:rPr>
      </w:pPr>
      <w:r w:rsidRPr="008A4CD9">
        <w:rPr>
          <w:b/>
          <w:sz w:val="22"/>
          <w:szCs w:val="22"/>
          <w:u w:val="single"/>
          <w:lang w:val="sk-SK" w:eastAsia="en-US"/>
        </w:rPr>
        <w:t>Hlásenie podozrení na nežiaduce reakcie</w:t>
      </w:r>
    </w:p>
    <w:p w14:paraId="5B90B0A2" w14:textId="195FD15D" w:rsidR="0080011A" w:rsidRPr="008A4CD9" w:rsidRDefault="00D062DE" w:rsidP="008A4CD9">
      <w:pPr>
        <w:autoSpaceDE w:val="0"/>
        <w:autoSpaceDN w:val="0"/>
        <w:adjustRightInd w:val="0"/>
        <w:rPr>
          <w:sz w:val="22"/>
          <w:szCs w:val="22"/>
        </w:rPr>
      </w:pPr>
      <w:r w:rsidRPr="008A4CD9">
        <w:rPr>
          <w:sz w:val="22"/>
          <w:szCs w:val="22"/>
          <w:lang w:val="sk-SK" w:eastAsia="en-US"/>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80011A" w:rsidRPr="008A4CD9">
        <w:rPr>
          <w:sz w:val="22"/>
          <w:szCs w:val="22"/>
          <w:lang w:val="sk-SK" w:eastAsia="en-US"/>
        </w:rPr>
        <w:t xml:space="preserve">na </w:t>
      </w:r>
      <w:r w:rsidRPr="008A4CD9">
        <w:rPr>
          <w:sz w:val="22"/>
          <w:szCs w:val="22"/>
          <w:highlight w:val="lightGray"/>
          <w:lang w:val="sk-SK" w:eastAsia="en-US"/>
        </w:rPr>
        <w:t xml:space="preserve">národné </w:t>
      </w:r>
      <w:r w:rsidR="0080011A" w:rsidRPr="008A4CD9">
        <w:rPr>
          <w:sz w:val="22"/>
          <w:szCs w:val="22"/>
          <w:highlight w:val="lightGray"/>
          <w:lang w:val="sk-SK" w:eastAsia="en-US"/>
        </w:rPr>
        <w:t xml:space="preserve">centrum hlásenia </w:t>
      </w:r>
      <w:proofErr w:type="spellStart"/>
      <w:r w:rsidRPr="008A4CD9">
        <w:rPr>
          <w:sz w:val="22"/>
          <w:szCs w:val="22"/>
          <w:highlight w:val="lightGray"/>
          <w:lang w:val="sk-SK" w:eastAsia="en-US"/>
        </w:rPr>
        <w:t>uvedenév</w:t>
      </w:r>
      <w:proofErr w:type="spellEnd"/>
      <w:r w:rsidRPr="008A4CD9">
        <w:rPr>
          <w:sz w:val="22"/>
          <w:szCs w:val="22"/>
          <w:highlight w:val="lightGray"/>
          <w:lang w:val="sk-SK" w:eastAsia="en-US"/>
        </w:rPr>
        <w:t> </w:t>
      </w:r>
      <w:hyperlink r:id="rId8" w:history="1">
        <w:r w:rsidRPr="008A4CD9">
          <w:rPr>
            <w:color w:val="0000FF"/>
            <w:sz w:val="22"/>
            <w:szCs w:val="22"/>
            <w:highlight w:val="lightGray"/>
            <w:u w:val="single"/>
            <w:lang w:val="sk-SK" w:eastAsia="en-US"/>
          </w:rPr>
          <w:t>Prílohe V</w:t>
        </w:r>
      </w:hyperlink>
      <w:r w:rsidRPr="008A4CD9">
        <w:rPr>
          <w:sz w:val="22"/>
          <w:szCs w:val="22"/>
          <w:lang w:val="sk-SK" w:eastAsia="en-US"/>
        </w:rPr>
        <w:t>.</w:t>
      </w:r>
    </w:p>
    <w:p w14:paraId="58D51B67" w14:textId="77777777" w:rsidR="00D062DE" w:rsidRPr="008A4CD9" w:rsidRDefault="00D062DE" w:rsidP="00BD3FD9">
      <w:pPr>
        <w:jc w:val="both"/>
        <w:rPr>
          <w:sz w:val="22"/>
          <w:szCs w:val="22"/>
          <w:lang w:val="sk-SK"/>
        </w:rPr>
      </w:pPr>
    </w:p>
    <w:p w14:paraId="0289357C" w14:textId="77777777" w:rsidR="00B94AD8" w:rsidRPr="008A4CD9" w:rsidRDefault="00B94AD8" w:rsidP="008A4CD9">
      <w:pPr>
        <w:keepNext/>
        <w:rPr>
          <w:b/>
          <w:bCs/>
          <w:sz w:val="22"/>
          <w:szCs w:val="22"/>
          <w:lang w:val="sk-SK"/>
        </w:rPr>
      </w:pPr>
      <w:r w:rsidRPr="008A4CD9">
        <w:rPr>
          <w:b/>
          <w:bCs/>
          <w:sz w:val="22"/>
          <w:szCs w:val="22"/>
          <w:lang w:val="sk-SK"/>
        </w:rPr>
        <w:lastRenderedPageBreak/>
        <w:t xml:space="preserve">4.9 Predávkovanie </w:t>
      </w:r>
    </w:p>
    <w:p w14:paraId="64D57B36" w14:textId="77777777" w:rsidR="00B94AD8" w:rsidRPr="008A4CD9" w:rsidRDefault="00B94AD8" w:rsidP="008A4CD9">
      <w:pPr>
        <w:pStyle w:val="Zarkazkladnhotextu"/>
        <w:keepNext/>
        <w:ind w:left="0"/>
        <w:rPr>
          <w:sz w:val="22"/>
          <w:szCs w:val="22"/>
        </w:rPr>
      </w:pPr>
    </w:p>
    <w:p w14:paraId="6CE4A40D" w14:textId="77777777" w:rsidR="00B94AD8" w:rsidRPr="008A4CD9" w:rsidRDefault="00B94AD8" w:rsidP="008A4CD9">
      <w:pPr>
        <w:pStyle w:val="Zarkazkladnhotextu"/>
        <w:keepNext/>
        <w:ind w:left="0"/>
        <w:rPr>
          <w:sz w:val="22"/>
          <w:szCs w:val="22"/>
        </w:rPr>
      </w:pPr>
      <w:r w:rsidRPr="008A4CD9">
        <w:rPr>
          <w:sz w:val="22"/>
          <w:szCs w:val="22"/>
        </w:rPr>
        <w:t>Nebol hlásený žiaden prípad predávkovania.</w:t>
      </w:r>
    </w:p>
    <w:p w14:paraId="50BE3CDC" w14:textId="77777777" w:rsidR="00131542" w:rsidRPr="008A4CD9" w:rsidRDefault="00131542" w:rsidP="00372071">
      <w:pPr>
        <w:pStyle w:val="Zarkazkladnhotextu"/>
        <w:ind w:left="0"/>
        <w:rPr>
          <w:sz w:val="22"/>
          <w:szCs w:val="22"/>
        </w:rPr>
      </w:pPr>
    </w:p>
    <w:p w14:paraId="2D31ABEC" w14:textId="77777777" w:rsidR="007C3164" w:rsidRPr="008A4CD9" w:rsidRDefault="007C3164" w:rsidP="00443475">
      <w:pPr>
        <w:pStyle w:val="Zarkazkladnhotextu"/>
        <w:ind w:left="567" w:hanging="567"/>
        <w:rPr>
          <w:sz w:val="22"/>
          <w:szCs w:val="22"/>
        </w:rPr>
      </w:pPr>
    </w:p>
    <w:p w14:paraId="659D5B11" w14:textId="77777777" w:rsidR="00B94AD8" w:rsidRPr="008A4CD9" w:rsidRDefault="00B94AD8" w:rsidP="008A4CD9">
      <w:pPr>
        <w:numPr>
          <w:ilvl w:val="0"/>
          <w:numId w:val="1"/>
        </w:numPr>
        <w:tabs>
          <w:tab w:val="clear" w:pos="720"/>
          <w:tab w:val="num" w:pos="567"/>
        </w:tabs>
        <w:ind w:left="567" w:hanging="567"/>
        <w:rPr>
          <w:b/>
          <w:bCs/>
          <w:sz w:val="22"/>
          <w:szCs w:val="22"/>
          <w:lang w:val="sk-SK"/>
        </w:rPr>
      </w:pPr>
      <w:r w:rsidRPr="008A4CD9">
        <w:rPr>
          <w:b/>
          <w:bCs/>
          <w:sz w:val="22"/>
          <w:szCs w:val="22"/>
          <w:lang w:val="sk-SK"/>
        </w:rPr>
        <w:t>FARMAKOLOGICKÉ VLASTNOSTI</w:t>
      </w:r>
    </w:p>
    <w:p w14:paraId="1675DEBC" w14:textId="77777777" w:rsidR="00131542" w:rsidRPr="008A4CD9" w:rsidRDefault="00131542" w:rsidP="00372071">
      <w:pPr>
        <w:rPr>
          <w:b/>
          <w:bCs/>
          <w:sz w:val="22"/>
          <w:szCs w:val="22"/>
          <w:lang w:val="sk-SK"/>
        </w:rPr>
      </w:pPr>
    </w:p>
    <w:p w14:paraId="42EE90A3" w14:textId="77777777" w:rsidR="00B94AD8" w:rsidRPr="008A4CD9" w:rsidRDefault="00B94AD8" w:rsidP="008A4CD9">
      <w:pPr>
        <w:pStyle w:val="Zarkazkladnhotextu"/>
        <w:ind w:left="567" w:hanging="567"/>
        <w:rPr>
          <w:b/>
          <w:bCs/>
          <w:sz w:val="22"/>
          <w:szCs w:val="22"/>
        </w:rPr>
      </w:pPr>
      <w:r w:rsidRPr="008A4CD9">
        <w:rPr>
          <w:b/>
          <w:bCs/>
          <w:sz w:val="22"/>
          <w:szCs w:val="22"/>
        </w:rPr>
        <w:t>5.1 Farmakodynamické vlastnosti</w:t>
      </w:r>
    </w:p>
    <w:p w14:paraId="552F9BD9" w14:textId="77777777" w:rsidR="00B94AD8" w:rsidRPr="008A4CD9" w:rsidRDefault="00B94AD8" w:rsidP="00372071">
      <w:pPr>
        <w:pStyle w:val="Zarkazkladnhotextu"/>
        <w:ind w:left="0"/>
        <w:rPr>
          <w:sz w:val="22"/>
          <w:szCs w:val="22"/>
        </w:rPr>
      </w:pPr>
    </w:p>
    <w:p w14:paraId="1E7ABD7C" w14:textId="333D918B" w:rsidR="00B94AD8" w:rsidRPr="008A4CD9" w:rsidRDefault="00B94AD8" w:rsidP="00372071">
      <w:pPr>
        <w:pStyle w:val="Zarkazkladnhotextu"/>
        <w:ind w:left="0"/>
        <w:rPr>
          <w:sz w:val="22"/>
          <w:szCs w:val="22"/>
        </w:rPr>
      </w:pPr>
      <w:proofErr w:type="spellStart"/>
      <w:r w:rsidRPr="008A4CD9">
        <w:rPr>
          <w:sz w:val="22"/>
          <w:szCs w:val="22"/>
        </w:rPr>
        <w:t>Farmakoter</w:t>
      </w:r>
      <w:r w:rsidR="008A4CD9">
        <w:rPr>
          <w:sz w:val="22"/>
          <w:szCs w:val="22"/>
        </w:rPr>
        <w:t>apeutická</w:t>
      </w:r>
      <w:proofErr w:type="spellEnd"/>
      <w:r w:rsidR="008A4CD9">
        <w:rPr>
          <w:sz w:val="22"/>
          <w:szCs w:val="22"/>
        </w:rPr>
        <w:t xml:space="preserve"> </w:t>
      </w:r>
      <w:r w:rsidR="00BB5DFE" w:rsidRPr="008A4CD9">
        <w:rPr>
          <w:sz w:val="22"/>
          <w:szCs w:val="22"/>
        </w:rPr>
        <w:t xml:space="preserve">skupina: </w:t>
      </w:r>
      <w:proofErr w:type="spellStart"/>
      <w:r w:rsidR="00BB5DFE" w:rsidRPr="008A4CD9">
        <w:rPr>
          <w:sz w:val="22"/>
          <w:szCs w:val="22"/>
        </w:rPr>
        <w:t>Diagnostiká</w:t>
      </w:r>
      <w:proofErr w:type="spellEnd"/>
      <w:r w:rsidR="002D0DB3" w:rsidRPr="008A4CD9">
        <w:rPr>
          <w:sz w:val="22"/>
          <w:szCs w:val="22"/>
        </w:rPr>
        <w:t xml:space="preserve">, iné </w:t>
      </w:r>
      <w:proofErr w:type="spellStart"/>
      <w:r w:rsidR="002D0DB3" w:rsidRPr="008A4CD9">
        <w:rPr>
          <w:sz w:val="22"/>
          <w:szCs w:val="22"/>
        </w:rPr>
        <w:t>diagnostiká</w:t>
      </w:r>
      <w:proofErr w:type="spellEnd"/>
    </w:p>
    <w:p w14:paraId="65C3F5DE" w14:textId="77777777" w:rsidR="00B94AD8" w:rsidRPr="008A4CD9" w:rsidRDefault="00CE783D" w:rsidP="00372071">
      <w:pPr>
        <w:pStyle w:val="Zarkazkladnhotextu"/>
        <w:ind w:left="0"/>
        <w:rPr>
          <w:sz w:val="22"/>
          <w:szCs w:val="22"/>
        </w:rPr>
      </w:pPr>
      <w:r w:rsidRPr="008A4CD9">
        <w:rPr>
          <w:sz w:val="22"/>
          <w:szCs w:val="22"/>
        </w:rPr>
        <w:t>ATC kód</w:t>
      </w:r>
      <w:r w:rsidR="00B94AD8" w:rsidRPr="008A4CD9">
        <w:rPr>
          <w:sz w:val="22"/>
          <w:szCs w:val="22"/>
        </w:rPr>
        <w:t>: V04CX</w:t>
      </w:r>
    </w:p>
    <w:p w14:paraId="29BC2BDA" w14:textId="77777777" w:rsidR="00B94AD8" w:rsidRPr="008A4CD9" w:rsidRDefault="00B94AD8" w:rsidP="00372071">
      <w:pPr>
        <w:pStyle w:val="Zarkazkladnhotextu"/>
        <w:ind w:left="0"/>
        <w:rPr>
          <w:sz w:val="22"/>
          <w:szCs w:val="22"/>
        </w:rPr>
      </w:pPr>
    </w:p>
    <w:p w14:paraId="32EB1ABF" w14:textId="77777777" w:rsidR="00B94AD8" w:rsidRPr="008A4CD9" w:rsidRDefault="00B94AD8" w:rsidP="0074417D">
      <w:pPr>
        <w:pStyle w:val="Zarkazkladnhotextu"/>
        <w:ind w:left="0"/>
        <w:jc w:val="both"/>
        <w:rPr>
          <w:sz w:val="22"/>
          <w:szCs w:val="22"/>
        </w:rPr>
      </w:pPr>
      <w:r w:rsidRPr="008A4CD9">
        <w:rPr>
          <w:sz w:val="22"/>
          <w:szCs w:val="22"/>
        </w:rPr>
        <w:t xml:space="preserve">Lymfotropná vlastnosť patentnej modrej V vedie po podkožnej injekcii k zafarbeniu miestnych lymfatických ciev. To uľahčuje pri následnej lymfografii </w:t>
      </w:r>
      <w:r w:rsidR="007C3164" w:rsidRPr="008A4CD9">
        <w:rPr>
          <w:sz w:val="22"/>
          <w:szCs w:val="22"/>
        </w:rPr>
        <w:t xml:space="preserve">liekom </w:t>
      </w:r>
      <w:r w:rsidRPr="008A4CD9">
        <w:rPr>
          <w:sz w:val="22"/>
          <w:szCs w:val="22"/>
        </w:rPr>
        <w:t>L</w:t>
      </w:r>
      <w:r w:rsidR="007C3164" w:rsidRPr="008A4CD9">
        <w:rPr>
          <w:sz w:val="22"/>
          <w:szCs w:val="22"/>
        </w:rPr>
        <w:t xml:space="preserve">IPIODOL </w:t>
      </w:r>
      <w:r w:rsidRPr="008A4CD9">
        <w:rPr>
          <w:sz w:val="22"/>
          <w:szCs w:val="22"/>
        </w:rPr>
        <w:t>U</w:t>
      </w:r>
      <w:r w:rsidR="007C3164" w:rsidRPr="008A4CD9">
        <w:rPr>
          <w:sz w:val="22"/>
          <w:szCs w:val="22"/>
        </w:rPr>
        <w:t>LTRA</w:t>
      </w:r>
      <w:r w:rsidRPr="008A4CD9">
        <w:rPr>
          <w:sz w:val="22"/>
          <w:szCs w:val="22"/>
        </w:rPr>
        <w:t xml:space="preserve"> – F</w:t>
      </w:r>
      <w:r w:rsidR="007C3164" w:rsidRPr="008A4CD9">
        <w:rPr>
          <w:sz w:val="22"/>
          <w:szCs w:val="22"/>
        </w:rPr>
        <w:t>LUID</w:t>
      </w:r>
      <w:r w:rsidRPr="008A4CD9">
        <w:rPr>
          <w:sz w:val="22"/>
          <w:szCs w:val="22"/>
        </w:rPr>
        <w:t xml:space="preserve"> potrebnú </w:t>
      </w:r>
      <w:r w:rsidR="007C3164" w:rsidRPr="008A4CD9">
        <w:rPr>
          <w:sz w:val="22"/>
          <w:szCs w:val="22"/>
        </w:rPr>
        <w:t xml:space="preserve">na </w:t>
      </w:r>
      <w:r w:rsidRPr="008A4CD9">
        <w:rPr>
          <w:sz w:val="22"/>
          <w:szCs w:val="22"/>
        </w:rPr>
        <w:t>preparáciu a punkciu lymfatickej cievy.</w:t>
      </w:r>
    </w:p>
    <w:p w14:paraId="0FAA3280" w14:textId="77777777" w:rsidR="00131542" w:rsidRPr="008A4CD9" w:rsidRDefault="00131542" w:rsidP="00372071">
      <w:pPr>
        <w:pStyle w:val="Zarkazkladnhotextu"/>
        <w:ind w:left="0"/>
        <w:rPr>
          <w:sz w:val="22"/>
          <w:szCs w:val="22"/>
        </w:rPr>
      </w:pPr>
    </w:p>
    <w:p w14:paraId="0F601EA3" w14:textId="77777777" w:rsidR="00B94AD8" w:rsidRPr="008A4CD9" w:rsidRDefault="00B94AD8" w:rsidP="00372071">
      <w:pPr>
        <w:pStyle w:val="Zarkazkladnhotextu"/>
        <w:ind w:left="0"/>
        <w:rPr>
          <w:b/>
          <w:bCs/>
          <w:sz w:val="22"/>
          <w:szCs w:val="22"/>
        </w:rPr>
      </w:pPr>
      <w:r w:rsidRPr="008A4CD9">
        <w:rPr>
          <w:b/>
          <w:bCs/>
          <w:sz w:val="22"/>
          <w:szCs w:val="22"/>
        </w:rPr>
        <w:t xml:space="preserve">5.2 Farmakokinetické vlastnosti </w:t>
      </w:r>
    </w:p>
    <w:p w14:paraId="758412CA" w14:textId="77777777" w:rsidR="00CE783D" w:rsidRPr="008A4CD9" w:rsidRDefault="00CE783D" w:rsidP="00372071">
      <w:pPr>
        <w:pStyle w:val="Zarkazkladnhotextu"/>
        <w:ind w:left="0"/>
        <w:rPr>
          <w:b/>
          <w:bCs/>
          <w:sz w:val="22"/>
          <w:szCs w:val="22"/>
        </w:rPr>
      </w:pPr>
    </w:p>
    <w:p w14:paraId="66D1C116" w14:textId="5C05574A" w:rsidR="00B94AD8" w:rsidRPr="008A4CD9" w:rsidRDefault="00BB5DFE" w:rsidP="0074417D">
      <w:pPr>
        <w:pStyle w:val="Zarkazkladnhotextu"/>
        <w:ind w:left="0"/>
        <w:jc w:val="both"/>
        <w:rPr>
          <w:sz w:val="22"/>
          <w:szCs w:val="22"/>
        </w:rPr>
      </w:pPr>
      <w:r w:rsidRPr="008A4CD9">
        <w:rPr>
          <w:sz w:val="22"/>
          <w:szCs w:val="22"/>
        </w:rPr>
        <w:t>Liek</w:t>
      </w:r>
      <w:r w:rsidR="00B94AD8" w:rsidRPr="008A4CD9">
        <w:rPr>
          <w:sz w:val="22"/>
          <w:szCs w:val="22"/>
        </w:rPr>
        <w:t xml:space="preserve"> je eliminovaný </w:t>
      </w:r>
      <w:r w:rsidR="00443475" w:rsidRPr="008A4CD9">
        <w:rPr>
          <w:sz w:val="22"/>
          <w:szCs w:val="22"/>
        </w:rPr>
        <w:t xml:space="preserve">v priebehu </w:t>
      </w:r>
      <w:r w:rsidR="00B94AD8" w:rsidRPr="008A4CD9">
        <w:rPr>
          <w:sz w:val="22"/>
          <w:szCs w:val="22"/>
        </w:rPr>
        <w:t>24-48 hodín.</w:t>
      </w:r>
    </w:p>
    <w:p w14:paraId="17E9483B" w14:textId="77777777" w:rsidR="00B94AD8" w:rsidRPr="008A4CD9" w:rsidRDefault="00B94AD8" w:rsidP="0074417D">
      <w:pPr>
        <w:pStyle w:val="Zarkazkladnhotextu"/>
        <w:ind w:left="0"/>
        <w:jc w:val="both"/>
        <w:rPr>
          <w:sz w:val="22"/>
          <w:szCs w:val="22"/>
        </w:rPr>
      </w:pPr>
      <w:r w:rsidRPr="008A4CD9">
        <w:rPr>
          <w:sz w:val="22"/>
          <w:szCs w:val="22"/>
        </w:rPr>
        <w:t>Po transporte z miesta podania lymfatickými cestami sa do</w:t>
      </w:r>
      <w:r w:rsidR="00CE783D" w:rsidRPr="008A4CD9">
        <w:rPr>
          <w:sz w:val="22"/>
          <w:szCs w:val="22"/>
        </w:rPr>
        <w:t>stáva nemetabolizovaný liek</w:t>
      </w:r>
      <w:r w:rsidRPr="008A4CD9">
        <w:rPr>
          <w:sz w:val="22"/>
          <w:szCs w:val="22"/>
        </w:rPr>
        <w:t xml:space="preserve"> do krvného obeh</w:t>
      </w:r>
      <w:r w:rsidR="00CE783D" w:rsidRPr="008A4CD9">
        <w:rPr>
          <w:sz w:val="22"/>
          <w:szCs w:val="22"/>
        </w:rPr>
        <w:t>u a je vylučovaný prevažne močom, ktorý</w:t>
      </w:r>
      <w:r w:rsidRPr="008A4CD9">
        <w:rPr>
          <w:sz w:val="22"/>
          <w:szCs w:val="22"/>
        </w:rPr>
        <w:t xml:space="preserve"> je silne zafar</w:t>
      </w:r>
      <w:r w:rsidR="00CE783D" w:rsidRPr="008A4CD9">
        <w:rPr>
          <w:sz w:val="22"/>
          <w:szCs w:val="22"/>
        </w:rPr>
        <w:t>bený</w:t>
      </w:r>
      <w:r w:rsidRPr="008A4CD9">
        <w:rPr>
          <w:sz w:val="22"/>
          <w:szCs w:val="22"/>
        </w:rPr>
        <w:t>, v menšej miere žlčou. Neviaže sa na bielkoviny krvnej plazmy.</w:t>
      </w:r>
    </w:p>
    <w:p w14:paraId="5C0A0F3D" w14:textId="77777777" w:rsidR="00B94AD8" w:rsidRPr="008A4CD9" w:rsidRDefault="00B94AD8" w:rsidP="00372071">
      <w:pPr>
        <w:pStyle w:val="Zarkazkladnhotextu"/>
        <w:ind w:left="0"/>
        <w:rPr>
          <w:sz w:val="22"/>
          <w:szCs w:val="22"/>
        </w:rPr>
      </w:pPr>
    </w:p>
    <w:p w14:paraId="08F78070" w14:textId="77777777" w:rsidR="00B94AD8" w:rsidRPr="008A4CD9" w:rsidRDefault="00B94AD8" w:rsidP="00372071">
      <w:pPr>
        <w:pStyle w:val="Zarkazkladnhotextu"/>
        <w:ind w:left="0"/>
        <w:rPr>
          <w:b/>
          <w:bCs/>
          <w:sz w:val="22"/>
          <w:szCs w:val="22"/>
        </w:rPr>
      </w:pPr>
      <w:r w:rsidRPr="008A4CD9">
        <w:rPr>
          <w:b/>
          <w:bCs/>
          <w:sz w:val="22"/>
          <w:szCs w:val="22"/>
        </w:rPr>
        <w:t>5.3 Predklinické údaje o bezpečnosti</w:t>
      </w:r>
    </w:p>
    <w:p w14:paraId="1A070409" w14:textId="77777777" w:rsidR="00B94AD8" w:rsidRPr="008A4CD9" w:rsidRDefault="00B94AD8" w:rsidP="00372071">
      <w:pPr>
        <w:pStyle w:val="Zarkazkladnhotextu"/>
        <w:ind w:left="0"/>
        <w:rPr>
          <w:sz w:val="22"/>
          <w:szCs w:val="22"/>
        </w:rPr>
      </w:pPr>
    </w:p>
    <w:p w14:paraId="1A327B5A" w14:textId="77777777" w:rsidR="00B94AD8" w:rsidRPr="008A4CD9" w:rsidRDefault="00F2640E" w:rsidP="0074417D">
      <w:pPr>
        <w:jc w:val="both"/>
        <w:rPr>
          <w:sz w:val="22"/>
          <w:szCs w:val="22"/>
          <w:lang w:val="sk-SK"/>
        </w:rPr>
      </w:pPr>
      <w:r w:rsidRPr="008A4CD9">
        <w:rPr>
          <w:sz w:val="22"/>
          <w:szCs w:val="22"/>
          <w:lang w:val="sk-SK"/>
        </w:rPr>
        <w:t>Pred</w:t>
      </w:r>
      <w:r w:rsidR="00B94AD8" w:rsidRPr="008A4CD9">
        <w:rPr>
          <w:sz w:val="22"/>
          <w:szCs w:val="22"/>
          <w:lang w:val="sk-SK"/>
        </w:rPr>
        <w:t>klinické údaje získané na základe obvyklých farmakologických štúdií bezpečnosti a toxicity po jednej dávke a opakovanom podávaní neodhalili žiadne osobitné riziko pre ľudí.</w:t>
      </w:r>
    </w:p>
    <w:p w14:paraId="1DB2FA5F" w14:textId="77777777" w:rsidR="00B94AD8" w:rsidRPr="008A4CD9" w:rsidRDefault="00B94AD8" w:rsidP="0074417D">
      <w:pPr>
        <w:pStyle w:val="Zarkazkladnhotextu"/>
        <w:ind w:left="0"/>
        <w:jc w:val="both"/>
        <w:rPr>
          <w:sz w:val="22"/>
          <w:szCs w:val="22"/>
        </w:rPr>
      </w:pPr>
      <w:r w:rsidRPr="008A4CD9">
        <w:rPr>
          <w:sz w:val="22"/>
          <w:szCs w:val="22"/>
        </w:rPr>
        <w:t xml:space="preserve">V génovom mutačnom teste </w:t>
      </w:r>
      <w:r w:rsidRPr="008A4CD9">
        <w:rPr>
          <w:i/>
          <w:sz w:val="22"/>
          <w:szCs w:val="22"/>
        </w:rPr>
        <w:t>in vitro</w:t>
      </w:r>
      <w:r w:rsidRPr="008A4CD9">
        <w:rPr>
          <w:sz w:val="22"/>
          <w:szCs w:val="22"/>
        </w:rPr>
        <w:t xml:space="preserve"> na baktériách, vo vysokých koncentráciách, po metabolickej aktivácii bol pozorovaný mutagénny účinok. Toto zistenie nebolo potvrdené v génovom mutačnom teste cicavčích buniek </w:t>
      </w:r>
      <w:r w:rsidRPr="008A4CD9">
        <w:rPr>
          <w:i/>
          <w:sz w:val="22"/>
          <w:szCs w:val="22"/>
        </w:rPr>
        <w:t>in vitro</w:t>
      </w:r>
      <w:r w:rsidRPr="008A4CD9">
        <w:rPr>
          <w:sz w:val="22"/>
          <w:szCs w:val="22"/>
        </w:rPr>
        <w:t xml:space="preserve"> na bunkách myšieho lymfómu L5178Y ani </w:t>
      </w:r>
      <w:r w:rsidRPr="008A4CD9">
        <w:rPr>
          <w:i/>
          <w:sz w:val="22"/>
          <w:szCs w:val="22"/>
        </w:rPr>
        <w:t>in vivo</w:t>
      </w:r>
      <w:r w:rsidRPr="008A4CD9">
        <w:rPr>
          <w:sz w:val="22"/>
          <w:szCs w:val="22"/>
        </w:rPr>
        <w:t xml:space="preserve"> v mikrojadrovom teste pri úrovni dávok podstatne vyšších, ako je maximálna ľudská dávka, čo má pre klinické použitie len slabý význam.</w:t>
      </w:r>
    </w:p>
    <w:p w14:paraId="763BDDB5" w14:textId="77777777" w:rsidR="00B94AD8" w:rsidRPr="008A4CD9" w:rsidRDefault="00B94AD8" w:rsidP="00372071">
      <w:pPr>
        <w:pStyle w:val="Zarkazkladnhotextu"/>
        <w:ind w:left="0"/>
        <w:rPr>
          <w:sz w:val="22"/>
          <w:szCs w:val="22"/>
        </w:rPr>
      </w:pPr>
    </w:p>
    <w:p w14:paraId="71B568BB" w14:textId="77777777" w:rsidR="00B94AD8" w:rsidRPr="008A4CD9" w:rsidRDefault="00B94AD8" w:rsidP="00372071">
      <w:pPr>
        <w:pStyle w:val="Zarkazkladnhotextu"/>
        <w:ind w:left="0"/>
        <w:rPr>
          <w:sz w:val="22"/>
          <w:szCs w:val="22"/>
        </w:rPr>
      </w:pPr>
    </w:p>
    <w:p w14:paraId="577FB110" w14:textId="77777777" w:rsidR="00B94AD8" w:rsidRPr="008A4CD9" w:rsidRDefault="00B94AD8" w:rsidP="008A4CD9">
      <w:pPr>
        <w:numPr>
          <w:ilvl w:val="0"/>
          <w:numId w:val="1"/>
        </w:numPr>
        <w:tabs>
          <w:tab w:val="clear" w:pos="720"/>
          <w:tab w:val="num" w:pos="567"/>
        </w:tabs>
        <w:ind w:left="567" w:hanging="567"/>
        <w:rPr>
          <w:b/>
          <w:bCs/>
          <w:sz w:val="22"/>
          <w:szCs w:val="22"/>
          <w:lang w:val="sk-SK"/>
        </w:rPr>
      </w:pPr>
      <w:r w:rsidRPr="008A4CD9">
        <w:rPr>
          <w:b/>
          <w:bCs/>
          <w:sz w:val="22"/>
          <w:szCs w:val="22"/>
          <w:lang w:val="sk-SK"/>
        </w:rPr>
        <w:t>FARMACEUTICKÉ INFORMÁCIE</w:t>
      </w:r>
    </w:p>
    <w:p w14:paraId="58B898A4" w14:textId="77777777" w:rsidR="009B226B" w:rsidRPr="008A4CD9" w:rsidRDefault="009B226B" w:rsidP="00372071">
      <w:pPr>
        <w:ind w:left="360"/>
        <w:rPr>
          <w:b/>
          <w:bCs/>
          <w:sz w:val="22"/>
          <w:szCs w:val="22"/>
          <w:lang w:val="sk-SK"/>
        </w:rPr>
      </w:pPr>
    </w:p>
    <w:p w14:paraId="3CC49FA6" w14:textId="77777777" w:rsidR="00B94AD8" w:rsidRPr="008A4CD9" w:rsidRDefault="00B94AD8" w:rsidP="00372071">
      <w:pPr>
        <w:pStyle w:val="Zarkazkladnhotextu"/>
        <w:ind w:left="0"/>
        <w:rPr>
          <w:b/>
          <w:bCs/>
          <w:sz w:val="22"/>
          <w:szCs w:val="22"/>
        </w:rPr>
      </w:pPr>
      <w:r w:rsidRPr="008A4CD9">
        <w:rPr>
          <w:b/>
          <w:bCs/>
          <w:sz w:val="22"/>
          <w:szCs w:val="22"/>
        </w:rPr>
        <w:t>6.1 Zoznam pomocných látok</w:t>
      </w:r>
    </w:p>
    <w:p w14:paraId="5E2D7580" w14:textId="77777777" w:rsidR="00B94AD8" w:rsidRPr="008A4CD9" w:rsidRDefault="00B94AD8" w:rsidP="00372071">
      <w:pPr>
        <w:pStyle w:val="Zarkazkladnhotextu"/>
        <w:ind w:left="0"/>
        <w:rPr>
          <w:sz w:val="22"/>
          <w:szCs w:val="22"/>
        </w:rPr>
      </w:pPr>
    </w:p>
    <w:p w14:paraId="1101934F" w14:textId="77777777" w:rsidR="00047CD1" w:rsidRPr="008A4CD9" w:rsidRDefault="00047CD1" w:rsidP="00047CD1">
      <w:pPr>
        <w:jc w:val="both"/>
        <w:rPr>
          <w:rFonts w:eastAsia="Calibri"/>
          <w:sz w:val="22"/>
          <w:szCs w:val="22"/>
          <w:lang w:val="sk-SK" w:eastAsia="en-US"/>
        </w:rPr>
      </w:pPr>
      <w:r w:rsidRPr="008A4CD9">
        <w:rPr>
          <w:rFonts w:eastAsia="Calibri"/>
          <w:sz w:val="22"/>
          <w:szCs w:val="22"/>
          <w:lang w:val="sk-SK" w:eastAsia="en-US"/>
        </w:rPr>
        <w:t>chlorid sodný</w:t>
      </w:r>
    </w:p>
    <w:p w14:paraId="047CEF15" w14:textId="256D7ACB" w:rsidR="00047CD1" w:rsidRPr="008A4CD9" w:rsidRDefault="00047CD1" w:rsidP="00047CD1">
      <w:pPr>
        <w:jc w:val="both"/>
        <w:rPr>
          <w:rFonts w:eastAsia="Calibri"/>
          <w:sz w:val="22"/>
          <w:szCs w:val="22"/>
          <w:lang w:val="sk-SK" w:eastAsia="en-US"/>
        </w:rPr>
      </w:pPr>
      <w:proofErr w:type="spellStart"/>
      <w:r w:rsidRPr="008A4CD9">
        <w:rPr>
          <w:rFonts w:eastAsia="Calibri"/>
          <w:sz w:val="22"/>
          <w:szCs w:val="22"/>
          <w:lang w:val="sk-SK" w:eastAsia="en-US"/>
        </w:rPr>
        <w:t>hydro</w:t>
      </w:r>
      <w:r w:rsidR="0080011A" w:rsidRPr="008A4CD9">
        <w:rPr>
          <w:rFonts w:eastAsia="Calibri"/>
          <w:sz w:val="22"/>
          <w:szCs w:val="22"/>
          <w:lang w:val="sk-SK" w:eastAsia="en-US"/>
        </w:rPr>
        <w:t>gen</w:t>
      </w:r>
      <w:r w:rsidRPr="008A4CD9">
        <w:rPr>
          <w:rFonts w:eastAsia="Calibri"/>
          <w:sz w:val="22"/>
          <w:szCs w:val="22"/>
          <w:lang w:val="sk-SK" w:eastAsia="en-US"/>
        </w:rPr>
        <w:t>fosforečnan</w:t>
      </w:r>
      <w:proofErr w:type="spellEnd"/>
      <w:r w:rsidRPr="008A4CD9">
        <w:rPr>
          <w:rFonts w:eastAsia="Calibri"/>
          <w:sz w:val="22"/>
          <w:szCs w:val="22"/>
          <w:lang w:val="sk-SK" w:eastAsia="en-US"/>
        </w:rPr>
        <w:t xml:space="preserve"> sodn</w:t>
      </w:r>
      <w:r w:rsidR="00443475" w:rsidRPr="008A4CD9">
        <w:rPr>
          <w:rFonts w:eastAsia="Calibri"/>
          <w:sz w:val="22"/>
          <w:szCs w:val="22"/>
          <w:lang w:val="sk-SK" w:eastAsia="en-US"/>
        </w:rPr>
        <w:t>ý</w:t>
      </w:r>
      <w:r w:rsidR="0080011A" w:rsidRPr="008A4CD9">
        <w:rPr>
          <w:rFonts w:eastAsia="Calibri"/>
          <w:sz w:val="22"/>
          <w:szCs w:val="22"/>
          <w:lang w:val="sk-SK" w:eastAsia="en-US"/>
        </w:rPr>
        <w:t xml:space="preserve">, </w:t>
      </w:r>
      <w:proofErr w:type="spellStart"/>
      <w:r w:rsidR="0080011A" w:rsidRPr="008A4CD9">
        <w:rPr>
          <w:rFonts w:eastAsia="Calibri"/>
          <w:sz w:val="22"/>
          <w:szCs w:val="22"/>
          <w:lang w:val="sk-SK" w:eastAsia="en-US"/>
        </w:rPr>
        <w:t>dihydrát</w:t>
      </w:r>
      <w:proofErr w:type="spellEnd"/>
    </w:p>
    <w:p w14:paraId="47ECA0A4" w14:textId="740C7B98" w:rsidR="00047CD1" w:rsidRPr="008A4CD9" w:rsidRDefault="00047CD1" w:rsidP="00047CD1">
      <w:pPr>
        <w:jc w:val="both"/>
        <w:rPr>
          <w:rFonts w:eastAsia="Calibri"/>
          <w:sz w:val="22"/>
          <w:szCs w:val="22"/>
          <w:lang w:val="sk-SK" w:eastAsia="en-US"/>
        </w:rPr>
      </w:pPr>
      <w:r w:rsidRPr="008A4CD9">
        <w:rPr>
          <w:rFonts w:eastAsia="Calibri"/>
          <w:sz w:val="22"/>
          <w:szCs w:val="22"/>
          <w:lang w:val="sk-SK" w:eastAsia="en-US"/>
        </w:rPr>
        <w:t>voda na injekci</w:t>
      </w:r>
      <w:r w:rsidR="00443475" w:rsidRPr="008A4CD9">
        <w:rPr>
          <w:rFonts w:eastAsia="Calibri"/>
          <w:sz w:val="22"/>
          <w:szCs w:val="22"/>
          <w:lang w:val="sk-SK" w:eastAsia="en-US"/>
        </w:rPr>
        <w:t>e</w:t>
      </w:r>
      <w:r w:rsidRPr="008A4CD9">
        <w:rPr>
          <w:rFonts w:eastAsia="Calibri"/>
          <w:sz w:val="22"/>
          <w:szCs w:val="22"/>
          <w:lang w:val="sk-SK" w:eastAsia="en-US"/>
        </w:rPr>
        <w:t>.</w:t>
      </w:r>
    </w:p>
    <w:p w14:paraId="10C753CE" w14:textId="1B34D14D" w:rsidR="0080011A" w:rsidRPr="008A4CD9" w:rsidRDefault="0080011A" w:rsidP="0074417D">
      <w:pPr>
        <w:pStyle w:val="Zarkazkladnhotextu"/>
        <w:ind w:left="0"/>
        <w:jc w:val="both"/>
        <w:rPr>
          <w:sz w:val="22"/>
          <w:szCs w:val="22"/>
        </w:rPr>
      </w:pPr>
      <w:bookmarkStart w:id="0" w:name="_GoBack"/>
      <w:bookmarkEnd w:id="0"/>
    </w:p>
    <w:p w14:paraId="49E6C11B" w14:textId="77777777" w:rsidR="00B94AD8" w:rsidRPr="008A4CD9" w:rsidRDefault="00B94AD8" w:rsidP="00372071">
      <w:pPr>
        <w:pStyle w:val="Zarkazkladnhotextu"/>
        <w:ind w:left="0"/>
        <w:rPr>
          <w:b/>
          <w:bCs/>
          <w:sz w:val="22"/>
          <w:szCs w:val="22"/>
        </w:rPr>
      </w:pPr>
      <w:r w:rsidRPr="008A4CD9">
        <w:rPr>
          <w:b/>
          <w:bCs/>
          <w:sz w:val="22"/>
          <w:szCs w:val="22"/>
        </w:rPr>
        <w:t>6.2 Inkompatibility</w:t>
      </w:r>
    </w:p>
    <w:p w14:paraId="348AF649" w14:textId="77777777" w:rsidR="00B94AD8" w:rsidRPr="008A4CD9" w:rsidRDefault="00B94AD8" w:rsidP="00372071">
      <w:pPr>
        <w:pStyle w:val="Zarkazkladnhotextu"/>
        <w:ind w:left="0"/>
        <w:rPr>
          <w:sz w:val="22"/>
          <w:szCs w:val="22"/>
        </w:rPr>
      </w:pPr>
    </w:p>
    <w:p w14:paraId="52172151" w14:textId="77777777" w:rsidR="00B94AD8" w:rsidRPr="008A4CD9" w:rsidRDefault="00B94AD8" w:rsidP="00372071">
      <w:pPr>
        <w:pStyle w:val="Zarkazkladnhotextu"/>
        <w:ind w:left="0"/>
        <w:rPr>
          <w:sz w:val="22"/>
          <w:szCs w:val="22"/>
        </w:rPr>
      </w:pPr>
      <w:r w:rsidRPr="008A4CD9">
        <w:rPr>
          <w:sz w:val="22"/>
          <w:szCs w:val="22"/>
        </w:rPr>
        <w:t>Nevykonali sa štúdie kompatibility, preto sa tento liek nesmie miešať s inými liekmi.</w:t>
      </w:r>
    </w:p>
    <w:p w14:paraId="5C65EF40" w14:textId="77777777" w:rsidR="00131542" w:rsidRPr="008A4CD9" w:rsidRDefault="00131542" w:rsidP="00372071">
      <w:pPr>
        <w:pStyle w:val="Zarkazkladnhotextu"/>
        <w:ind w:left="0"/>
        <w:rPr>
          <w:sz w:val="22"/>
          <w:szCs w:val="22"/>
        </w:rPr>
      </w:pPr>
    </w:p>
    <w:p w14:paraId="4D984763" w14:textId="77777777" w:rsidR="00B94AD8" w:rsidRPr="008A4CD9" w:rsidRDefault="00B94AD8" w:rsidP="00372071">
      <w:pPr>
        <w:pStyle w:val="Zarkazkladnhotextu"/>
        <w:ind w:left="0"/>
        <w:rPr>
          <w:b/>
          <w:bCs/>
          <w:sz w:val="22"/>
          <w:szCs w:val="22"/>
        </w:rPr>
      </w:pPr>
      <w:r w:rsidRPr="008A4CD9">
        <w:rPr>
          <w:b/>
          <w:bCs/>
          <w:sz w:val="22"/>
          <w:szCs w:val="22"/>
        </w:rPr>
        <w:t>6.3 Čas použiteľnosti</w:t>
      </w:r>
    </w:p>
    <w:p w14:paraId="65F77256" w14:textId="77777777" w:rsidR="00B94AD8" w:rsidRPr="008A4CD9" w:rsidRDefault="00B94AD8" w:rsidP="00372071">
      <w:pPr>
        <w:pStyle w:val="Zarkazkladnhotextu"/>
        <w:ind w:left="0"/>
        <w:rPr>
          <w:sz w:val="22"/>
          <w:szCs w:val="22"/>
        </w:rPr>
      </w:pPr>
    </w:p>
    <w:p w14:paraId="60EA311F" w14:textId="77777777" w:rsidR="00B94AD8" w:rsidRPr="008A4CD9" w:rsidRDefault="00B94AD8" w:rsidP="00372071">
      <w:pPr>
        <w:pStyle w:val="Zarkazkladnhotextu"/>
        <w:ind w:left="0"/>
        <w:rPr>
          <w:sz w:val="22"/>
          <w:szCs w:val="22"/>
        </w:rPr>
      </w:pPr>
      <w:r w:rsidRPr="008A4CD9">
        <w:rPr>
          <w:sz w:val="22"/>
          <w:szCs w:val="22"/>
        </w:rPr>
        <w:t>3 roky</w:t>
      </w:r>
    </w:p>
    <w:p w14:paraId="136B50F9" w14:textId="77777777" w:rsidR="00131542" w:rsidRPr="008A4CD9" w:rsidRDefault="00131542" w:rsidP="00372071">
      <w:pPr>
        <w:pStyle w:val="Zarkazkladnhotextu"/>
        <w:ind w:left="0"/>
        <w:rPr>
          <w:sz w:val="22"/>
          <w:szCs w:val="22"/>
        </w:rPr>
      </w:pPr>
    </w:p>
    <w:p w14:paraId="170E2AB7" w14:textId="77777777" w:rsidR="00B94AD8" w:rsidRPr="008A4CD9" w:rsidRDefault="00B94AD8" w:rsidP="00372071">
      <w:pPr>
        <w:pStyle w:val="Zarkazkladnhotextu"/>
        <w:ind w:left="0"/>
        <w:rPr>
          <w:b/>
          <w:bCs/>
          <w:sz w:val="22"/>
          <w:szCs w:val="22"/>
        </w:rPr>
      </w:pPr>
      <w:r w:rsidRPr="008A4CD9">
        <w:rPr>
          <w:b/>
          <w:bCs/>
          <w:sz w:val="22"/>
          <w:szCs w:val="22"/>
        </w:rPr>
        <w:t xml:space="preserve">6.4 </w:t>
      </w:r>
      <w:r w:rsidRPr="008A4CD9">
        <w:rPr>
          <w:b/>
          <w:sz w:val="22"/>
          <w:szCs w:val="22"/>
        </w:rPr>
        <w:t>Špeciálne upozornenia na uchovávanie</w:t>
      </w:r>
    </w:p>
    <w:p w14:paraId="1589622F" w14:textId="77777777" w:rsidR="00B94AD8" w:rsidRPr="008A4CD9" w:rsidRDefault="00B94AD8" w:rsidP="00372071">
      <w:pPr>
        <w:pStyle w:val="Zarkazkladnhotextu"/>
        <w:ind w:left="0"/>
        <w:rPr>
          <w:sz w:val="22"/>
          <w:szCs w:val="22"/>
        </w:rPr>
      </w:pPr>
    </w:p>
    <w:p w14:paraId="52886549" w14:textId="77777777" w:rsidR="00B94AD8" w:rsidRPr="008A4CD9" w:rsidRDefault="00BB5DFE" w:rsidP="00372071">
      <w:pPr>
        <w:pStyle w:val="Zarkazkladnhotextu"/>
        <w:ind w:left="0"/>
        <w:rPr>
          <w:sz w:val="22"/>
          <w:szCs w:val="22"/>
        </w:rPr>
      </w:pPr>
      <w:r w:rsidRPr="008A4CD9">
        <w:rPr>
          <w:sz w:val="22"/>
          <w:szCs w:val="22"/>
        </w:rPr>
        <w:t>Uchovávajte v </w:t>
      </w:r>
      <w:r w:rsidR="00B94AD8" w:rsidRPr="008A4CD9">
        <w:rPr>
          <w:sz w:val="22"/>
          <w:szCs w:val="22"/>
        </w:rPr>
        <w:t>suchu</w:t>
      </w:r>
      <w:r w:rsidRPr="008A4CD9">
        <w:rPr>
          <w:sz w:val="22"/>
          <w:szCs w:val="22"/>
        </w:rPr>
        <w:t xml:space="preserve"> pri teplote</w:t>
      </w:r>
      <w:r w:rsidR="00B94AD8" w:rsidRPr="008A4CD9">
        <w:rPr>
          <w:sz w:val="22"/>
          <w:szCs w:val="22"/>
        </w:rPr>
        <w:t xml:space="preserve"> do </w:t>
      </w:r>
      <w:smartTag w:uri="urn:schemas-microsoft-com:office:smarttags" w:element="metricconverter">
        <w:smartTagPr>
          <w:attr w:name="ProductID" w:val="30ﾰC"/>
        </w:smartTagPr>
        <w:r w:rsidR="00912E13" w:rsidRPr="008A4CD9">
          <w:rPr>
            <w:sz w:val="22"/>
            <w:szCs w:val="22"/>
          </w:rPr>
          <w:t>30</w:t>
        </w:r>
        <w:r w:rsidR="00B94AD8" w:rsidRPr="008A4CD9">
          <w:rPr>
            <w:sz w:val="22"/>
            <w:szCs w:val="22"/>
          </w:rPr>
          <w:t>°C</w:t>
        </w:r>
      </w:smartTag>
      <w:r w:rsidR="00B94AD8" w:rsidRPr="008A4CD9">
        <w:rPr>
          <w:sz w:val="22"/>
          <w:szCs w:val="22"/>
        </w:rPr>
        <w:t>.</w:t>
      </w:r>
    </w:p>
    <w:p w14:paraId="55A294E8" w14:textId="77777777" w:rsidR="00131542" w:rsidRPr="008A4CD9" w:rsidRDefault="00131542" w:rsidP="00372071">
      <w:pPr>
        <w:pStyle w:val="Zarkazkladnhotextu"/>
        <w:ind w:left="0"/>
        <w:rPr>
          <w:sz w:val="22"/>
          <w:szCs w:val="22"/>
        </w:rPr>
      </w:pPr>
    </w:p>
    <w:p w14:paraId="59377DFE" w14:textId="77777777" w:rsidR="00B94AD8" w:rsidRPr="008A4CD9" w:rsidRDefault="00B94AD8" w:rsidP="00372071">
      <w:pPr>
        <w:pStyle w:val="Zarkazkladnhotextu"/>
        <w:ind w:left="0"/>
        <w:rPr>
          <w:b/>
          <w:bCs/>
          <w:sz w:val="22"/>
          <w:szCs w:val="22"/>
        </w:rPr>
      </w:pPr>
      <w:r w:rsidRPr="008A4CD9">
        <w:rPr>
          <w:b/>
          <w:bCs/>
          <w:sz w:val="22"/>
          <w:szCs w:val="22"/>
        </w:rPr>
        <w:t xml:space="preserve">6.5 </w:t>
      </w:r>
      <w:r w:rsidRPr="008A4CD9">
        <w:rPr>
          <w:b/>
          <w:sz w:val="22"/>
          <w:szCs w:val="22"/>
        </w:rPr>
        <w:t>Druh obalu a obsah balenia</w:t>
      </w:r>
    </w:p>
    <w:p w14:paraId="40E960D3" w14:textId="77777777" w:rsidR="00B94AD8" w:rsidRPr="008A4CD9" w:rsidRDefault="00B94AD8" w:rsidP="00372071">
      <w:pPr>
        <w:pStyle w:val="Zarkazkladnhotextu"/>
        <w:ind w:left="0"/>
        <w:rPr>
          <w:sz w:val="22"/>
          <w:szCs w:val="22"/>
        </w:rPr>
      </w:pPr>
    </w:p>
    <w:p w14:paraId="5434598A" w14:textId="77777777" w:rsidR="00B94AD8" w:rsidRPr="008A4CD9" w:rsidRDefault="009B226B" w:rsidP="00372071">
      <w:pPr>
        <w:pStyle w:val="Zarkazkladnhotextu"/>
        <w:ind w:left="0"/>
        <w:rPr>
          <w:sz w:val="22"/>
          <w:szCs w:val="22"/>
        </w:rPr>
      </w:pPr>
      <w:r w:rsidRPr="008A4CD9">
        <w:rPr>
          <w:sz w:val="22"/>
          <w:szCs w:val="22"/>
        </w:rPr>
        <w:t>Sklenená ampulka, škatuľka, písomná</w:t>
      </w:r>
      <w:r w:rsidR="00B94AD8" w:rsidRPr="008A4CD9">
        <w:rPr>
          <w:sz w:val="22"/>
          <w:szCs w:val="22"/>
        </w:rPr>
        <w:t xml:space="preserve"> informácia</w:t>
      </w:r>
      <w:r w:rsidR="00BB5DFE" w:rsidRPr="008A4CD9">
        <w:rPr>
          <w:sz w:val="22"/>
          <w:szCs w:val="22"/>
        </w:rPr>
        <w:t xml:space="preserve"> pre používateľ</w:t>
      </w:r>
      <w:r w:rsidR="007C3164" w:rsidRPr="008A4CD9">
        <w:rPr>
          <w:sz w:val="22"/>
          <w:szCs w:val="22"/>
        </w:rPr>
        <w:t>a</w:t>
      </w:r>
      <w:r w:rsidR="00BB5DFE" w:rsidRPr="008A4CD9">
        <w:rPr>
          <w:sz w:val="22"/>
          <w:szCs w:val="22"/>
        </w:rPr>
        <w:t>.</w:t>
      </w:r>
    </w:p>
    <w:p w14:paraId="775BE9A2" w14:textId="77777777" w:rsidR="00B94AD8" w:rsidRPr="008A4CD9" w:rsidRDefault="00B94AD8" w:rsidP="00372071">
      <w:pPr>
        <w:pStyle w:val="Zarkazkladnhotextu"/>
        <w:ind w:left="0"/>
        <w:rPr>
          <w:sz w:val="22"/>
          <w:szCs w:val="22"/>
        </w:rPr>
      </w:pPr>
      <w:r w:rsidRPr="008A4CD9">
        <w:rPr>
          <w:sz w:val="22"/>
          <w:szCs w:val="22"/>
        </w:rPr>
        <w:t>Veľkosť balenia: 5x1 ampulka s 2 ml roztoku.</w:t>
      </w:r>
    </w:p>
    <w:p w14:paraId="1C1ED846" w14:textId="77777777" w:rsidR="00B94AD8" w:rsidRPr="008A4CD9" w:rsidRDefault="00B94AD8" w:rsidP="00372071">
      <w:pPr>
        <w:pStyle w:val="Zarkazkladnhotextu"/>
        <w:ind w:left="0"/>
        <w:rPr>
          <w:sz w:val="22"/>
          <w:szCs w:val="22"/>
        </w:rPr>
      </w:pPr>
    </w:p>
    <w:p w14:paraId="665BC8F9" w14:textId="77777777" w:rsidR="00B94AD8" w:rsidRPr="008A4CD9" w:rsidRDefault="00B94AD8" w:rsidP="00372071">
      <w:pPr>
        <w:pStyle w:val="Zarkazkladnhotextu"/>
        <w:tabs>
          <w:tab w:val="left" w:pos="540"/>
        </w:tabs>
        <w:ind w:left="0"/>
        <w:rPr>
          <w:b/>
          <w:bCs/>
          <w:sz w:val="22"/>
          <w:szCs w:val="22"/>
        </w:rPr>
      </w:pPr>
      <w:r w:rsidRPr="008A4CD9">
        <w:rPr>
          <w:b/>
          <w:bCs/>
          <w:sz w:val="22"/>
          <w:szCs w:val="22"/>
        </w:rPr>
        <w:t>6.6</w:t>
      </w:r>
      <w:r w:rsidRPr="008A4CD9">
        <w:rPr>
          <w:b/>
          <w:bCs/>
          <w:sz w:val="22"/>
          <w:szCs w:val="22"/>
        </w:rPr>
        <w:tab/>
        <w:t>Špeciálne opatrenia na likvidáciu a iné zaobchádzanie s liekom</w:t>
      </w:r>
    </w:p>
    <w:p w14:paraId="6A39E699" w14:textId="77777777" w:rsidR="00B94AD8" w:rsidRPr="008A4CD9" w:rsidRDefault="00B94AD8" w:rsidP="00372071">
      <w:pPr>
        <w:pStyle w:val="Zarkazkladnhotextu"/>
        <w:ind w:left="0"/>
        <w:rPr>
          <w:sz w:val="22"/>
          <w:szCs w:val="22"/>
        </w:rPr>
      </w:pPr>
    </w:p>
    <w:p w14:paraId="0CBADEEB" w14:textId="153764F5" w:rsidR="00B94AD8" w:rsidRPr="008A4CD9" w:rsidRDefault="00443475" w:rsidP="00372071">
      <w:pPr>
        <w:pStyle w:val="Zarkazkladnhotextu"/>
        <w:ind w:left="0"/>
        <w:rPr>
          <w:sz w:val="22"/>
          <w:szCs w:val="22"/>
        </w:rPr>
      </w:pPr>
      <w:r w:rsidRPr="008A4CD9">
        <w:rPr>
          <w:sz w:val="22"/>
          <w:szCs w:val="22"/>
        </w:rPr>
        <w:t>Všetok nepoužitý liek alebo odpad vzniknutý z lieku sa má zlikvidovať v súlade s národnými požiadavkami</w:t>
      </w:r>
      <w:r w:rsidRPr="008A4CD9" w:rsidDel="00443475">
        <w:rPr>
          <w:noProof/>
          <w:sz w:val="22"/>
          <w:szCs w:val="22"/>
        </w:rPr>
        <w:t xml:space="preserve"> </w:t>
      </w:r>
    </w:p>
    <w:p w14:paraId="78069E08" w14:textId="77777777" w:rsidR="00131542" w:rsidRPr="008A4CD9" w:rsidRDefault="00131542" w:rsidP="00372071">
      <w:pPr>
        <w:pStyle w:val="Zarkazkladnhotextu"/>
        <w:ind w:left="0"/>
        <w:rPr>
          <w:sz w:val="22"/>
          <w:szCs w:val="22"/>
        </w:rPr>
      </w:pPr>
    </w:p>
    <w:p w14:paraId="30E98FBE" w14:textId="77777777" w:rsidR="00B94AD8" w:rsidRPr="008A4CD9" w:rsidRDefault="00B94AD8" w:rsidP="00372071">
      <w:pPr>
        <w:numPr>
          <w:ilvl w:val="0"/>
          <w:numId w:val="1"/>
        </w:numPr>
        <w:tabs>
          <w:tab w:val="clear" w:pos="720"/>
          <w:tab w:val="num" w:pos="360"/>
        </w:tabs>
        <w:ind w:left="360"/>
        <w:rPr>
          <w:b/>
          <w:bCs/>
          <w:sz w:val="22"/>
          <w:szCs w:val="22"/>
          <w:lang w:val="sk-SK"/>
        </w:rPr>
      </w:pPr>
      <w:r w:rsidRPr="008A4CD9">
        <w:rPr>
          <w:b/>
          <w:bCs/>
          <w:sz w:val="22"/>
          <w:szCs w:val="22"/>
          <w:lang w:val="sk-SK"/>
        </w:rPr>
        <w:t>DRŽITEĽ ROZHODNUTIA O REGISTRÁCII</w:t>
      </w:r>
    </w:p>
    <w:p w14:paraId="0B3C492A" w14:textId="77777777" w:rsidR="00B94AD8" w:rsidRPr="008A4CD9" w:rsidRDefault="00B94AD8" w:rsidP="00372071">
      <w:pPr>
        <w:pStyle w:val="Zarkazkladnhotextu"/>
        <w:ind w:left="0"/>
        <w:rPr>
          <w:sz w:val="22"/>
          <w:szCs w:val="22"/>
        </w:rPr>
      </w:pPr>
    </w:p>
    <w:p w14:paraId="22CF7B45" w14:textId="77777777" w:rsidR="00B94AD8" w:rsidRPr="008A4CD9" w:rsidRDefault="00B94AD8" w:rsidP="00372071">
      <w:pPr>
        <w:pStyle w:val="Zarkazkladnhotextu"/>
        <w:ind w:left="0"/>
        <w:rPr>
          <w:sz w:val="22"/>
          <w:szCs w:val="22"/>
        </w:rPr>
      </w:pPr>
      <w:r w:rsidRPr="008A4CD9">
        <w:rPr>
          <w:sz w:val="22"/>
          <w:szCs w:val="22"/>
        </w:rPr>
        <w:t>GUERBET</w:t>
      </w:r>
    </w:p>
    <w:p w14:paraId="0CB8C396" w14:textId="77777777" w:rsidR="00B94AD8" w:rsidRPr="008A4CD9" w:rsidRDefault="00B94AD8" w:rsidP="00372071">
      <w:pPr>
        <w:pStyle w:val="Zarkazkladnhotextu"/>
        <w:ind w:left="0"/>
        <w:rPr>
          <w:sz w:val="22"/>
          <w:szCs w:val="22"/>
        </w:rPr>
      </w:pPr>
      <w:r w:rsidRPr="008A4CD9">
        <w:rPr>
          <w:sz w:val="22"/>
          <w:szCs w:val="22"/>
        </w:rPr>
        <w:t>B.P. 57400</w:t>
      </w:r>
    </w:p>
    <w:p w14:paraId="273409D7" w14:textId="77777777" w:rsidR="00B94AD8" w:rsidRPr="008A4CD9" w:rsidRDefault="00B94AD8" w:rsidP="00372071">
      <w:pPr>
        <w:pStyle w:val="Zarkazkladnhotextu"/>
        <w:ind w:left="0"/>
        <w:rPr>
          <w:sz w:val="22"/>
          <w:szCs w:val="22"/>
        </w:rPr>
      </w:pPr>
      <w:r w:rsidRPr="008A4CD9">
        <w:rPr>
          <w:sz w:val="22"/>
          <w:szCs w:val="22"/>
        </w:rPr>
        <w:t>F-95943 Roissy CdG CEDEX</w:t>
      </w:r>
    </w:p>
    <w:p w14:paraId="126A475D" w14:textId="77777777" w:rsidR="00B94AD8" w:rsidRPr="008A4CD9" w:rsidRDefault="00B94AD8" w:rsidP="00372071">
      <w:pPr>
        <w:pStyle w:val="Zarkazkladnhotextu"/>
        <w:ind w:left="0"/>
        <w:rPr>
          <w:sz w:val="22"/>
          <w:szCs w:val="22"/>
        </w:rPr>
      </w:pPr>
      <w:r w:rsidRPr="008A4CD9">
        <w:rPr>
          <w:sz w:val="22"/>
          <w:szCs w:val="22"/>
        </w:rPr>
        <w:t xml:space="preserve">Francúzsko </w:t>
      </w:r>
    </w:p>
    <w:p w14:paraId="12406E7D" w14:textId="77777777" w:rsidR="00B94AD8" w:rsidRPr="008A4CD9" w:rsidRDefault="00B94AD8" w:rsidP="00372071">
      <w:pPr>
        <w:pStyle w:val="Zarkazkladnhotextu"/>
        <w:ind w:left="0"/>
        <w:rPr>
          <w:sz w:val="22"/>
          <w:szCs w:val="22"/>
        </w:rPr>
      </w:pPr>
    </w:p>
    <w:p w14:paraId="4CDB71A0" w14:textId="77777777" w:rsidR="00B94AD8" w:rsidRPr="008A4CD9" w:rsidRDefault="00B94AD8" w:rsidP="00372071">
      <w:pPr>
        <w:pStyle w:val="Zarkazkladnhotextu"/>
        <w:ind w:left="0"/>
        <w:rPr>
          <w:sz w:val="22"/>
          <w:szCs w:val="22"/>
        </w:rPr>
      </w:pPr>
    </w:p>
    <w:p w14:paraId="19A2D427" w14:textId="77777777" w:rsidR="00B94AD8" w:rsidRPr="008A4CD9" w:rsidRDefault="00B94AD8" w:rsidP="00372071">
      <w:pPr>
        <w:numPr>
          <w:ilvl w:val="0"/>
          <w:numId w:val="1"/>
        </w:numPr>
        <w:tabs>
          <w:tab w:val="clear" w:pos="720"/>
          <w:tab w:val="num" w:pos="360"/>
        </w:tabs>
        <w:ind w:left="360"/>
        <w:rPr>
          <w:b/>
          <w:bCs/>
          <w:sz w:val="22"/>
          <w:szCs w:val="22"/>
          <w:lang w:val="sk-SK"/>
        </w:rPr>
      </w:pPr>
      <w:r w:rsidRPr="008A4CD9">
        <w:rPr>
          <w:b/>
          <w:bCs/>
          <w:sz w:val="22"/>
          <w:szCs w:val="22"/>
          <w:lang w:val="sk-SK"/>
        </w:rPr>
        <w:t>REGISTRAČNÉ ČÍSLO</w:t>
      </w:r>
    </w:p>
    <w:p w14:paraId="16B1AB85" w14:textId="77777777" w:rsidR="00B94AD8" w:rsidRPr="008A4CD9" w:rsidRDefault="00B94AD8" w:rsidP="00372071">
      <w:pPr>
        <w:rPr>
          <w:sz w:val="22"/>
          <w:szCs w:val="22"/>
          <w:lang w:val="sk-SK"/>
        </w:rPr>
      </w:pPr>
    </w:p>
    <w:p w14:paraId="390DCE81" w14:textId="77777777" w:rsidR="00B94AD8" w:rsidRPr="008A4CD9" w:rsidRDefault="00B94AD8" w:rsidP="00372071">
      <w:pPr>
        <w:rPr>
          <w:sz w:val="22"/>
          <w:szCs w:val="22"/>
          <w:lang w:val="sk-SK"/>
        </w:rPr>
      </w:pPr>
      <w:r w:rsidRPr="008A4CD9">
        <w:rPr>
          <w:sz w:val="22"/>
          <w:szCs w:val="22"/>
          <w:lang w:val="sk-SK"/>
        </w:rPr>
        <w:t>48/0163/76-C</w:t>
      </w:r>
      <w:r w:rsidR="000029B4" w:rsidRPr="008A4CD9">
        <w:rPr>
          <w:sz w:val="22"/>
          <w:szCs w:val="22"/>
          <w:lang w:val="sk-SK"/>
        </w:rPr>
        <w:t>S</w:t>
      </w:r>
    </w:p>
    <w:p w14:paraId="61B805C0" w14:textId="77777777" w:rsidR="00B94AD8" w:rsidRPr="008A4CD9" w:rsidRDefault="00B94AD8" w:rsidP="00372071">
      <w:pPr>
        <w:rPr>
          <w:sz w:val="22"/>
          <w:szCs w:val="22"/>
          <w:lang w:val="sk-SK"/>
        </w:rPr>
      </w:pPr>
    </w:p>
    <w:p w14:paraId="6BC17D40" w14:textId="77777777" w:rsidR="00B94AD8" w:rsidRPr="008A4CD9" w:rsidRDefault="00B94AD8" w:rsidP="00372071">
      <w:pPr>
        <w:rPr>
          <w:sz w:val="22"/>
          <w:szCs w:val="22"/>
          <w:lang w:val="sk-SK"/>
        </w:rPr>
      </w:pPr>
    </w:p>
    <w:p w14:paraId="78EEECAB" w14:textId="77777777" w:rsidR="00B94AD8" w:rsidRPr="008A4CD9" w:rsidRDefault="00B94AD8" w:rsidP="00372071">
      <w:pPr>
        <w:numPr>
          <w:ilvl w:val="0"/>
          <w:numId w:val="1"/>
        </w:numPr>
        <w:tabs>
          <w:tab w:val="clear" w:pos="720"/>
          <w:tab w:val="num" w:pos="360"/>
        </w:tabs>
        <w:ind w:left="360"/>
        <w:rPr>
          <w:b/>
          <w:bCs/>
          <w:sz w:val="22"/>
          <w:szCs w:val="22"/>
          <w:lang w:val="sk-SK"/>
        </w:rPr>
      </w:pPr>
      <w:r w:rsidRPr="008A4CD9">
        <w:rPr>
          <w:b/>
          <w:bCs/>
          <w:sz w:val="22"/>
          <w:szCs w:val="22"/>
          <w:lang w:val="sk-SK"/>
        </w:rPr>
        <w:t xml:space="preserve">DÁTUM </w:t>
      </w:r>
      <w:r w:rsidRPr="008A4CD9">
        <w:rPr>
          <w:b/>
          <w:sz w:val="22"/>
          <w:szCs w:val="22"/>
        </w:rPr>
        <w:t>PRVEJ</w:t>
      </w:r>
      <w:r w:rsidRPr="008A4CD9">
        <w:rPr>
          <w:b/>
          <w:bCs/>
          <w:sz w:val="22"/>
          <w:szCs w:val="22"/>
          <w:lang w:val="sk-SK"/>
        </w:rPr>
        <w:t xml:space="preserve"> REGISTRÁCIE/ PREDĹŽENIA REGISTRÁCIE</w:t>
      </w:r>
    </w:p>
    <w:p w14:paraId="00FA5609" w14:textId="77777777" w:rsidR="00B94AD8" w:rsidRPr="008A4CD9" w:rsidRDefault="00B94AD8" w:rsidP="00372071">
      <w:pPr>
        <w:rPr>
          <w:sz w:val="22"/>
          <w:szCs w:val="22"/>
          <w:lang w:val="sk-SK"/>
        </w:rPr>
      </w:pPr>
    </w:p>
    <w:p w14:paraId="1EC338C4" w14:textId="7EEEBA83" w:rsidR="00B94AD8" w:rsidRPr="008A4CD9" w:rsidRDefault="00BB5DFE" w:rsidP="00372071">
      <w:pPr>
        <w:rPr>
          <w:sz w:val="22"/>
          <w:szCs w:val="22"/>
          <w:lang w:val="sk-SK"/>
        </w:rPr>
      </w:pPr>
      <w:r w:rsidRPr="008A4CD9">
        <w:rPr>
          <w:sz w:val="22"/>
          <w:szCs w:val="22"/>
          <w:lang w:val="sk-SK"/>
        </w:rPr>
        <w:t>Dátum prvej registrácie</w:t>
      </w:r>
      <w:r w:rsidR="00C84B19" w:rsidRPr="008A4CD9">
        <w:rPr>
          <w:sz w:val="22"/>
          <w:szCs w:val="22"/>
          <w:lang w:val="sk-SK"/>
        </w:rPr>
        <w:t>:</w:t>
      </w:r>
      <w:r w:rsidRPr="008A4CD9">
        <w:rPr>
          <w:sz w:val="22"/>
          <w:szCs w:val="22"/>
          <w:lang w:val="sk-SK"/>
        </w:rPr>
        <w:t xml:space="preserve"> </w:t>
      </w:r>
      <w:r w:rsidR="001B06A5" w:rsidRPr="008A4CD9">
        <w:rPr>
          <w:sz w:val="22"/>
          <w:szCs w:val="22"/>
          <w:lang w:val="sk-SK"/>
        </w:rPr>
        <w:t>30.</w:t>
      </w:r>
      <w:r w:rsidR="00443475" w:rsidRPr="008A4CD9">
        <w:rPr>
          <w:sz w:val="22"/>
          <w:szCs w:val="22"/>
          <w:lang w:val="sk-SK"/>
        </w:rPr>
        <w:t xml:space="preserve"> decembra </w:t>
      </w:r>
      <w:r w:rsidR="001B06A5" w:rsidRPr="008A4CD9">
        <w:rPr>
          <w:sz w:val="22"/>
          <w:szCs w:val="22"/>
          <w:lang w:val="sk-SK"/>
        </w:rPr>
        <w:t>1976</w:t>
      </w:r>
    </w:p>
    <w:p w14:paraId="42657219" w14:textId="27762362" w:rsidR="00C84B19" w:rsidRPr="008A4CD9" w:rsidRDefault="00C84B19" w:rsidP="00372071">
      <w:pPr>
        <w:rPr>
          <w:sz w:val="22"/>
          <w:szCs w:val="22"/>
          <w:lang w:val="sk-SK"/>
        </w:rPr>
      </w:pPr>
      <w:r w:rsidRPr="008A4CD9">
        <w:rPr>
          <w:sz w:val="22"/>
          <w:szCs w:val="22"/>
          <w:lang w:val="sk-SK"/>
        </w:rPr>
        <w:t>Dátum posledného predĺženia</w:t>
      </w:r>
      <w:r w:rsidR="00372071" w:rsidRPr="008A4CD9">
        <w:rPr>
          <w:sz w:val="22"/>
          <w:szCs w:val="22"/>
          <w:lang w:val="sk-SK"/>
        </w:rPr>
        <w:t xml:space="preserve"> registrácie</w:t>
      </w:r>
      <w:r w:rsidRPr="008A4CD9">
        <w:rPr>
          <w:sz w:val="22"/>
          <w:szCs w:val="22"/>
          <w:lang w:val="sk-SK"/>
        </w:rPr>
        <w:t>:</w:t>
      </w:r>
      <w:r w:rsidR="0062115C" w:rsidRPr="008A4CD9">
        <w:rPr>
          <w:sz w:val="22"/>
          <w:szCs w:val="22"/>
          <w:lang w:val="sk-SK"/>
        </w:rPr>
        <w:t xml:space="preserve"> </w:t>
      </w:r>
      <w:r w:rsidRPr="008A4CD9">
        <w:rPr>
          <w:sz w:val="22"/>
          <w:szCs w:val="22"/>
          <w:lang w:val="sk-SK"/>
        </w:rPr>
        <w:t>23.</w:t>
      </w:r>
      <w:r w:rsidR="00443475" w:rsidRPr="008A4CD9">
        <w:rPr>
          <w:sz w:val="22"/>
          <w:szCs w:val="22"/>
          <w:lang w:val="sk-SK"/>
        </w:rPr>
        <w:t xml:space="preserve"> októbra </w:t>
      </w:r>
      <w:r w:rsidRPr="008A4CD9">
        <w:rPr>
          <w:sz w:val="22"/>
          <w:szCs w:val="22"/>
          <w:lang w:val="sk-SK"/>
        </w:rPr>
        <w:t>2007</w:t>
      </w:r>
    </w:p>
    <w:p w14:paraId="48D70595" w14:textId="77777777" w:rsidR="00B94AD8" w:rsidRPr="008A4CD9" w:rsidRDefault="00B94AD8" w:rsidP="00372071">
      <w:pPr>
        <w:rPr>
          <w:sz w:val="22"/>
          <w:szCs w:val="22"/>
          <w:lang w:val="sk-SK"/>
        </w:rPr>
      </w:pPr>
    </w:p>
    <w:p w14:paraId="7BFDF4D9" w14:textId="77777777" w:rsidR="00B94AD8" w:rsidRPr="008A4CD9" w:rsidRDefault="00B94AD8" w:rsidP="00372071">
      <w:pPr>
        <w:rPr>
          <w:sz w:val="22"/>
          <w:szCs w:val="22"/>
          <w:lang w:val="sk-SK"/>
        </w:rPr>
      </w:pPr>
    </w:p>
    <w:p w14:paraId="58A73339" w14:textId="77777777" w:rsidR="00372071" w:rsidRPr="008A4CD9" w:rsidRDefault="00B94AD8" w:rsidP="00372071">
      <w:pPr>
        <w:numPr>
          <w:ilvl w:val="0"/>
          <w:numId w:val="1"/>
        </w:numPr>
        <w:tabs>
          <w:tab w:val="clear" w:pos="720"/>
          <w:tab w:val="num" w:pos="360"/>
        </w:tabs>
        <w:ind w:left="360"/>
        <w:rPr>
          <w:b/>
          <w:bCs/>
          <w:sz w:val="22"/>
          <w:szCs w:val="22"/>
          <w:lang w:val="sk-SK"/>
        </w:rPr>
      </w:pPr>
      <w:r w:rsidRPr="008A4CD9">
        <w:rPr>
          <w:b/>
          <w:bCs/>
          <w:sz w:val="22"/>
          <w:szCs w:val="22"/>
          <w:lang w:val="sk-SK"/>
        </w:rPr>
        <w:t>DÁTUM REVÍZIE TEXTU</w:t>
      </w:r>
    </w:p>
    <w:p w14:paraId="2164FE6E" w14:textId="77777777" w:rsidR="00372071" w:rsidRPr="008A4CD9" w:rsidRDefault="00372071" w:rsidP="00372071">
      <w:pPr>
        <w:rPr>
          <w:sz w:val="22"/>
          <w:szCs w:val="22"/>
          <w:lang w:val="sk-SK"/>
        </w:rPr>
      </w:pPr>
    </w:p>
    <w:p w14:paraId="3A818AF1" w14:textId="55FB3A4F" w:rsidR="00B94AD8" w:rsidRPr="008A4CD9" w:rsidRDefault="00C65F84" w:rsidP="00372071">
      <w:pPr>
        <w:rPr>
          <w:sz w:val="22"/>
          <w:szCs w:val="22"/>
          <w:lang w:val="sk-SK"/>
        </w:rPr>
      </w:pPr>
      <w:r w:rsidRPr="008A4CD9">
        <w:rPr>
          <w:sz w:val="22"/>
          <w:szCs w:val="22"/>
          <w:lang w:val="sk-SK"/>
        </w:rPr>
        <w:t xml:space="preserve"> </w:t>
      </w:r>
      <w:r w:rsidR="00443475" w:rsidRPr="008A4CD9">
        <w:rPr>
          <w:sz w:val="22"/>
          <w:szCs w:val="22"/>
          <w:lang w:val="sk-SK"/>
        </w:rPr>
        <w:t>10/</w:t>
      </w:r>
      <w:r w:rsidRPr="008A4CD9">
        <w:rPr>
          <w:sz w:val="22"/>
          <w:szCs w:val="22"/>
          <w:lang w:val="sk-SK"/>
        </w:rPr>
        <w:t>2018</w:t>
      </w:r>
    </w:p>
    <w:sectPr w:rsidR="00B94AD8" w:rsidRPr="008A4CD9" w:rsidSect="008A4CD9">
      <w:headerReference w:type="default" r:id="rId9"/>
      <w:footerReference w:type="even" r:id="rId10"/>
      <w:footerReference w:type="default" r:id="rId11"/>
      <w:headerReference w:type="firs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E1458D" w15:done="0"/>
  <w15:commentEx w15:paraId="1E4D3BD7" w15:done="0"/>
  <w15:commentEx w15:paraId="0D7876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1458D" w16cid:durableId="1F79BE96"/>
  <w16cid:commentId w16cid:paraId="1E4D3BD7" w16cid:durableId="1F79BDE1"/>
  <w16cid:commentId w16cid:paraId="0D7876EA" w16cid:durableId="1F79BD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21727" w14:textId="77777777" w:rsidR="00D648F8" w:rsidRDefault="00D648F8">
      <w:r>
        <w:separator/>
      </w:r>
    </w:p>
  </w:endnote>
  <w:endnote w:type="continuationSeparator" w:id="0">
    <w:p w14:paraId="00E8105D" w14:textId="77777777" w:rsidR="00D648F8" w:rsidRDefault="00D648F8">
      <w:r>
        <w:continuationSeparator/>
      </w:r>
    </w:p>
  </w:endnote>
  <w:endnote w:type="continuationNotice" w:id="1">
    <w:p w14:paraId="605F9581" w14:textId="77777777" w:rsidR="00D648F8" w:rsidRDefault="00D64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C163F" w14:textId="77777777" w:rsidR="00602168" w:rsidRDefault="00602168" w:rsidP="00BE06B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8AE286E" w14:textId="77777777" w:rsidR="00602168" w:rsidRDefault="00602168" w:rsidP="0013154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6B209" w14:textId="77777777" w:rsidR="00602168" w:rsidRPr="008A4CD9" w:rsidRDefault="00602168" w:rsidP="00131542">
    <w:pPr>
      <w:pStyle w:val="Pta"/>
      <w:framePr w:w="368" w:wrap="around" w:vAnchor="text" w:hAnchor="page" w:x="10238" w:y="-43"/>
      <w:rPr>
        <w:rStyle w:val="slostrany"/>
        <w:sz w:val="18"/>
        <w:szCs w:val="18"/>
      </w:rPr>
    </w:pPr>
    <w:r w:rsidRPr="008A4CD9">
      <w:rPr>
        <w:rStyle w:val="slostrany"/>
        <w:sz w:val="18"/>
        <w:szCs w:val="18"/>
      </w:rPr>
      <w:fldChar w:fldCharType="begin"/>
    </w:r>
    <w:r w:rsidRPr="008A4CD9">
      <w:rPr>
        <w:rStyle w:val="slostrany"/>
        <w:sz w:val="18"/>
        <w:szCs w:val="18"/>
      </w:rPr>
      <w:instrText xml:space="preserve">PAGE  </w:instrText>
    </w:r>
    <w:r w:rsidRPr="008A4CD9">
      <w:rPr>
        <w:rStyle w:val="slostrany"/>
        <w:sz w:val="18"/>
        <w:szCs w:val="18"/>
      </w:rPr>
      <w:fldChar w:fldCharType="separate"/>
    </w:r>
    <w:r w:rsidR="008A4CD9">
      <w:rPr>
        <w:rStyle w:val="slostrany"/>
        <w:noProof/>
        <w:sz w:val="18"/>
        <w:szCs w:val="18"/>
      </w:rPr>
      <w:t>4</w:t>
    </w:r>
    <w:r w:rsidRPr="008A4CD9">
      <w:rPr>
        <w:rStyle w:val="slostrany"/>
        <w:sz w:val="18"/>
        <w:szCs w:val="18"/>
      </w:rPr>
      <w:fldChar w:fldCharType="end"/>
    </w:r>
    <w:r w:rsidR="00297D8A" w:rsidRPr="008A4CD9">
      <w:rPr>
        <w:rStyle w:val="slostrany"/>
        <w:sz w:val="18"/>
        <w:szCs w:val="18"/>
      </w:rPr>
      <w:t>/5</w:t>
    </w:r>
  </w:p>
  <w:p w14:paraId="0638EFD8" w14:textId="77777777" w:rsidR="00602168" w:rsidRDefault="00602168" w:rsidP="00131542">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54DC3" w14:textId="77777777" w:rsidR="00D648F8" w:rsidRDefault="00D648F8">
      <w:r>
        <w:separator/>
      </w:r>
    </w:p>
  </w:footnote>
  <w:footnote w:type="continuationSeparator" w:id="0">
    <w:p w14:paraId="03B804F0" w14:textId="77777777" w:rsidR="00D648F8" w:rsidRDefault="00D648F8">
      <w:r>
        <w:continuationSeparator/>
      </w:r>
    </w:p>
  </w:footnote>
  <w:footnote w:type="continuationNotice" w:id="1">
    <w:p w14:paraId="779ED001" w14:textId="77777777" w:rsidR="00D648F8" w:rsidRDefault="00D648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7F150" w14:textId="65E15823" w:rsidR="002D0DB3" w:rsidRPr="00FA0AF2" w:rsidRDefault="002D0DB3" w:rsidP="002D0DB3">
    <w:pPr>
      <w:pStyle w:val="Hlavika"/>
      <w:tabs>
        <w:tab w:val="clear" w:pos="4536"/>
        <w:tab w:val="center" w:pos="4532"/>
      </w:tabs>
      <w:rPr>
        <w:sz w:val="18"/>
        <w:szCs w:val="18"/>
        <w:lang w:val="sk-SK"/>
      </w:rPr>
    </w:pPr>
    <w:r w:rsidRPr="00FA0AF2">
      <w:rPr>
        <w:sz w:val="18"/>
        <w:szCs w:val="18"/>
        <w:lang w:val="sk-SK"/>
      </w:rPr>
      <w:t xml:space="preserve">Príloha č. </w:t>
    </w:r>
    <w:r>
      <w:rPr>
        <w:sz w:val="18"/>
        <w:szCs w:val="18"/>
        <w:lang w:val="sk-SK"/>
      </w:rPr>
      <w:t>1 k</w:t>
    </w:r>
    <w:r w:rsidRPr="00FA0AF2">
      <w:rPr>
        <w:sz w:val="18"/>
        <w:szCs w:val="18"/>
        <w:lang w:val="sk-SK"/>
      </w:rPr>
      <w:t xml:space="preserve"> </w:t>
    </w:r>
    <w:proofErr w:type="spellStart"/>
    <w:r w:rsidRPr="00FA0AF2">
      <w:rPr>
        <w:sz w:val="18"/>
        <w:szCs w:val="18"/>
        <w:lang w:val="sk-SK"/>
      </w:rPr>
      <w:t>notifikáci</w:t>
    </w:r>
    <w:proofErr w:type="spellEnd"/>
    <w:r w:rsidRPr="00FA0AF2">
      <w:rPr>
        <w:sz w:val="18"/>
        <w:szCs w:val="18"/>
        <w:lang w:val="sk-SK"/>
      </w:rPr>
      <w:t xml:space="preserve"> o zmene, </w:t>
    </w:r>
    <w:proofErr w:type="spellStart"/>
    <w:r w:rsidRPr="00FA0AF2">
      <w:rPr>
        <w:sz w:val="18"/>
        <w:szCs w:val="18"/>
        <w:lang w:val="sk-SK"/>
      </w:rPr>
      <w:t>ev.č</w:t>
    </w:r>
    <w:proofErr w:type="spellEnd"/>
    <w:r w:rsidRPr="00FA0AF2">
      <w:rPr>
        <w:sz w:val="18"/>
        <w:szCs w:val="18"/>
        <w:lang w:val="sk-SK"/>
      </w:rPr>
      <w:t>. 201</w:t>
    </w:r>
    <w:r>
      <w:rPr>
        <w:sz w:val="18"/>
        <w:szCs w:val="18"/>
        <w:lang w:val="sk-SK"/>
      </w:rPr>
      <w:t>8</w:t>
    </w:r>
    <w:r w:rsidRPr="00FA0AF2">
      <w:rPr>
        <w:sz w:val="18"/>
        <w:szCs w:val="18"/>
        <w:lang w:val="sk-SK"/>
      </w:rPr>
      <w:t>/0</w:t>
    </w:r>
    <w:r>
      <w:rPr>
        <w:sz w:val="18"/>
        <w:szCs w:val="18"/>
        <w:lang w:val="sk-SK"/>
      </w:rPr>
      <w:t>4889</w:t>
    </w:r>
    <w:r w:rsidRPr="00FA0AF2">
      <w:rPr>
        <w:sz w:val="18"/>
        <w:szCs w:val="18"/>
        <w:lang w:val="sk-SK"/>
      </w:rPr>
      <w:t>-ZI</w:t>
    </w:r>
    <w:r>
      <w:rPr>
        <w:sz w:val="18"/>
        <w:szCs w:val="18"/>
        <w:lang w:val="sk-SK"/>
      </w:rPr>
      <w:t>B</w:t>
    </w:r>
  </w:p>
  <w:p w14:paraId="689C6CE7" w14:textId="77777777" w:rsidR="002D0DB3" w:rsidRDefault="002D0DB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F3C86" w14:textId="21F8C65D" w:rsidR="009D0DC1" w:rsidRPr="00FA0AF2" w:rsidRDefault="009D0DC1" w:rsidP="009D0DC1">
    <w:pPr>
      <w:pStyle w:val="Hlavika"/>
      <w:tabs>
        <w:tab w:val="clear" w:pos="4536"/>
        <w:tab w:val="center" w:pos="4532"/>
      </w:tabs>
      <w:rPr>
        <w:sz w:val="18"/>
        <w:szCs w:val="18"/>
        <w:lang w:val="sk-SK"/>
      </w:rPr>
    </w:pPr>
    <w:r w:rsidRPr="00FA0AF2">
      <w:rPr>
        <w:sz w:val="18"/>
        <w:szCs w:val="18"/>
        <w:lang w:val="sk-SK"/>
      </w:rPr>
      <w:t xml:space="preserve">Príloha č. </w:t>
    </w:r>
    <w:r>
      <w:rPr>
        <w:sz w:val="18"/>
        <w:szCs w:val="18"/>
        <w:lang w:val="sk-SK"/>
      </w:rPr>
      <w:t>1</w:t>
    </w:r>
    <w:r w:rsidRPr="00FA0AF2">
      <w:rPr>
        <w:sz w:val="18"/>
        <w:szCs w:val="18"/>
        <w:lang w:val="sk-SK"/>
      </w:rPr>
      <w:t xml:space="preserve"> </w:t>
    </w:r>
    <w:proofErr w:type="spellStart"/>
    <w:r w:rsidRPr="00FA0AF2">
      <w:rPr>
        <w:sz w:val="18"/>
        <w:szCs w:val="18"/>
        <w:lang w:val="sk-SK"/>
      </w:rPr>
      <w:t>notifikáci</w:t>
    </w:r>
    <w:proofErr w:type="spellEnd"/>
    <w:r w:rsidRPr="00FA0AF2">
      <w:rPr>
        <w:sz w:val="18"/>
        <w:szCs w:val="18"/>
        <w:lang w:val="sk-SK"/>
      </w:rPr>
      <w:t xml:space="preserve"> o zmene, </w:t>
    </w:r>
    <w:proofErr w:type="spellStart"/>
    <w:r w:rsidRPr="00FA0AF2">
      <w:rPr>
        <w:sz w:val="18"/>
        <w:szCs w:val="18"/>
        <w:lang w:val="sk-SK"/>
      </w:rPr>
      <w:t>ev.č</w:t>
    </w:r>
    <w:proofErr w:type="spellEnd"/>
    <w:r w:rsidRPr="00FA0AF2">
      <w:rPr>
        <w:sz w:val="18"/>
        <w:szCs w:val="18"/>
        <w:lang w:val="sk-SK"/>
      </w:rPr>
      <w:t xml:space="preserve">. </w:t>
    </w:r>
    <w:r w:rsidRPr="00FA0AF2">
      <w:rPr>
        <w:sz w:val="18"/>
        <w:szCs w:val="18"/>
        <w:lang w:val="sk-SK"/>
      </w:rPr>
      <w:t>201</w:t>
    </w:r>
    <w:r w:rsidR="00C65F84">
      <w:rPr>
        <w:sz w:val="18"/>
        <w:szCs w:val="18"/>
        <w:lang w:val="sk-SK"/>
      </w:rPr>
      <w:t>8</w:t>
    </w:r>
    <w:r w:rsidRPr="00FA0AF2">
      <w:rPr>
        <w:sz w:val="18"/>
        <w:szCs w:val="18"/>
        <w:lang w:val="sk-SK"/>
      </w:rPr>
      <w:t>/</w:t>
    </w:r>
    <w:proofErr w:type="spellStart"/>
    <w:r w:rsidRPr="00FA0AF2">
      <w:rPr>
        <w:sz w:val="18"/>
        <w:szCs w:val="18"/>
        <w:lang w:val="sk-SK"/>
      </w:rPr>
      <w:t>0</w:t>
    </w:r>
    <w:r w:rsidR="00C65F84">
      <w:rPr>
        <w:sz w:val="18"/>
        <w:szCs w:val="18"/>
        <w:lang w:val="sk-SK"/>
      </w:rPr>
      <w:t>4889</w:t>
    </w:r>
    <w:r w:rsidRPr="00FA0AF2">
      <w:rPr>
        <w:sz w:val="18"/>
        <w:szCs w:val="18"/>
        <w:lang w:val="sk-SK"/>
      </w:rPr>
      <w:t>-ZI</w:t>
    </w:r>
    <w:r w:rsidR="00C65F84">
      <w:rPr>
        <w:sz w:val="18"/>
        <w:szCs w:val="18"/>
        <w:lang w:val="sk-SK"/>
      </w:rPr>
      <w:t>B</w:t>
    </w:r>
    <w:proofErr w:type="spellEnd"/>
  </w:p>
  <w:p w14:paraId="28A1BFD7" w14:textId="77777777" w:rsidR="009D0DC1" w:rsidRDefault="009D0DC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916"/>
    <w:multiLevelType w:val="multilevel"/>
    <w:tmpl w:val="9814AFE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11A1FF4"/>
    <w:multiLevelType w:val="hybridMultilevel"/>
    <w:tmpl w:val="25DE2D28"/>
    <w:lvl w:ilvl="0" w:tplc="00010407">
      <w:start w:val="1"/>
      <w:numFmt w:val="bullet"/>
      <w:lvlText w:val=""/>
      <w:lvlJc w:val="left"/>
      <w:pPr>
        <w:tabs>
          <w:tab w:val="num" w:pos="360"/>
        </w:tabs>
        <w:ind w:left="360" w:hanging="360"/>
      </w:pPr>
      <w:rPr>
        <w:rFonts w:ascii="Symbol" w:hAnsi="Symbol" w:hint="default"/>
      </w:rPr>
    </w:lvl>
    <w:lvl w:ilvl="1" w:tplc="00030407">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nsid w:val="235F28BF"/>
    <w:multiLevelType w:val="hybridMultilevel"/>
    <w:tmpl w:val="7EA880E2"/>
    <w:lvl w:ilvl="0" w:tplc="7A2096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34619F6"/>
    <w:multiLevelType w:val="hybridMultilevel"/>
    <w:tmpl w:val="CFE29B68"/>
    <w:lvl w:ilvl="0" w:tplc="D2BCFCEC">
      <w:numFmt w:val="bullet"/>
      <w:pStyle w:val="AmmIAM"/>
      <w:lvlText w:val=""/>
      <w:lvlJc w:val="left"/>
      <w:pPr>
        <w:tabs>
          <w:tab w:val="num" w:pos="360"/>
        </w:tabs>
        <w:ind w:left="360" w:hanging="360"/>
      </w:pPr>
      <w:rPr>
        <w:rFonts w:ascii="Symbol" w:hAnsi="Symbol" w:hint="default"/>
        <w:b/>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4F34FE2"/>
    <w:multiLevelType w:val="hybridMultilevel"/>
    <w:tmpl w:val="D9C8857A"/>
    <w:lvl w:ilvl="0" w:tplc="DEC8507E">
      <w:start w:val="1"/>
      <w:numFmt w:val="bullet"/>
      <w:pStyle w:val="AmmListePuces"/>
      <w:lvlText w:val=""/>
      <w:lvlJc w:val="left"/>
      <w:pPr>
        <w:tabs>
          <w:tab w:val="num" w:pos="2868"/>
        </w:tabs>
        <w:ind w:left="2868" w:hanging="360"/>
      </w:pPr>
      <w:rPr>
        <w:rFonts w:ascii="Symbol" w:hAnsi="Symbol" w:hint="default"/>
      </w:rPr>
    </w:lvl>
    <w:lvl w:ilvl="1" w:tplc="040C0003">
      <w:start w:val="1"/>
      <w:numFmt w:val="bullet"/>
      <w:lvlText w:val="o"/>
      <w:lvlJc w:val="left"/>
      <w:pPr>
        <w:tabs>
          <w:tab w:val="num" w:pos="3588"/>
        </w:tabs>
        <w:ind w:left="3588" w:hanging="360"/>
      </w:pPr>
      <w:rPr>
        <w:rFonts w:ascii="Courier New" w:hAnsi="Courier New" w:hint="default"/>
      </w:rPr>
    </w:lvl>
    <w:lvl w:ilvl="2" w:tplc="040C0005" w:tentative="1">
      <w:start w:val="1"/>
      <w:numFmt w:val="bullet"/>
      <w:lvlText w:val=""/>
      <w:lvlJc w:val="left"/>
      <w:pPr>
        <w:tabs>
          <w:tab w:val="num" w:pos="4308"/>
        </w:tabs>
        <w:ind w:left="4308" w:hanging="360"/>
      </w:pPr>
      <w:rPr>
        <w:rFonts w:ascii="Wingdings" w:hAnsi="Wingdings" w:hint="default"/>
      </w:rPr>
    </w:lvl>
    <w:lvl w:ilvl="3" w:tplc="040C0001" w:tentative="1">
      <w:start w:val="1"/>
      <w:numFmt w:val="bullet"/>
      <w:lvlText w:val=""/>
      <w:lvlJc w:val="left"/>
      <w:pPr>
        <w:tabs>
          <w:tab w:val="num" w:pos="5028"/>
        </w:tabs>
        <w:ind w:left="5028" w:hanging="360"/>
      </w:pPr>
      <w:rPr>
        <w:rFonts w:ascii="Symbol" w:hAnsi="Symbol" w:hint="default"/>
      </w:rPr>
    </w:lvl>
    <w:lvl w:ilvl="4" w:tplc="040C0003" w:tentative="1">
      <w:start w:val="1"/>
      <w:numFmt w:val="bullet"/>
      <w:lvlText w:val="o"/>
      <w:lvlJc w:val="left"/>
      <w:pPr>
        <w:tabs>
          <w:tab w:val="num" w:pos="5748"/>
        </w:tabs>
        <w:ind w:left="5748" w:hanging="360"/>
      </w:pPr>
      <w:rPr>
        <w:rFonts w:ascii="Courier New" w:hAnsi="Courier New" w:hint="default"/>
      </w:rPr>
    </w:lvl>
    <w:lvl w:ilvl="5" w:tplc="040C0005" w:tentative="1">
      <w:start w:val="1"/>
      <w:numFmt w:val="bullet"/>
      <w:lvlText w:val=""/>
      <w:lvlJc w:val="left"/>
      <w:pPr>
        <w:tabs>
          <w:tab w:val="num" w:pos="6468"/>
        </w:tabs>
        <w:ind w:left="6468" w:hanging="360"/>
      </w:pPr>
      <w:rPr>
        <w:rFonts w:ascii="Wingdings" w:hAnsi="Wingdings" w:hint="default"/>
      </w:rPr>
    </w:lvl>
    <w:lvl w:ilvl="6" w:tplc="040C0001" w:tentative="1">
      <w:start w:val="1"/>
      <w:numFmt w:val="bullet"/>
      <w:lvlText w:val=""/>
      <w:lvlJc w:val="left"/>
      <w:pPr>
        <w:tabs>
          <w:tab w:val="num" w:pos="7188"/>
        </w:tabs>
        <w:ind w:left="7188" w:hanging="360"/>
      </w:pPr>
      <w:rPr>
        <w:rFonts w:ascii="Symbol" w:hAnsi="Symbol" w:hint="default"/>
      </w:rPr>
    </w:lvl>
    <w:lvl w:ilvl="7" w:tplc="040C0003" w:tentative="1">
      <w:start w:val="1"/>
      <w:numFmt w:val="bullet"/>
      <w:lvlText w:val="o"/>
      <w:lvlJc w:val="left"/>
      <w:pPr>
        <w:tabs>
          <w:tab w:val="num" w:pos="7908"/>
        </w:tabs>
        <w:ind w:left="7908" w:hanging="360"/>
      </w:pPr>
      <w:rPr>
        <w:rFonts w:ascii="Courier New" w:hAnsi="Courier New" w:hint="default"/>
      </w:rPr>
    </w:lvl>
    <w:lvl w:ilvl="8" w:tplc="040C0005" w:tentative="1">
      <w:start w:val="1"/>
      <w:numFmt w:val="bullet"/>
      <w:lvlText w:val=""/>
      <w:lvlJc w:val="left"/>
      <w:pPr>
        <w:tabs>
          <w:tab w:val="num" w:pos="8628"/>
        </w:tabs>
        <w:ind w:left="8628" w:hanging="360"/>
      </w:pPr>
      <w:rPr>
        <w:rFonts w:ascii="Wingdings" w:hAnsi="Wingdings" w:hint="default"/>
      </w:rPr>
    </w:lvl>
  </w:abstractNum>
  <w:abstractNum w:abstractNumId="5">
    <w:nsid w:val="48802611"/>
    <w:multiLevelType w:val="hybridMultilevel"/>
    <w:tmpl w:val="33C22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48A01CC"/>
    <w:multiLevelType w:val="hybridMultilevel"/>
    <w:tmpl w:val="E626E5CA"/>
    <w:lvl w:ilvl="0" w:tplc="316E93AE">
      <w:start w:val="1"/>
      <w:numFmt w:val="decimal"/>
      <w:lvlText w:val="%1."/>
      <w:lvlJc w:val="left"/>
      <w:pPr>
        <w:tabs>
          <w:tab w:val="num" w:pos="720"/>
        </w:tabs>
        <w:ind w:left="720" w:hanging="360"/>
      </w:pPr>
    </w:lvl>
    <w:lvl w:ilvl="1" w:tplc="1AB8534E">
      <w:numFmt w:val="none"/>
      <w:lvlText w:val=""/>
      <w:lvlJc w:val="left"/>
      <w:pPr>
        <w:tabs>
          <w:tab w:val="num" w:pos="360"/>
        </w:tabs>
      </w:pPr>
    </w:lvl>
    <w:lvl w:ilvl="2" w:tplc="3E0CB7B6">
      <w:numFmt w:val="none"/>
      <w:lvlText w:val=""/>
      <w:lvlJc w:val="left"/>
      <w:pPr>
        <w:tabs>
          <w:tab w:val="num" w:pos="360"/>
        </w:tabs>
      </w:pPr>
    </w:lvl>
    <w:lvl w:ilvl="3" w:tplc="33361D1C">
      <w:numFmt w:val="none"/>
      <w:lvlText w:val=""/>
      <w:lvlJc w:val="left"/>
      <w:pPr>
        <w:tabs>
          <w:tab w:val="num" w:pos="360"/>
        </w:tabs>
      </w:pPr>
    </w:lvl>
    <w:lvl w:ilvl="4" w:tplc="FFF28D06">
      <w:numFmt w:val="none"/>
      <w:lvlText w:val=""/>
      <w:lvlJc w:val="left"/>
      <w:pPr>
        <w:tabs>
          <w:tab w:val="num" w:pos="360"/>
        </w:tabs>
      </w:pPr>
    </w:lvl>
    <w:lvl w:ilvl="5" w:tplc="CC1A9EC0">
      <w:numFmt w:val="none"/>
      <w:lvlText w:val=""/>
      <w:lvlJc w:val="left"/>
      <w:pPr>
        <w:tabs>
          <w:tab w:val="num" w:pos="360"/>
        </w:tabs>
      </w:pPr>
    </w:lvl>
    <w:lvl w:ilvl="6" w:tplc="B86A5B6E">
      <w:numFmt w:val="none"/>
      <w:lvlText w:val=""/>
      <w:lvlJc w:val="left"/>
      <w:pPr>
        <w:tabs>
          <w:tab w:val="num" w:pos="360"/>
        </w:tabs>
      </w:pPr>
    </w:lvl>
    <w:lvl w:ilvl="7" w:tplc="E22E918C">
      <w:numFmt w:val="none"/>
      <w:lvlText w:val=""/>
      <w:lvlJc w:val="left"/>
      <w:pPr>
        <w:tabs>
          <w:tab w:val="num" w:pos="360"/>
        </w:tabs>
      </w:pPr>
    </w:lvl>
    <w:lvl w:ilvl="8" w:tplc="2D2C6B86">
      <w:numFmt w:val="none"/>
      <w:lvlText w:val=""/>
      <w:lvlJc w:val="left"/>
      <w:pPr>
        <w:tabs>
          <w:tab w:val="num" w:pos="360"/>
        </w:tabs>
      </w:pPr>
    </w:lvl>
  </w:abstractNum>
  <w:abstractNum w:abstractNumId="7">
    <w:nsid w:val="630160A8"/>
    <w:multiLevelType w:val="multilevel"/>
    <w:tmpl w:val="20606084"/>
    <w:lvl w:ilvl="0">
      <w:start w:val="1"/>
      <w:numFmt w:val="bullet"/>
      <w:pStyle w:val="AmmListePuces1"/>
      <w:lvlText w:val=""/>
      <w:lvlJc w:val="left"/>
      <w:pPr>
        <w:tabs>
          <w:tab w:val="num" w:pos="360"/>
        </w:tabs>
        <w:ind w:left="360" w:hanging="360"/>
      </w:pPr>
      <w:rPr>
        <w:rFonts w:ascii="Symbol" w:hAnsi="Symbol" w:hint="default"/>
      </w:rPr>
    </w:lvl>
    <w:lvl w:ilvl="1">
      <w:start w:val="1"/>
      <w:numFmt w:val="upperLetter"/>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420"/>
        </w:tabs>
        <w:ind w:left="306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8">
    <w:nsid w:val="7D090AF8"/>
    <w:multiLevelType w:val="multilevel"/>
    <w:tmpl w:val="6BCCEB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4"/>
  </w:num>
  <w:num w:numId="4">
    <w:abstractNumId w:val="1"/>
  </w:num>
  <w:num w:numId="5">
    <w:abstractNumId w:val="3"/>
  </w:num>
  <w:num w:numId="6">
    <w:abstractNumId w:val="0"/>
  </w:num>
  <w:num w:numId="7">
    <w:abstractNumId w:val="8"/>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eta">
    <w15:presenceInfo w15:providerId="None" w15:userId="Ive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9B4"/>
    <w:rsid w:val="000029B4"/>
    <w:rsid w:val="00020A23"/>
    <w:rsid w:val="000329E5"/>
    <w:rsid w:val="00047CD1"/>
    <w:rsid w:val="000507F1"/>
    <w:rsid w:val="00091066"/>
    <w:rsid w:val="000B4FDC"/>
    <w:rsid w:val="000C169F"/>
    <w:rsid w:val="000D68A0"/>
    <w:rsid w:val="000E38BC"/>
    <w:rsid w:val="0011642B"/>
    <w:rsid w:val="00131542"/>
    <w:rsid w:val="00186798"/>
    <w:rsid w:val="001B06A5"/>
    <w:rsid w:val="001D228A"/>
    <w:rsid w:val="001F4A0E"/>
    <w:rsid w:val="002075CC"/>
    <w:rsid w:val="00216115"/>
    <w:rsid w:val="00244A68"/>
    <w:rsid w:val="00244E77"/>
    <w:rsid w:val="00256FA7"/>
    <w:rsid w:val="0029594F"/>
    <w:rsid w:val="00297D8A"/>
    <w:rsid w:val="002D0DB3"/>
    <w:rsid w:val="002E4D71"/>
    <w:rsid w:val="003607F8"/>
    <w:rsid w:val="00372071"/>
    <w:rsid w:val="003E06EC"/>
    <w:rsid w:val="003E36BE"/>
    <w:rsid w:val="004265DD"/>
    <w:rsid w:val="00443475"/>
    <w:rsid w:val="00475FDE"/>
    <w:rsid w:val="00491485"/>
    <w:rsid w:val="004A7BE7"/>
    <w:rsid w:val="004B5487"/>
    <w:rsid w:val="004B62F6"/>
    <w:rsid w:val="004B6359"/>
    <w:rsid w:val="004C4917"/>
    <w:rsid w:val="004F2A78"/>
    <w:rsid w:val="0051320D"/>
    <w:rsid w:val="00601461"/>
    <w:rsid w:val="00602168"/>
    <w:rsid w:val="0062115C"/>
    <w:rsid w:val="006F65E5"/>
    <w:rsid w:val="00722CBC"/>
    <w:rsid w:val="00744062"/>
    <w:rsid w:val="0074417D"/>
    <w:rsid w:val="007712DA"/>
    <w:rsid w:val="007B3FEE"/>
    <w:rsid w:val="007B7ECB"/>
    <w:rsid w:val="007C3164"/>
    <w:rsid w:val="0080011A"/>
    <w:rsid w:val="008002ED"/>
    <w:rsid w:val="00843356"/>
    <w:rsid w:val="00852F83"/>
    <w:rsid w:val="008732CA"/>
    <w:rsid w:val="008A4CD9"/>
    <w:rsid w:val="008A6B52"/>
    <w:rsid w:val="00912E13"/>
    <w:rsid w:val="00926E38"/>
    <w:rsid w:val="00930694"/>
    <w:rsid w:val="00935209"/>
    <w:rsid w:val="00985BC9"/>
    <w:rsid w:val="009B226B"/>
    <w:rsid w:val="009B7E30"/>
    <w:rsid w:val="009D0DC1"/>
    <w:rsid w:val="009F27AF"/>
    <w:rsid w:val="00A13A82"/>
    <w:rsid w:val="00A159C2"/>
    <w:rsid w:val="00A2166F"/>
    <w:rsid w:val="00A35B40"/>
    <w:rsid w:val="00AE14EA"/>
    <w:rsid w:val="00B06F44"/>
    <w:rsid w:val="00B1139E"/>
    <w:rsid w:val="00B84E8E"/>
    <w:rsid w:val="00B94AD8"/>
    <w:rsid w:val="00BB2F4C"/>
    <w:rsid w:val="00BB5DFE"/>
    <w:rsid w:val="00BD3FD9"/>
    <w:rsid w:val="00BE06BE"/>
    <w:rsid w:val="00C6475C"/>
    <w:rsid w:val="00C65F84"/>
    <w:rsid w:val="00C84B19"/>
    <w:rsid w:val="00CE1899"/>
    <w:rsid w:val="00CE6027"/>
    <w:rsid w:val="00CE783D"/>
    <w:rsid w:val="00D062DE"/>
    <w:rsid w:val="00D56573"/>
    <w:rsid w:val="00D5772F"/>
    <w:rsid w:val="00D618D4"/>
    <w:rsid w:val="00D648F8"/>
    <w:rsid w:val="00DB7334"/>
    <w:rsid w:val="00DC327A"/>
    <w:rsid w:val="00DC48F8"/>
    <w:rsid w:val="00DE262F"/>
    <w:rsid w:val="00E74AE6"/>
    <w:rsid w:val="00EC09FE"/>
    <w:rsid w:val="00ED7D4D"/>
    <w:rsid w:val="00EF194B"/>
    <w:rsid w:val="00F0421A"/>
    <w:rsid w:val="00F21719"/>
    <w:rsid w:val="00F2640E"/>
    <w:rsid w:val="00F87048"/>
    <w:rsid w:val="00FB2A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7B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cs-CZ" w:eastAsia="cs-CZ"/>
    </w:rPr>
  </w:style>
  <w:style w:type="paragraph" w:styleId="Nadpis2">
    <w:name w:val="heading 2"/>
    <w:basedOn w:val="Normlny"/>
    <w:next w:val="Normlny"/>
    <w:qFormat/>
    <w:pPr>
      <w:keepNext/>
      <w:numPr>
        <w:ilvl w:val="1"/>
        <w:numId w:val="2"/>
      </w:numPr>
      <w:spacing w:before="240" w:after="60"/>
      <w:jc w:val="both"/>
      <w:outlineLvl w:val="1"/>
    </w:pPr>
    <w:rPr>
      <w:rFonts w:ascii="Arial" w:hAnsi="Arial" w:cs="Arial"/>
      <w:b/>
      <w:bCs/>
      <w:i/>
      <w:iCs/>
      <w:snapToGrid w:val="0"/>
      <w:sz w:val="28"/>
      <w:szCs w:val="28"/>
      <w:lang w:val="fr-FR" w:eastAsia="en-US"/>
    </w:rPr>
  </w:style>
  <w:style w:type="paragraph" w:styleId="Nadpis3">
    <w:name w:val="heading 3"/>
    <w:basedOn w:val="Normlny"/>
    <w:next w:val="Normlny"/>
    <w:qFormat/>
    <w:pPr>
      <w:keepNext/>
      <w:numPr>
        <w:ilvl w:val="2"/>
        <w:numId w:val="2"/>
      </w:numPr>
      <w:spacing w:before="240" w:after="60"/>
      <w:jc w:val="both"/>
      <w:outlineLvl w:val="2"/>
    </w:pPr>
    <w:rPr>
      <w:rFonts w:ascii="Arial" w:hAnsi="Arial" w:cs="Arial"/>
      <w:b/>
      <w:bCs/>
      <w:snapToGrid w:val="0"/>
      <w:sz w:val="26"/>
      <w:szCs w:val="26"/>
      <w:lang w:val="fr-FR" w:eastAsia="en-US"/>
    </w:rPr>
  </w:style>
  <w:style w:type="paragraph" w:styleId="Nadpis4">
    <w:name w:val="heading 4"/>
    <w:basedOn w:val="Normlny"/>
    <w:next w:val="Normlny"/>
    <w:qFormat/>
    <w:pPr>
      <w:keepNext/>
      <w:numPr>
        <w:ilvl w:val="3"/>
        <w:numId w:val="2"/>
      </w:numPr>
      <w:spacing w:before="240" w:after="60"/>
      <w:jc w:val="both"/>
      <w:outlineLvl w:val="3"/>
    </w:pPr>
    <w:rPr>
      <w:b/>
      <w:bCs/>
      <w:snapToGrid w:val="0"/>
      <w:sz w:val="28"/>
      <w:szCs w:val="28"/>
      <w:lang w:val="fr-FR" w:eastAsia="en-US"/>
    </w:rPr>
  </w:style>
  <w:style w:type="paragraph" w:styleId="Nadpis5">
    <w:name w:val="heading 5"/>
    <w:basedOn w:val="Normlny"/>
    <w:next w:val="Normlny"/>
    <w:qFormat/>
    <w:pPr>
      <w:numPr>
        <w:ilvl w:val="4"/>
        <w:numId w:val="2"/>
      </w:numPr>
      <w:spacing w:before="240" w:after="60"/>
      <w:jc w:val="both"/>
      <w:outlineLvl w:val="4"/>
    </w:pPr>
    <w:rPr>
      <w:rFonts w:ascii="Arial Narrow" w:hAnsi="Arial Narrow"/>
      <w:b/>
      <w:bCs/>
      <w:i/>
      <w:iCs/>
      <w:snapToGrid w:val="0"/>
      <w:sz w:val="26"/>
      <w:szCs w:val="26"/>
      <w:lang w:val="fr-FR" w:eastAsia="en-US"/>
    </w:rPr>
  </w:style>
  <w:style w:type="paragraph" w:styleId="Nadpis6">
    <w:name w:val="heading 6"/>
    <w:basedOn w:val="Normlny"/>
    <w:next w:val="Normlny"/>
    <w:qFormat/>
    <w:pPr>
      <w:numPr>
        <w:ilvl w:val="5"/>
        <w:numId w:val="2"/>
      </w:numPr>
      <w:spacing w:before="240" w:after="60"/>
      <w:jc w:val="both"/>
      <w:outlineLvl w:val="5"/>
    </w:pPr>
    <w:rPr>
      <w:b/>
      <w:bCs/>
      <w:snapToGrid w:val="0"/>
      <w:sz w:val="22"/>
      <w:szCs w:val="22"/>
      <w:lang w:val="fr-FR" w:eastAsia="en-US"/>
    </w:rPr>
  </w:style>
  <w:style w:type="paragraph" w:styleId="Nadpis7">
    <w:name w:val="heading 7"/>
    <w:basedOn w:val="Normlny"/>
    <w:next w:val="Normlny"/>
    <w:qFormat/>
    <w:pPr>
      <w:numPr>
        <w:ilvl w:val="6"/>
        <w:numId w:val="2"/>
      </w:numPr>
      <w:spacing w:before="240" w:after="60"/>
      <w:jc w:val="both"/>
      <w:outlineLvl w:val="6"/>
    </w:pPr>
    <w:rPr>
      <w:snapToGrid w:val="0"/>
      <w:lang w:val="fr-FR" w:eastAsia="en-US"/>
    </w:rPr>
  </w:style>
  <w:style w:type="paragraph" w:styleId="Nadpis8">
    <w:name w:val="heading 8"/>
    <w:basedOn w:val="Normlny"/>
    <w:next w:val="Normlny"/>
    <w:qFormat/>
    <w:pPr>
      <w:numPr>
        <w:ilvl w:val="7"/>
        <w:numId w:val="2"/>
      </w:numPr>
      <w:spacing w:before="240" w:after="60"/>
      <w:jc w:val="both"/>
      <w:outlineLvl w:val="7"/>
    </w:pPr>
    <w:rPr>
      <w:i/>
      <w:iCs/>
      <w:snapToGrid w:val="0"/>
      <w:lang w:val="fr-FR" w:eastAsia="en-US"/>
    </w:rPr>
  </w:style>
  <w:style w:type="paragraph" w:styleId="Nadpis9">
    <w:name w:val="heading 9"/>
    <w:basedOn w:val="Normlny"/>
    <w:next w:val="Normlny"/>
    <w:qFormat/>
    <w:pPr>
      <w:numPr>
        <w:ilvl w:val="8"/>
        <w:numId w:val="2"/>
      </w:numPr>
      <w:spacing w:before="240" w:after="60"/>
      <w:jc w:val="both"/>
      <w:outlineLvl w:val="8"/>
    </w:pPr>
    <w:rPr>
      <w:rFonts w:ascii="Arial" w:hAnsi="Arial" w:cs="Arial"/>
      <w:snapToGrid w:val="0"/>
      <w:sz w:val="22"/>
      <w:szCs w:val="22"/>
      <w:lang w:val="fr-FR"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b/>
      <w:bCs/>
      <w:sz w:val="28"/>
    </w:rPr>
  </w:style>
  <w:style w:type="paragraph" w:styleId="Zarkazkladnhotextu">
    <w:name w:val="Body Text Indent"/>
    <w:basedOn w:val="Normlny"/>
    <w:link w:val="ZarkazkladnhotextuChar"/>
    <w:semiHidden/>
    <w:pPr>
      <w:ind w:left="360"/>
    </w:pPr>
    <w:rPr>
      <w:lang w:val="sk-SK"/>
    </w:rPr>
  </w:style>
  <w:style w:type="paragraph" w:styleId="Zarkazkladnhotextu2">
    <w:name w:val="Body Text Indent 2"/>
    <w:basedOn w:val="Normlny"/>
    <w:semiHidden/>
    <w:pPr>
      <w:ind w:left="360" w:hanging="540"/>
    </w:pPr>
    <w:rPr>
      <w:lang w:val="sk-SK"/>
    </w:rPr>
  </w:style>
  <w:style w:type="paragraph" w:styleId="Zkladntext">
    <w:name w:val="Body Text"/>
    <w:basedOn w:val="Normlny"/>
    <w:semiHidden/>
    <w:pPr>
      <w:jc w:val="both"/>
    </w:pPr>
    <w:rPr>
      <w:lang w:val="sk-SK"/>
    </w:rPr>
  </w:style>
  <w:style w:type="paragraph" w:styleId="Normlnywebov">
    <w:name w:val="Normal (Web)"/>
    <w:basedOn w:val="Normlny"/>
    <w:semiHidden/>
    <w:pPr>
      <w:spacing w:before="100" w:beforeAutospacing="1" w:after="100" w:afterAutospacing="1"/>
    </w:pPr>
    <w:rPr>
      <w:rFonts w:ascii="Arial Unicode MS" w:eastAsia="Arial Unicode MS" w:hAnsi="Arial Unicode MS" w:cs="Arial Unicode MS"/>
      <w:lang w:val="fr-FR" w:eastAsia="fr-FR"/>
    </w:rPr>
  </w:style>
  <w:style w:type="paragraph" w:customStyle="1" w:styleId="AmmListePuces1">
    <w:name w:val="AmmListePuces1"/>
    <w:basedOn w:val="Normlny"/>
    <w:pPr>
      <w:numPr>
        <w:numId w:val="2"/>
      </w:numPr>
    </w:pPr>
    <w:rPr>
      <w:rFonts w:ascii="Arial" w:hAnsi="Arial"/>
      <w:snapToGrid w:val="0"/>
      <w:sz w:val="20"/>
      <w:szCs w:val="20"/>
      <w:lang w:val="fr-FR" w:eastAsia="en-US"/>
    </w:rPr>
  </w:style>
  <w:style w:type="paragraph" w:customStyle="1" w:styleId="AmmListePuces">
    <w:name w:val="AmmListePuces"/>
    <w:basedOn w:val="Normlny"/>
    <w:pPr>
      <w:numPr>
        <w:numId w:val="3"/>
      </w:numPr>
      <w:tabs>
        <w:tab w:val="left" w:pos="357"/>
      </w:tabs>
      <w:jc w:val="both"/>
    </w:pPr>
    <w:rPr>
      <w:rFonts w:ascii="Arial" w:hAnsi="Arial"/>
      <w:sz w:val="22"/>
      <w:szCs w:val="20"/>
      <w:lang w:val="fr-FR" w:eastAsia="en-US"/>
    </w:rPr>
  </w:style>
  <w:style w:type="paragraph" w:customStyle="1" w:styleId="AmmIAM">
    <w:name w:val="AmmIAM"/>
    <w:basedOn w:val="Normlny"/>
    <w:next w:val="Normlny"/>
    <w:pPr>
      <w:numPr>
        <w:numId w:val="5"/>
      </w:numPr>
      <w:spacing w:after="120"/>
      <w:jc w:val="both"/>
    </w:pPr>
    <w:rPr>
      <w:rFonts w:ascii="Arial" w:hAnsi="Arial"/>
      <w:b/>
      <w:bCs/>
      <w:sz w:val="20"/>
      <w:szCs w:val="20"/>
      <w:lang w:val="en-GB" w:eastAsia="en-GB"/>
    </w:rPr>
  </w:style>
  <w:style w:type="paragraph" w:customStyle="1" w:styleId="AmmCorpsTexte">
    <w:name w:val="AmmCorpsTexte"/>
    <w:basedOn w:val="Normlny"/>
    <w:pPr>
      <w:spacing w:after="120"/>
      <w:jc w:val="both"/>
    </w:pPr>
    <w:rPr>
      <w:rFonts w:ascii="Arial" w:hAnsi="Arial" w:cs="Arial"/>
      <w:snapToGrid w:val="0"/>
      <w:sz w:val="20"/>
      <w:szCs w:val="20"/>
      <w:lang w:val="fr-FR" w:eastAsia="en-US"/>
    </w:rPr>
  </w:style>
  <w:style w:type="paragraph" w:customStyle="1" w:styleId="AmmAnnexeTitre3">
    <w:name w:val="AmmAnnexeTitre3"/>
    <w:basedOn w:val="AmmCorpsTexte"/>
    <w:next w:val="AmmCorpsTexte"/>
    <w:rPr>
      <w:rFonts w:cs="Times New Roman"/>
      <w:b/>
      <w:i/>
      <w:sz w:val="22"/>
      <w:u w:val="single"/>
      <w:lang w:eastAsia="en-GB"/>
    </w:rPr>
  </w:style>
  <w:style w:type="paragraph" w:customStyle="1" w:styleId="Texte">
    <w:name w:val="Texte"/>
    <w:basedOn w:val="Normlny"/>
    <w:pPr>
      <w:jc w:val="both"/>
    </w:pPr>
    <w:rPr>
      <w:lang w:val="en-GB" w:eastAsia="fr-FR"/>
    </w:rPr>
  </w:style>
  <w:style w:type="paragraph" w:customStyle="1" w:styleId="TableHeading">
    <w:name w:val="TableHeading"/>
    <w:basedOn w:val="Normlny"/>
    <w:pPr>
      <w:spacing w:before="60" w:after="60"/>
      <w:jc w:val="center"/>
    </w:pPr>
    <w:rPr>
      <w:b/>
      <w:sz w:val="20"/>
      <w:lang w:val="en-GB" w:eastAsia="fr-FR"/>
    </w:rPr>
  </w:style>
  <w:style w:type="paragraph" w:styleId="Textbubliny">
    <w:name w:val="Balloon Text"/>
    <w:basedOn w:val="Normlny"/>
    <w:semiHidden/>
    <w:rsid w:val="00F87048"/>
    <w:rPr>
      <w:rFonts w:ascii="Tahoma" w:hAnsi="Tahoma" w:cs="Tahoma"/>
      <w:sz w:val="16"/>
      <w:szCs w:val="16"/>
    </w:rPr>
  </w:style>
  <w:style w:type="paragraph" w:styleId="Pta">
    <w:name w:val="footer"/>
    <w:basedOn w:val="Normlny"/>
    <w:rsid w:val="00131542"/>
    <w:pPr>
      <w:tabs>
        <w:tab w:val="center" w:pos="4536"/>
        <w:tab w:val="right" w:pos="9072"/>
      </w:tabs>
    </w:pPr>
  </w:style>
  <w:style w:type="character" w:styleId="slostrany">
    <w:name w:val="page number"/>
    <w:basedOn w:val="Predvolenpsmoodseku"/>
    <w:rsid w:val="00131542"/>
  </w:style>
  <w:style w:type="paragraph" w:styleId="Hlavika">
    <w:name w:val="header"/>
    <w:basedOn w:val="Normlny"/>
    <w:link w:val="HlavikaChar"/>
    <w:rsid w:val="00131542"/>
    <w:pPr>
      <w:tabs>
        <w:tab w:val="center" w:pos="4536"/>
        <w:tab w:val="right" w:pos="9072"/>
      </w:tabs>
    </w:pPr>
  </w:style>
  <w:style w:type="character" w:styleId="Hypertextovprepojenie">
    <w:name w:val="Hyperlink"/>
    <w:rsid w:val="00912E13"/>
    <w:rPr>
      <w:color w:val="0000FF"/>
      <w:u w:val="single"/>
    </w:rPr>
  </w:style>
  <w:style w:type="character" w:styleId="Odkaznakomentr">
    <w:name w:val="annotation reference"/>
    <w:semiHidden/>
    <w:rsid w:val="00935209"/>
    <w:rPr>
      <w:sz w:val="16"/>
      <w:szCs w:val="16"/>
    </w:rPr>
  </w:style>
  <w:style w:type="paragraph" w:styleId="Textkomentra">
    <w:name w:val="annotation text"/>
    <w:basedOn w:val="Normlny"/>
    <w:semiHidden/>
    <w:rsid w:val="00935209"/>
    <w:rPr>
      <w:sz w:val="20"/>
      <w:szCs w:val="20"/>
    </w:rPr>
  </w:style>
  <w:style w:type="paragraph" w:styleId="Predmetkomentra">
    <w:name w:val="annotation subject"/>
    <w:basedOn w:val="Textkomentra"/>
    <w:next w:val="Textkomentra"/>
    <w:semiHidden/>
    <w:rsid w:val="00935209"/>
    <w:rPr>
      <w:b/>
      <w:bCs/>
    </w:rPr>
  </w:style>
  <w:style w:type="character" w:customStyle="1" w:styleId="HlavikaChar">
    <w:name w:val="Hlavička Char"/>
    <w:link w:val="Hlavika"/>
    <w:rsid w:val="009D0DC1"/>
    <w:rPr>
      <w:sz w:val="24"/>
      <w:szCs w:val="24"/>
      <w:lang w:val="cs-CZ" w:eastAsia="cs-CZ"/>
    </w:rPr>
  </w:style>
  <w:style w:type="character" w:customStyle="1" w:styleId="ZarkazkladnhotextuChar">
    <w:name w:val="Zarážka základného textu Char"/>
    <w:basedOn w:val="Predvolenpsmoodseku"/>
    <w:link w:val="Zarkazkladnhotextu"/>
    <w:semiHidden/>
    <w:rsid w:val="00722CBC"/>
    <w:rPr>
      <w:sz w:val="24"/>
      <w:szCs w:val="24"/>
      <w:lang w:eastAsia="cs-CZ"/>
    </w:rPr>
  </w:style>
  <w:style w:type="paragraph" w:styleId="Odsekzoznamu">
    <w:name w:val="List Paragraph"/>
    <w:basedOn w:val="Normlny"/>
    <w:uiPriority w:val="34"/>
    <w:qFormat/>
    <w:rsid w:val="008A4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cs-CZ" w:eastAsia="cs-CZ"/>
    </w:rPr>
  </w:style>
  <w:style w:type="paragraph" w:styleId="Nadpis2">
    <w:name w:val="heading 2"/>
    <w:basedOn w:val="Normlny"/>
    <w:next w:val="Normlny"/>
    <w:qFormat/>
    <w:pPr>
      <w:keepNext/>
      <w:numPr>
        <w:ilvl w:val="1"/>
        <w:numId w:val="2"/>
      </w:numPr>
      <w:spacing w:before="240" w:after="60"/>
      <w:jc w:val="both"/>
      <w:outlineLvl w:val="1"/>
    </w:pPr>
    <w:rPr>
      <w:rFonts w:ascii="Arial" w:hAnsi="Arial" w:cs="Arial"/>
      <w:b/>
      <w:bCs/>
      <w:i/>
      <w:iCs/>
      <w:snapToGrid w:val="0"/>
      <w:sz w:val="28"/>
      <w:szCs w:val="28"/>
      <w:lang w:val="fr-FR" w:eastAsia="en-US"/>
    </w:rPr>
  </w:style>
  <w:style w:type="paragraph" w:styleId="Nadpis3">
    <w:name w:val="heading 3"/>
    <w:basedOn w:val="Normlny"/>
    <w:next w:val="Normlny"/>
    <w:qFormat/>
    <w:pPr>
      <w:keepNext/>
      <w:numPr>
        <w:ilvl w:val="2"/>
        <w:numId w:val="2"/>
      </w:numPr>
      <w:spacing w:before="240" w:after="60"/>
      <w:jc w:val="both"/>
      <w:outlineLvl w:val="2"/>
    </w:pPr>
    <w:rPr>
      <w:rFonts w:ascii="Arial" w:hAnsi="Arial" w:cs="Arial"/>
      <w:b/>
      <w:bCs/>
      <w:snapToGrid w:val="0"/>
      <w:sz w:val="26"/>
      <w:szCs w:val="26"/>
      <w:lang w:val="fr-FR" w:eastAsia="en-US"/>
    </w:rPr>
  </w:style>
  <w:style w:type="paragraph" w:styleId="Nadpis4">
    <w:name w:val="heading 4"/>
    <w:basedOn w:val="Normlny"/>
    <w:next w:val="Normlny"/>
    <w:qFormat/>
    <w:pPr>
      <w:keepNext/>
      <w:numPr>
        <w:ilvl w:val="3"/>
        <w:numId w:val="2"/>
      </w:numPr>
      <w:spacing w:before="240" w:after="60"/>
      <w:jc w:val="both"/>
      <w:outlineLvl w:val="3"/>
    </w:pPr>
    <w:rPr>
      <w:b/>
      <w:bCs/>
      <w:snapToGrid w:val="0"/>
      <w:sz w:val="28"/>
      <w:szCs w:val="28"/>
      <w:lang w:val="fr-FR" w:eastAsia="en-US"/>
    </w:rPr>
  </w:style>
  <w:style w:type="paragraph" w:styleId="Nadpis5">
    <w:name w:val="heading 5"/>
    <w:basedOn w:val="Normlny"/>
    <w:next w:val="Normlny"/>
    <w:qFormat/>
    <w:pPr>
      <w:numPr>
        <w:ilvl w:val="4"/>
        <w:numId w:val="2"/>
      </w:numPr>
      <w:spacing w:before="240" w:after="60"/>
      <w:jc w:val="both"/>
      <w:outlineLvl w:val="4"/>
    </w:pPr>
    <w:rPr>
      <w:rFonts w:ascii="Arial Narrow" w:hAnsi="Arial Narrow"/>
      <w:b/>
      <w:bCs/>
      <w:i/>
      <w:iCs/>
      <w:snapToGrid w:val="0"/>
      <w:sz w:val="26"/>
      <w:szCs w:val="26"/>
      <w:lang w:val="fr-FR" w:eastAsia="en-US"/>
    </w:rPr>
  </w:style>
  <w:style w:type="paragraph" w:styleId="Nadpis6">
    <w:name w:val="heading 6"/>
    <w:basedOn w:val="Normlny"/>
    <w:next w:val="Normlny"/>
    <w:qFormat/>
    <w:pPr>
      <w:numPr>
        <w:ilvl w:val="5"/>
        <w:numId w:val="2"/>
      </w:numPr>
      <w:spacing w:before="240" w:after="60"/>
      <w:jc w:val="both"/>
      <w:outlineLvl w:val="5"/>
    </w:pPr>
    <w:rPr>
      <w:b/>
      <w:bCs/>
      <w:snapToGrid w:val="0"/>
      <w:sz w:val="22"/>
      <w:szCs w:val="22"/>
      <w:lang w:val="fr-FR" w:eastAsia="en-US"/>
    </w:rPr>
  </w:style>
  <w:style w:type="paragraph" w:styleId="Nadpis7">
    <w:name w:val="heading 7"/>
    <w:basedOn w:val="Normlny"/>
    <w:next w:val="Normlny"/>
    <w:qFormat/>
    <w:pPr>
      <w:numPr>
        <w:ilvl w:val="6"/>
        <w:numId w:val="2"/>
      </w:numPr>
      <w:spacing w:before="240" w:after="60"/>
      <w:jc w:val="both"/>
      <w:outlineLvl w:val="6"/>
    </w:pPr>
    <w:rPr>
      <w:snapToGrid w:val="0"/>
      <w:lang w:val="fr-FR" w:eastAsia="en-US"/>
    </w:rPr>
  </w:style>
  <w:style w:type="paragraph" w:styleId="Nadpis8">
    <w:name w:val="heading 8"/>
    <w:basedOn w:val="Normlny"/>
    <w:next w:val="Normlny"/>
    <w:qFormat/>
    <w:pPr>
      <w:numPr>
        <w:ilvl w:val="7"/>
        <w:numId w:val="2"/>
      </w:numPr>
      <w:spacing w:before="240" w:after="60"/>
      <w:jc w:val="both"/>
      <w:outlineLvl w:val="7"/>
    </w:pPr>
    <w:rPr>
      <w:i/>
      <w:iCs/>
      <w:snapToGrid w:val="0"/>
      <w:lang w:val="fr-FR" w:eastAsia="en-US"/>
    </w:rPr>
  </w:style>
  <w:style w:type="paragraph" w:styleId="Nadpis9">
    <w:name w:val="heading 9"/>
    <w:basedOn w:val="Normlny"/>
    <w:next w:val="Normlny"/>
    <w:qFormat/>
    <w:pPr>
      <w:numPr>
        <w:ilvl w:val="8"/>
        <w:numId w:val="2"/>
      </w:numPr>
      <w:spacing w:before="240" w:after="60"/>
      <w:jc w:val="both"/>
      <w:outlineLvl w:val="8"/>
    </w:pPr>
    <w:rPr>
      <w:rFonts w:ascii="Arial" w:hAnsi="Arial" w:cs="Arial"/>
      <w:snapToGrid w:val="0"/>
      <w:sz w:val="22"/>
      <w:szCs w:val="22"/>
      <w:lang w:val="fr-FR"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b/>
      <w:bCs/>
      <w:sz w:val="28"/>
    </w:rPr>
  </w:style>
  <w:style w:type="paragraph" w:styleId="Zarkazkladnhotextu">
    <w:name w:val="Body Text Indent"/>
    <w:basedOn w:val="Normlny"/>
    <w:link w:val="ZarkazkladnhotextuChar"/>
    <w:semiHidden/>
    <w:pPr>
      <w:ind w:left="360"/>
    </w:pPr>
    <w:rPr>
      <w:lang w:val="sk-SK"/>
    </w:rPr>
  </w:style>
  <w:style w:type="paragraph" w:styleId="Zarkazkladnhotextu2">
    <w:name w:val="Body Text Indent 2"/>
    <w:basedOn w:val="Normlny"/>
    <w:semiHidden/>
    <w:pPr>
      <w:ind w:left="360" w:hanging="540"/>
    </w:pPr>
    <w:rPr>
      <w:lang w:val="sk-SK"/>
    </w:rPr>
  </w:style>
  <w:style w:type="paragraph" w:styleId="Zkladntext">
    <w:name w:val="Body Text"/>
    <w:basedOn w:val="Normlny"/>
    <w:semiHidden/>
    <w:pPr>
      <w:jc w:val="both"/>
    </w:pPr>
    <w:rPr>
      <w:lang w:val="sk-SK"/>
    </w:rPr>
  </w:style>
  <w:style w:type="paragraph" w:styleId="Normlnywebov">
    <w:name w:val="Normal (Web)"/>
    <w:basedOn w:val="Normlny"/>
    <w:semiHidden/>
    <w:pPr>
      <w:spacing w:before="100" w:beforeAutospacing="1" w:after="100" w:afterAutospacing="1"/>
    </w:pPr>
    <w:rPr>
      <w:rFonts w:ascii="Arial Unicode MS" w:eastAsia="Arial Unicode MS" w:hAnsi="Arial Unicode MS" w:cs="Arial Unicode MS"/>
      <w:lang w:val="fr-FR" w:eastAsia="fr-FR"/>
    </w:rPr>
  </w:style>
  <w:style w:type="paragraph" w:customStyle="1" w:styleId="AmmListePuces1">
    <w:name w:val="AmmListePuces1"/>
    <w:basedOn w:val="Normlny"/>
    <w:pPr>
      <w:numPr>
        <w:numId w:val="2"/>
      </w:numPr>
    </w:pPr>
    <w:rPr>
      <w:rFonts w:ascii="Arial" w:hAnsi="Arial"/>
      <w:snapToGrid w:val="0"/>
      <w:sz w:val="20"/>
      <w:szCs w:val="20"/>
      <w:lang w:val="fr-FR" w:eastAsia="en-US"/>
    </w:rPr>
  </w:style>
  <w:style w:type="paragraph" w:customStyle="1" w:styleId="AmmListePuces">
    <w:name w:val="AmmListePuces"/>
    <w:basedOn w:val="Normlny"/>
    <w:pPr>
      <w:numPr>
        <w:numId w:val="3"/>
      </w:numPr>
      <w:tabs>
        <w:tab w:val="left" w:pos="357"/>
      </w:tabs>
      <w:jc w:val="both"/>
    </w:pPr>
    <w:rPr>
      <w:rFonts w:ascii="Arial" w:hAnsi="Arial"/>
      <w:sz w:val="22"/>
      <w:szCs w:val="20"/>
      <w:lang w:val="fr-FR" w:eastAsia="en-US"/>
    </w:rPr>
  </w:style>
  <w:style w:type="paragraph" w:customStyle="1" w:styleId="AmmIAM">
    <w:name w:val="AmmIAM"/>
    <w:basedOn w:val="Normlny"/>
    <w:next w:val="Normlny"/>
    <w:pPr>
      <w:numPr>
        <w:numId w:val="5"/>
      </w:numPr>
      <w:spacing w:after="120"/>
      <w:jc w:val="both"/>
    </w:pPr>
    <w:rPr>
      <w:rFonts w:ascii="Arial" w:hAnsi="Arial"/>
      <w:b/>
      <w:bCs/>
      <w:sz w:val="20"/>
      <w:szCs w:val="20"/>
      <w:lang w:val="en-GB" w:eastAsia="en-GB"/>
    </w:rPr>
  </w:style>
  <w:style w:type="paragraph" w:customStyle="1" w:styleId="AmmCorpsTexte">
    <w:name w:val="AmmCorpsTexte"/>
    <w:basedOn w:val="Normlny"/>
    <w:pPr>
      <w:spacing w:after="120"/>
      <w:jc w:val="both"/>
    </w:pPr>
    <w:rPr>
      <w:rFonts w:ascii="Arial" w:hAnsi="Arial" w:cs="Arial"/>
      <w:snapToGrid w:val="0"/>
      <w:sz w:val="20"/>
      <w:szCs w:val="20"/>
      <w:lang w:val="fr-FR" w:eastAsia="en-US"/>
    </w:rPr>
  </w:style>
  <w:style w:type="paragraph" w:customStyle="1" w:styleId="AmmAnnexeTitre3">
    <w:name w:val="AmmAnnexeTitre3"/>
    <w:basedOn w:val="AmmCorpsTexte"/>
    <w:next w:val="AmmCorpsTexte"/>
    <w:rPr>
      <w:rFonts w:cs="Times New Roman"/>
      <w:b/>
      <w:i/>
      <w:sz w:val="22"/>
      <w:u w:val="single"/>
      <w:lang w:eastAsia="en-GB"/>
    </w:rPr>
  </w:style>
  <w:style w:type="paragraph" w:customStyle="1" w:styleId="Texte">
    <w:name w:val="Texte"/>
    <w:basedOn w:val="Normlny"/>
    <w:pPr>
      <w:jc w:val="both"/>
    </w:pPr>
    <w:rPr>
      <w:lang w:val="en-GB" w:eastAsia="fr-FR"/>
    </w:rPr>
  </w:style>
  <w:style w:type="paragraph" w:customStyle="1" w:styleId="TableHeading">
    <w:name w:val="TableHeading"/>
    <w:basedOn w:val="Normlny"/>
    <w:pPr>
      <w:spacing w:before="60" w:after="60"/>
      <w:jc w:val="center"/>
    </w:pPr>
    <w:rPr>
      <w:b/>
      <w:sz w:val="20"/>
      <w:lang w:val="en-GB" w:eastAsia="fr-FR"/>
    </w:rPr>
  </w:style>
  <w:style w:type="paragraph" w:styleId="Textbubliny">
    <w:name w:val="Balloon Text"/>
    <w:basedOn w:val="Normlny"/>
    <w:semiHidden/>
    <w:rsid w:val="00F87048"/>
    <w:rPr>
      <w:rFonts w:ascii="Tahoma" w:hAnsi="Tahoma" w:cs="Tahoma"/>
      <w:sz w:val="16"/>
      <w:szCs w:val="16"/>
    </w:rPr>
  </w:style>
  <w:style w:type="paragraph" w:styleId="Pta">
    <w:name w:val="footer"/>
    <w:basedOn w:val="Normlny"/>
    <w:rsid w:val="00131542"/>
    <w:pPr>
      <w:tabs>
        <w:tab w:val="center" w:pos="4536"/>
        <w:tab w:val="right" w:pos="9072"/>
      </w:tabs>
    </w:pPr>
  </w:style>
  <w:style w:type="character" w:styleId="slostrany">
    <w:name w:val="page number"/>
    <w:basedOn w:val="Predvolenpsmoodseku"/>
    <w:rsid w:val="00131542"/>
  </w:style>
  <w:style w:type="paragraph" w:styleId="Hlavika">
    <w:name w:val="header"/>
    <w:basedOn w:val="Normlny"/>
    <w:link w:val="HlavikaChar"/>
    <w:rsid w:val="00131542"/>
    <w:pPr>
      <w:tabs>
        <w:tab w:val="center" w:pos="4536"/>
        <w:tab w:val="right" w:pos="9072"/>
      </w:tabs>
    </w:pPr>
  </w:style>
  <w:style w:type="character" w:styleId="Hypertextovprepojenie">
    <w:name w:val="Hyperlink"/>
    <w:rsid w:val="00912E13"/>
    <w:rPr>
      <w:color w:val="0000FF"/>
      <w:u w:val="single"/>
    </w:rPr>
  </w:style>
  <w:style w:type="character" w:styleId="Odkaznakomentr">
    <w:name w:val="annotation reference"/>
    <w:semiHidden/>
    <w:rsid w:val="00935209"/>
    <w:rPr>
      <w:sz w:val="16"/>
      <w:szCs w:val="16"/>
    </w:rPr>
  </w:style>
  <w:style w:type="paragraph" w:styleId="Textkomentra">
    <w:name w:val="annotation text"/>
    <w:basedOn w:val="Normlny"/>
    <w:semiHidden/>
    <w:rsid w:val="00935209"/>
    <w:rPr>
      <w:sz w:val="20"/>
      <w:szCs w:val="20"/>
    </w:rPr>
  </w:style>
  <w:style w:type="paragraph" w:styleId="Predmetkomentra">
    <w:name w:val="annotation subject"/>
    <w:basedOn w:val="Textkomentra"/>
    <w:next w:val="Textkomentra"/>
    <w:semiHidden/>
    <w:rsid w:val="00935209"/>
    <w:rPr>
      <w:b/>
      <w:bCs/>
    </w:rPr>
  </w:style>
  <w:style w:type="character" w:customStyle="1" w:styleId="HlavikaChar">
    <w:name w:val="Hlavička Char"/>
    <w:link w:val="Hlavika"/>
    <w:rsid w:val="009D0DC1"/>
    <w:rPr>
      <w:sz w:val="24"/>
      <w:szCs w:val="24"/>
      <w:lang w:val="cs-CZ" w:eastAsia="cs-CZ"/>
    </w:rPr>
  </w:style>
  <w:style w:type="character" w:customStyle="1" w:styleId="ZarkazkladnhotextuChar">
    <w:name w:val="Zarážka základného textu Char"/>
    <w:basedOn w:val="Predvolenpsmoodseku"/>
    <w:link w:val="Zarkazkladnhotextu"/>
    <w:semiHidden/>
    <w:rsid w:val="00722CBC"/>
    <w:rPr>
      <w:sz w:val="24"/>
      <w:szCs w:val="24"/>
      <w:lang w:eastAsia="cs-CZ"/>
    </w:rPr>
  </w:style>
  <w:style w:type="paragraph" w:styleId="Odsekzoznamu">
    <w:name w:val="List Paragraph"/>
    <w:basedOn w:val="Normlny"/>
    <w:uiPriority w:val="34"/>
    <w:qFormat/>
    <w:rsid w:val="008A4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403">
      <w:bodyDiv w:val="1"/>
      <w:marLeft w:val="0"/>
      <w:marRight w:val="0"/>
      <w:marTop w:val="0"/>
      <w:marBottom w:val="0"/>
      <w:divBdr>
        <w:top w:val="none" w:sz="0" w:space="0" w:color="auto"/>
        <w:left w:val="none" w:sz="0" w:space="0" w:color="auto"/>
        <w:bottom w:val="none" w:sz="0" w:space="0" w:color="auto"/>
        <w:right w:val="none" w:sz="0" w:space="0" w:color="auto"/>
      </w:divBdr>
    </w:div>
    <w:div w:id="10822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1200</Words>
  <Characters>7758</Characters>
  <Application>Microsoft Office Word</Application>
  <DocSecurity>4</DocSecurity>
  <Lines>64</Lines>
  <Paragraphs>17</Paragraphs>
  <ScaleCrop>false</ScaleCrop>
  <HeadingPairs>
    <vt:vector size="4" baseType="variant">
      <vt:variant>
        <vt:lpstr>Názov</vt:lpstr>
      </vt:variant>
      <vt:variant>
        <vt:i4>1</vt:i4>
      </vt:variant>
      <vt:variant>
        <vt:lpstr>Titre</vt:lpstr>
      </vt:variant>
      <vt:variant>
        <vt:i4>1</vt:i4>
      </vt:variant>
    </vt:vector>
  </HeadingPairs>
  <TitlesOfParts>
    <vt:vector size="2" baseType="lpstr">
      <vt:lpstr>SÚHRN CHARAKTERISTICKÝCH VLASTNOSTÍ  LIEKU (SPC)</vt:lpstr>
      <vt:lpstr>SÚHRN CHARAKTERISTICKÝCH VLASTNOSTÍ  LIEKU (SPC)</vt:lpstr>
    </vt:vector>
  </TitlesOfParts>
  <Company>diag</Company>
  <LinksUpToDate>false</LinksUpToDate>
  <CharactersWithSpaces>8941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a</dc:creator>
  <cp:lastModifiedBy>Natalia </cp:lastModifiedBy>
  <cp:revision>2</cp:revision>
  <dcterms:created xsi:type="dcterms:W3CDTF">2018-10-23T14:10:00Z</dcterms:created>
  <dcterms:modified xsi:type="dcterms:W3CDTF">2018-10-23T14:10:00Z</dcterms:modified>
</cp:coreProperties>
</file>