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E3ACFC" w14:textId="77777777" w:rsidR="00703BAD" w:rsidRPr="00CC458C" w:rsidRDefault="00703BAD">
      <w:pPr>
        <w:jc w:val="center"/>
        <w:rPr>
          <w:rFonts w:ascii="Times New Roman" w:hAnsi="Times New Roman" w:cs="Times New Roman"/>
          <w:b/>
          <w:bCs w:val="0"/>
          <w:sz w:val="22"/>
          <w:szCs w:val="22"/>
        </w:rPr>
      </w:pPr>
    </w:p>
    <w:p w14:paraId="1E7010D9" w14:textId="77777777" w:rsidR="00703BAD" w:rsidRPr="00CC458C" w:rsidRDefault="00703BAD">
      <w:pPr>
        <w:jc w:val="center"/>
        <w:rPr>
          <w:rFonts w:ascii="Times New Roman" w:hAnsi="Times New Roman" w:cs="Times New Roman"/>
          <w:b/>
          <w:bCs w:val="0"/>
          <w:sz w:val="22"/>
          <w:szCs w:val="22"/>
        </w:rPr>
      </w:pPr>
    </w:p>
    <w:p w14:paraId="4C430B61" w14:textId="77777777" w:rsidR="00B967F6" w:rsidRPr="00CC458C" w:rsidRDefault="00B967F6">
      <w:pPr>
        <w:jc w:val="center"/>
        <w:rPr>
          <w:rFonts w:ascii="Times New Roman" w:hAnsi="Times New Roman" w:cs="Times New Roman"/>
          <w:b/>
          <w:bCs w:val="0"/>
          <w:sz w:val="22"/>
          <w:szCs w:val="22"/>
        </w:rPr>
      </w:pPr>
      <w:r w:rsidRPr="00CC458C">
        <w:rPr>
          <w:rFonts w:ascii="Times New Roman" w:hAnsi="Times New Roman" w:cs="Times New Roman"/>
          <w:b/>
          <w:bCs w:val="0"/>
          <w:sz w:val="22"/>
          <w:szCs w:val="22"/>
        </w:rPr>
        <w:t>SÚHRN CHARAKTERISTICKÝCH VLASTNOSTÍ LIEKU</w:t>
      </w:r>
    </w:p>
    <w:p w14:paraId="43186B12" w14:textId="77777777" w:rsidR="00B967F6" w:rsidRPr="00CC458C" w:rsidRDefault="00B967F6" w:rsidP="00A562EF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1AD05B6C" w14:textId="77777777" w:rsidR="00B967F6" w:rsidRPr="00CC458C" w:rsidRDefault="00B967F6" w:rsidP="00A562EF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464FF575" w14:textId="77777777" w:rsidR="00B967F6" w:rsidRPr="00CC458C" w:rsidRDefault="00B967F6" w:rsidP="00CC458C">
      <w:pPr>
        <w:keepNext/>
        <w:tabs>
          <w:tab w:val="left" w:pos="567"/>
        </w:tabs>
        <w:outlineLvl w:val="3"/>
        <w:rPr>
          <w:rFonts w:ascii="Times New Roman" w:hAnsi="Times New Roman" w:cs="Times New Roman"/>
          <w:b/>
          <w:bCs w:val="0"/>
          <w:sz w:val="22"/>
          <w:szCs w:val="22"/>
        </w:rPr>
      </w:pPr>
      <w:r w:rsidRPr="00CC458C">
        <w:rPr>
          <w:rFonts w:ascii="Times New Roman" w:hAnsi="Times New Roman" w:cs="Times New Roman"/>
          <w:b/>
          <w:bCs w:val="0"/>
          <w:sz w:val="22"/>
          <w:szCs w:val="22"/>
        </w:rPr>
        <w:t>1.</w:t>
      </w:r>
      <w:r w:rsidRPr="00CC458C">
        <w:rPr>
          <w:rFonts w:ascii="Times New Roman" w:hAnsi="Times New Roman" w:cs="Times New Roman"/>
          <w:b/>
          <w:bCs w:val="0"/>
          <w:sz w:val="22"/>
          <w:szCs w:val="22"/>
        </w:rPr>
        <w:tab/>
        <w:t>NÁZOV LIEKU</w:t>
      </w:r>
    </w:p>
    <w:p w14:paraId="04885E54" w14:textId="77777777" w:rsidR="00B967F6" w:rsidRPr="00CC458C" w:rsidRDefault="00B967F6" w:rsidP="009E09D0">
      <w:pPr>
        <w:keepNext/>
        <w:tabs>
          <w:tab w:val="left" w:pos="2977"/>
        </w:tabs>
        <w:rPr>
          <w:rFonts w:ascii="Times New Roman" w:hAnsi="Times New Roman" w:cs="Times New Roman"/>
          <w:sz w:val="22"/>
          <w:szCs w:val="22"/>
          <w:lang w:val="sk-SK"/>
        </w:rPr>
      </w:pPr>
    </w:p>
    <w:p w14:paraId="107CCE4C" w14:textId="77777777" w:rsidR="00B967F6" w:rsidRPr="00CC458C" w:rsidRDefault="00B967F6" w:rsidP="00A562EF">
      <w:pPr>
        <w:rPr>
          <w:rFonts w:ascii="Times New Roman" w:hAnsi="Times New Roman" w:cs="Times New Roman"/>
          <w:bCs w:val="0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bCs w:val="0"/>
          <w:sz w:val="22"/>
          <w:szCs w:val="22"/>
          <w:lang w:val="sk-SK"/>
        </w:rPr>
        <w:t>Meloxicam Mylan 15 mg</w:t>
      </w:r>
    </w:p>
    <w:p w14:paraId="1F02EEE3" w14:textId="77777777" w:rsidR="00B967F6" w:rsidRPr="00CC458C" w:rsidRDefault="00122317" w:rsidP="00A562EF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lang w:val="sk-SK"/>
        </w:rPr>
        <w:t>t</w:t>
      </w:r>
      <w:r w:rsidR="00167941" w:rsidRPr="00CC458C">
        <w:rPr>
          <w:rFonts w:ascii="Times New Roman" w:hAnsi="Times New Roman" w:cs="Times New Roman"/>
          <w:sz w:val="22"/>
          <w:szCs w:val="22"/>
          <w:lang w:val="sk-SK"/>
        </w:rPr>
        <w:t>ablety</w:t>
      </w:r>
    </w:p>
    <w:p w14:paraId="4E93338F" w14:textId="77777777" w:rsidR="00167941" w:rsidRPr="00CC458C" w:rsidRDefault="00167941" w:rsidP="00A562EF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002DDE87" w14:textId="77777777" w:rsidR="00B967F6" w:rsidRPr="00CC458C" w:rsidRDefault="00B967F6" w:rsidP="00A562EF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7ABE91E5" w14:textId="77777777" w:rsidR="00B967F6" w:rsidRPr="00CC458C" w:rsidRDefault="00B967F6" w:rsidP="00CC458C">
      <w:pPr>
        <w:keepNext/>
        <w:tabs>
          <w:tab w:val="left" w:pos="567"/>
        </w:tabs>
        <w:outlineLvl w:val="3"/>
        <w:rPr>
          <w:rFonts w:ascii="Times New Roman" w:hAnsi="Times New Roman" w:cs="Times New Roman"/>
          <w:b/>
          <w:bCs w:val="0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b/>
          <w:bCs w:val="0"/>
          <w:sz w:val="22"/>
          <w:szCs w:val="22"/>
          <w:lang w:val="sk-SK"/>
        </w:rPr>
        <w:t>2.</w:t>
      </w:r>
      <w:r w:rsidRPr="00CC458C">
        <w:rPr>
          <w:rFonts w:ascii="Times New Roman" w:hAnsi="Times New Roman" w:cs="Times New Roman"/>
          <w:b/>
          <w:bCs w:val="0"/>
          <w:sz w:val="22"/>
          <w:szCs w:val="22"/>
          <w:lang w:val="sk-SK"/>
        </w:rPr>
        <w:tab/>
        <w:t>KVALITATÍVNE A KVANTITATÍVNE ZLOŽENIE</w:t>
      </w:r>
    </w:p>
    <w:p w14:paraId="7BEFE883" w14:textId="77777777" w:rsidR="00B967F6" w:rsidRPr="00CC458C" w:rsidRDefault="00B967F6" w:rsidP="009E09D0">
      <w:pPr>
        <w:keepNext/>
        <w:rPr>
          <w:rFonts w:ascii="Times New Roman" w:hAnsi="Times New Roman" w:cs="Times New Roman"/>
          <w:sz w:val="22"/>
          <w:szCs w:val="22"/>
          <w:lang w:val="sk-SK"/>
        </w:rPr>
      </w:pPr>
    </w:p>
    <w:p w14:paraId="68CB19DC" w14:textId="761B0815" w:rsidR="00B967F6" w:rsidRPr="00CC458C" w:rsidRDefault="00243021" w:rsidP="00A562EF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bCs w:val="0"/>
          <w:sz w:val="22"/>
          <w:szCs w:val="22"/>
          <w:lang w:val="sk-SK"/>
        </w:rPr>
        <w:t xml:space="preserve">Jedna </w:t>
      </w:r>
      <w:r w:rsidR="00B967F6" w:rsidRPr="00CC458C">
        <w:rPr>
          <w:rFonts w:ascii="Times New Roman" w:hAnsi="Times New Roman" w:cs="Times New Roman"/>
          <w:sz w:val="22"/>
          <w:szCs w:val="22"/>
          <w:lang w:val="sk-SK"/>
        </w:rPr>
        <w:t>tableta obsahuje 15</w:t>
      </w:r>
      <w:r w:rsidR="00167941" w:rsidRPr="00CC458C">
        <w:rPr>
          <w:rFonts w:ascii="Times New Roman" w:hAnsi="Times New Roman" w:cs="Times New Roman"/>
          <w:sz w:val="22"/>
          <w:szCs w:val="22"/>
          <w:lang w:val="sk-SK"/>
        </w:rPr>
        <w:t>,0</w:t>
      </w:r>
      <w:r w:rsidR="00B967F6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 mg meloxikamu. </w:t>
      </w:r>
    </w:p>
    <w:p w14:paraId="0CE51EBD" w14:textId="77777777" w:rsidR="009E09D0" w:rsidRPr="00CC458C" w:rsidRDefault="009E09D0" w:rsidP="00A562EF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52ABFB4A" w14:textId="77777777" w:rsidR="00FC0C6F" w:rsidRPr="00CC458C" w:rsidRDefault="00B967F6" w:rsidP="0040611E">
      <w:pPr>
        <w:pStyle w:val="Zkladntext"/>
        <w:tabs>
          <w:tab w:val="clear" w:pos="540"/>
        </w:tabs>
        <w:rPr>
          <w:rFonts w:ascii="Times New Roman" w:hAnsi="Times New Roman" w:cs="Times New Roman"/>
          <w:szCs w:val="22"/>
          <w:u w:val="single"/>
        </w:rPr>
      </w:pPr>
      <w:r w:rsidRPr="00CC458C">
        <w:rPr>
          <w:rFonts w:ascii="Times New Roman" w:hAnsi="Times New Roman" w:cs="Times New Roman"/>
          <w:szCs w:val="22"/>
          <w:u w:val="single"/>
        </w:rPr>
        <w:t>Pomocná látka</w:t>
      </w:r>
      <w:r w:rsidR="00FC0C6F" w:rsidRPr="00CC458C">
        <w:rPr>
          <w:rFonts w:ascii="Times New Roman" w:hAnsi="Times New Roman" w:cs="Times New Roman"/>
          <w:szCs w:val="22"/>
          <w:u w:val="single"/>
        </w:rPr>
        <w:t xml:space="preserve"> so známym účinkom</w:t>
      </w:r>
      <w:r w:rsidRPr="00CC458C">
        <w:rPr>
          <w:rFonts w:ascii="Times New Roman" w:hAnsi="Times New Roman" w:cs="Times New Roman"/>
          <w:szCs w:val="22"/>
          <w:u w:val="single"/>
        </w:rPr>
        <w:t xml:space="preserve"> </w:t>
      </w:r>
    </w:p>
    <w:p w14:paraId="2AD43514" w14:textId="7E1C70F3" w:rsidR="00B967F6" w:rsidRPr="00CC458C" w:rsidRDefault="00243021" w:rsidP="000E4141">
      <w:pPr>
        <w:pStyle w:val="Zkladntext"/>
        <w:tabs>
          <w:tab w:val="clear" w:pos="540"/>
        </w:tabs>
        <w:rPr>
          <w:rFonts w:ascii="Times New Roman" w:hAnsi="Times New Roman" w:cs="Times New Roman"/>
          <w:szCs w:val="22"/>
        </w:rPr>
      </w:pPr>
      <w:r w:rsidRPr="00CC458C">
        <w:rPr>
          <w:rFonts w:ascii="Times New Roman" w:hAnsi="Times New Roman" w:cs="Times New Roman"/>
          <w:bCs w:val="0"/>
          <w:szCs w:val="22"/>
        </w:rPr>
        <w:t xml:space="preserve">Jedna </w:t>
      </w:r>
      <w:r w:rsidR="00167941" w:rsidRPr="00CC458C">
        <w:rPr>
          <w:rFonts w:ascii="Times New Roman" w:hAnsi="Times New Roman" w:cs="Times New Roman"/>
          <w:szCs w:val="22"/>
        </w:rPr>
        <w:t>tableta obsahuje 81,7 mg laktózy (vo forme monohydrátu laktózy)</w:t>
      </w:r>
      <w:r w:rsidR="00B967F6" w:rsidRPr="00CC458C">
        <w:rPr>
          <w:rFonts w:ascii="Times New Roman" w:hAnsi="Times New Roman" w:cs="Times New Roman"/>
          <w:szCs w:val="22"/>
        </w:rPr>
        <w:t xml:space="preserve">. </w:t>
      </w:r>
    </w:p>
    <w:p w14:paraId="2A050906" w14:textId="77777777" w:rsidR="00B967F6" w:rsidRPr="00CC458C" w:rsidRDefault="00B967F6" w:rsidP="00A562EF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1E37ECF8" w14:textId="77777777" w:rsidR="00B967F6" w:rsidRPr="00CC458C" w:rsidRDefault="00B967F6" w:rsidP="00A562EF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lang w:val="sk-SK"/>
        </w:rPr>
        <w:t>Úplný zoznam pomocných látok, pozri časť 6.1.</w:t>
      </w:r>
    </w:p>
    <w:p w14:paraId="628AAC00" w14:textId="77777777" w:rsidR="00B967F6" w:rsidRPr="00CC458C" w:rsidRDefault="00B967F6" w:rsidP="00A562EF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7CF567E5" w14:textId="77777777" w:rsidR="00B967F6" w:rsidRPr="00CC458C" w:rsidRDefault="00B967F6" w:rsidP="00A562EF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6D9FAB9B" w14:textId="77777777" w:rsidR="00B967F6" w:rsidRPr="00CC458C" w:rsidRDefault="00B967F6" w:rsidP="00CC458C">
      <w:pPr>
        <w:keepNext/>
        <w:tabs>
          <w:tab w:val="left" w:pos="567"/>
        </w:tabs>
        <w:outlineLvl w:val="3"/>
        <w:rPr>
          <w:rFonts w:ascii="Times New Roman" w:hAnsi="Times New Roman" w:cs="Times New Roman"/>
          <w:b/>
          <w:bCs w:val="0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b/>
          <w:bCs w:val="0"/>
          <w:sz w:val="22"/>
          <w:szCs w:val="22"/>
          <w:lang w:val="sk-SK"/>
        </w:rPr>
        <w:t>3.</w:t>
      </w:r>
      <w:r w:rsidRPr="00CC458C">
        <w:rPr>
          <w:rFonts w:ascii="Times New Roman" w:hAnsi="Times New Roman" w:cs="Times New Roman"/>
          <w:b/>
          <w:bCs w:val="0"/>
          <w:sz w:val="22"/>
          <w:szCs w:val="22"/>
          <w:lang w:val="sk-SK"/>
        </w:rPr>
        <w:tab/>
        <w:t xml:space="preserve">LIEKOVÁ FORMA </w:t>
      </w:r>
    </w:p>
    <w:p w14:paraId="21875D69" w14:textId="77777777" w:rsidR="00B967F6" w:rsidRPr="00CC458C" w:rsidRDefault="00B967F6" w:rsidP="009E09D0">
      <w:pPr>
        <w:keepNext/>
        <w:rPr>
          <w:rFonts w:ascii="Times New Roman" w:hAnsi="Times New Roman" w:cs="Times New Roman"/>
          <w:sz w:val="22"/>
          <w:szCs w:val="22"/>
          <w:lang w:val="sk-SK"/>
        </w:rPr>
      </w:pPr>
    </w:p>
    <w:p w14:paraId="6117419C" w14:textId="22381346" w:rsidR="00B967F6" w:rsidRPr="00CC458C" w:rsidRDefault="00B967F6" w:rsidP="00A562EF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lang w:val="sk-SK"/>
        </w:rPr>
        <w:t>Tablet</w:t>
      </w:r>
      <w:r w:rsidR="000F733F" w:rsidRPr="00CC458C">
        <w:rPr>
          <w:rFonts w:ascii="Times New Roman" w:hAnsi="Times New Roman" w:cs="Times New Roman"/>
          <w:sz w:val="22"/>
          <w:szCs w:val="22"/>
          <w:lang w:val="sk-SK"/>
        </w:rPr>
        <w:t>a</w:t>
      </w:r>
    </w:p>
    <w:p w14:paraId="543CEDEA" w14:textId="77777777" w:rsidR="00B967F6" w:rsidRPr="00CC458C" w:rsidRDefault="00B967F6" w:rsidP="00A562EF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7129F238" w14:textId="36BFE538" w:rsidR="00B967F6" w:rsidRPr="00CC458C" w:rsidRDefault="009E09D0" w:rsidP="0040611E">
      <w:pPr>
        <w:pStyle w:val="Zkladntext"/>
        <w:tabs>
          <w:tab w:val="clear" w:pos="540"/>
        </w:tabs>
        <w:rPr>
          <w:rFonts w:ascii="Times New Roman" w:hAnsi="Times New Roman" w:cs="Times New Roman"/>
          <w:szCs w:val="22"/>
        </w:rPr>
      </w:pPr>
      <w:r w:rsidRPr="00CC458C">
        <w:rPr>
          <w:rFonts w:ascii="Times New Roman" w:hAnsi="Times New Roman" w:cs="Times New Roman"/>
          <w:szCs w:val="22"/>
        </w:rPr>
        <w:t>B</w:t>
      </w:r>
      <w:r w:rsidR="00B967F6" w:rsidRPr="00CC458C">
        <w:rPr>
          <w:rFonts w:ascii="Times New Roman" w:hAnsi="Times New Roman" w:cs="Times New Roman"/>
          <w:szCs w:val="22"/>
        </w:rPr>
        <w:t>ledožlté, okrúhle</w:t>
      </w:r>
      <w:r w:rsidR="00FC0C6F" w:rsidRPr="00CC458C">
        <w:rPr>
          <w:rFonts w:ascii="Times New Roman" w:hAnsi="Times New Roman" w:cs="Times New Roman"/>
          <w:szCs w:val="22"/>
        </w:rPr>
        <w:t>, plocho skosené</w:t>
      </w:r>
      <w:r w:rsidR="00B967F6" w:rsidRPr="00CC458C">
        <w:rPr>
          <w:rFonts w:ascii="Times New Roman" w:hAnsi="Times New Roman" w:cs="Times New Roman"/>
          <w:szCs w:val="22"/>
        </w:rPr>
        <w:t xml:space="preserve"> tablety s deliacou ryhou na jednej strane. </w:t>
      </w:r>
      <w:r w:rsidR="00FC0C6F" w:rsidRPr="00CC458C">
        <w:rPr>
          <w:rFonts w:ascii="Times New Roman" w:hAnsi="Times New Roman" w:cs="Times New Roman"/>
          <w:szCs w:val="22"/>
        </w:rPr>
        <w:t>Približne 10 mm v priemere.</w:t>
      </w:r>
    </w:p>
    <w:p w14:paraId="7AC96058" w14:textId="77777777" w:rsidR="009E09D0" w:rsidRPr="00CC458C" w:rsidRDefault="009E09D0" w:rsidP="0040611E">
      <w:pPr>
        <w:pStyle w:val="Zkladntext"/>
        <w:tabs>
          <w:tab w:val="clear" w:pos="540"/>
        </w:tabs>
        <w:rPr>
          <w:rFonts w:ascii="Times New Roman" w:hAnsi="Times New Roman" w:cs="Times New Roman"/>
          <w:szCs w:val="22"/>
        </w:rPr>
      </w:pPr>
    </w:p>
    <w:p w14:paraId="713E4028" w14:textId="77777777" w:rsidR="00B967F6" w:rsidRPr="00CC458C" w:rsidRDefault="00B967F6" w:rsidP="000E4141">
      <w:pPr>
        <w:pStyle w:val="Zkladntext"/>
        <w:tabs>
          <w:tab w:val="clear" w:pos="540"/>
        </w:tabs>
        <w:rPr>
          <w:rFonts w:ascii="Times New Roman" w:hAnsi="Times New Roman" w:cs="Times New Roman"/>
          <w:szCs w:val="22"/>
        </w:rPr>
      </w:pPr>
      <w:r w:rsidRPr="00CC458C">
        <w:rPr>
          <w:rFonts w:ascii="Times New Roman" w:hAnsi="Times New Roman" w:cs="Times New Roman"/>
          <w:szCs w:val="22"/>
        </w:rPr>
        <w:t xml:space="preserve">Tableta sa môže rozdeliť na rovnaké </w:t>
      </w:r>
      <w:r w:rsidR="00FC0C6F" w:rsidRPr="00CC458C">
        <w:rPr>
          <w:rFonts w:ascii="Times New Roman" w:hAnsi="Times New Roman" w:cs="Times New Roman"/>
          <w:szCs w:val="22"/>
        </w:rPr>
        <w:t>dávky</w:t>
      </w:r>
      <w:r w:rsidRPr="00CC458C">
        <w:rPr>
          <w:rFonts w:ascii="Times New Roman" w:hAnsi="Times New Roman" w:cs="Times New Roman"/>
          <w:szCs w:val="22"/>
        </w:rPr>
        <w:t>.</w:t>
      </w:r>
    </w:p>
    <w:p w14:paraId="7C303B6F" w14:textId="77777777" w:rsidR="00B967F6" w:rsidRPr="00CC458C" w:rsidRDefault="00B967F6" w:rsidP="00A562EF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616509BB" w14:textId="77777777" w:rsidR="00B967F6" w:rsidRPr="00CC458C" w:rsidRDefault="00B967F6" w:rsidP="00A562EF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7C33473C" w14:textId="77777777" w:rsidR="00B967F6" w:rsidRPr="00CC458C" w:rsidRDefault="00B967F6" w:rsidP="00CC458C">
      <w:pPr>
        <w:keepNext/>
        <w:tabs>
          <w:tab w:val="left" w:pos="567"/>
        </w:tabs>
        <w:outlineLvl w:val="3"/>
        <w:rPr>
          <w:rFonts w:ascii="Times New Roman" w:hAnsi="Times New Roman" w:cs="Times New Roman"/>
          <w:b/>
          <w:bCs w:val="0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b/>
          <w:bCs w:val="0"/>
          <w:sz w:val="22"/>
          <w:szCs w:val="22"/>
          <w:lang w:val="sk-SK"/>
        </w:rPr>
        <w:t>4.</w:t>
      </w:r>
      <w:r w:rsidRPr="00CC458C">
        <w:rPr>
          <w:rFonts w:ascii="Times New Roman" w:hAnsi="Times New Roman" w:cs="Times New Roman"/>
          <w:b/>
          <w:bCs w:val="0"/>
          <w:sz w:val="22"/>
          <w:szCs w:val="22"/>
          <w:lang w:val="sk-SK"/>
        </w:rPr>
        <w:tab/>
        <w:t>KLINICKÉ ÚDAJE</w:t>
      </w:r>
    </w:p>
    <w:p w14:paraId="5640D61C" w14:textId="77777777" w:rsidR="00B967F6" w:rsidRPr="00CC458C" w:rsidRDefault="00B967F6" w:rsidP="009E09D0">
      <w:pPr>
        <w:keepNext/>
        <w:rPr>
          <w:rFonts w:ascii="Times New Roman" w:hAnsi="Times New Roman" w:cs="Times New Roman"/>
          <w:b/>
          <w:bCs w:val="0"/>
          <w:sz w:val="22"/>
          <w:szCs w:val="22"/>
          <w:lang w:val="sk-SK"/>
        </w:rPr>
      </w:pPr>
    </w:p>
    <w:p w14:paraId="1062E031" w14:textId="77777777" w:rsidR="00B967F6" w:rsidRPr="00CC458C" w:rsidRDefault="00B967F6" w:rsidP="00CC458C">
      <w:pPr>
        <w:keepNext/>
        <w:tabs>
          <w:tab w:val="left" w:pos="567"/>
        </w:tabs>
        <w:outlineLvl w:val="3"/>
        <w:rPr>
          <w:rFonts w:ascii="Times New Roman" w:hAnsi="Times New Roman" w:cs="Times New Roman"/>
          <w:b/>
          <w:bCs w:val="0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b/>
          <w:bCs w:val="0"/>
          <w:sz w:val="22"/>
          <w:szCs w:val="22"/>
          <w:lang w:val="sk-SK"/>
        </w:rPr>
        <w:t>4.1</w:t>
      </w:r>
      <w:r w:rsidRPr="00CC458C">
        <w:rPr>
          <w:rFonts w:ascii="Times New Roman" w:hAnsi="Times New Roman" w:cs="Times New Roman"/>
          <w:b/>
          <w:bCs w:val="0"/>
          <w:sz w:val="22"/>
          <w:szCs w:val="22"/>
          <w:lang w:val="sk-SK"/>
        </w:rPr>
        <w:tab/>
        <w:t>Terapeutické indikácie</w:t>
      </w:r>
    </w:p>
    <w:p w14:paraId="3C3F807B" w14:textId="77777777" w:rsidR="00C045B7" w:rsidRPr="00CC458C" w:rsidRDefault="00C045B7" w:rsidP="00A562EF">
      <w:pPr>
        <w:rPr>
          <w:rFonts w:ascii="Times New Roman" w:hAnsi="Times New Roman" w:cs="Times New Roman"/>
          <w:b/>
          <w:bCs w:val="0"/>
          <w:sz w:val="22"/>
          <w:szCs w:val="22"/>
          <w:lang w:val="sk-SK"/>
        </w:rPr>
      </w:pPr>
    </w:p>
    <w:p w14:paraId="6B30CFDD" w14:textId="77777777" w:rsidR="00B967F6" w:rsidRPr="00CC458C" w:rsidRDefault="00576138" w:rsidP="00A562EF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lang w:val="sk-SK"/>
        </w:rPr>
        <w:t>Meloxicam Mylan je indikovaný dospelým a dospievajúcim starším ako 16 rokov.</w:t>
      </w:r>
    </w:p>
    <w:p w14:paraId="4AA341AD" w14:textId="77777777" w:rsidR="00576138" w:rsidRPr="00CC458C" w:rsidRDefault="00576138" w:rsidP="00A562EF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741B755E" w14:textId="77777777" w:rsidR="00B967F6" w:rsidRPr="00CC458C" w:rsidRDefault="00B967F6" w:rsidP="00A562EF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lang w:val="sk-SK"/>
        </w:rPr>
        <w:t>Krátkodobá symptomatická liečba exacerbácií osteoartrózy.</w:t>
      </w:r>
    </w:p>
    <w:p w14:paraId="5C728A16" w14:textId="77777777" w:rsidR="00B967F6" w:rsidRPr="00CC458C" w:rsidRDefault="00B967F6" w:rsidP="00A562EF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lang w:val="sk-SK"/>
        </w:rPr>
        <w:t>Dlhodobá symptomatická liečba reumatoidnej artritídy alebo ankylóznej spondylitídy.</w:t>
      </w:r>
    </w:p>
    <w:p w14:paraId="31286069" w14:textId="77777777" w:rsidR="00B967F6" w:rsidRPr="00CC458C" w:rsidRDefault="00B967F6" w:rsidP="00A562EF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75075DA1" w14:textId="77777777" w:rsidR="00B967F6" w:rsidRPr="00CC458C" w:rsidRDefault="00B967F6" w:rsidP="00CC458C">
      <w:pPr>
        <w:keepNext/>
        <w:tabs>
          <w:tab w:val="left" w:pos="567"/>
        </w:tabs>
        <w:outlineLvl w:val="3"/>
        <w:rPr>
          <w:rFonts w:ascii="Times New Roman" w:hAnsi="Times New Roman" w:cs="Times New Roman"/>
          <w:b/>
          <w:bCs w:val="0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b/>
          <w:bCs w:val="0"/>
          <w:sz w:val="22"/>
          <w:szCs w:val="22"/>
          <w:lang w:val="sk-SK"/>
        </w:rPr>
        <w:t>4.2</w:t>
      </w:r>
      <w:r w:rsidRPr="00CC458C">
        <w:rPr>
          <w:rFonts w:ascii="Times New Roman" w:hAnsi="Times New Roman" w:cs="Times New Roman"/>
          <w:b/>
          <w:bCs w:val="0"/>
          <w:sz w:val="22"/>
          <w:szCs w:val="22"/>
          <w:lang w:val="sk-SK"/>
        </w:rPr>
        <w:tab/>
        <w:t>Dávkovanie a spôsob podávania</w:t>
      </w:r>
    </w:p>
    <w:p w14:paraId="369FE040" w14:textId="77777777" w:rsidR="00B967F6" w:rsidRPr="00CC458C" w:rsidRDefault="00B967F6" w:rsidP="009E09D0">
      <w:pPr>
        <w:keepNext/>
        <w:rPr>
          <w:rFonts w:ascii="Times New Roman" w:hAnsi="Times New Roman" w:cs="Times New Roman"/>
          <w:sz w:val="22"/>
          <w:szCs w:val="22"/>
          <w:lang w:val="sk-SK"/>
        </w:rPr>
      </w:pPr>
    </w:p>
    <w:p w14:paraId="2E6ACD58" w14:textId="77777777" w:rsidR="00FC0C6F" w:rsidRPr="00CC458C" w:rsidRDefault="00FC0C6F" w:rsidP="009E09D0">
      <w:pPr>
        <w:keepNext/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u w:val="single"/>
          <w:lang w:val="sk-SK"/>
        </w:rPr>
        <w:t>Dávkovanie</w:t>
      </w:r>
    </w:p>
    <w:p w14:paraId="5254777E" w14:textId="77777777" w:rsidR="006C6DAC" w:rsidRPr="00CC458C" w:rsidRDefault="006C6DAC" w:rsidP="009E09D0">
      <w:pPr>
        <w:keepNext/>
        <w:rPr>
          <w:rFonts w:ascii="Times New Roman" w:hAnsi="Times New Roman" w:cs="Times New Roman"/>
          <w:sz w:val="22"/>
          <w:szCs w:val="22"/>
          <w:lang w:val="sk-SK"/>
        </w:rPr>
      </w:pPr>
    </w:p>
    <w:p w14:paraId="0D790467" w14:textId="77777777" w:rsidR="00B967F6" w:rsidRPr="00CC458C" w:rsidRDefault="007C7366" w:rsidP="00A562EF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lang w:val="sk-SK"/>
        </w:rPr>
        <w:t>Nežiaduce účinky sa môžu minimalizovať užívaním najnižšej účinnej dávky počas najkratšej doby potrebnej na kontrolu symptómov (pozri časť 4.4). Potreba symptomatickej úľavy a terapeutická odpoveď u daného pacienta sa musí periodicky prehodnocovať, a to najmä u pacientov s</w:t>
      </w:r>
      <w:r w:rsidR="0092216E" w:rsidRPr="00CC458C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osteoartrózou.</w:t>
      </w:r>
    </w:p>
    <w:p w14:paraId="76AA9EE8" w14:textId="77777777" w:rsidR="007C7366" w:rsidRPr="00CC458C" w:rsidRDefault="007C7366" w:rsidP="00A562EF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0A9F3307" w14:textId="32BA9102" w:rsidR="00B967F6" w:rsidRPr="00CC458C" w:rsidRDefault="00B967F6" w:rsidP="00A562EF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i/>
          <w:sz w:val="22"/>
          <w:szCs w:val="22"/>
          <w:u w:val="single"/>
          <w:lang w:val="sk-SK"/>
        </w:rPr>
        <w:t>Exacerbácie osteoartrózy</w:t>
      </w:r>
      <w:r w:rsidR="00576138" w:rsidRPr="00CC458C">
        <w:rPr>
          <w:rFonts w:ascii="Times New Roman" w:hAnsi="Times New Roman" w:cs="Times New Roman"/>
          <w:i/>
          <w:sz w:val="22"/>
          <w:szCs w:val="22"/>
          <w:u w:val="single"/>
          <w:lang w:val="sk-SK"/>
        </w:rPr>
        <w:t>:</w:t>
      </w:r>
      <w:r w:rsidR="00703BAD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7,5 mg meloxikamu denne (</w:t>
      </w:r>
      <w:r w:rsidR="009F5B85" w:rsidRPr="00CC458C">
        <w:rPr>
          <w:rFonts w:ascii="Times New Roman" w:hAnsi="Times New Roman" w:cs="Times New Roman"/>
          <w:sz w:val="22"/>
          <w:szCs w:val="22"/>
          <w:lang w:val="sk-SK"/>
        </w:rPr>
        <w:t>polovica tablety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).</w:t>
      </w:r>
    </w:p>
    <w:p w14:paraId="18755A0E" w14:textId="232472C7" w:rsidR="00B967F6" w:rsidRPr="00CC458C" w:rsidRDefault="00B967F6" w:rsidP="0040611E">
      <w:pPr>
        <w:pStyle w:val="Zkladntext"/>
        <w:tabs>
          <w:tab w:val="clear" w:pos="540"/>
        </w:tabs>
        <w:rPr>
          <w:rFonts w:ascii="Times New Roman" w:hAnsi="Times New Roman" w:cs="Times New Roman"/>
          <w:szCs w:val="22"/>
        </w:rPr>
      </w:pPr>
      <w:r w:rsidRPr="00CC458C">
        <w:rPr>
          <w:rFonts w:ascii="Times New Roman" w:hAnsi="Times New Roman" w:cs="Times New Roman"/>
          <w:szCs w:val="22"/>
        </w:rPr>
        <w:t>Ak je to potrebné, v prípade, že nedôjde k zlepšeniu, dávku je možné zvýšiť na 15 mg meloxikamu denne (</w:t>
      </w:r>
      <w:r w:rsidR="001A5C9D" w:rsidRPr="00CC458C">
        <w:rPr>
          <w:rFonts w:ascii="Times New Roman" w:hAnsi="Times New Roman" w:cs="Times New Roman"/>
          <w:szCs w:val="22"/>
        </w:rPr>
        <w:t>1 tableta</w:t>
      </w:r>
      <w:r w:rsidRPr="00CC458C">
        <w:rPr>
          <w:rFonts w:ascii="Times New Roman" w:hAnsi="Times New Roman" w:cs="Times New Roman"/>
          <w:szCs w:val="22"/>
        </w:rPr>
        <w:t>).</w:t>
      </w:r>
    </w:p>
    <w:p w14:paraId="690C7BA3" w14:textId="77777777" w:rsidR="00B967F6" w:rsidRPr="00CC458C" w:rsidRDefault="00B967F6" w:rsidP="00A562EF">
      <w:pPr>
        <w:tabs>
          <w:tab w:val="left" w:pos="2230"/>
        </w:tabs>
        <w:rPr>
          <w:rFonts w:ascii="Times New Roman" w:hAnsi="Times New Roman" w:cs="Times New Roman"/>
          <w:sz w:val="22"/>
          <w:szCs w:val="22"/>
          <w:lang w:val="sk-SK"/>
        </w:rPr>
      </w:pPr>
    </w:p>
    <w:p w14:paraId="1EF01108" w14:textId="22B4C557" w:rsidR="00B967F6" w:rsidRPr="00CC458C" w:rsidRDefault="00B967F6" w:rsidP="0040611E">
      <w:pPr>
        <w:pStyle w:val="Zkladntext"/>
        <w:tabs>
          <w:tab w:val="clear" w:pos="540"/>
        </w:tabs>
        <w:rPr>
          <w:rFonts w:ascii="Times New Roman" w:hAnsi="Times New Roman" w:cs="Times New Roman"/>
          <w:szCs w:val="22"/>
        </w:rPr>
      </w:pPr>
      <w:r w:rsidRPr="00CC458C">
        <w:rPr>
          <w:rFonts w:ascii="Times New Roman" w:hAnsi="Times New Roman" w:cs="Times New Roman"/>
          <w:i/>
          <w:szCs w:val="22"/>
          <w:u w:val="single"/>
        </w:rPr>
        <w:t>Reumatoidná artritída, ankylózna spondylitída</w:t>
      </w:r>
      <w:r w:rsidR="00576138" w:rsidRPr="00CC458C">
        <w:rPr>
          <w:rFonts w:ascii="Times New Roman" w:hAnsi="Times New Roman" w:cs="Times New Roman"/>
          <w:i/>
          <w:szCs w:val="22"/>
          <w:u w:val="single"/>
        </w:rPr>
        <w:t>:</w:t>
      </w:r>
      <w:r w:rsidR="00703BAD" w:rsidRPr="00CC458C">
        <w:rPr>
          <w:rFonts w:ascii="Times New Roman" w:hAnsi="Times New Roman" w:cs="Times New Roman"/>
          <w:szCs w:val="22"/>
        </w:rPr>
        <w:t xml:space="preserve"> </w:t>
      </w:r>
      <w:r w:rsidRPr="00CC458C">
        <w:rPr>
          <w:rFonts w:ascii="Times New Roman" w:hAnsi="Times New Roman" w:cs="Times New Roman"/>
          <w:szCs w:val="22"/>
        </w:rPr>
        <w:t>15 mg meloxikamu denne (</w:t>
      </w:r>
      <w:r w:rsidR="00DF7EBC" w:rsidRPr="00CC458C">
        <w:rPr>
          <w:rFonts w:ascii="Times New Roman" w:hAnsi="Times New Roman" w:cs="Times New Roman"/>
          <w:szCs w:val="22"/>
        </w:rPr>
        <w:t>1 tableta</w:t>
      </w:r>
      <w:r w:rsidRPr="00CC458C">
        <w:rPr>
          <w:rFonts w:ascii="Times New Roman" w:hAnsi="Times New Roman" w:cs="Times New Roman"/>
          <w:szCs w:val="22"/>
        </w:rPr>
        <w:t xml:space="preserve">) (pozri tiež časť </w:t>
      </w:r>
      <w:r w:rsidR="00122317" w:rsidRPr="00CC458C">
        <w:rPr>
          <w:rFonts w:ascii="Times New Roman" w:hAnsi="Times New Roman" w:cs="Times New Roman"/>
          <w:szCs w:val="22"/>
        </w:rPr>
        <w:t>„Osobit</w:t>
      </w:r>
      <w:r w:rsidR="003B634F" w:rsidRPr="00CC458C">
        <w:rPr>
          <w:rFonts w:ascii="Times New Roman" w:hAnsi="Times New Roman" w:cs="Times New Roman"/>
          <w:szCs w:val="22"/>
        </w:rPr>
        <w:t>n</w:t>
      </w:r>
      <w:r w:rsidR="00122317" w:rsidRPr="00CC458C">
        <w:rPr>
          <w:rFonts w:ascii="Times New Roman" w:hAnsi="Times New Roman" w:cs="Times New Roman"/>
          <w:szCs w:val="22"/>
        </w:rPr>
        <w:t>é skupiny pacientov“</w:t>
      </w:r>
      <w:r w:rsidRPr="00CC458C">
        <w:rPr>
          <w:rFonts w:ascii="Times New Roman" w:hAnsi="Times New Roman" w:cs="Times New Roman"/>
          <w:szCs w:val="22"/>
        </w:rPr>
        <w:t>).</w:t>
      </w:r>
    </w:p>
    <w:p w14:paraId="7ACA1A32" w14:textId="77777777" w:rsidR="00B967F6" w:rsidRPr="00CC458C" w:rsidRDefault="00B967F6" w:rsidP="000E4141">
      <w:pPr>
        <w:pStyle w:val="Zkladntext"/>
        <w:tabs>
          <w:tab w:val="clear" w:pos="540"/>
        </w:tabs>
        <w:rPr>
          <w:rFonts w:ascii="Times New Roman" w:hAnsi="Times New Roman" w:cs="Times New Roman"/>
          <w:szCs w:val="22"/>
        </w:rPr>
      </w:pPr>
    </w:p>
    <w:p w14:paraId="365BFC81" w14:textId="44D0B375" w:rsidR="00B967F6" w:rsidRPr="00CC458C" w:rsidRDefault="00B967F6" w:rsidP="00470750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lang w:val="sk-SK"/>
        </w:rPr>
        <w:t>Podľa odpovede na liečbu je možné dávku znížiť na 7,5 mg meloxikamu denne (</w:t>
      </w:r>
      <w:r w:rsidR="00DF7EBC" w:rsidRPr="00CC458C">
        <w:rPr>
          <w:rFonts w:ascii="Times New Roman" w:hAnsi="Times New Roman" w:cs="Times New Roman"/>
          <w:sz w:val="22"/>
          <w:szCs w:val="22"/>
          <w:lang w:val="sk-SK"/>
        </w:rPr>
        <w:t>polovica tablety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).</w:t>
      </w:r>
    </w:p>
    <w:p w14:paraId="01F2C2F3" w14:textId="77777777" w:rsidR="00B967F6" w:rsidRPr="00CC458C" w:rsidRDefault="00B967F6" w:rsidP="00A562EF">
      <w:pPr>
        <w:rPr>
          <w:rFonts w:ascii="Times New Roman" w:hAnsi="Times New Roman" w:cs="Times New Roman"/>
          <w:caps/>
          <w:sz w:val="22"/>
          <w:szCs w:val="22"/>
          <w:lang w:val="sk-SK"/>
        </w:rPr>
      </w:pPr>
    </w:p>
    <w:p w14:paraId="592D8ED6" w14:textId="77777777" w:rsidR="00B967F6" w:rsidRPr="00CC458C" w:rsidRDefault="00B967F6" w:rsidP="00A562EF">
      <w:pPr>
        <w:rPr>
          <w:rFonts w:ascii="Times New Roman" w:hAnsi="Times New Roman" w:cs="Times New Roman"/>
          <w:b/>
          <w:bCs w:val="0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b/>
          <w:bCs w:val="0"/>
          <w:caps/>
          <w:sz w:val="22"/>
          <w:szCs w:val="22"/>
          <w:lang w:val="sk-SK"/>
        </w:rPr>
        <w:t xml:space="preserve">NEPREKRAčUJTE DáVKU </w:t>
      </w:r>
      <w:r w:rsidRPr="00CC458C">
        <w:rPr>
          <w:rFonts w:ascii="Times New Roman" w:hAnsi="Times New Roman" w:cs="Times New Roman"/>
          <w:b/>
          <w:bCs w:val="0"/>
          <w:sz w:val="22"/>
          <w:szCs w:val="22"/>
          <w:lang w:val="sk-SK"/>
        </w:rPr>
        <w:t xml:space="preserve">15 mg meloxikamu denne. </w:t>
      </w:r>
    </w:p>
    <w:p w14:paraId="43CD882D" w14:textId="77777777" w:rsidR="00B967F6" w:rsidRPr="00CC458C" w:rsidRDefault="00B967F6" w:rsidP="00A562EF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3EEE0E6C" w14:textId="77777777" w:rsidR="00B967F6" w:rsidRPr="00CC458C" w:rsidRDefault="00122317" w:rsidP="0040611E">
      <w:pPr>
        <w:pStyle w:val="Nadpis8"/>
        <w:rPr>
          <w:b w:val="0"/>
          <w:bCs/>
          <w:i w:val="0"/>
          <w:szCs w:val="22"/>
          <w:lang w:val="sk-SK"/>
        </w:rPr>
      </w:pPr>
      <w:r w:rsidRPr="00CC458C">
        <w:rPr>
          <w:b w:val="0"/>
          <w:i w:val="0"/>
          <w:szCs w:val="22"/>
          <w:u w:val="single"/>
          <w:lang w:val="sk-SK"/>
        </w:rPr>
        <w:t>Osobit</w:t>
      </w:r>
      <w:r w:rsidR="003B634F" w:rsidRPr="00CC458C">
        <w:rPr>
          <w:b w:val="0"/>
          <w:i w:val="0"/>
          <w:szCs w:val="22"/>
          <w:u w:val="single"/>
          <w:lang w:val="sk-SK"/>
        </w:rPr>
        <w:t>n</w:t>
      </w:r>
      <w:r w:rsidRPr="00CC458C">
        <w:rPr>
          <w:b w:val="0"/>
          <w:i w:val="0"/>
          <w:szCs w:val="22"/>
          <w:u w:val="single"/>
          <w:lang w:val="sk-SK"/>
        </w:rPr>
        <w:t>é skupiny pacientov</w:t>
      </w:r>
    </w:p>
    <w:p w14:paraId="4DAC2A89" w14:textId="77777777" w:rsidR="00B967F6" w:rsidRPr="00CC458C" w:rsidRDefault="00B967F6" w:rsidP="000E4141">
      <w:pPr>
        <w:rPr>
          <w:rFonts w:ascii="Times New Roman" w:hAnsi="Times New Roman" w:cs="Times New Roman"/>
          <w:i/>
          <w:iCs/>
          <w:sz w:val="22"/>
          <w:szCs w:val="22"/>
          <w:lang w:val="sk-SK"/>
        </w:rPr>
      </w:pPr>
    </w:p>
    <w:p w14:paraId="60E8B9C9" w14:textId="77777777" w:rsidR="00B967F6" w:rsidRPr="00CC458C" w:rsidRDefault="00B967F6" w:rsidP="009E09D0">
      <w:pPr>
        <w:keepNext/>
        <w:rPr>
          <w:rFonts w:ascii="Times New Roman" w:hAnsi="Times New Roman" w:cs="Times New Roman"/>
          <w:i/>
          <w:iCs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i/>
          <w:iCs/>
          <w:sz w:val="22"/>
          <w:szCs w:val="22"/>
          <w:lang w:val="sk-SK"/>
        </w:rPr>
        <w:t>Starší pacienti a pacienti so zvýšeným rizikom nežiaducej reakcie (pozri časť 5.2):</w:t>
      </w:r>
    </w:p>
    <w:p w14:paraId="5B2C4310" w14:textId="77777777" w:rsidR="00B967F6" w:rsidRPr="00CC458C" w:rsidRDefault="00B967F6" w:rsidP="00703BAD">
      <w:pPr>
        <w:pStyle w:val="Zkladntext"/>
        <w:tabs>
          <w:tab w:val="clear" w:pos="540"/>
        </w:tabs>
        <w:rPr>
          <w:rFonts w:ascii="Times New Roman" w:hAnsi="Times New Roman" w:cs="Times New Roman"/>
          <w:szCs w:val="22"/>
        </w:rPr>
      </w:pPr>
      <w:r w:rsidRPr="00CC458C">
        <w:rPr>
          <w:rFonts w:ascii="Times New Roman" w:hAnsi="Times New Roman" w:cs="Times New Roman"/>
          <w:szCs w:val="22"/>
        </w:rPr>
        <w:t>Odporúčan</w:t>
      </w:r>
      <w:r w:rsidR="0056174B" w:rsidRPr="00CC458C">
        <w:rPr>
          <w:rFonts w:ascii="Times New Roman" w:hAnsi="Times New Roman" w:cs="Times New Roman"/>
          <w:szCs w:val="22"/>
        </w:rPr>
        <w:t xml:space="preserve">á dávka </w:t>
      </w:r>
      <w:r w:rsidRPr="00CC458C">
        <w:rPr>
          <w:rFonts w:ascii="Times New Roman" w:hAnsi="Times New Roman" w:cs="Times New Roman"/>
          <w:szCs w:val="22"/>
        </w:rPr>
        <w:t>pri dlhodobej liečbe reumatoidnej artritídy a ankylóznej spondylitídy u starších pacientov je 7,5 mg meloxikamu denne. U pacientov s vyšším rizikom nežiaducich účinkov sa má liečba začať dávkou 7,5 mg meloxikamu denne (pozri časť 4.4).</w:t>
      </w:r>
    </w:p>
    <w:p w14:paraId="4C159DFE" w14:textId="77777777" w:rsidR="00B967F6" w:rsidRPr="00CC458C" w:rsidRDefault="00B967F6" w:rsidP="00703BAD">
      <w:pPr>
        <w:rPr>
          <w:rFonts w:ascii="Times New Roman" w:hAnsi="Times New Roman" w:cs="Times New Roman"/>
          <w:i/>
          <w:sz w:val="22"/>
          <w:szCs w:val="22"/>
          <w:lang w:val="sk-SK"/>
        </w:rPr>
      </w:pPr>
    </w:p>
    <w:p w14:paraId="745B09AA" w14:textId="77777777" w:rsidR="00B967F6" w:rsidRPr="00CC458C" w:rsidRDefault="00576138" w:rsidP="009E09D0">
      <w:pPr>
        <w:keepNext/>
        <w:rPr>
          <w:rFonts w:ascii="Times New Roman" w:hAnsi="Times New Roman" w:cs="Times New Roman"/>
          <w:i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i/>
          <w:sz w:val="22"/>
          <w:szCs w:val="22"/>
          <w:lang w:val="sk-SK"/>
        </w:rPr>
        <w:t>Porucha</w:t>
      </w:r>
      <w:r w:rsidR="00B967F6" w:rsidRPr="00CC458C">
        <w:rPr>
          <w:rFonts w:ascii="Times New Roman" w:hAnsi="Times New Roman" w:cs="Times New Roman"/>
          <w:i/>
          <w:sz w:val="22"/>
          <w:szCs w:val="22"/>
          <w:lang w:val="sk-SK"/>
        </w:rPr>
        <w:t xml:space="preserve"> funkcie obličiek (pozri časť 5.2):</w:t>
      </w:r>
    </w:p>
    <w:p w14:paraId="638EAA47" w14:textId="77777777" w:rsidR="00B967F6" w:rsidRPr="00CC458C" w:rsidRDefault="00B967F6" w:rsidP="00D564B3">
      <w:pPr>
        <w:pStyle w:val="Zkladntext"/>
        <w:tabs>
          <w:tab w:val="clear" w:pos="540"/>
        </w:tabs>
        <w:rPr>
          <w:rFonts w:ascii="Times New Roman" w:hAnsi="Times New Roman" w:cs="Times New Roman"/>
          <w:szCs w:val="22"/>
        </w:rPr>
      </w:pPr>
      <w:r w:rsidRPr="00CC458C">
        <w:rPr>
          <w:rFonts w:ascii="Times New Roman" w:hAnsi="Times New Roman" w:cs="Times New Roman"/>
          <w:szCs w:val="22"/>
        </w:rPr>
        <w:t>U dialyzovaných pacientov s</w:t>
      </w:r>
      <w:r w:rsidR="00122317" w:rsidRPr="00CC458C">
        <w:rPr>
          <w:rFonts w:ascii="Times New Roman" w:hAnsi="Times New Roman" w:cs="Times New Roman"/>
          <w:szCs w:val="22"/>
        </w:rPr>
        <w:t>o závažným</w:t>
      </w:r>
      <w:r w:rsidRPr="00CC458C">
        <w:rPr>
          <w:rFonts w:ascii="Times New Roman" w:hAnsi="Times New Roman" w:cs="Times New Roman"/>
          <w:szCs w:val="22"/>
        </w:rPr>
        <w:t xml:space="preserve"> renálnym zlyhaním nesmie dávk</w:t>
      </w:r>
      <w:r w:rsidR="00122317" w:rsidRPr="00CC458C">
        <w:rPr>
          <w:rFonts w:ascii="Times New Roman" w:hAnsi="Times New Roman" w:cs="Times New Roman"/>
          <w:szCs w:val="22"/>
        </w:rPr>
        <w:t>a</w:t>
      </w:r>
      <w:r w:rsidRPr="00CC458C">
        <w:rPr>
          <w:rFonts w:ascii="Times New Roman" w:hAnsi="Times New Roman" w:cs="Times New Roman"/>
          <w:szCs w:val="22"/>
        </w:rPr>
        <w:t xml:space="preserve"> prekročiť 7,5 mg meloxikamu denne.</w:t>
      </w:r>
    </w:p>
    <w:p w14:paraId="732758CE" w14:textId="77777777" w:rsidR="00B967F6" w:rsidRPr="00CC458C" w:rsidRDefault="00B967F6" w:rsidP="00A51A6B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4786D012" w14:textId="77777777" w:rsidR="00B967F6" w:rsidRPr="00CC458C" w:rsidRDefault="00B967F6" w:rsidP="00A51A6B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lang w:val="sk-SK"/>
        </w:rPr>
        <w:t>U pacientov s miern</w:t>
      </w:r>
      <w:r w:rsidR="00122317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ou 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až stredne </w:t>
      </w:r>
      <w:r w:rsidR="00122317" w:rsidRPr="00CC458C">
        <w:rPr>
          <w:rFonts w:ascii="Times New Roman" w:hAnsi="Times New Roman" w:cs="Times New Roman"/>
          <w:sz w:val="22"/>
          <w:szCs w:val="22"/>
          <w:lang w:val="sk-SK"/>
        </w:rPr>
        <w:t>závažnou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po</w:t>
      </w:r>
      <w:r w:rsidR="00122317" w:rsidRPr="00CC458C">
        <w:rPr>
          <w:rFonts w:ascii="Times New Roman" w:hAnsi="Times New Roman" w:cs="Times New Roman"/>
          <w:sz w:val="22"/>
          <w:szCs w:val="22"/>
          <w:lang w:val="sk-SK"/>
        </w:rPr>
        <w:t>ruchou funkcie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obličiek (napr. pacienti s klírensom kreatinínu &gt; 25 ml/min) nie je potrebná žiadna úprava dávkovania. (Informácie </w:t>
      </w:r>
      <w:r w:rsidR="0056174B" w:rsidRPr="00CC458C">
        <w:rPr>
          <w:rFonts w:ascii="Times New Roman" w:hAnsi="Times New Roman" w:cs="Times New Roman"/>
          <w:sz w:val="22"/>
          <w:szCs w:val="22"/>
          <w:lang w:val="sk-SK"/>
        </w:rPr>
        <w:t>v súvislosti s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 nedialyzovaný</w:t>
      </w:r>
      <w:r w:rsidR="0056174B" w:rsidRPr="00CC458C">
        <w:rPr>
          <w:rFonts w:ascii="Times New Roman" w:hAnsi="Times New Roman" w:cs="Times New Roman"/>
          <w:sz w:val="22"/>
          <w:szCs w:val="22"/>
          <w:lang w:val="sk-SK"/>
        </w:rPr>
        <w:t>mi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pacient</w:t>
      </w:r>
      <w:r w:rsidR="0056174B" w:rsidRPr="00CC458C">
        <w:rPr>
          <w:rFonts w:ascii="Times New Roman" w:hAnsi="Times New Roman" w:cs="Times New Roman"/>
          <w:sz w:val="22"/>
          <w:szCs w:val="22"/>
          <w:lang w:val="sk-SK"/>
        </w:rPr>
        <w:t>mi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s</w:t>
      </w:r>
      <w:r w:rsidR="00122317" w:rsidRPr="00CC458C">
        <w:rPr>
          <w:rFonts w:ascii="Times New Roman" w:hAnsi="Times New Roman" w:cs="Times New Roman"/>
          <w:sz w:val="22"/>
          <w:szCs w:val="22"/>
          <w:lang w:val="sk-SK"/>
        </w:rPr>
        <w:t>o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="00122317" w:rsidRPr="00CC458C">
        <w:rPr>
          <w:rFonts w:ascii="Times New Roman" w:hAnsi="Times New Roman" w:cs="Times New Roman"/>
          <w:sz w:val="22"/>
          <w:szCs w:val="22"/>
          <w:lang w:val="sk-SK"/>
        </w:rPr>
        <w:t>závažným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renálnym zlyhaním, pozri časť 4.3).</w:t>
      </w:r>
    </w:p>
    <w:p w14:paraId="19E9187C" w14:textId="77777777" w:rsidR="00B967F6" w:rsidRPr="00CC458C" w:rsidRDefault="00B967F6" w:rsidP="00A51A6B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1E5D0DA3" w14:textId="1A82095B" w:rsidR="00B967F6" w:rsidRPr="00CC458C" w:rsidRDefault="00576138" w:rsidP="00A51A6B">
      <w:pPr>
        <w:pStyle w:val="Nadpis9"/>
        <w:rPr>
          <w:szCs w:val="22"/>
          <w:lang w:val="sk-SK"/>
        </w:rPr>
      </w:pPr>
      <w:r w:rsidRPr="00CC458C">
        <w:rPr>
          <w:szCs w:val="22"/>
          <w:lang w:val="sk-SK"/>
        </w:rPr>
        <w:t xml:space="preserve">Porucha </w:t>
      </w:r>
      <w:r w:rsidR="00B967F6" w:rsidRPr="00CC458C">
        <w:rPr>
          <w:szCs w:val="22"/>
          <w:lang w:val="sk-SK"/>
        </w:rPr>
        <w:t>funkcie pečene (pozri časť 5.2):</w:t>
      </w:r>
    </w:p>
    <w:p w14:paraId="72E0EFB7" w14:textId="77777777" w:rsidR="00B967F6" w:rsidRPr="00CC458C" w:rsidRDefault="00B967F6" w:rsidP="00A51A6B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U pacientov s miernou až stredne </w:t>
      </w:r>
      <w:r w:rsidR="00122317" w:rsidRPr="00CC458C">
        <w:rPr>
          <w:rFonts w:ascii="Times New Roman" w:hAnsi="Times New Roman" w:cs="Times New Roman"/>
          <w:sz w:val="22"/>
          <w:szCs w:val="22"/>
          <w:lang w:val="sk-SK"/>
        </w:rPr>
        <w:t>závažnou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poruchou funkcie pečene nie je potrebná žiadna úprava dávkovania. (Informácie </w:t>
      </w:r>
      <w:r w:rsidR="0056174B" w:rsidRPr="00CC458C">
        <w:rPr>
          <w:rFonts w:ascii="Times New Roman" w:hAnsi="Times New Roman" w:cs="Times New Roman"/>
          <w:sz w:val="22"/>
          <w:szCs w:val="22"/>
          <w:lang w:val="sk-SK"/>
        </w:rPr>
        <w:t>v súvislosti s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 pacient</w:t>
      </w:r>
      <w:r w:rsidR="0056174B" w:rsidRPr="00CC458C">
        <w:rPr>
          <w:rFonts w:ascii="Times New Roman" w:hAnsi="Times New Roman" w:cs="Times New Roman"/>
          <w:sz w:val="22"/>
          <w:szCs w:val="22"/>
          <w:lang w:val="sk-SK"/>
        </w:rPr>
        <w:t>mi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s</w:t>
      </w:r>
      <w:r w:rsidR="003F7F5E" w:rsidRPr="00CC458C">
        <w:rPr>
          <w:rFonts w:ascii="Times New Roman" w:hAnsi="Times New Roman" w:cs="Times New Roman"/>
          <w:sz w:val="22"/>
          <w:szCs w:val="22"/>
          <w:lang w:val="sk-SK"/>
        </w:rPr>
        <w:t>o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="003F7F5E" w:rsidRPr="00CC458C">
        <w:rPr>
          <w:rFonts w:ascii="Times New Roman" w:hAnsi="Times New Roman" w:cs="Times New Roman"/>
          <w:sz w:val="22"/>
          <w:szCs w:val="22"/>
          <w:lang w:val="sk-SK"/>
        </w:rPr>
        <w:t>závažnou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poruchou funkcie pečene, pozri časť 4.3).</w:t>
      </w:r>
    </w:p>
    <w:p w14:paraId="3A5946F4" w14:textId="77777777" w:rsidR="00B967F6" w:rsidRPr="00CC458C" w:rsidRDefault="00B967F6" w:rsidP="00A51A6B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0E03C1B4" w14:textId="77777777" w:rsidR="00B967F6" w:rsidRPr="00CC458C" w:rsidRDefault="00FC0C6F" w:rsidP="00A51A6B">
      <w:pPr>
        <w:pStyle w:val="Nadpis9"/>
        <w:rPr>
          <w:szCs w:val="22"/>
          <w:lang w:val="sk-SK"/>
        </w:rPr>
      </w:pPr>
      <w:r w:rsidRPr="00CC458C">
        <w:rPr>
          <w:szCs w:val="22"/>
          <w:lang w:val="sk-SK"/>
        </w:rPr>
        <w:t>Pediatrická populácia</w:t>
      </w:r>
    </w:p>
    <w:p w14:paraId="412ADFAC" w14:textId="77777777" w:rsidR="00B967F6" w:rsidRPr="00CC458C" w:rsidRDefault="00B967F6" w:rsidP="00F34BC3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lang w:val="sk-SK"/>
        </w:rPr>
        <w:t>Meloxi</w:t>
      </w:r>
      <w:r w:rsidR="0056174B" w:rsidRPr="00CC458C">
        <w:rPr>
          <w:rFonts w:ascii="Times New Roman" w:hAnsi="Times New Roman" w:cs="Times New Roman"/>
          <w:sz w:val="22"/>
          <w:szCs w:val="22"/>
          <w:lang w:val="sk-SK"/>
        </w:rPr>
        <w:t>c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am </w:t>
      </w:r>
      <w:r w:rsidR="0056174B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Mylan </w:t>
      </w:r>
      <w:r w:rsidR="00034A82" w:rsidRPr="00CC458C">
        <w:rPr>
          <w:rFonts w:ascii="Times New Roman" w:hAnsi="Times New Roman" w:cs="Times New Roman"/>
          <w:sz w:val="22"/>
          <w:szCs w:val="22"/>
          <w:lang w:val="sk-SK"/>
        </w:rPr>
        <w:t>je kontraindikovaný</w:t>
      </w:r>
      <w:r w:rsidR="0056174B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u detí </w:t>
      </w:r>
      <w:r w:rsidR="00034A82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a dospievajúcich </w:t>
      </w:r>
      <w:r w:rsidR="0056174B" w:rsidRPr="00CC458C">
        <w:rPr>
          <w:rFonts w:ascii="Times New Roman" w:hAnsi="Times New Roman" w:cs="Times New Roman"/>
          <w:sz w:val="22"/>
          <w:szCs w:val="22"/>
          <w:lang w:val="sk-SK"/>
        </w:rPr>
        <w:t>vo veku menej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ako </w:t>
      </w:r>
      <w:r w:rsidR="00034A82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16 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rokov</w:t>
      </w:r>
      <w:r w:rsidR="00034A82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(pozri časť 4.</w:t>
      </w:r>
      <w:r w:rsidR="003F7F5E" w:rsidRPr="00CC458C">
        <w:rPr>
          <w:rFonts w:ascii="Times New Roman" w:hAnsi="Times New Roman" w:cs="Times New Roman"/>
          <w:sz w:val="22"/>
          <w:szCs w:val="22"/>
          <w:lang w:val="sk-SK"/>
        </w:rPr>
        <w:t>3</w:t>
      </w:r>
      <w:r w:rsidR="00034A82" w:rsidRPr="00CC458C">
        <w:rPr>
          <w:rFonts w:ascii="Times New Roman" w:hAnsi="Times New Roman" w:cs="Times New Roman"/>
          <w:sz w:val="22"/>
          <w:szCs w:val="22"/>
          <w:lang w:val="sk-SK"/>
        </w:rPr>
        <w:t>)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24D395B0" w14:textId="77777777" w:rsidR="00B967F6" w:rsidRPr="00CC458C" w:rsidRDefault="00B967F6" w:rsidP="00D91346">
      <w:pPr>
        <w:rPr>
          <w:rFonts w:ascii="Times New Roman" w:hAnsi="Times New Roman" w:cs="Times New Roman"/>
          <w:i/>
          <w:sz w:val="22"/>
          <w:szCs w:val="22"/>
          <w:lang w:val="sk-SK"/>
        </w:rPr>
      </w:pPr>
    </w:p>
    <w:p w14:paraId="6422505C" w14:textId="77777777" w:rsidR="00B967F6" w:rsidRPr="00CC458C" w:rsidRDefault="00B967F6" w:rsidP="00D91346">
      <w:pPr>
        <w:pStyle w:val="Zkladntext"/>
        <w:tabs>
          <w:tab w:val="clear" w:pos="540"/>
        </w:tabs>
        <w:rPr>
          <w:rFonts w:ascii="Times New Roman" w:hAnsi="Times New Roman" w:cs="Times New Roman"/>
          <w:iCs/>
          <w:szCs w:val="22"/>
        </w:rPr>
      </w:pPr>
      <w:r w:rsidRPr="00CC458C">
        <w:rPr>
          <w:rFonts w:ascii="Times New Roman" w:hAnsi="Times New Roman" w:cs="Times New Roman"/>
          <w:iCs/>
          <w:szCs w:val="22"/>
        </w:rPr>
        <w:t>Tento liek je dostupný aj v iných silách, ktoré môžu byť vhodnejšie.</w:t>
      </w:r>
    </w:p>
    <w:p w14:paraId="1371C7F2" w14:textId="77777777" w:rsidR="00B967F6" w:rsidRPr="00CC458C" w:rsidRDefault="00B967F6" w:rsidP="00D91346">
      <w:pPr>
        <w:rPr>
          <w:rFonts w:ascii="Times New Roman" w:hAnsi="Times New Roman" w:cs="Times New Roman"/>
          <w:i/>
          <w:sz w:val="22"/>
          <w:szCs w:val="22"/>
          <w:u w:val="single"/>
          <w:lang w:val="sk-SK"/>
        </w:rPr>
      </w:pPr>
    </w:p>
    <w:p w14:paraId="7D59ED4D" w14:textId="09ADA56E" w:rsidR="00FC0C6F" w:rsidRPr="00CC458C" w:rsidRDefault="00576138" w:rsidP="009E09D0">
      <w:pPr>
        <w:keepNext/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u w:val="single"/>
          <w:lang w:val="sk-SK"/>
        </w:rPr>
        <w:t>Spôsob podávania</w:t>
      </w:r>
    </w:p>
    <w:p w14:paraId="7BA102DB" w14:textId="77777777" w:rsidR="00243021" w:rsidRPr="00CC458C" w:rsidRDefault="00243021" w:rsidP="00A562EF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7DF18BDE" w14:textId="39EAB14F" w:rsidR="00576138" w:rsidRPr="00CC458C" w:rsidRDefault="00576138" w:rsidP="00A562EF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lang w:val="sk-SK"/>
        </w:rPr>
        <w:t>Perorálne použitie.</w:t>
      </w:r>
    </w:p>
    <w:p w14:paraId="1AF0C3D8" w14:textId="77777777" w:rsidR="00D80577" w:rsidRPr="00CC458C" w:rsidRDefault="00D80577" w:rsidP="00A562EF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368FCF3E" w14:textId="77777777" w:rsidR="00FC0C6F" w:rsidRPr="00CC458C" w:rsidRDefault="00FC0C6F" w:rsidP="00A562EF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lang w:val="sk-SK"/>
        </w:rPr>
        <w:t>Celá denná dávka sa má užiť naraz</w:t>
      </w:r>
      <w:r w:rsidR="00576138" w:rsidRPr="00CC458C">
        <w:rPr>
          <w:rFonts w:ascii="Times New Roman" w:hAnsi="Times New Roman" w:cs="Times New Roman"/>
          <w:sz w:val="22"/>
          <w:szCs w:val="22"/>
          <w:lang w:val="sk-SK"/>
        </w:rPr>
        <w:t>,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zapiť vodou alebo inou tekutinou, počas jedla. </w:t>
      </w:r>
    </w:p>
    <w:p w14:paraId="460E4049" w14:textId="77777777" w:rsidR="00B967F6" w:rsidRPr="00CC458C" w:rsidRDefault="00B967F6" w:rsidP="000E4141">
      <w:pPr>
        <w:rPr>
          <w:rFonts w:ascii="Times New Roman" w:hAnsi="Times New Roman" w:cs="Times New Roman"/>
          <w:i/>
          <w:sz w:val="22"/>
          <w:szCs w:val="22"/>
          <w:lang w:val="sk-SK"/>
        </w:rPr>
      </w:pPr>
    </w:p>
    <w:p w14:paraId="2BC5044A" w14:textId="77777777" w:rsidR="00B967F6" w:rsidRPr="00CC458C" w:rsidRDefault="00B967F6" w:rsidP="00CC458C">
      <w:pPr>
        <w:keepNext/>
        <w:tabs>
          <w:tab w:val="left" w:pos="567"/>
        </w:tabs>
        <w:outlineLvl w:val="3"/>
        <w:rPr>
          <w:rFonts w:ascii="Times New Roman" w:hAnsi="Times New Roman" w:cs="Times New Roman"/>
          <w:b/>
          <w:bCs w:val="0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b/>
          <w:bCs w:val="0"/>
          <w:sz w:val="22"/>
          <w:szCs w:val="22"/>
          <w:lang w:val="sk-SK"/>
        </w:rPr>
        <w:t>4.3</w:t>
      </w:r>
      <w:r w:rsidRPr="00CC458C">
        <w:rPr>
          <w:rFonts w:ascii="Times New Roman" w:hAnsi="Times New Roman" w:cs="Times New Roman"/>
          <w:b/>
          <w:bCs w:val="0"/>
          <w:sz w:val="22"/>
          <w:szCs w:val="22"/>
          <w:lang w:val="sk-SK"/>
        </w:rPr>
        <w:tab/>
        <w:t>Kontraindikácie</w:t>
      </w:r>
    </w:p>
    <w:p w14:paraId="40426792" w14:textId="77777777" w:rsidR="00B967F6" w:rsidRPr="00CC458C" w:rsidRDefault="00B967F6" w:rsidP="009E09D0">
      <w:pPr>
        <w:keepNext/>
        <w:rPr>
          <w:rFonts w:ascii="Times New Roman" w:hAnsi="Times New Roman" w:cs="Times New Roman"/>
          <w:sz w:val="22"/>
          <w:szCs w:val="22"/>
          <w:lang w:val="sk-SK"/>
        </w:rPr>
      </w:pPr>
    </w:p>
    <w:p w14:paraId="4E8C19F7" w14:textId="77777777" w:rsidR="00B967F6" w:rsidRPr="00CC458C" w:rsidRDefault="00501D3F" w:rsidP="00703BAD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lang w:val="sk-SK"/>
        </w:rPr>
        <w:t>Meloxicam Mylan</w:t>
      </w:r>
      <w:r w:rsidR="00B967F6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je kontraindikovaný v 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nasledovných </w:t>
      </w:r>
      <w:r w:rsidR="00B967F6" w:rsidRPr="00CC458C">
        <w:rPr>
          <w:rFonts w:ascii="Times New Roman" w:hAnsi="Times New Roman" w:cs="Times New Roman"/>
          <w:sz w:val="22"/>
          <w:szCs w:val="22"/>
          <w:lang w:val="sk-SK"/>
        </w:rPr>
        <w:t>situáciách:</w:t>
      </w:r>
    </w:p>
    <w:p w14:paraId="6FCCEEF8" w14:textId="77777777" w:rsidR="00B967F6" w:rsidRPr="00CC458C" w:rsidRDefault="00B967F6" w:rsidP="00D564B3">
      <w:pPr>
        <w:numPr>
          <w:ilvl w:val="0"/>
          <w:numId w:val="8"/>
        </w:numPr>
        <w:tabs>
          <w:tab w:val="clear" w:pos="720"/>
          <w:tab w:val="num" w:pos="567"/>
        </w:tabs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lang w:val="sk-SK"/>
        </w:rPr>
        <w:t>tretí trimester gravidity (pozri časť 4.6)</w:t>
      </w:r>
      <w:r w:rsidR="00FC0C6F" w:rsidRPr="00CC458C">
        <w:rPr>
          <w:rFonts w:ascii="Times New Roman" w:hAnsi="Times New Roman" w:cs="Times New Roman"/>
          <w:sz w:val="22"/>
          <w:szCs w:val="22"/>
          <w:lang w:val="sk-SK"/>
        </w:rPr>
        <w:t>;</w:t>
      </w:r>
    </w:p>
    <w:p w14:paraId="23F8A2EC" w14:textId="77777777" w:rsidR="00A61AA8" w:rsidRPr="00CC458C" w:rsidRDefault="00A61AA8" w:rsidP="00D564B3">
      <w:pPr>
        <w:numPr>
          <w:ilvl w:val="0"/>
          <w:numId w:val="8"/>
        </w:numPr>
        <w:tabs>
          <w:tab w:val="clear" w:pos="720"/>
          <w:tab w:val="num" w:pos="567"/>
        </w:tabs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lang w:val="sk-SK"/>
        </w:rPr>
        <w:t>deti a dospievajúci mladší ako 16 rokov</w:t>
      </w:r>
      <w:r w:rsidR="00FC0C6F" w:rsidRPr="00CC458C">
        <w:rPr>
          <w:rFonts w:ascii="Times New Roman" w:hAnsi="Times New Roman" w:cs="Times New Roman"/>
          <w:sz w:val="22"/>
          <w:szCs w:val="22"/>
          <w:lang w:val="sk-SK"/>
        </w:rPr>
        <w:t>;</w:t>
      </w:r>
    </w:p>
    <w:p w14:paraId="148EF0E8" w14:textId="77777777" w:rsidR="00B967F6" w:rsidRPr="00CC458C" w:rsidRDefault="00B967F6" w:rsidP="00D564B3">
      <w:pPr>
        <w:numPr>
          <w:ilvl w:val="0"/>
          <w:numId w:val="8"/>
        </w:numPr>
        <w:tabs>
          <w:tab w:val="clear" w:pos="720"/>
          <w:tab w:val="num" w:pos="567"/>
        </w:tabs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precitlivenosť na </w:t>
      </w:r>
      <w:r w:rsidR="00FC0C6F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liečivo 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alebo </w:t>
      </w:r>
      <w:r w:rsidR="00501D3F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na ktorúkoľvek 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z pomocných látok</w:t>
      </w:r>
      <w:r w:rsidR="00FC0C6F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uvedených v časti 6.1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alebo precitlivenosť na</w:t>
      </w:r>
      <w:r w:rsidR="00501D3F" w:rsidRPr="00CC458C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látku s podobným účinkom, napr. </w:t>
      </w:r>
      <w:r w:rsidR="00D91346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nesteroidové 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antiflogistiká (NSAID), kyselina acetylsalicylová.</w:t>
      </w:r>
      <w:r w:rsidR="00501D3F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Meloxi</w:t>
      </w:r>
      <w:r w:rsidR="00501D3F" w:rsidRPr="00CC458C">
        <w:rPr>
          <w:rFonts w:ascii="Times New Roman" w:hAnsi="Times New Roman" w:cs="Times New Roman"/>
          <w:sz w:val="22"/>
          <w:szCs w:val="22"/>
          <w:lang w:val="sk-SK"/>
        </w:rPr>
        <w:t>c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am </w:t>
      </w:r>
      <w:r w:rsidR="00501D3F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Mylan 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sa nesmie podávať pacientom s rozvinutými príznakmi astmy, nosovými polypmi, angioneurotickým edémom alebo urtikáriou po podaní kyseliny acetylsalicylovej alebo iných </w:t>
      </w:r>
      <w:r w:rsidR="00D91346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nesteroidových 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antiflogistík</w:t>
      </w:r>
      <w:r w:rsidR="00FC0C6F" w:rsidRPr="00CC458C">
        <w:rPr>
          <w:rFonts w:ascii="Times New Roman" w:hAnsi="Times New Roman" w:cs="Times New Roman"/>
          <w:sz w:val="22"/>
          <w:szCs w:val="22"/>
          <w:lang w:val="sk-SK"/>
        </w:rPr>
        <w:t>;</w:t>
      </w:r>
    </w:p>
    <w:p w14:paraId="4ABCBE76" w14:textId="77777777" w:rsidR="00B967F6" w:rsidRPr="00CC458C" w:rsidRDefault="003F7F5E" w:rsidP="00A51A6B">
      <w:pPr>
        <w:numPr>
          <w:ilvl w:val="0"/>
          <w:numId w:val="8"/>
        </w:numPr>
        <w:tabs>
          <w:tab w:val="clear" w:pos="720"/>
          <w:tab w:val="num" w:pos="567"/>
        </w:tabs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lang w:val="sk-SK"/>
        </w:rPr>
        <w:t>závažná porucha</w:t>
      </w:r>
      <w:r w:rsidR="00B967F6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funkcie pečene</w:t>
      </w:r>
      <w:r w:rsidR="00FC0C6F" w:rsidRPr="00CC458C">
        <w:rPr>
          <w:rFonts w:ascii="Times New Roman" w:hAnsi="Times New Roman" w:cs="Times New Roman"/>
          <w:sz w:val="22"/>
          <w:szCs w:val="22"/>
          <w:lang w:val="sk-SK"/>
        </w:rPr>
        <w:t>;</w:t>
      </w:r>
    </w:p>
    <w:p w14:paraId="45E387F6" w14:textId="77777777" w:rsidR="00B967F6" w:rsidRPr="00CC458C" w:rsidRDefault="00B967F6" w:rsidP="00A51A6B">
      <w:pPr>
        <w:numPr>
          <w:ilvl w:val="0"/>
          <w:numId w:val="8"/>
        </w:numPr>
        <w:tabs>
          <w:tab w:val="clear" w:pos="720"/>
          <w:tab w:val="num" w:pos="567"/>
        </w:tabs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lang w:val="sk-SK"/>
        </w:rPr>
        <w:t>nedialyzovaní pacienti s ťažkým renálnym zlyhaním</w:t>
      </w:r>
      <w:r w:rsidR="00FC0C6F" w:rsidRPr="00CC458C">
        <w:rPr>
          <w:rFonts w:ascii="Times New Roman" w:hAnsi="Times New Roman" w:cs="Times New Roman"/>
          <w:sz w:val="22"/>
          <w:szCs w:val="22"/>
          <w:lang w:val="sk-SK"/>
        </w:rPr>
        <w:t>;</w:t>
      </w:r>
    </w:p>
    <w:p w14:paraId="44E3D311" w14:textId="77777777" w:rsidR="00B967F6" w:rsidRPr="00CC458C" w:rsidRDefault="00B967F6" w:rsidP="00A51A6B">
      <w:pPr>
        <w:numPr>
          <w:ilvl w:val="0"/>
          <w:numId w:val="8"/>
        </w:numPr>
        <w:tabs>
          <w:tab w:val="clear" w:pos="720"/>
          <w:tab w:val="num" w:pos="567"/>
        </w:tabs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lang w:val="sk-SK"/>
        </w:rPr>
        <w:t>gastrointestinálne krvácanie, cerebrovaskulárne krvácanie alebo iné poruchy krvácavosti</w:t>
      </w:r>
      <w:r w:rsidR="00D57D05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v</w:t>
      </w:r>
      <w:r w:rsidR="00FC0C6F" w:rsidRPr="00CC458C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="00D57D05" w:rsidRPr="00CC458C">
        <w:rPr>
          <w:rFonts w:ascii="Times New Roman" w:hAnsi="Times New Roman" w:cs="Times New Roman"/>
          <w:sz w:val="22"/>
          <w:szCs w:val="22"/>
          <w:lang w:val="sk-SK"/>
        </w:rPr>
        <w:t>anamnéze</w:t>
      </w:r>
      <w:r w:rsidR="00FC0C6F" w:rsidRPr="00CC458C">
        <w:rPr>
          <w:rFonts w:ascii="Times New Roman" w:hAnsi="Times New Roman" w:cs="Times New Roman"/>
          <w:sz w:val="22"/>
          <w:szCs w:val="22"/>
          <w:lang w:val="sk-SK"/>
        </w:rPr>
        <w:t>;</w:t>
      </w:r>
    </w:p>
    <w:p w14:paraId="7324FFD3" w14:textId="77777777" w:rsidR="00B967F6" w:rsidRPr="00CC458C" w:rsidRDefault="00B967F6" w:rsidP="00A51A6B">
      <w:pPr>
        <w:numPr>
          <w:ilvl w:val="0"/>
          <w:numId w:val="8"/>
        </w:numPr>
        <w:tabs>
          <w:tab w:val="clear" w:pos="720"/>
          <w:tab w:val="num" w:pos="567"/>
        </w:tabs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gastrointestinálne krvácanie alebo perforácia v anamnéze v súvislosti s predošlou liečbou </w:t>
      </w:r>
      <w:r w:rsidR="00D91346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nesteroidovými 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antiflogistikami</w:t>
      </w:r>
      <w:r w:rsidR="00FC0C6F" w:rsidRPr="00CC458C">
        <w:rPr>
          <w:rFonts w:ascii="Times New Roman" w:hAnsi="Times New Roman" w:cs="Times New Roman"/>
          <w:sz w:val="22"/>
          <w:szCs w:val="22"/>
          <w:lang w:val="sk-SK"/>
        </w:rPr>
        <w:t>;</w:t>
      </w:r>
    </w:p>
    <w:p w14:paraId="6D773AE2" w14:textId="77777777" w:rsidR="00B967F6" w:rsidRPr="00CC458C" w:rsidRDefault="00B967F6" w:rsidP="00A51A6B">
      <w:pPr>
        <w:numPr>
          <w:ilvl w:val="0"/>
          <w:numId w:val="8"/>
        </w:numPr>
        <w:tabs>
          <w:tab w:val="clear" w:pos="720"/>
          <w:tab w:val="num" w:pos="567"/>
        </w:tabs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lang w:val="sk-SK"/>
        </w:rPr>
        <w:t>aktívny rekurentný peptický vred/krvácanie alebo rekurentný peptický vred/krvácanie v anamnéze (dve alebo viac samostatných epizód preukázanej ulcerácie alebo krvácania)</w:t>
      </w:r>
      <w:r w:rsidR="00FC0C6F" w:rsidRPr="00CC458C">
        <w:rPr>
          <w:rFonts w:ascii="Times New Roman" w:hAnsi="Times New Roman" w:cs="Times New Roman"/>
          <w:sz w:val="22"/>
          <w:szCs w:val="22"/>
          <w:lang w:val="sk-SK"/>
        </w:rPr>
        <w:t>;</w:t>
      </w:r>
    </w:p>
    <w:p w14:paraId="121AEC69" w14:textId="77777777" w:rsidR="00B967F6" w:rsidRPr="00CC458C" w:rsidRDefault="00B967F6" w:rsidP="00A51A6B">
      <w:pPr>
        <w:numPr>
          <w:ilvl w:val="0"/>
          <w:numId w:val="8"/>
        </w:numPr>
        <w:tabs>
          <w:tab w:val="clear" w:pos="720"/>
          <w:tab w:val="num" w:pos="567"/>
        </w:tabs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lang w:val="sk-SK"/>
        </w:rPr>
        <w:t>závažné srdcové zlyhanie.</w:t>
      </w:r>
    </w:p>
    <w:p w14:paraId="2DEC38CF" w14:textId="77777777" w:rsidR="00B967F6" w:rsidRPr="00CC458C" w:rsidRDefault="00B967F6" w:rsidP="00F34BC3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5A4C2DAC" w14:textId="77777777" w:rsidR="00B967F6" w:rsidRPr="00CC458C" w:rsidRDefault="00B967F6" w:rsidP="00CC458C">
      <w:pPr>
        <w:keepNext/>
        <w:tabs>
          <w:tab w:val="left" w:pos="567"/>
        </w:tabs>
        <w:outlineLvl w:val="3"/>
        <w:rPr>
          <w:rFonts w:ascii="Times New Roman" w:hAnsi="Times New Roman" w:cs="Times New Roman"/>
          <w:b/>
          <w:bCs w:val="0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b/>
          <w:bCs w:val="0"/>
          <w:sz w:val="22"/>
          <w:szCs w:val="22"/>
          <w:lang w:val="sk-SK"/>
        </w:rPr>
        <w:lastRenderedPageBreak/>
        <w:t>4.4</w:t>
      </w:r>
      <w:r w:rsidRPr="00CC458C">
        <w:rPr>
          <w:rFonts w:ascii="Times New Roman" w:hAnsi="Times New Roman" w:cs="Times New Roman"/>
          <w:b/>
          <w:bCs w:val="0"/>
          <w:sz w:val="22"/>
          <w:szCs w:val="22"/>
          <w:lang w:val="sk-SK"/>
        </w:rPr>
        <w:tab/>
        <w:t>Osobitné upozornenia a opatrenia pri používaní</w:t>
      </w:r>
    </w:p>
    <w:p w14:paraId="3780FC79" w14:textId="77777777" w:rsidR="00B967F6" w:rsidRPr="00CC458C" w:rsidRDefault="00B967F6" w:rsidP="009E09D0">
      <w:pPr>
        <w:keepNext/>
        <w:rPr>
          <w:rFonts w:ascii="Times New Roman" w:hAnsi="Times New Roman" w:cs="Times New Roman"/>
          <w:sz w:val="22"/>
          <w:szCs w:val="22"/>
          <w:lang w:val="sk-SK"/>
        </w:rPr>
      </w:pPr>
    </w:p>
    <w:p w14:paraId="6A627164" w14:textId="77777777" w:rsidR="00456DE3" w:rsidRPr="00CC458C" w:rsidRDefault="00456DE3" w:rsidP="00A562EF">
      <w:pPr>
        <w:pStyle w:val="Zkladntext"/>
        <w:tabs>
          <w:tab w:val="clear" w:pos="540"/>
        </w:tabs>
        <w:rPr>
          <w:rFonts w:ascii="Times New Roman" w:hAnsi="Times New Roman" w:cs="Times New Roman"/>
          <w:szCs w:val="22"/>
        </w:rPr>
      </w:pPr>
      <w:r w:rsidRPr="00CC458C">
        <w:rPr>
          <w:rFonts w:ascii="Times New Roman" w:hAnsi="Times New Roman" w:cs="Times New Roman"/>
          <w:szCs w:val="22"/>
        </w:rPr>
        <w:t>Nežiaduce účinky je možné minimalizovať užívaním najnižšej účinnej dávky počas najkratšej doby potrebnej na kontrolu symptómov (pozri časť 4.2 a nižšie uvedené upozornenie o gastrointestinálnom a kardiovaskulárnom riziku).</w:t>
      </w:r>
    </w:p>
    <w:p w14:paraId="5DA4F573" w14:textId="77777777" w:rsidR="00B967F6" w:rsidRPr="00CC458C" w:rsidRDefault="00B967F6" w:rsidP="00A562EF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1C691ABD" w14:textId="77777777" w:rsidR="007A56AA" w:rsidRPr="00CC458C" w:rsidRDefault="007A56AA" w:rsidP="00A562EF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V prípade nedostatočného terapeutického účinku sa nemá prekročiť odporúčaná maximálna denná dávka, ani sa k liečbe nemajú pridať dodatočné </w:t>
      </w:r>
      <w:r w:rsidR="00D91346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nesteroidové 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antiflogistiká, keďže to môže zvýšiť toxicitu, zatiaľ čo terapeutický prínos nebol preukázaný. </w:t>
      </w:r>
      <w:r w:rsidR="009A47D1" w:rsidRPr="00CC458C">
        <w:rPr>
          <w:rFonts w:ascii="Times New Roman" w:hAnsi="Times New Roman" w:cs="Times New Roman"/>
          <w:sz w:val="22"/>
          <w:szCs w:val="22"/>
          <w:lang w:val="sk-SK"/>
        </w:rPr>
        <w:t>Má sa vyhnúť súbežnému užívaniu Meloxicamu Mylan s NSAID, vrátane selektívnych inhibítorov cyklooxygenázy-2.</w:t>
      </w:r>
    </w:p>
    <w:p w14:paraId="073395F6" w14:textId="77777777" w:rsidR="007A56AA" w:rsidRPr="00CC458C" w:rsidRDefault="007A56AA" w:rsidP="00A562EF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610CB4EA" w14:textId="77777777" w:rsidR="002D2DE3" w:rsidRPr="00CC458C" w:rsidRDefault="002D2DE3" w:rsidP="00A562EF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lang w:val="sk-SK"/>
        </w:rPr>
        <w:t>Meloxikam nie je vhodný na liečbu pacientov vyžadujúcich úľavu od akútnej bolesti.</w:t>
      </w:r>
    </w:p>
    <w:p w14:paraId="3F8557D7" w14:textId="77777777" w:rsidR="002D2DE3" w:rsidRPr="00CC458C" w:rsidRDefault="002D2DE3" w:rsidP="00A562EF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79879CFB" w14:textId="50AD8A8E" w:rsidR="002D2DE3" w:rsidRPr="00CC458C" w:rsidRDefault="002D2DE3" w:rsidP="00A562EF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lang w:val="sk-SK"/>
        </w:rPr>
        <w:t>Ak nedochádza k zlepšeniu po niekoľkých dňoch, klinický prínos liečby treba prehodnotiť.</w:t>
      </w:r>
    </w:p>
    <w:p w14:paraId="2CA93737" w14:textId="4ABD0C52" w:rsidR="00243021" w:rsidRPr="00CC458C" w:rsidRDefault="00243021" w:rsidP="00A562EF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518E7536" w14:textId="5DAC51EE" w:rsidR="00243021" w:rsidRPr="00CC458C" w:rsidRDefault="00243021" w:rsidP="00D80577">
      <w:pPr>
        <w:pStyle w:val="Zarkazkladnhotextu2"/>
        <w:ind w:left="0" w:firstLine="0"/>
        <w:rPr>
          <w:bCs w:val="0"/>
          <w:szCs w:val="22"/>
        </w:rPr>
      </w:pPr>
      <w:r w:rsidRPr="00CC458C">
        <w:rPr>
          <w:szCs w:val="22"/>
        </w:rPr>
        <w:t>V anamnéze sa musí zistiť každá ezofagitída, gastritída a/alebo peptický vred, aby sa potvrdilo ich úplné vyliečenie pred začatím liečby meloxikamom. Zvyčajne sa má venovať pozornosť možnému vypuknutiu recidív u pacientov liečených meloxikamom a s anamnézou takéhoto typu.</w:t>
      </w:r>
    </w:p>
    <w:p w14:paraId="20611691" w14:textId="77777777" w:rsidR="006468BA" w:rsidRPr="00CC458C" w:rsidRDefault="006468BA" w:rsidP="00A562EF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47AB6E2D" w14:textId="77777777" w:rsidR="000F65D3" w:rsidRPr="00CC458C" w:rsidRDefault="00E20662" w:rsidP="009E09D0">
      <w:pPr>
        <w:keepNext/>
        <w:rPr>
          <w:rFonts w:ascii="Times New Roman" w:hAnsi="Times New Roman" w:cs="Times New Roman"/>
          <w:i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lang w:val="sk-SK"/>
        </w:rPr>
        <w:t>G</w:t>
      </w:r>
      <w:r w:rsidRPr="00CC458C">
        <w:rPr>
          <w:rFonts w:ascii="Times New Roman" w:hAnsi="Times New Roman" w:cs="Times New Roman"/>
          <w:i/>
          <w:sz w:val="22"/>
          <w:szCs w:val="22"/>
          <w:lang w:val="sk-SK"/>
        </w:rPr>
        <w:t>astrointestinálne účinky</w:t>
      </w:r>
    </w:p>
    <w:p w14:paraId="5F352A9D" w14:textId="77777777" w:rsidR="00243021" w:rsidRPr="00CC458C" w:rsidRDefault="00243021" w:rsidP="00243021">
      <w:pPr>
        <w:tabs>
          <w:tab w:val="left" w:pos="0"/>
        </w:tabs>
        <w:rPr>
          <w:rFonts w:ascii="Times New Roman" w:hAnsi="Times New Roman" w:cs="Times New Roman"/>
          <w:bCs w:val="0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lang w:val="sk-SK"/>
        </w:rPr>
        <w:t>Gastrointestinálne krvácanie, ulcerácia alebo perforácia, ktoré môžu byť smrteľné, sa hlásili v ktoromkoľvek čase počas liečby všetkými NSAID, s varovnými príznakmi alebo bez nich alebo s predošlými závažnými gastrointestinálnymi príhodami v anamnéze.</w:t>
      </w:r>
    </w:p>
    <w:p w14:paraId="4A90C918" w14:textId="77777777" w:rsidR="00243021" w:rsidRPr="00CC458C" w:rsidRDefault="00243021" w:rsidP="00CC458C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7A3645D5" w14:textId="1DA47E5F" w:rsidR="008F3D6C" w:rsidRPr="00CC458C" w:rsidRDefault="00464882" w:rsidP="00A562EF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Riziko gastrointestinálneho krvácania, ulcerácie alebo perforácie je vyššie pri zvyšujúcej sa dávke </w:t>
      </w:r>
      <w:r w:rsidR="00D91346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nesteroidového 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antiflogistika u pacientov s anamnézou vredov, obzvlášť pri komplikáciách v dôsledku krvácania alebo perforácie (pozri časť 4.3) a u starších pacientov. U týchto pacientov sa má liečba začať s najnižšou dostupnou dávkou.</w:t>
      </w:r>
    </w:p>
    <w:p w14:paraId="0F220281" w14:textId="7BD6123B" w:rsidR="00464882" w:rsidRPr="00CC458C" w:rsidRDefault="00464882" w:rsidP="00A562EF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26C6C7BC" w14:textId="77777777" w:rsidR="00464882" w:rsidRPr="00CC458C" w:rsidRDefault="00464882" w:rsidP="00A562EF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Kombinácia liečby s ochrannými látkami (napr. misoprostol alebo inhibítory protónovej pumpy) sa má zvážiť u týchto pacientov, ako </w:t>
      </w:r>
      <w:r w:rsidR="009A47D1" w:rsidRPr="00CC458C">
        <w:rPr>
          <w:rFonts w:ascii="Times New Roman" w:hAnsi="Times New Roman" w:cs="Times New Roman"/>
          <w:sz w:val="22"/>
          <w:szCs w:val="22"/>
          <w:lang w:val="sk-SK"/>
        </w:rPr>
        <w:t>aj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 u pacientov, </w:t>
      </w:r>
      <w:r w:rsidR="00F036C9" w:rsidRPr="00CC458C">
        <w:rPr>
          <w:rFonts w:ascii="Times New Roman" w:hAnsi="Times New Roman" w:cs="Times New Roman"/>
          <w:sz w:val="22"/>
          <w:szCs w:val="22"/>
          <w:lang w:val="sk-SK"/>
        </w:rPr>
        <w:t>u ktorých je potrebná súbežná liečba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nízk</w:t>
      </w:r>
      <w:r w:rsidR="00F036C9" w:rsidRPr="00CC458C">
        <w:rPr>
          <w:rFonts w:ascii="Times New Roman" w:hAnsi="Times New Roman" w:cs="Times New Roman"/>
          <w:sz w:val="22"/>
          <w:szCs w:val="22"/>
          <w:lang w:val="sk-SK"/>
        </w:rPr>
        <w:t>o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u dávk</w:t>
      </w:r>
      <w:r w:rsidR="00F036C9" w:rsidRPr="00CC458C">
        <w:rPr>
          <w:rFonts w:ascii="Times New Roman" w:hAnsi="Times New Roman" w:cs="Times New Roman"/>
          <w:sz w:val="22"/>
          <w:szCs w:val="22"/>
          <w:lang w:val="sk-SK"/>
        </w:rPr>
        <w:t>o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u kyse</w:t>
      </w:r>
      <w:r w:rsidR="00F036C9" w:rsidRPr="00CC458C">
        <w:rPr>
          <w:rFonts w:ascii="Times New Roman" w:hAnsi="Times New Roman" w:cs="Times New Roman"/>
          <w:sz w:val="22"/>
          <w:szCs w:val="22"/>
          <w:lang w:val="sk-SK"/>
        </w:rPr>
        <w:t>liny acetylsalicylovej alebo inými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liek</w:t>
      </w:r>
      <w:r w:rsidR="00F036C9" w:rsidRPr="00CC458C">
        <w:rPr>
          <w:rFonts w:ascii="Times New Roman" w:hAnsi="Times New Roman" w:cs="Times New Roman"/>
          <w:sz w:val="22"/>
          <w:szCs w:val="22"/>
          <w:lang w:val="sk-SK"/>
        </w:rPr>
        <w:t>mi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, ktoré pravdepodobne zvyšujú gastrointestinálne riziko (pozri nižšie a časť 4.5).</w:t>
      </w:r>
    </w:p>
    <w:p w14:paraId="32E94BF8" w14:textId="77777777" w:rsidR="00464882" w:rsidRPr="00CC458C" w:rsidRDefault="00464882" w:rsidP="00A562EF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3B142650" w14:textId="77777777" w:rsidR="00464882" w:rsidRPr="00CC458C" w:rsidRDefault="00464882" w:rsidP="00A562EF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lang w:val="sk-SK"/>
        </w:rPr>
        <w:t>Pacienti s gastrointestinálnou toxicitou v anamnéze, obzvlášť ak ide o starších pacientov, majú hlásiť akékoľvek nezvyčajné abdominálne symptómy (najmä gastrointestinálne krvácanie), obzvlášť v prvotných štádiách liečby.</w:t>
      </w:r>
    </w:p>
    <w:p w14:paraId="0F0E8DE7" w14:textId="77777777" w:rsidR="006468BA" w:rsidRPr="00CC458C" w:rsidRDefault="006468BA" w:rsidP="00A562EF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3C668B4B" w14:textId="77777777" w:rsidR="008872AF" w:rsidRPr="00CC458C" w:rsidRDefault="00576138" w:rsidP="00A562EF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lang w:val="sk-SK"/>
        </w:rPr>
        <w:t>U </w:t>
      </w:r>
      <w:r w:rsidR="00464882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pacientov súbežne užívajúcich lieky, ktoré by mohli zvýšiť riziko ulcerácie alebo krvácania, </w:t>
      </w:r>
      <w:r w:rsidR="00FD501C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ako je heparín ako kuratívna liečba alebo podávaný v geriatrii, </w:t>
      </w:r>
      <w:r w:rsidR="008872AF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perorálne kortikosteroidy, </w:t>
      </w:r>
      <w:r w:rsidR="00FD501C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antikoagulanciá, ako je warfarín, </w:t>
      </w:r>
      <w:r w:rsidR="008872AF" w:rsidRPr="00CC458C">
        <w:rPr>
          <w:rFonts w:ascii="Times New Roman" w:hAnsi="Times New Roman" w:cs="Times New Roman"/>
          <w:sz w:val="22"/>
          <w:szCs w:val="22"/>
          <w:lang w:val="sk-SK"/>
        </w:rPr>
        <w:t>selektívne inhibítory spätného vychytávania s</w:t>
      </w:r>
      <w:r w:rsidR="000E3C0A" w:rsidRPr="00CC458C">
        <w:rPr>
          <w:rFonts w:ascii="Times New Roman" w:hAnsi="Times New Roman" w:cs="Times New Roman"/>
          <w:sz w:val="22"/>
          <w:szCs w:val="22"/>
          <w:lang w:val="sk-SK"/>
        </w:rPr>
        <w:t>é</w:t>
      </w:r>
      <w:r w:rsidR="008872AF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rotonínu, </w:t>
      </w:r>
      <w:r w:rsidR="00114C77" w:rsidRPr="00CC458C">
        <w:rPr>
          <w:rFonts w:ascii="Times New Roman" w:hAnsi="Times New Roman" w:cs="Times New Roman"/>
          <w:sz w:val="22"/>
          <w:szCs w:val="22"/>
          <w:lang w:val="sk-SK"/>
        </w:rPr>
        <w:t>antiagreganciá trombocytov</w:t>
      </w:r>
      <w:r w:rsidR="008872AF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ako je </w:t>
      </w:r>
      <w:r w:rsidR="000E3C0A" w:rsidRPr="00CC458C">
        <w:rPr>
          <w:rFonts w:ascii="Times New Roman" w:hAnsi="Times New Roman" w:cs="Times New Roman"/>
          <w:sz w:val="22"/>
          <w:szCs w:val="22"/>
          <w:lang w:val="sk-SK"/>
        </w:rPr>
        <w:t>kyselina acetylsalicylová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,</w:t>
      </w:r>
      <w:r w:rsidR="00A12B65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8872AF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iné </w:t>
      </w:r>
      <w:r w:rsidR="000E3C0A" w:rsidRPr="00CC458C">
        <w:rPr>
          <w:rFonts w:ascii="Times New Roman" w:hAnsi="Times New Roman" w:cs="Times New Roman"/>
          <w:sz w:val="22"/>
          <w:szCs w:val="22"/>
          <w:lang w:val="sk-SK"/>
        </w:rPr>
        <w:t>nesteroid</w:t>
      </w:r>
      <w:r w:rsidR="00D91346" w:rsidRPr="00CC458C">
        <w:rPr>
          <w:rFonts w:ascii="Times New Roman" w:hAnsi="Times New Roman" w:cs="Times New Roman"/>
          <w:sz w:val="22"/>
          <w:szCs w:val="22"/>
          <w:lang w:val="sk-SK"/>
        </w:rPr>
        <w:t>ov</w:t>
      </w:r>
      <w:r w:rsidR="000E3C0A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é </w:t>
      </w:r>
      <w:r w:rsidR="008872AF" w:rsidRPr="00CC458C">
        <w:rPr>
          <w:rFonts w:ascii="Times New Roman" w:hAnsi="Times New Roman" w:cs="Times New Roman"/>
          <w:sz w:val="22"/>
          <w:szCs w:val="22"/>
          <w:lang w:val="sk-SK"/>
        </w:rPr>
        <w:t>protizápalové lieky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alebo</w:t>
      </w:r>
      <w:r w:rsidR="008872AF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kyselina acetylsalicylová</w:t>
      </w:r>
      <w:r w:rsidR="008872AF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podávaná </w:t>
      </w:r>
      <w:r w:rsidR="008872AF" w:rsidRPr="00CC458C">
        <w:rPr>
          <w:rFonts w:ascii="Times New Roman" w:hAnsi="Times New Roman" w:cs="Times New Roman"/>
          <w:sz w:val="22"/>
          <w:szCs w:val="22"/>
          <w:lang w:val="sk-SK"/>
        </w:rPr>
        <w:t>v dávkach ≥</w:t>
      </w:r>
      <w:r w:rsidR="00A12B65" w:rsidRPr="00CC458C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500 m</w:t>
      </w:r>
      <w:r w:rsidR="008872AF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g </w:t>
      </w:r>
      <w:r w:rsidR="00AA2BB9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jednorazovo </w:t>
      </w:r>
      <w:r w:rsidR="008872AF" w:rsidRPr="00CC458C">
        <w:rPr>
          <w:rFonts w:ascii="Times New Roman" w:hAnsi="Times New Roman" w:cs="Times New Roman"/>
          <w:sz w:val="22"/>
          <w:szCs w:val="22"/>
          <w:lang w:val="sk-SK"/>
        </w:rPr>
        <w:t>alebo ≥</w:t>
      </w:r>
      <w:r w:rsidR="00A12B65" w:rsidRPr="00CC458C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="008872AF" w:rsidRPr="00CC458C">
        <w:rPr>
          <w:rFonts w:ascii="Times New Roman" w:hAnsi="Times New Roman" w:cs="Times New Roman"/>
          <w:sz w:val="22"/>
          <w:szCs w:val="22"/>
          <w:lang w:val="sk-SK"/>
        </w:rPr>
        <w:t>3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8872AF" w:rsidRPr="00CC458C">
        <w:rPr>
          <w:rFonts w:ascii="Times New Roman" w:hAnsi="Times New Roman" w:cs="Times New Roman"/>
          <w:sz w:val="22"/>
          <w:szCs w:val="22"/>
          <w:lang w:val="sk-SK"/>
        </w:rPr>
        <w:t>g ako celková denná dávka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r w:rsidR="00E4554B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sa 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kombinácia s meloxik</w:t>
      </w:r>
      <w:r w:rsidR="00D906B8" w:rsidRPr="00CC458C">
        <w:rPr>
          <w:rFonts w:ascii="Times New Roman" w:hAnsi="Times New Roman" w:cs="Times New Roman"/>
          <w:sz w:val="22"/>
          <w:szCs w:val="22"/>
          <w:lang w:val="sk-SK"/>
        </w:rPr>
        <w:t>amom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neodporúča</w:t>
      </w:r>
      <w:r w:rsidR="008872AF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(pozri časť 4.5).</w:t>
      </w:r>
    </w:p>
    <w:p w14:paraId="44FA94D0" w14:textId="77777777" w:rsidR="008872AF" w:rsidRPr="00CC458C" w:rsidRDefault="008872AF" w:rsidP="00A562EF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5C2BBDDC" w14:textId="77777777" w:rsidR="00333901" w:rsidRPr="00CC458C" w:rsidRDefault="00333901" w:rsidP="00A562EF">
      <w:pPr>
        <w:pStyle w:val="Zkladntext"/>
        <w:rPr>
          <w:rFonts w:ascii="Times New Roman" w:hAnsi="Times New Roman" w:cs="Times New Roman"/>
          <w:szCs w:val="22"/>
        </w:rPr>
      </w:pPr>
      <w:r w:rsidRPr="00CC458C">
        <w:rPr>
          <w:rFonts w:ascii="Times New Roman" w:hAnsi="Times New Roman" w:cs="Times New Roman"/>
          <w:szCs w:val="22"/>
        </w:rPr>
        <w:t xml:space="preserve">Ak sa objaví u pacientov užívajúcich </w:t>
      </w:r>
      <w:r w:rsidR="008872AF" w:rsidRPr="00CC458C">
        <w:rPr>
          <w:rFonts w:ascii="Times New Roman" w:hAnsi="Times New Roman" w:cs="Times New Roman"/>
          <w:szCs w:val="22"/>
        </w:rPr>
        <w:t>M</w:t>
      </w:r>
      <w:r w:rsidRPr="00CC458C">
        <w:rPr>
          <w:rFonts w:ascii="Times New Roman" w:hAnsi="Times New Roman" w:cs="Times New Roman"/>
          <w:szCs w:val="22"/>
        </w:rPr>
        <w:t>eloxi</w:t>
      </w:r>
      <w:r w:rsidR="008872AF" w:rsidRPr="00CC458C">
        <w:rPr>
          <w:rFonts w:ascii="Times New Roman" w:hAnsi="Times New Roman" w:cs="Times New Roman"/>
          <w:szCs w:val="22"/>
        </w:rPr>
        <w:t>c</w:t>
      </w:r>
      <w:r w:rsidRPr="00CC458C">
        <w:rPr>
          <w:rFonts w:ascii="Times New Roman" w:hAnsi="Times New Roman" w:cs="Times New Roman"/>
          <w:szCs w:val="22"/>
        </w:rPr>
        <w:t>am</w:t>
      </w:r>
      <w:r w:rsidR="003A0EC2" w:rsidRPr="00CC458C">
        <w:rPr>
          <w:rFonts w:ascii="Times New Roman" w:hAnsi="Times New Roman" w:cs="Times New Roman"/>
          <w:szCs w:val="22"/>
        </w:rPr>
        <w:t xml:space="preserve"> Mylan</w:t>
      </w:r>
      <w:r w:rsidRPr="00CC458C">
        <w:rPr>
          <w:rFonts w:ascii="Times New Roman" w:hAnsi="Times New Roman" w:cs="Times New Roman"/>
          <w:szCs w:val="22"/>
        </w:rPr>
        <w:t xml:space="preserve"> gastrointestinálne krvácanie alebo ulcerácie, liečba sa musí ukončiť. </w:t>
      </w:r>
    </w:p>
    <w:p w14:paraId="151F9A02" w14:textId="77777777" w:rsidR="00333901" w:rsidRPr="00CC458C" w:rsidRDefault="00333901" w:rsidP="00A562EF">
      <w:pPr>
        <w:pStyle w:val="Zkladntext"/>
        <w:rPr>
          <w:rFonts w:ascii="Times New Roman" w:hAnsi="Times New Roman" w:cs="Times New Roman"/>
          <w:szCs w:val="22"/>
        </w:rPr>
      </w:pPr>
    </w:p>
    <w:p w14:paraId="78640694" w14:textId="77777777" w:rsidR="00464882" w:rsidRPr="00CC458C" w:rsidRDefault="00D91346" w:rsidP="00A562EF">
      <w:pPr>
        <w:pStyle w:val="Zkladntext"/>
        <w:tabs>
          <w:tab w:val="clear" w:pos="540"/>
        </w:tabs>
        <w:rPr>
          <w:rFonts w:ascii="Times New Roman" w:hAnsi="Times New Roman" w:cs="Times New Roman"/>
          <w:szCs w:val="22"/>
        </w:rPr>
      </w:pPr>
      <w:r w:rsidRPr="00CC458C">
        <w:rPr>
          <w:rFonts w:ascii="Times New Roman" w:hAnsi="Times New Roman" w:cs="Times New Roman"/>
          <w:szCs w:val="22"/>
        </w:rPr>
        <w:t xml:space="preserve">Nesteroidové </w:t>
      </w:r>
      <w:r w:rsidR="00333901" w:rsidRPr="00CC458C">
        <w:rPr>
          <w:rFonts w:ascii="Times New Roman" w:hAnsi="Times New Roman" w:cs="Times New Roman"/>
          <w:szCs w:val="22"/>
        </w:rPr>
        <w:t>antiflogistiká sa majú pacientom s gastrointestinálnym ochorením v anamnéze (ulcerózna kolitída, Crohnova choroba) podávať s opatrnosťou, keďže môže dôjsť k exacerbácii týchto ochorení (pozri časť 4.8).</w:t>
      </w:r>
    </w:p>
    <w:p w14:paraId="305D6363" w14:textId="77777777" w:rsidR="00333901" w:rsidRPr="00CC458C" w:rsidRDefault="00333901" w:rsidP="00A562EF">
      <w:pPr>
        <w:pStyle w:val="Zkladntext"/>
        <w:tabs>
          <w:tab w:val="clear" w:pos="540"/>
        </w:tabs>
        <w:rPr>
          <w:rFonts w:ascii="Times New Roman" w:hAnsi="Times New Roman" w:cs="Times New Roman"/>
          <w:szCs w:val="22"/>
        </w:rPr>
      </w:pPr>
    </w:p>
    <w:p w14:paraId="09BA9E1E" w14:textId="77777777" w:rsidR="00B967F6" w:rsidRPr="00CC458C" w:rsidRDefault="00B967F6" w:rsidP="00A562EF">
      <w:pPr>
        <w:pStyle w:val="Nadpis9"/>
        <w:rPr>
          <w:szCs w:val="22"/>
          <w:lang w:val="sk-SK"/>
        </w:rPr>
      </w:pPr>
      <w:r w:rsidRPr="00CC458C">
        <w:rPr>
          <w:szCs w:val="22"/>
          <w:lang w:val="sk-SK"/>
        </w:rPr>
        <w:t>Kardiovaskulárne a cerebrovaskulárne účinky</w:t>
      </w:r>
    </w:p>
    <w:p w14:paraId="57508D82" w14:textId="77777777" w:rsidR="00B967F6" w:rsidRPr="00CC458C" w:rsidRDefault="00B967F6" w:rsidP="00A562EF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lang w:val="sk-SK"/>
        </w:rPr>
        <w:t>U pacientov s hypertenzi</w:t>
      </w:r>
      <w:r w:rsidR="006F6E8F" w:rsidRPr="00CC458C">
        <w:rPr>
          <w:rFonts w:ascii="Times New Roman" w:hAnsi="Times New Roman" w:cs="Times New Roman"/>
          <w:sz w:val="22"/>
          <w:szCs w:val="22"/>
          <w:lang w:val="sk-SK"/>
        </w:rPr>
        <w:t>ou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a/alebo miernym až stredne závažným kongestívnym srdcovým zlyhaním </w:t>
      </w:r>
      <w:r w:rsidR="006F6E8F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v anamnéze 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sú potrebné primerané monitorovanie a starostlivosť, keďže v súvislosti s liečbou </w:t>
      </w:r>
      <w:r w:rsidR="00D91346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nesteroidovými 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antiflogistikami (NSAID) sa zaznamenala retencia tekutín a edémy. </w:t>
      </w:r>
      <w:r w:rsidR="00E91C5B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U rizikových </w:t>
      </w:r>
      <w:r w:rsidR="00E91C5B" w:rsidRPr="00CC458C">
        <w:rPr>
          <w:rFonts w:ascii="Times New Roman" w:hAnsi="Times New Roman" w:cs="Times New Roman"/>
          <w:sz w:val="22"/>
          <w:szCs w:val="22"/>
          <w:lang w:val="sk-SK"/>
        </w:rPr>
        <w:lastRenderedPageBreak/>
        <w:t xml:space="preserve">pacientov sa odporúča klinické monitorovanie tlaku krvi </w:t>
      </w:r>
      <w:r w:rsidR="003A0EC2" w:rsidRPr="00CC458C">
        <w:rPr>
          <w:rFonts w:ascii="Times New Roman" w:hAnsi="Times New Roman" w:cs="Times New Roman"/>
          <w:sz w:val="22"/>
          <w:szCs w:val="22"/>
          <w:lang w:val="sk-SK"/>
        </w:rPr>
        <w:t>ako východisková hodnota</w:t>
      </w:r>
      <w:r w:rsidR="00E91C5B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a hlavne na začiatku liečby </w:t>
      </w:r>
      <w:r w:rsidR="003A0EC2" w:rsidRPr="00CC458C">
        <w:rPr>
          <w:rFonts w:ascii="Times New Roman" w:hAnsi="Times New Roman" w:cs="Times New Roman"/>
          <w:sz w:val="22"/>
          <w:szCs w:val="22"/>
          <w:lang w:val="sk-SK"/>
        </w:rPr>
        <w:t>M</w:t>
      </w:r>
      <w:r w:rsidR="00E91C5B" w:rsidRPr="00CC458C">
        <w:rPr>
          <w:rFonts w:ascii="Times New Roman" w:hAnsi="Times New Roman" w:cs="Times New Roman"/>
          <w:sz w:val="22"/>
          <w:szCs w:val="22"/>
          <w:lang w:val="sk-SK"/>
        </w:rPr>
        <w:t>eloxi</w:t>
      </w:r>
      <w:r w:rsidR="003A0EC2" w:rsidRPr="00CC458C">
        <w:rPr>
          <w:rFonts w:ascii="Times New Roman" w:hAnsi="Times New Roman" w:cs="Times New Roman"/>
          <w:sz w:val="22"/>
          <w:szCs w:val="22"/>
          <w:lang w:val="sk-SK"/>
        </w:rPr>
        <w:t>c</w:t>
      </w:r>
      <w:r w:rsidR="00E91C5B" w:rsidRPr="00CC458C">
        <w:rPr>
          <w:rFonts w:ascii="Times New Roman" w:hAnsi="Times New Roman" w:cs="Times New Roman"/>
          <w:sz w:val="22"/>
          <w:szCs w:val="22"/>
          <w:lang w:val="sk-SK"/>
        </w:rPr>
        <w:t>amom</w:t>
      </w:r>
      <w:r w:rsidR="003A0EC2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Mylan</w:t>
      </w:r>
      <w:r w:rsidR="00E91C5B" w:rsidRPr="00CC458C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48519F4D" w14:textId="77777777" w:rsidR="00B967F6" w:rsidRPr="00CC458C" w:rsidRDefault="00B967F6" w:rsidP="00A562EF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7E591619" w14:textId="77777777" w:rsidR="00B967F6" w:rsidRPr="00CC458C" w:rsidRDefault="00B967F6" w:rsidP="00A562EF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Údaje z klinickej štúdie a epidemiologické údaje naznačujú, že použitie niektorých </w:t>
      </w:r>
      <w:r w:rsidR="00D91346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nesteroidových 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antiflogistík</w:t>
      </w:r>
      <w:r w:rsidR="008D5C77" w:rsidRPr="00CC458C">
        <w:rPr>
          <w:rFonts w:ascii="Times New Roman" w:hAnsi="Times New Roman" w:cs="Times New Roman"/>
          <w:sz w:val="22"/>
          <w:szCs w:val="22"/>
          <w:lang w:val="sk-SK"/>
        </w:rPr>
        <w:t>, vrátane meloxikamu,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(obzvlášť vo vysokých dávkach a pri dlhodobej liečbe) môže byť spojené s malým zvýšen</w:t>
      </w:r>
      <w:r w:rsidR="00E5457F" w:rsidRPr="00CC458C">
        <w:rPr>
          <w:rFonts w:ascii="Times New Roman" w:hAnsi="Times New Roman" w:cs="Times New Roman"/>
          <w:sz w:val="22"/>
          <w:szCs w:val="22"/>
          <w:lang w:val="sk-SK"/>
        </w:rPr>
        <w:t>í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m rizik</w:t>
      </w:r>
      <w:r w:rsidR="00E5457F" w:rsidRPr="00CC458C">
        <w:rPr>
          <w:rFonts w:ascii="Times New Roman" w:hAnsi="Times New Roman" w:cs="Times New Roman"/>
          <w:sz w:val="22"/>
          <w:szCs w:val="22"/>
          <w:lang w:val="sk-SK"/>
        </w:rPr>
        <w:t>a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arteriálnych trombotických príhod (napr. infarkt myokardu alebo mŕtvica). K dispozícii nie sú dostatočné údaje, ktoré by vylúčili takéto riziko pri liečbe meloxikamom. </w:t>
      </w:r>
    </w:p>
    <w:p w14:paraId="3AB1C813" w14:textId="77777777" w:rsidR="00B967F6" w:rsidRPr="00CC458C" w:rsidRDefault="00B967F6" w:rsidP="00A562EF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515558A5" w14:textId="77777777" w:rsidR="00B967F6" w:rsidRPr="00CC458C" w:rsidRDefault="00B967F6" w:rsidP="00A562EF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lang w:val="sk-SK"/>
        </w:rPr>
        <w:t>Pacienti s nekontrolovanou hypertenziou, kongestívnym srdcovým zlyhaním, preukázanou ischemickou chorobou srdca, ochorením periférnych artérií, a/alebo cerebrovaskulárnym ochorením sa majú liečiť meloxikamom len po starostlivom zvážení. Takéto zváženie je potrebné aj pred začatím dlhodobej liečby u pacientov s rizikovými faktormi pre kardiovaskulárne ochorenie (napr. hypertenzia, hyperlipidémia, diabetes mellitus, fajčenie).</w:t>
      </w:r>
    </w:p>
    <w:p w14:paraId="52368051" w14:textId="77777777" w:rsidR="00B967F6" w:rsidRPr="00CC458C" w:rsidRDefault="00B967F6" w:rsidP="00A562EF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0FE57D1E" w14:textId="77777777" w:rsidR="00B967F6" w:rsidRPr="00CC458C" w:rsidRDefault="00B97EAD" w:rsidP="009E09D0">
      <w:pPr>
        <w:keepNext/>
        <w:rPr>
          <w:rFonts w:ascii="Times New Roman" w:hAnsi="Times New Roman" w:cs="Times New Roman"/>
          <w:bCs w:val="0"/>
          <w:i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bCs w:val="0"/>
          <w:i/>
          <w:sz w:val="22"/>
          <w:szCs w:val="22"/>
          <w:lang w:val="sk-SK"/>
        </w:rPr>
        <w:t>Kožné reakcie</w:t>
      </w:r>
    </w:p>
    <w:p w14:paraId="71FDABA2" w14:textId="77777777" w:rsidR="000F649D" w:rsidRPr="00CC458C" w:rsidRDefault="000F649D" w:rsidP="00A562EF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lang w:val="sk-SK"/>
        </w:rPr>
        <w:t>Závažné</w:t>
      </w:r>
      <w:r w:rsidR="006C78A4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kožné reakcie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, niektoré fatálne</w:t>
      </w:r>
      <w:r w:rsidR="00FF01E1" w:rsidRPr="00CC458C">
        <w:rPr>
          <w:rFonts w:ascii="Times New Roman" w:hAnsi="Times New Roman" w:cs="Times New Roman"/>
          <w:sz w:val="22"/>
          <w:szCs w:val="22"/>
          <w:lang w:val="sk-SK"/>
        </w:rPr>
        <w:t>,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vrátane exfoliatívnej dermatitídy, </w:t>
      </w:r>
      <w:r w:rsidR="00D57975" w:rsidRPr="00CC458C">
        <w:rPr>
          <w:rFonts w:ascii="Times New Roman" w:hAnsi="Times New Roman" w:cs="Times New Roman"/>
          <w:sz w:val="22"/>
          <w:szCs w:val="22"/>
          <w:lang w:val="sk-SK"/>
        </w:rPr>
        <w:t>Stevensov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ho</w:t>
      </w:r>
      <w:r w:rsidR="00D57975" w:rsidRPr="00CC458C">
        <w:rPr>
          <w:rFonts w:ascii="Times New Roman" w:hAnsi="Times New Roman" w:cs="Times New Roman"/>
          <w:sz w:val="22"/>
          <w:szCs w:val="22"/>
          <w:lang w:val="sk-SK"/>
        </w:rPr>
        <w:t>-Johnsonov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ho</w:t>
      </w:r>
      <w:r w:rsidR="00D57975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syndrómu (SJS) a toxick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ej</w:t>
      </w:r>
      <w:r w:rsidR="00D57975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epidermáln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ej</w:t>
      </w:r>
      <w:r w:rsidR="00D57975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nekrolýz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y</w:t>
      </w:r>
      <w:r w:rsidR="00D57975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424B65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(TEN) boli 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veľmi zriedkavo </w:t>
      </w:r>
      <w:r w:rsidR="00424B65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hlásené 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v súvislosti s u</w:t>
      </w:r>
      <w:r w:rsidR="005034AF" w:rsidRPr="00CC458C">
        <w:rPr>
          <w:rFonts w:ascii="Times New Roman" w:hAnsi="Times New Roman" w:cs="Times New Roman"/>
          <w:sz w:val="22"/>
          <w:szCs w:val="22"/>
          <w:lang w:val="sk-SK"/>
        </w:rPr>
        <w:t>ž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ívaním NSAID (pozri časť 4.8). Zdá sa, že</w:t>
      </w:r>
      <w:r w:rsidR="001321C5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vyššie riziko týchto reakcií sa vyskytuje u 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pacient</w:t>
      </w:r>
      <w:r w:rsidR="001321C5" w:rsidRPr="00CC458C">
        <w:rPr>
          <w:rFonts w:ascii="Times New Roman" w:hAnsi="Times New Roman" w:cs="Times New Roman"/>
          <w:sz w:val="22"/>
          <w:szCs w:val="22"/>
          <w:lang w:val="sk-SK"/>
        </w:rPr>
        <w:t>ov na začiatku liečby</w:t>
      </w:r>
      <w:r w:rsidR="008E7426" w:rsidRPr="00CC458C">
        <w:rPr>
          <w:rFonts w:ascii="Times New Roman" w:hAnsi="Times New Roman" w:cs="Times New Roman"/>
          <w:sz w:val="22"/>
          <w:szCs w:val="22"/>
          <w:lang w:val="sk-SK"/>
        </w:rPr>
        <w:t>, vo väčšine prípadov bol nástup týchto reakcií počas prvého mesiaca liečby. Liečba meloxikamom sa má prerušiť pri prvom výskyte kožnej vyrážky, mukóznych lézií alebo akejkoľvek inej známky precitlivenosti.</w:t>
      </w:r>
    </w:p>
    <w:p w14:paraId="2BAE477C" w14:textId="77777777" w:rsidR="000F649D" w:rsidRPr="00CC458C" w:rsidRDefault="000F649D" w:rsidP="00A562EF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57F92D99" w14:textId="642E7E07" w:rsidR="000F649D" w:rsidRPr="00CC458C" w:rsidRDefault="008E7426" w:rsidP="00A562EF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Život ohrozujúce kožné reakcie </w:t>
      </w:r>
      <w:r w:rsidR="00F645D8" w:rsidRPr="00CC458C">
        <w:rPr>
          <w:rFonts w:ascii="Times New Roman" w:hAnsi="Times New Roman" w:cs="Times New Roman"/>
          <w:sz w:val="22"/>
          <w:szCs w:val="22"/>
          <w:lang w:val="sk-SK"/>
        </w:rPr>
        <w:t>Ste</w:t>
      </w:r>
      <w:r w:rsidR="00785503" w:rsidRPr="00CC458C">
        <w:rPr>
          <w:rFonts w:ascii="Times New Roman" w:hAnsi="Times New Roman" w:cs="Times New Roman"/>
          <w:sz w:val="22"/>
          <w:szCs w:val="22"/>
          <w:lang w:val="sk-SK"/>
        </w:rPr>
        <w:t>vensov</w:t>
      </w:r>
      <w:r w:rsidR="00F645D8" w:rsidRPr="00CC458C">
        <w:rPr>
          <w:rFonts w:ascii="Times New Roman" w:hAnsi="Times New Roman" w:cs="Times New Roman"/>
          <w:sz w:val="22"/>
          <w:szCs w:val="22"/>
          <w:lang w:val="sk-SK"/>
        </w:rPr>
        <w:t>ho-Johnsonovho</w:t>
      </w:r>
      <w:r w:rsidR="00785503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syndrómu (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SJS</w:t>
      </w:r>
      <w:r w:rsidR="00785503" w:rsidRPr="00CC458C">
        <w:rPr>
          <w:rFonts w:ascii="Times New Roman" w:hAnsi="Times New Roman" w:cs="Times New Roman"/>
          <w:sz w:val="22"/>
          <w:szCs w:val="22"/>
          <w:lang w:val="sk-SK"/>
        </w:rPr>
        <w:t>)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a</w:t>
      </w:r>
      <w:r w:rsidR="00785503" w:rsidRPr="00CC458C">
        <w:rPr>
          <w:rFonts w:ascii="Times New Roman" w:hAnsi="Times New Roman" w:cs="Times New Roman"/>
          <w:sz w:val="22"/>
          <w:szCs w:val="22"/>
          <w:lang w:val="sk-SK"/>
        </w:rPr>
        <w:t> toxickej epidermálnej nekrolýzy (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TEN</w:t>
      </w:r>
      <w:r w:rsidR="00785503" w:rsidRPr="00CC458C">
        <w:rPr>
          <w:rFonts w:ascii="Times New Roman" w:hAnsi="Times New Roman" w:cs="Times New Roman"/>
          <w:sz w:val="22"/>
          <w:szCs w:val="22"/>
          <w:lang w:val="sk-SK"/>
        </w:rPr>
        <w:t>)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, sa zaznamenali počas užívania </w:t>
      </w:r>
      <w:r w:rsidR="00FC0C6F" w:rsidRPr="00CC458C">
        <w:rPr>
          <w:rFonts w:ascii="Times New Roman" w:hAnsi="Times New Roman" w:cs="Times New Roman"/>
          <w:sz w:val="22"/>
          <w:szCs w:val="22"/>
          <w:lang w:val="sk-SK"/>
        </w:rPr>
        <w:t>meloxikamu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0D572059" w14:textId="77777777" w:rsidR="008E7426" w:rsidRPr="00CC458C" w:rsidRDefault="008E56FD" w:rsidP="00A562EF">
      <w:pPr>
        <w:numPr>
          <w:ilvl w:val="0"/>
          <w:numId w:val="12"/>
        </w:numPr>
        <w:ind w:left="426" w:hanging="426"/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lang w:val="sk-SK"/>
        </w:rPr>
        <w:t>Pacienti majú byť poučení o </w:t>
      </w:r>
      <w:r w:rsidR="005034AF" w:rsidRPr="00CC458C">
        <w:rPr>
          <w:rFonts w:ascii="Times New Roman" w:hAnsi="Times New Roman" w:cs="Times New Roman"/>
          <w:sz w:val="22"/>
          <w:szCs w:val="22"/>
          <w:lang w:val="sk-SK"/>
        </w:rPr>
        <w:t>prejav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och a príznakoch a dôkladne sledovaní na výskyt kožných reakcií.</w:t>
      </w:r>
      <w:r w:rsidR="00CA1D96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Najvyššie riziko výskytu SJS a TEN je počas prvých týždňov liečby</w:t>
      </w:r>
      <w:r w:rsidR="00830946" w:rsidRPr="00CC458C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6280C109" w14:textId="77777777" w:rsidR="008E7426" w:rsidRPr="00CC458C" w:rsidRDefault="008E7426" w:rsidP="00A562EF">
      <w:pPr>
        <w:numPr>
          <w:ilvl w:val="0"/>
          <w:numId w:val="12"/>
        </w:numPr>
        <w:ind w:left="426" w:hanging="426"/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V prípade výskytu </w:t>
      </w:r>
      <w:r w:rsidR="005034AF" w:rsidRPr="00CC458C">
        <w:rPr>
          <w:rFonts w:ascii="Times New Roman" w:hAnsi="Times New Roman" w:cs="Times New Roman"/>
          <w:sz w:val="22"/>
          <w:szCs w:val="22"/>
          <w:lang w:val="sk-SK"/>
        </w:rPr>
        <w:t>prejav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ov a príznakov SJS a TEN (napr. progresívna kožná vyrážka, často s pľuzgiermi alebo léziami na sliznici), liečba meloxikamom sa má ukončiť.</w:t>
      </w:r>
    </w:p>
    <w:p w14:paraId="007A53C9" w14:textId="77777777" w:rsidR="008E7426" w:rsidRPr="00CC458C" w:rsidRDefault="008E7426" w:rsidP="00A562EF">
      <w:pPr>
        <w:numPr>
          <w:ilvl w:val="0"/>
          <w:numId w:val="12"/>
        </w:numPr>
        <w:ind w:left="426" w:hanging="426"/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Najlepšie výsledky pri liečbe SJS a TEN sa dosahujú pri včasnej diagnóze a okamžitom </w:t>
      </w:r>
      <w:r w:rsidR="005034AF" w:rsidRPr="00CC458C">
        <w:rPr>
          <w:rFonts w:ascii="Times New Roman" w:hAnsi="Times New Roman" w:cs="Times New Roman"/>
          <w:sz w:val="22"/>
          <w:szCs w:val="22"/>
          <w:lang w:val="sk-SK"/>
        </w:rPr>
        <w:t>vysad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ení akéhokoľvek podozrivého lieku. Včasné ukončenie liečby sa spája s lepšou prognózou.</w:t>
      </w:r>
    </w:p>
    <w:p w14:paraId="6FECED81" w14:textId="77777777" w:rsidR="00830946" w:rsidRPr="00CC458C" w:rsidRDefault="008E7426" w:rsidP="00A562EF">
      <w:pPr>
        <w:numPr>
          <w:ilvl w:val="0"/>
          <w:numId w:val="12"/>
        </w:numPr>
        <w:ind w:left="426" w:hanging="426"/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lang w:val="sk-SK"/>
        </w:rPr>
        <w:t>Ak sa u pacienta vyskytli SJS alebo TEN pri použití meloxikamu, u tohto pacienta sa už nikdy nesmie liečba meloxikamom znova začať.</w:t>
      </w:r>
    </w:p>
    <w:p w14:paraId="6F606380" w14:textId="77777777" w:rsidR="00B967F6" w:rsidRPr="00CC458C" w:rsidRDefault="00B967F6" w:rsidP="00A562EF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5FD6119F" w14:textId="77777777" w:rsidR="00241E08" w:rsidRPr="00CC458C" w:rsidRDefault="00241E08" w:rsidP="009E09D0">
      <w:pPr>
        <w:keepNext/>
        <w:rPr>
          <w:rFonts w:ascii="Times New Roman" w:hAnsi="Times New Roman" w:cs="Times New Roman"/>
          <w:i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i/>
          <w:sz w:val="22"/>
          <w:szCs w:val="22"/>
          <w:lang w:val="sk-SK"/>
        </w:rPr>
        <w:t>Parametre pečeňových a renálnych funkcií</w:t>
      </w:r>
    </w:p>
    <w:p w14:paraId="326EDECC" w14:textId="77777777" w:rsidR="00241E08" w:rsidRPr="00CC458C" w:rsidRDefault="00241E08" w:rsidP="00A562EF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Ako pri väčšine </w:t>
      </w:r>
      <w:r w:rsidR="00D91346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nesteroidových 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antiflogistík, počas liečby meloxikamom bolo opísané príležitostné zvýšenie hladín sérových transamináz</w:t>
      </w:r>
      <w:r w:rsidR="003742CF" w:rsidRPr="00CC458C">
        <w:rPr>
          <w:rFonts w:ascii="Times New Roman" w:hAnsi="Times New Roman" w:cs="Times New Roman"/>
          <w:sz w:val="22"/>
          <w:szCs w:val="22"/>
          <w:lang w:val="sk-SK"/>
        </w:rPr>
        <w:t>, zvýšenie bilirubínu v sére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alebo iných funkčných </w:t>
      </w:r>
      <w:r w:rsidR="003742CF" w:rsidRPr="00CC458C">
        <w:rPr>
          <w:rFonts w:ascii="Times New Roman" w:hAnsi="Times New Roman" w:cs="Times New Roman"/>
          <w:sz w:val="22"/>
          <w:szCs w:val="22"/>
          <w:lang w:val="sk-SK"/>
        </w:rPr>
        <w:t>pečeňových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parametrov</w:t>
      </w:r>
      <w:r w:rsidR="003742CF" w:rsidRPr="00CC458C">
        <w:rPr>
          <w:rFonts w:ascii="Times New Roman" w:hAnsi="Times New Roman" w:cs="Times New Roman"/>
          <w:sz w:val="22"/>
          <w:szCs w:val="22"/>
          <w:lang w:val="sk-SK"/>
        </w:rPr>
        <w:t>, ako aj zvýšenie kreatinínu v sére a dusíka močoviny v krvi a</w:t>
      </w:r>
      <w:r w:rsidR="008E7426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3742CF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iné </w:t>
      </w:r>
      <w:r w:rsidR="00874E4F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odchýlky </w:t>
      </w:r>
      <w:r w:rsidR="003742CF" w:rsidRPr="00CC458C">
        <w:rPr>
          <w:rFonts w:ascii="Times New Roman" w:hAnsi="Times New Roman" w:cs="Times New Roman"/>
          <w:sz w:val="22"/>
          <w:szCs w:val="22"/>
          <w:lang w:val="sk-SK"/>
        </w:rPr>
        <w:t>v laboratórnych vyšetreniach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. </w:t>
      </w:r>
      <w:r w:rsidR="009F6591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Vo 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väčšin</w:t>
      </w:r>
      <w:r w:rsidR="009F6591" w:rsidRPr="00CC458C">
        <w:rPr>
          <w:rFonts w:ascii="Times New Roman" w:hAnsi="Times New Roman" w:cs="Times New Roman"/>
          <w:sz w:val="22"/>
          <w:szCs w:val="22"/>
          <w:lang w:val="sk-SK"/>
        </w:rPr>
        <w:t>e prípadov boli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t</w:t>
      </w:r>
      <w:r w:rsidR="009F6591" w:rsidRPr="00CC458C">
        <w:rPr>
          <w:rFonts w:ascii="Times New Roman" w:hAnsi="Times New Roman" w:cs="Times New Roman"/>
          <w:sz w:val="22"/>
          <w:szCs w:val="22"/>
          <w:lang w:val="sk-SK"/>
        </w:rPr>
        <w:t>ieto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odchýlk</w:t>
      </w:r>
      <w:r w:rsidR="009F6591" w:rsidRPr="00CC458C">
        <w:rPr>
          <w:rFonts w:ascii="Times New Roman" w:hAnsi="Times New Roman" w:cs="Times New Roman"/>
          <w:sz w:val="22"/>
          <w:szCs w:val="22"/>
          <w:lang w:val="sk-SK"/>
        </w:rPr>
        <w:t>y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mierneho a prechodného charakteru. Ak by ktorákoľvek z týchto odchýliek bola závažného alebo trvalého charakteru, je potrebné ukončiť podávanie </w:t>
      </w:r>
      <w:r w:rsidR="008E7426" w:rsidRPr="00CC458C">
        <w:rPr>
          <w:rFonts w:ascii="Times New Roman" w:hAnsi="Times New Roman" w:cs="Times New Roman"/>
          <w:sz w:val="22"/>
          <w:szCs w:val="22"/>
          <w:lang w:val="sk-SK"/>
        </w:rPr>
        <w:t>M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eloxi</w:t>
      </w:r>
      <w:r w:rsidR="008E7426" w:rsidRPr="00CC458C">
        <w:rPr>
          <w:rFonts w:ascii="Times New Roman" w:hAnsi="Times New Roman" w:cs="Times New Roman"/>
          <w:sz w:val="22"/>
          <w:szCs w:val="22"/>
          <w:lang w:val="sk-SK"/>
        </w:rPr>
        <w:t>c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amu</w:t>
      </w:r>
      <w:r w:rsidR="008E7426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Mylan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a vykonať príslušné vyšetrenia.</w:t>
      </w:r>
    </w:p>
    <w:p w14:paraId="62661060" w14:textId="77777777" w:rsidR="00241E08" w:rsidRPr="00CC458C" w:rsidRDefault="00241E08" w:rsidP="00A562EF">
      <w:pPr>
        <w:rPr>
          <w:rFonts w:ascii="Times New Roman" w:hAnsi="Times New Roman" w:cs="Times New Roman"/>
          <w:i/>
          <w:sz w:val="22"/>
          <w:szCs w:val="22"/>
          <w:lang w:val="sk-SK"/>
        </w:rPr>
      </w:pPr>
    </w:p>
    <w:p w14:paraId="008F0BAB" w14:textId="77777777" w:rsidR="000F3B5C" w:rsidRPr="00CC458C" w:rsidRDefault="000F3B5C" w:rsidP="009E09D0">
      <w:pPr>
        <w:keepNext/>
        <w:rPr>
          <w:rFonts w:ascii="Times New Roman" w:hAnsi="Times New Roman" w:cs="Times New Roman"/>
          <w:i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i/>
          <w:sz w:val="22"/>
          <w:szCs w:val="22"/>
          <w:lang w:val="sk-SK"/>
        </w:rPr>
        <w:t>Funkčné zlyhanie obličiek</w:t>
      </w:r>
    </w:p>
    <w:p w14:paraId="0ABF5BF7" w14:textId="77777777" w:rsidR="00B967F6" w:rsidRPr="00CC458C" w:rsidRDefault="00D91346" w:rsidP="00A562EF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Nesteroidové </w:t>
      </w:r>
      <w:r w:rsidR="00B967F6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antiflogistiká môžu prostredníctvom inhibície vazodilatačného účinku renálnych prostaglandínov vyvolať funkčné zlyhanie obličiek v dôsledku redukcie glomerulárnej filtrácie. Tento nežiaduci účinok je závislý od dávky. Na začiatku liečby alebo po zvýšení dávky lieku sa odporúča starostlivé monitorovanie diurézy a funkcie obličiek u pacientov s nasledujúcimi rizikovými faktormi: </w:t>
      </w:r>
    </w:p>
    <w:p w14:paraId="6A37D916" w14:textId="77777777" w:rsidR="00B967F6" w:rsidRPr="00CC458C" w:rsidRDefault="00B967F6" w:rsidP="00A562EF">
      <w:pPr>
        <w:numPr>
          <w:ilvl w:val="0"/>
          <w:numId w:val="9"/>
        </w:numPr>
        <w:tabs>
          <w:tab w:val="clear" w:pos="1065"/>
          <w:tab w:val="num" w:pos="480"/>
        </w:tabs>
        <w:ind w:hanging="825"/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lang w:val="sk-SK"/>
        </w:rPr>
        <w:t>starší pacienti</w:t>
      </w:r>
    </w:p>
    <w:p w14:paraId="7B901BD5" w14:textId="77777777" w:rsidR="00B967F6" w:rsidRPr="00CC458C" w:rsidRDefault="00B967F6" w:rsidP="00A562EF">
      <w:pPr>
        <w:pStyle w:val="Zarkazkladnhotextu2"/>
        <w:ind w:hanging="240"/>
        <w:rPr>
          <w:szCs w:val="22"/>
        </w:rPr>
      </w:pPr>
      <w:r w:rsidRPr="00CC458C">
        <w:rPr>
          <w:szCs w:val="22"/>
        </w:rPr>
        <w:t>-</w:t>
      </w:r>
      <w:r w:rsidRPr="00CC458C">
        <w:rPr>
          <w:szCs w:val="22"/>
        </w:rPr>
        <w:tab/>
        <w:t>súbežná liečba liekmi, ako ACE inhibítory, antagonist</w:t>
      </w:r>
      <w:r w:rsidR="002946E0" w:rsidRPr="00CC458C">
        <w:rPr>
          <w:szCs w:val="22"/>
        </w:rPr>
        <w:t>y</w:t>
      </w:r>
      <w:r w:rsidRPr="00CC458C">
        <w:rPr>
          <w:szCs w:val="22"/>
        </w:rPr>
        <w:t xml:space="preserve"> angiotenzínu II, sartany, diuretiká (pozri časť 4.5)</w:t>
      </w:r>
    </w:p>
    <w:p w14:paraId="6288C60B" w14:textId="77777777" w:rsidR="00B967F6" w:rsidRPr="00CC458C" w:rsidRDefault="00B967F6" w:rsidP="00A562EF">
      <w:pPr>
        <w:numPr>
          <w:ilvl w:val="0"/>
          <w:numId w:val="9"/>
        </w:numPr>
        <w:tabs>
          <w:tab w:val="clear" w:pos="1065"/>
          <w:tab w:val="num" w:pos="480"/>
        </w:tabs>
        <w:ind w:hanging="825"/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lang w:val="sk-SK"/>
        </w:rPr>
        <w:t>hypovolémia (z akejkoľvek príčiny)</w:t>
      </w:r>
    </w:p>
    <w:p w14:paraId="34228404" w14:textId="77777777" w:rsidR="00B967F6" w:rsidRPr="00CC458C" w:rsidRDefault="00B967F6" w:rsidP="00A562EF">
      <w:pPr>
        <w:numPr>
          <w:ilvl w:val="0"/>
          <w:numId w:val="9"/>
        </w:numPr>
        <w:tabs>
          <w:tab w:val="clear" w:pos="1065"/>
          <w:tab w:val="num" w:pos="480"/>
        </w:tabs>
        <w:ind w:hanging="825"/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lang w:val="sk-SK"/>
        </w:rPr>
        <w:t>kongestívne zlyhanie srdca</w:t>
      </w:r>
    </w:p>
    <w:p w14:paraId="2B2F5623" w14:textId="77777777" w:rsidR="00B967F6" w:rsidRPr="00CC458C" w:rsidRDefault="00B967F6" w:rsidP="00A562EF">
      <w:pPr>
        <w:numPr>
          <w:ilvl w:val="0"/>
          <w:numId w:val="9"/>
        </w:numPr>
        <w:tabs>
          <w:tab w:val="clear" w:pos="1065"/>
          <w:tab w:val="num" w:pos="480"/>
        </w:tabs>
        <w:ind w:hanging="825"/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lang w:val="sk-SK"/>
        </w:rPr>
        <w:t>renálne zlyhanie</w:t>
      </w:r>
    </w:p>
    <w:p w14:paraId="52083788" w14:textId="77777777" w:rsidR="00B967F6" w:rsidRPr="00CC458C" w:rsidRDefault="00B967F6" w:rsidP="00A562EF">
      <w:pPr>
        <w:numPr>
          <w:ilvl w:val="0"/>
          <w:numId w:val="9"/>
        </w:numPr>
        <w:tabs>
          <w:tab w:val="clear" w:pos="1065"/>
          <w:tab w:val="num" w:pos="480"/>
        </w:tabs>
        <w:ind w:hanging="825"/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lang w:val="sk-SK"/>
        </w:rPr>
        <w:t>nefrotický syndróm</w:t>
      </w:r>
    </w:p>
    <w:p w14:paraId="20474CCD" w14:textId="77777777" w:rsidR="00B967F6" w:rsidRPr="00CC458C" w:rsidRDefault="00B967F6" w:rsidP="00A562EF">
      <w:pPr>
        <w:numPr>
          <w:ilvl w:val="0"/>
          <w:numId w:val="9"/>
        </w:numPr>
        <w:tabs>
          <w:tab w:val="clear" w:pos="1065"/>
          <w:tab w:val="num" w:pos="480"/>
        </w:tabs>
        <w:ind w:hanging="825"/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lang w:val="sk-SK"/>
        </w:rPr>
        <w:t>nefropatia</w:t>
      </w:r>
      <w:r w:rsidR="00D87263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vyvolaná lupus erythematosus</w:t>
      </w:r>
    </w:p>
    <w:p w14:paraId="6A5A19A1" w14:textId="77777777" w:rsidR="00B967F6" w:rsidRPr="00CC458C" w:rsidRDefault="00B967F6" w:rsidP="00A562EF">
      <w:pPr>
        <w:numPr>
          <w:ilvl w:val="0"/>
          <w:numId w:val="9"/>
        </w:numPr>
        <w:tabs>
          <w:tab w:val="clear" w:pos="1065"/>
          <w:tab w:val="num" w:pos="426"/>
        </w:tabs>
        <w:ind w:left="426" w:hanging="142"/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lang w:val="sk-SK"/>
        </w:rPr>
        <w:t>závažn</w:t>
      </w:r>
      <w:r w:rsidR="0072160F" w:rsidRPr="00CC458C">
        <w:rPr>
          <w:rFonts w:ascii="Times New Roman" w:hAnsi="Times New Roman" w:cs="Times New Roman"/>
          <w:sz w:val="22"/>
          <w:szCs w:val="22"/>
          <w:lang w:val="sk-SK"/>
        </w:rPr>
        <w:t>á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po</w:t>
      </w:r>
      <w:r w:rsidR="0072160F" w:rsidRPr="00CC458C">
        <w:rPr>
          <w:rFonts w:ascii="Times New Roman" w:hAnsi="Times New Roman" w:cs="Times New Roman"/>
          <w:sz w:val="22"/>
          <w:szCs w:val="22"/>
          <w:lang w:val="sk-SK"/>
        </w:rPr>
        <w:t>rucha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funkcie pečene (hladina albumínu v sére &lt; 25 g/l alebo Child</w:t>
      </w:r>
      <w:r w:rsidR="002946E0" w:rsidRPr="00CC458C">
        <w:rPr>
          <w:rFonts w:ascii="Times New Roman" w:hAnsi="Times New Roman" w:cs="Times New Roman"/>
          <w:sz w:val="22"/>
          <w:szCs w:val="22"/>
          <w:lang w:val="sk-SK"/>
        </w:rPr>
        <w:t>ovo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-Pugh</w:t>
      </w:r>
      <w:r w:rsidR="002946E0" w:rsidRPr="00CC458C">
        <w:rPr>
          <w:rFonts w:ascii="Times New Roman" w:hAnsi="Times New Roman" w:cs="Times New Roman"/>
          <w:sz w:val="22"/>
          <w:szCs w:val="22"/>
          <w:lang w:val="sk-SK"/>
        </w:rPr>
        <w:t>ovo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skóre ≥ 10)</w:t>
      </w:r>
    </w:p>
    <w:p w14:paraId="1D96286E" w14:textId="77777777" w:rsidR="00B967F6" w:rsidRPr="00CC458C" w:rsidRDefault="00B967F6" w:rsidP="00A562EF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2499CFDE" w14:textId="77777777" w:rsidR="000F3B5C" w:rsidRPr="00CC458C" w:rsidRDefault="000F3B5C" w:rsidP="00A562EF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lang w:val="sk-SK"/>
        </w:rPr>
        <w:lastRenderedPageBreak/>
        <w:t xml:space="preserve">V zriedkavých prípadoch môžu byť </w:t>
      </w:r>
      <w:r w:rsidR="00D91346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nesteroidové 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antiflogistiká príčinou intersticiálnej nefritídy, glomerulonefritídy, renálnej medulárnej nekrózy alebo nefrotického syndrómu.</w:t>
      </w:r>
    </w:p>
    <w:p w14:paraId="3BC82B33" w14:textId="77777777" w:rsidR="00FC0C6F" w:rsidRPr="00CC458C" w:rsidRDefault="00FC0C6F" w:rsidP="00A562EF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092E1C2C" w14:textId="77777777" w:rsidR="00FC0C6F" w:rsidRPr="00CC458C" w:rsidRDefault="002F3599" w:rsidP="00A562EF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lang w:val="sk-SK"/>
        </w:rPr>
        <w:t>U pacientov s terminálnym zlyhaním obličiek na hemodialýze by dávka meloxikamu nemala byť vyššia ako 7,5 mg</w:t>
      </w:r>
      <w:r w:rsidR="00A12B65" w:rsidRPr="00CC458C">
        <w:rPr>
          <w:rFonts w:ascii="Times New Roman" w:hAnsi="Times New Roman" w:cs="Times New Roman"/>
          <w:sz w:val="22"/>
          <w:szCs w:val="22"/>
          <w:lang w:val="sk-SK"/>
        </w:rPr>
        <w:t>.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Nie je potrebné upravovať dávkovanie u pacientov s miernou až stredne závažnou poruchou funkcie obličiek (t</w:t>
      </w:r>
      <w:r w:rsidR="00A12B65" w:rsidRPr="00CC458C">
        <w:rPr>
          <w:rFonts w:ascii="Times New Roman" w:hAnsi="Times New Roman" w:cs="Times New Roman"/>
          <w:sz w:val="22"/>
          <w:szCs w:val="22"/>
          <w:lang w:val="sk-SK"/>
        </w:rPr>
        <w:t>.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j. u pacientov s klírensom kreatinínu vyšším ako 25 ml/min).</w:t>
      </w:r>
    </w:p>
    <w:p w14:paraId="48FB72E4" w14:textId="77777777" w:rsidR="000F3B5C" w:rsidRPr="00CC458C" w:rsidRDefault="000F3B5C" w:rsidP="00A562EF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7173636D" w14:textId="77777777" w:rsidR="000F3B5C" w:rsidRPr="00CC458C" w:rsidRDefault="007F0D49" w:rsidP="009E09D0">
      <w:pPr>
        <w:keepNext/>
        <w:rPr>
          <w:rFonts w:ascii="Times New Roman" w:hAnsi="Times New Roman" w:cs="Times New Roman"/>
          <w:i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i/>
          <w:sz w:val="22"/>
          <w:szCs w:val="22"/>
          <w:lang w:val="sk-SK"/>
        </w:rPr>
        <w:t>Retencia sodíka</w:t>
      </w:r>
      <w:r w:rsidR="004F74C0" w:rsidRPr="00CC458C">
        <w:rPr>
          <w:rFonts w:ascii="Times New Roman" w:hAnsi="Times New Roman" w:cs="Times New Roman"/>
          <w:i/>
          <w:sz w:val="22"/>
          <w:szCs w:val="22"/>
          <w:lang w:val="sk-SK"/>
        </w:rPr>
        <w:t>, draslíka</w:t>
      </w:r>
      <w:r w:rsidRPr="00CC458C">
        <w:rPr>
          <w:rFonts w:ascii="Times New Roman" w:hAnsi="Times New Roman" w:cs="Times New Roman"/>
          <w:i/>
          <w:sz w:val="22"/>
          <w:szCs w:val="22"/>
          <w:lang w:val="sk-SK"/>
        </w:rPr>
        <w:t xml:space="preserve"> a tekutín</w:t>
      </w:r>
    </w:p>
    <w:p w14:paraId="72BA3B30" w14:textId="77777777" w:rsidR="000F3B5C" w:rsidRPr="00CC458C" w:rsidRDefault="000F3B5C" w:rsidP="00A562EF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Pri liečbe </w:t>
      </w:r>
      <w:r w:rsidR="002E118B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nesteroidovými 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antiflogistikami môže dôjsť k indukcii </w:t>
      </w:r>
      <w:r w:rsidR="007F0D49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retencie sodíka, 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draslíka</w:t>
      </w:r>
      <w:r w:rsidR="007F0D49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a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tekutín a</w:t>
      </w:r>
      <w:r w:rsidR="007F0D49" w:rsidRPr="00CC458C">
        <w:rPr>
          <w:rFonts w:ascii="Times New Roman" w:hAnsi="Times New Roman" w:cs="Times New Roman"/>
          <w:sz w:val="22"/>
          <w:szCs w:val="22"/>
          <w:lang w:val="sk-SK"/>
        </w:rPr>
        <w:t> k 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interferencii s nátriuretickým účinkom </w:t>
      </w:r>
      <w:r w:rsidR="001F3E18" w:rsidRPr="00CC458C">
        <w:rPr>
          <w:rFonts w:ascii="Times New Roman" w:hAnsi="Times New Roman" w:cs="Times New Roman"/>
          <w:sz w:val="22"/>
          <w:szCs w:val="22"/>
          <w:lang w:val="sk-SK"/>
        </w:rPr>
        <w:t>diuretík. Okrem</w:t>
      </w:r>
      <w:r w:rsidR="00D7249B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toho sa môže vyskytnúť zníženie antihypertenzného účinku antihypertenzív (pozri časť 4.5). Následne u citlivých pacientov môžu ako výsledok vzniknúť alebo sa zhoršiť edémy, srdcové zlyhanie alebo hypertenzia. Preto je u rizikových pacientov potrebné klinické sledovanie 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(pozri časti </w:t>
      </w:r>
      <w:smartTag w:uri="urn:schemas-microsoft-com:office:smarttags" w:element="metricconverter">
        <w:smartTagPr>
          <w:attr w:name="ProductID" w:val="4.2 a"/>
        </w:smartTagPr>
        <w:r w:rsidRPr="00CC458C">
          <w:rPr>
            <w:rFonts w:ascii="Times New Roman" w:hAnsi="Times New Roman" w:cs="Times New Roman"/>
            <w:sz w:val="22"/>
            <w:szCs w:val="22"/>
            <w:lang w:val="sk-SK"/>
          </w:rPr>
          <w:t>4.2</w:t>
        </w:r>
        <w:r w:rsidR="00D7249B" w:rsidRPr="00CC458C">
          <w:rPr>
            <w:rFonts w:ascii="Times New Roman" w:hAnsi="Times New Roman" w:cs="Times New Roman"/>
            <w:sz w:val="22"/>
            <w:szCs w:val="22"/>
            <w:lang w:val="sk-SK"/>
          </w:rPr>
          <w:t xml:space="preserve"> a</w:t>
        </w:r>
      </w:smartTag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4.3).</w:t>
      </w:r>
    </w:p>
    <w:p w14:paraId="6D7DA489" w14:textId="77777777" w:rsidR="000F3B5C" w:rsidRPr="00CC458C" w:rsidRDefault="000F3B5C" w:rsidP="00A562EF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081DFE9B" w14:textId="77777777" w:rsidR="000F3B5C" w:rsidRPr="00CC458C" w:rsidRDefault="00BF7424" w:rsidP="009E09D0">
      <w:pPr>
        <w:keepNext/>
        <w:rPr>
          <w:rFonts w:ascii="Times New Roman" w:hAnsi="Times New Roman" w:cs="Times New Roman"/>
          <w:i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i/>
          <w:sz w:val="22"/>
          <w:szCs w:val="22"/>
          <w:lang w:val="sk-SK"/>
        </w:rPr>
        <w:t>Hyperkaliémia</w:t>
      </w:r>
    </w:p>
    <w:p w14:paraId="01BD23E7" w14:textId="77777777" w:rsidR="00B967F6" w:rsidRPr="00CC458C" w:rsidRDefault="00B967F6" w:rsidP="00A562EF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Rozvoj hyperkaliémie môže nastať v dôsledku </w:t>
      </w:r>
      <w:r w:rsidR="00BF7424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diabetu 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alebo súbežnej liečby, ktorá zvyšuje kaliémiu (pozri časť 4.5). V takých prípadoch je potrebné pravidelné sledovanie hladiny draslíka.</w:t>
      </w:r>
    </w:p>
    <w:p w14:paraId="5017131C" w14:textId="77777777" w:rsidR="00B967F6" w:rsidRPr="00CC458C" w:rsidRDefault="00B967F6" w:rsidP="00A562EF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2044E9E0" w14:textId="6417DAE9" w:rsidR="002E118B" w:rsidRPr="00CC458C" w:rsidRDefault="002E118B" w:rsidP="009E09D0">
      <w:pPr>
        <w:pStyle w:val="MGGTextLeft"/>
        <w:keepNext/>
        <w:rPr>
          <w:bCs/>
          <w:i/>
          <w:iCs/>
          <w:szCs w:val="22"/>
        </w:rPr>
      </w:pPr>
      <w:r w:rsidRPr="00CC458C">
        <w:rPr>
          <w:bCs/>
          <w:i/>
          <w:iCs/>
          <w:szCs w:val="22"/>
        </w:rPr>
        <w:t>Kombináci</w:t>
      </w:r>
      <w:r w:rsidR="00C37B59" w:rsidRPr="00CC458C">
        <w:rPr>
          <w:bCs/>
          <w:i/>
          <w:iCs/>
          <w:szCs w:val="22"/>
        </w:rPr>
        <w:t>a</w:t>
      </w:r>
      <w:r w:rsidRPr="00CC458C">
        <w:rPr>
          <w:bCs/>
          <w:i/>
          <w:iCs/>
          <w:szCs w:val="22"/>
        </w:rPr>
        <w:t xml:space="preserve"> s</w:t>
      </w:r>
      <w:r w:rsidR="00243021" w:rsidRPr="00CC458C">
        <w:rPr>
          <w:bCs/>
          <w:i/>
          <w:iCs/>
          <w:szCs w:val="22"/>
        </w:rPr>
        <w:t> </w:t>
      </w:r>
      <w:r w:rsidRPr="00CC458C">
        <w:rPr>
          <w:bCs/>
          <w:i/>
          <w:iCs/>
          <w:szCs w:val="22"/>
        </w:rPr>
        <w:t>pemetrexedom</w:t>
      </w:r>
    </w:p>
    <w:p w14:paraId="0ECCF28C" w14:textId="77777777" w:rsidR="007929E4" w:rsidRPr="00CC458C" w:rsidRDefault="002E118B" w:rsidP="002E118B">
      <w:pPr>
        <w:pStyle w:val="MGGTextLeft"/>
        <w:rPr>
          <w:bCs/>
          <w:iCs/>
          <w:szCs w:val="22"/>
          <w:lang w:val="sk-SK"/>
        </w:rPr>
      </w:pPr>
      <w:r w:rsidRPr="00CC458C">
        <w:rPr>
          <w:bCs/>
          <w:iCs/>
          <w:szCs w:val="22"/>
          <w:lang w:val="sk-SK"/>
        </w:rPr>
        <w:t>U pacientov s miernou až stredne závažnou renálnou insuficienciou dostávajúcich pemetrexed sa má liečba meloxikamom prerušiť najmenej 5</w:t>
      </w:r>
      <w:r w:rsidR="007929E4" w:rsidRPr="00CC458C">
        <w:rPr>
          <w:bCs/>
          <w:iCs/>
          <w:szCs w:val="22"/>
          <w:lang w:val="sk-SK"/>
        </w:rPr>
        <w:t> </w:t>
      </w:r>
      <w:r w:rsidRPr="00CC458C">
        <w:rPr>
          <w:bCs/>
          <w:iCs/>
          <w:szCs w:val="22"/>
          <w:lang w:val="sk-SK"/>
        </w:rPr>
        <w:t>dní pred, v</w:t>
      </w:r>
      <w:r w:rsidR="007929E4" w:rsidRPr="00CC458C">
        <w:rPr>
          <w:szCs w:val="22"/>
        </w:rPr>
        <w:t> </w:t>
      </w:r>
      <w:r w:rsidRPr="00CC458C">
        <w:rPr>
          <w:bCs/>
          <w:iCs/>
          <w:szCs w:val="22"/>
          <w:lang w:val="sk-SK"/>
        </w:rPr>
        <w:t xml:space="preserve">deň </w:t>
      </w:r>
      <w:r w:rsidR="006C6DAC" w:rsidRPr="00CC458C">
        <w:rPr>
          <w:bCs/>
          <w:iCs/>
          <w:szCs w:val="22"/>
          <w:lang w:val="sk-SK"/>
        </w:rPr>
        <w:t xml:space="preserve">podania </w:t>
      </w:r>
      <w:r w:rsidRPr="00CC458C">
        <w:rPr>
          <w:bCs/>
          <w:iCs/>
          <w:szCs w:val="22"/>
          <w:lang w:val="sk-SK"/>
        </w:rPr>
        <w:t>a</w:t>
      </w:r>
      <w:r w:rsidR="007929E4" w:rsidRPr="00CC458C">
        <w:rPr>
          <w:bCs/>
          <w:iCs/>
          <w:szCs w:val="22"/>
          <w:lang w:val="sk-SK"/>
        </w:rPr>
        <w:t> </w:t>
      </w:r>
      <w:r w:rsidRPr="00CC458C">
        <w:rPr>
          <w:bCs/>
          <w:iCs/>
          <w:szCs w:val="22"/>
          <w:lang w:val="sk-SK"/>
        </w:rPr>
        <w:t>najmenej 2</w:t>
      </w:r>
      <w:r w:rsidR="007929E4" w:rsidRPr="00CC458C">
        <w:rPr>
          <w:bCs/>
          <w:iCs/>
          <w:szCs w:val="22"/>
          <w:lang w:val="sk-SK"/>
        </w:rPr>
        <w:t> </w:t>
      </w:r>
      <w:r w:rsidRPr="00CC458C">
        <w:rPr>
          <w:bCs/>
          <w:iCs/>
          <w:szCs w:val="22"/>
          <w:lang w:val="sk-SK"/>
        </w:rPr>
        <w:t>dni po podaní pemetrexedu (pozri časť 4.5).</w:t>
      </w:r>
    </w:p>
    <w:p w14:paraId="678192DD" w14:textId="77777777" w:rsidR="00D564B3" w:rsidRPr="00CC458C" w:rsidRDefault="00D564B3" w:rsidP="00D564B3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70EC165A" w14:textId="77777777" w:rsidR="00A2170C" w:rsidRPr="00CC458C" w:rsidRDefault="00D66320" w:rsidP="009E09D0">
      <w:pPr>
        <w:keepNext/>
        <w:rPr>
          <w:rFonts w:ascii="Times New Roman" w:hAnsi="Times New Roman" w:cs="Times New Roman"/>
          <w:i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i/>
          <w:sz w:val="22"/>
          <w:szCs w:val="22"/>
          <w:lang w:val="sk-SK"/>
        </w:rPr>
        <w:t>Ďalšie upozornenia</w:t>
      </w:r>
      <w:r w:rsidR="00A2170C" w:rsidRPr="00CC458C">
        <w:rPr>
          <w:rFonts w:ascii="Times New Roman" w:hAnsi="Times New Roman" w:cs="Times New Roman"/>
          <w:sz w:val="22"/>
          <w:szCs w:val="22"/>
        </w:rPr>
        <w:t xml:space="preserve"> </w:t>
      </w:r>
      <w:r w:rsidR="00A2170C" w:rsidRPr="00CC458C">
        <w:rPr>
          <w:rFonts w:ascii="Times New Roman" w:hAnsi="Times New Roman" w:cs="Times New Roman"/>
          <w:i/>
          <w:sz w:val="22"/>
          <w:szCs w:val="22"/>
          <w:lang w:val="sk-SK"/>
        </w:rPr>
        <w:t>a opatrenia</w:t>
      </w:r>
    </w:p>
    <w:p w14:paraId="2C227461" w14:textId="77777777" w:rsidR="00D66320" w:rsidRPr="00CC458C" w:rsidRDefault="00A2170C" w:rsidP="00D564B3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Starší, menej odolní a oslabení pacienti obyčajne horšie tolerujú nežiaduce účinky, a preto si vyžadujú starostlivé sledovanie. Tak ako pri iných </w:t>
      </w:r>
      <w:r w:rsidR="002E118B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nesteroidových 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antiflogistikách, mimoriadna opatrnosť je potrebná, keď sa meloxikam podáva starším pacientom s</w:t>
      </w:r>
      <w:r w:rsidR="00BA7852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 častými 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poruch</w:t>
      </w:r>
      <w:r w:rsidR="00BA7852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ami 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funkcie obličiek, pečene a srdca. U starších pacientov je zvýšený výskyt nežiaducich účinkov po podaní NSAID, najmä výskyt gastrointestinálneho krvácania a perforácie, ktoré môžu byť </w:t>
      </w:r>
      <w:r w:rsidR="0072160F" w:rsidRPr="00CC458C">
        <w:rPr>
          <w:rFonts w:ascii="Times New Roman" w:hAnsi="Times New Roman" w:cs="Times New Roman"/>
          <w:sz w:val="22"/>
          <w:szCs w:val="22"/>
          <w:lang w:val="sk-SK"/>
        </w:rPr>
        <w:t>sm</w:t>
      </w:r>
      <w:r w:rsidR="00017389" w:rsidRPr="00CC458C">
        <w:rPr>
          <w:rFonts w:ascii="Times New Roman" w:hAnsi="Times New Roman" w:cs="Times New Roman"/>
          <w:sz w:val="22"/>
          <w:szCs w:val="22"/>
          <w:lang w:val="sk-SK"/>
        </w:rPr>
        <w:t>r</w:t>
      </w:r>
      <w:r w:rsidR="0072160F" w:rsidRPr="00CC458C">
        <w:rPr>
          <w:rFonts w:ascii="Times New Roman" w:hAnsi="Times New Roman" w:cs="Times New Roman"/>
          <w:sz w:val="22"/>
          <w:szCs w:val="22"/>
          <w:lang w:val="sk-SK"/>
        </w:rPr>
        <w:t>teľné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(pozri časť 4.2).</w:t>
      </w:r>
    </w:p>
    <w:p w14:paraId="40D7867A" w14:textId="77777777" w:rsidR="000F3B5C" w:rsidRPr="00CC458C" w:rsidRDefault="000F3B5C" w:rsidP="00A51A6B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274EDCF9" w14:textId="77777777" w:rsidR="00B967F6" w:rsidRPr="00CC458C" w:rsidRDefault="00B967F6" w:rsidP="00A51A6B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lang w:val="sk-SK"/>
        </w:rPr>
        <w:t>Meloxi</w:t>
      </w:r>
      <w:r w:rsidR="0072107E" w:rsidRPr="00CC458C">
        <w:rPr>
          <w:rFonts w:ascii="Times New Roman" w:hAnsi="Times New Roman" w:cs="Times New Roman"/>
          <w:sz w:val="22"/>
          <w:szCs w:val="22"/>
          <w:lang w:val="sk-SK"/>
        </w:rPr>
        <w:t>c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am</w:t>
      </w:r>
      <w:r w:rsidR="0072107E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Mylan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r w:rsidR="0072107E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tak 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ako iné </w:t>
      </w:r>
      <w:r w:rsidR="002E118B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nesteroidové 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antiflogistiká, môže maskovať príznaky už existujúceho infekčného ochorenia.</w:t>
      </w:r>
    </w:p>
    <w:p w14:paraId="17801074" w14:textId="77777777" w:rsidR="00B967F6" w:rsidRPr="00CC458C" w:rsidRDefault="00B967F6" w:rsidP="00A51A6B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2703FD5F" w14:textId="77777777" w:rsidR="00B967F6" w:rsidRPr="00CC458C" w:rsidRDefault="00B967F6" w:rsidP="00A51A6B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Užívanie </w:t>
      </w:r>
      <w:r w:rsidR="0072107E" w:rsidRPr="00CC458C">
        <w:rPr>
          <w:rFonts w:ascii="Times New Roman" w:hAnsi="Times New Roman" w:cs="Times New Roman"/>
          <w:sz w:val="22"/>
          <w:szCs w:val="22"/>
          <w:lang w:val="sk-SK"/>
        </w:rPr>
        <w:t>Meloxicamu Mylan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, podobne ako </w:t>
      </w:r>
      <w:r w:rsidR="0072107E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akéhokoľvek 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iného </w:t>
      </w:r>
      <w:r w:rsidR="0072107E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lieku, </w:t>
      </w:r>
      <w:r w:rsidR="00F95675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o ktorom je známe, že inhibuje 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cyklooxygenáz</w:t>
      </w:r>
      <w:r w:rsidR="00F95675" w:rsidRPr="00CC458C">
        <w:rPr>
          <w:rFonts w:ascii="Times New Roman" w:hAnsi="Times New Roman" w:cs="Times New Roman"/>
          <w:sz w:val="22"/>
          <w:szCs w:val="22"/>
          <w:lang w:val="sk-SK"/>
        </w:rPr>
        <w:t>u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/syntéz</w:t>
      </w:r>
      <w:r w:rsidR="00F95675" w:rsidRPr="00CC458C">
        <w:rPr>
          <w:rFonts w:ascii="Times New Roman" w:hAnsi="Times New Roman" w:cs="Times New Roman"/>
          <w:sz w:val="22"/>
          <w:szCs w:val="22"/>
          <w:lang w:val="sk-SK"/>
        </w:rPr>
        <w:t>u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prostaglandínov</w:t>
      </w:r>
      <w:r w:rsidR="00F95675" w:rsidRPr="00CC458C">
        <w:rPr>
          <w:rFonts w:ascii="Times New Roman" w:hAnsi="Times New Roman" w:cs="Times New Roman"/>
          <w:sz w:val="22"/>
          <w:szCs w:val="22"/>
          <w:lang w:val="sk-SK"/>
        </w:rPr>
        <w:t>,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môže znižovať plodnosť, a preto sa neodporúča u žien, ktoré sa snažia otehotnieť. U žien, ktoré majú problémy s otehotnením, alebo ktoré sa podrobujú vyšetreniam na zistenie príčiny neplodnosti, je potrebné zvážiť ukončenie liečby </w:t>
      </w:r>
      <w:r w:rsidR="00F95675" w:rsidRPr="00CC458C">
        <w:rPr>
          <w:rFonts w:ascii="Times New Roman" w:hAnsi="Times New Roman" w:cs="Times New Roman"/>
          <w:sz w:val="22"/>
          <w:szCs w:val="22"/>
          <w:lang w:val="sk-SK"/>
        </w:rPr>
        <w:t>Meloxicamom Mylan</w:t>
      </w:r>
      <w:r w:rsidR="002F3599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(pozri časť 4.6)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. </w:t>
      </w:r>
    </w:p>
    <w:p w14:paraId="5F1BE713" w14:textId="77777777" w:rsidR="00B967F6" w:rsidRPr="00CC458C" w:rsidRDefault="00B967F6" w:rsidP="00A51A6B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4C7C9B45" w14:textId="51BF9280" w:rsidR="00B967F6" w:rsidRPr="00CC458C" w:rsidRDefault="0072160F" w:rsidP="00A51A6B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lang w:val="sk-SK"/>
        </w:rPr>
        <w:t>Meloxicam Mylan</w:t>
      </w:r>
      <w:r w:rsidR="00B967F6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obsahuje laktózu. </w:t>
      </w:r>
      <w:r w:rsidR="00F95675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Pacienti so zriedkavými dedičnými problémami galaktózovej intolerancie, </w:t>
      </w:r>
      <w:r w:rsidR="00C37B59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celkovým </w:t>
      </w:r>
      <w:r w:rsidR="00F95675" w:rsidRPr="00CC458C">
        <w:rPr>
          <w:rFonts w:ascii="Times New Roman" w:hAnsi="Times New Roman" w:cs="Times New Roman"/>
          <w:sz w:val="22"/>
          <w:szCs w:val="22"/>
          <w:lang w:val="sk-SK"/>
        </w:rPr>
        <w:t>deficit</w:t>
      </w:r>
      <w:r w:rsidR="00C37B59" w:rsidRPr="00CC458C">
        <w:rPr>
          <w:rFonts w:ascii="Times New Roman" w:hAnsi="Times New Roman" w:cs="Times New Roman"/>
          <w:sz w:val="22"/>
          <w:szCs w:val="22"/>
          <w:lang w:val="sk-SK"/>
        </w:rPr>
        <w:t>om</w:t>
      </w:r>
      <w:r w:rsidR="00F95675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laktázy alebo glukózo-galaktózov</w:t>
      </w:r>
      <w:r w:rsidR="00C37B59" w:rsidRPr="00CC458C">
        <w:rPr>
          <w:rFonts w:ascii="Times New Roman" w:hAnsi="Times New Roman" w:cs="Times New Roman"/>
          <w:sz w:val="22"/>
          <w:szCs w:val="22"/>
          <w:lang w:val="sk-SK"/>
        </w:rPr>
        <w:t>ou</w:t>
      </w:r>
      <w:r w:rsidR="00F95675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malabsorpci</w:t>
      </w:r>
      <w:r w:rsidR="00C37B59" w:rsidRPr="00CC458C">
        <w:rPr>
          <w:rFonts w:ascii="Times New Roman" w:hAnsi="Times New Roman" w:cs="Times New Roman"/>
          <w:sz w:val="22"/>
          <w:szCs w:val="22"/>
          <w:lang w:val="sk-SK"/>
        </w:rPr>
        <w:t>ou</w:t>
      </w:r>
      <w:r w:rsidR="00F95675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nesmú užívať tento liek.</w:t>
      </w:r>
    </w:p>
    <w:p w14:paraId="635D77F6" w14:textId="77777777" w:rsidR="00143C5C" w:rsidRPr="00CC458C" w:rsidRDefault="00143C5C" w:rsidP="00A51A6B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13D006AA" w14:textId="77777777" w:rsidR="00B967F6" w:rsidRPr="00CC458C" w:rsidRDefault="00B967F6" w:rsidP="00CC458C">
      <w:pPr>
        <w:keepNext/>
        <w:tabs>
          <w:tab w:val="left" w:pos="567"/>
        </w:tabs>
        <w:outlineLvl w:val="3"/>
        <w:rPr>
          <w:rFonts w:ascii="Times New Roman" w:hAnsi="Times New Roman" w:cs="Times New Roman"/>
          <w:b/>
          <w:bCs w:val="0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b/>
          <w:bCs w:val="0"/>
          <w:sz w:val="22"/>
          <w:szCs w:val="22"/>
          <w:lang w:val="sk-SK"/>
        </w:rPr>
        <w:t>4.5</w:t>
      </w:r>
      <w:r w:rsidRPr="00CC458C">
        <w:rPr>
          <w:rFonts w:ascii="Times New Roman" w:hAnsi="Times New Roman" w:cs="Times New Roman"/>
          <w:b/>
          <w:bCs w:val="0"/>
          <w:sz w:val="22"/>
          <w:szCs w:val="22"/>
          <w:lang w:val="sk-SK"/>
        </w:rPr>
        <w:tab/>
        <w:t>Liekové a iné interakcie</w:t>
      </w:r>
    </w:p>
    <w:p w14:paraId="2E9C699F" w14:textId="77777777" w:rsidR="00B967F6" w:rsidRPr="00CC458C" w:rsidRDefault="00B967F6" w:rsidP="009E09D0">
      <w:pPr>
        <w:keepNext/>
        <w:tabs>
          <w:tab w:val="left" w:pos="360"/>
          <w:tab w:val="left" w:pos="600"/>
        </w:tabs>
        <w:rPr>
          <w:rFonts w:ascii="Times New Roman" w:hAnsi="Times New Roman" w:cs="Times New Roman"/>
          <w:sz w:val="22"/>
          <w:szCs w:val="22"/>
          <w:lang w:val="sk-SK"/>
        </w:rPr>
      </w:pPr>
    </w:p>
    <w:p w14:paraId="418CC5A3" w14:textId="77777777" w:rsidR="003E22FD" w:rsidRPr="00CC458C" w:rsidRDefault="003E22FD" w:rsidP="00995801">
      <w:pPr>
        <w:tabs>
          <w:tab w:val="left" w:pos="360"/>
          <w:tab w:val="left" w:pos="600"/>
        </w:tabs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Interakčné štúdie </w:t>
      </w:r>
      <w:r w:rsidR="0072160F" w:rsidRPr="00CC458C">
        <w:rPr>
          <w:rFonts w:ascii="Times New Roman" w:hAnsi="Times New Roman" w:cs="Times New Roman"/>
          <w:sz w:val="22"/>
          <w:szCs w:val="22"/>
          <w:lang w:val="sk-SK"/>
        </w:rPr>
        <w:t>sa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rob</w:t>
      </w:r>
      <w:r w:rsidR="0072160F" w:rsidRPr="00CC458C">
        <w:rPr>
          <w:rFonts w:ascii="Times New Roman" w:hAnsi="Times New Roman" w:cs="Times New Roman"/>
          <w:sz w:val="22"/>
          <w:szCs w:val="22"/>
          <w:lang w:val="sk-SK"/>
        </w:rPr>
        <w:t>ili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len </w:t>
      </w:r>
      <w:r w:rsidR="00995801" w:rsidRPr="00CC458C">
        <w:rPr>
          <w:rFonts w:ascii="Times New Roman" w:hAnsi="Times New Roman" w:cs="Times New Roman"/>
          <w:sz w:val="22"/>
          <w:szCs w:val="22"/>
          <w:lang w:val="sk-SK"/>
        </w:rPr>
        <w:t>u 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dospelých.</w:t>
      </w:r>
    </w:p>
    <w:p w14:paraId="5086E5FD" w14:textId="77777777" w:rsidR="00E4554B" w:rsidRPr="00CC458C" w:rsidRDefault="00E4554B" w:rsidP="00A562EF">
      <w:pPr>
        <w:tabs>
          <w:tab w:val="left" w:pos="360"/>
          <w:tab w:val="left" w:pos="600"/>
        </w:tabs>
        <w:rPr>
          <w:rFonts w:ascii="Times New Roman" w:hAnsi="Times New Roman" w:cs="Times New Roman"/>
          <w:sz w:val="22"/>
          <w:szCs w:val="22"/>
          <w:lang w:val="sk-SK"/>
        </w:rPr>
      </w:pPr>
    </w:p>
    <w:p w14:paraId="62320AB4" w14:textId="77777777" w:rsidR="003E22FD" w:rsidRPr="00CC458C" w:rsidRDefault="00E4554B" w:rsidP="00A562EF">
      <w:pPr>
        <w:tabs>
          <w:tab w:val="left" w:pos="360"/>
          <w:tab w:val="left" w:pos="600"/>
        </w:tabs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u w:val="single"/>
          <w:lang w:val="sk-SK"/>
        </w:rPr>
        <w:t>Riziko súvisiace s hyperkaliémiou</w:t>
      </w:r>
    </w:p>
    <w:p w14:paraId="34D17588" w14:textId="77777777" w:rsidR="00E4554B" w:rsidRPr="00CC458C" w:rsidRDefault="00E4554B" w:rsidP="00A562EF">
      <w:pPr>
        <w:tabs>
          <w:tab w:val="left" w:pos="360"/>
          <w:tab w:val="left" w:pos="600"/>
        </w:tabs>
        <w:rPr>
          <w:rFonts w:ascii="Times New Roman" w:hAnsi="Times New Roman" w:cs="Times New Roman"/>
          <w:sz w:val="22"/>
          <w:szCs w:val="22"/>
          <w:lang w:val="sk-SK"/>
        </w:rPr>
      </w:pPr>
    </w:p>
    <w:p w14:paraId="6296A996" w14:textId="441A7A07" w:rsidR="00E4554B" w:rsidRPr="00CC458C" w:rsidRDefault="00E4554B" w:rsidP="00A562EF">
      <w:pPr>
        <w:tabs>
          <w:tab w:val="left" w:pos="360"/>
          <w:tab w:val="left" w:pos="600"/>
        </w:tabs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lang w:val="sk-SK"/>
        </w:rPr>
        <w:t>Niektoré lieky alebo terapeutick</w:t>
      </w:r>
      <w:r w:rsidR="00CC3903" w:rsidRPr="00CC458C">
        <w:rPr>
          <w:rFonts w:ascii="Times New Roman" w:hAnsi="Times New Roman" w:cs="Times New Roman"/>
          <w:sz w:val="22"/>
          <w:szCs w:val="22"/>
          <w:lang w:val="sk-SK"/>
        </w:rPr>
        <w:t>é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skupiny môžu podporovať hyperkaliémiu: draselné soli, draslík šetriace diuretiká, inhibítory enzýmu konvertujúceho angiotenzín (ACE), antagonisty angiotenzínu II, nesteroid</w:t>
      </w:r>
      <w:r w:rsidR="00995801" w:rsidRPr="00CC458C">
        <w:rPr>
          <w:rFonts w:ascii="Times New Roman" w:hAnsi="Times New Roman" w:cs="Times New Roman"/>
          <w:sz w:val="22"/>
          <w:szCs w:val="22"/>
          <w:lang w:val="sk-SK"/>
        </w:rPr>
        <w:t>ov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é </w:t>
      </w:r>
      <w:r w:rsidR="00995801" w:rsidRPr="00CC458C">
        <w:rPr>
          <w:rFonts w:ascii="Times New Roman" w:hAnsi="Times New Roman" w:cs="Times New Roman"/>
          <w:sz w:val="22"/>
          <w:szCs w:val="22"/>
          <w:lang w:val="sk-SK"/>
        </w:rPr>
        <w:t>antiflogistiká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, (s</w:t>
      </w:r>
      <w:r w:rsidR="00995801" w:rsidRPr="00CC458C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nízkou molekulárnou hmotnosťou alebo nefrakcionovaný) heparíny, cyklosporín, takrolimus a</w:t>
      </w:r>
      <w:r w:rsidR="00995801" w:rsidRPr="00CC458C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trimetoprim.</w:t>
      </w:r>
    </w:p>
    <w:p w14:paraId="48F4CEC3" w14:textId="77777777" w:rsidR="00E4554B" w:rsidRPr="00CC458C" w:rsidRDefault="00E4554B" w:rsidP="00A562EF">
      <w:pPr>
        <w:tabs>
          <w:tab w:val="left" w:pos="360"/>
          <w:tab w:val="left" w:pos="600"/>
        </w:tabs>
        <w:rPr>
          <w:rFonts w:ascii="Times New Roman" w:hAnsi="Times New Roman" w:cs="Times New Roman"/>
          <w:sz w:val="22"/>
          <w:szCs w:val="22"/>
          <w:lang w:val="sk-SK"/>
        </w:rPr>
      </w:pPr>
    </w:p>
    <w:p w14:paraId="72ACDE90" w14:textId="77777777" w:rsidR="00E4554B" w:rsidRPr="00CC458C" w:rsidRDefault="00E4554B" w:rsidP="00A562EF">
      <w:pPr>
        <w:tabs>
          <w:tab w:val="left" w:pos="360"/>
          <w:tab w:val="left" w:pos="600"/>
        </w:tabs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lang w:val="sk-SK"/>
        </w:rPr>
        <w:t>Nástup hyperkaliémie môže závisieť na súvisiacich faktoroch.</w:t>
      </w:r>
    </w:p>
    <w:p w14:paraId="6CE31E57" w14:textId="77777777" w:rsidR="00E4554B" w:rsidRPr="00CC458C" w:rsidRDefault="00E4554B" w:rsidP="00A562EF">
      <w:pPr>
        <w:tabs>
          <w:tab w:val="left" w:pos="360"/>
          <w:tab w:val="left" w:pos="600"/>
        </w:tabs>
        <w:rPr>
          <w:rFonts w:ascii="Times New Roman" w:hAnsi="Times New Roman" w:cs="Times New Roman"/>
          <w:sz w:val="22"/>
          <w:szCs w:val="22"/>
          <w:lang w:val="sk-SK"/>
        </w:rPr>
      </w:pPr>
    </w:p>
    <w:p w14:paraId="600FDC53" w14:textId="77777777" w:rsidR="00E4554B" w:rsidRPr="00CC458C" w:rsidRDefault="00E4554B" w:rsidP="00A562EF">
      <w:pPr>
        <w:tabs>
          <w:tab w:val="left" w:pos="360"/>
          <w:tab w:val="left" w:pos="600"/>
        </w:tabs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lang w:val="sk-SK"/>
        </w:rPr>
        <w:t>Toto riziko sa zvyšuje, keď vyššie uvedené lieky, sú podávané súčasne s</w:t>
      </w:r>
      <w:r w:rsidR="00995801" w:rsidRPr="00CC458C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meloxikamom.</w:t>
      </w:r>
    </w:p>
    <w:p w14:paraId="7D53FDB2" w14:textId="77777777" w:rsidR="00B967F6" w:rsidRPr="00CC458C" w:rsidRDefault="00B967F6" w:rsidP="009E09D0">
      <w:pPr>
        <w:keepNext/>
        <w:rPr>
          <w:rFonts w:ascii="Times New Roman" w:hAnsi="Times New Roman" w:cs="Times New Roman"/>
          <w:iCs/>
          <w:sz w:val="22"/>
          <w:szCs w:val="22"/>
          <w:u w:val="single"/>
          <w:lang w:val="sk-SK"/>
        </w:rPr>
      </w:pPr>
      <w:r w:rsidRPr="00CC458C">
        <w:rPr>
          <w:rFonts w:ascii="Times New Roman" w:hAnsi="Times New Roman" w:cs="Times New Roman"/>
          <w:iCs/>
          <w:sz w:val="22"/>
          <w:szCs w:val="22"/>
          <w:u w:val="single"/>
          <w:lang w:val="sk-SK"/>
        </w:rPr>
        <w:lastRenderedPageBreak/>
        <w:t>Farmakodynamické interakcie</w:t>
      </w:r>
    </w:p>
    <w:p w14:paraId="1A3897D1" w14:textId="77777777" w:rsidR="00B967F6" w:rsidRPr="00CC458C" w:rsidRDefault="00B967F6" w:rsidP="009E09D0">
      <w:pPr>
        <w:keepNext/>
        <w:rPr>
          <w:rFonts w:ascii="Times New Roman" w:hAnsi="Times New Roman" w:cs="Times New Roman"/>
          <w:i/>
          <w:sz w:val="22"/>
          <w:szCs w:val="22"/>
          <w:lang w:val="sk-SK"/>
        </w:rPr>
      </w:pPr>
    </w:p>
    <w:p w14:paraId="0824F409" w14:textId="77777777" w:rsidR="000653C2" w:rsidRPr="00CC458C" w:rsidRDefault="000653C2" w:rsidP="0040611E">
      <w:pPr>
        <w:rPr>
          <w:rFonts w:ascii="Times New Roman" w:hAnsi="Times New Roman" w:cs="Times New Roman"/>
          <w:i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i/>
          <w:sz w:val="22"/>
          <w:szCs w:val="22"/>
          <w:lang w:val="sk-SK"/>
        </w:rPr>
        <w:t xml:space="preserve">Iné </w:t>
      </w:r>
      <w:r w:rsidR="00D91346" w:rsidRPr="00CC458C">
        <w:rPr>
          <w:rFonts w:ascii="Times New Roman" w:hAnsi="Times New Roman" w:cs="Times New Roman"/>
          <w:i/>
          <w:sz w:val="22"/>
          <w:szCs w:val="22"/>
          <w:lang w:val="sk-SK"/>
        </w:rPr>
        <w:t xml:space="preserve">nesteroidové </w:t>
      </w:r>
      <w:r w:rsidRPr="00CC458C">
        <w:rPr>
          <w:rFonts w:ascii="Times New Roman" w:hAnsi="Times New Roman" w:cs="Times New Roman"/>
          <w:i/>
          <w:sz w:val="22"/>
          <w:szCs w:val="22"/>
          <w:lang w:val="sk-SK"/>
        </w:rPr>
        <w:t xml:space="preserve">antiflogistiká (NSAID) </w:t>
      </w:r>
      <w:r w:rsidR="00995801" w:rsidRPr="00CC458C">
        <w:rPr>
          <w:rFonts w:ascii="Times New Roman" w:hAnsi="Times New Roman" w:cs="Times New Roman"/>
          <w:i/>
          <w:sz w:val="22"/>
          <w:szCs w:val="22"/>
          <w:lang w:val="sk-SK"/>
        </w:rPr>
        <w:t>a </w:t>
      </w:r>
      <w:r w:rsidRPr="00CC458C">
        <w:rPr>
          <w:rFonts w:ascii="Times New Roman" w:hAnsi="Times New Roman" w:cs="Times New Roman"/>
          <w:i/>
          <w:sz w:val="22"/>
          <w:szCs w:val="22"/>
          <w:lang w:val="sk-SK"/>
        </w:rPr>
        <w:t>kyselina acetylsalicylová</w:t>
      </w:r>
      <w:r w:rsidR="00A51A6B" w:rsidRPr="00CC458C">
        <w:rPr>
          <w:rFonts w:ascii="Times New Roman" w:hAnsi="Times New Roman" w:cs="Times New Roman"/>
          <w:i/>
          <w:sz w:val="22"/>
          <w:szCs w:val="22"/>
          <w:lang w:val="sk-SK"/>
        </w:rPr>
        <w:t>:</w:t>
      </w:r>
    </w:p>
    <w:p w14:paraId="0CB2BF36" w14:textId="77777777" w:rsidR="0072160F" w:rsidRPr="00CC458C" w:rsidRDefault="0072160F" w:rsidP="00995801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lang w:val="sk-SK"/>
        </w:rPr>
        <w:t>S</w:t>
      </w:r>
      <w:r w:rsidR="000653C2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úbežné podanie (pozri </w:t>
      </w:r>
      <w:r w:rsidR="00995801" w:rsidRPr="00CC458C">
        <w:rPr>
          <w:rFonts w:ascii="Times New Roman" w:hAnsi="Times New Roman" w:cs="Times New Roman"/>
          <w:sz w:val="22"/>
          <w:szCs w:val="22"/>
          <w:lang w:val="sk-SK"/>
        </w:rPr>
        <w:t>časť </w:t>
      </w:r>
      <w:r w:rsidR="000653C2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4.4) </w:t>
      </w:r>
      <w:r w:rsidR="00995801" w:rsidRPr="00CC458C">
        <w:rPr>
          <w:rFonts w:ascii="Times New Roman" w:hAnsi="Times New Roman" w:cs="Times New Roman"/>
          <w:sz w:val="22"/>
          <w:szCs w:val="22"/>
          <w:lang w:val="sk-SK"/>
        </w:rPr>
        <w:t>s </w:t>
      </w:r>
      <w:r w:rsidR="000653C2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inými </w:t>
      </w:r>
      <w:r w:rsidR="00D91346" w:rsidRPr="00CC458C">
        <w:rPr>
          <w:rFonts w:ascii="Times New Roman" w:hAnsi="Times New Roman" w:cs="Times New Roman"/>
          <w:sz w:val="22"/>
          <w:szCs w:val="22"/>
          <w:lang w:val="sk-SK"/>
        </w:rPr>
        <w:t>nesteroidovými antiflogistikami</w:t>
      </w:r>
      <w:r w:rsidR="000653C2" w:rsidRPr="00CC458C">
        <w:rPr>
          <w:rFonts w:ascii="Times New Roman" w:hAnsi="Times New Roman" w:cs="Times New Roman"/>
          <w:sz w:val="22"/>
          <w:szCs w:val="22"/>
          <w:lang w:val="sk-SK"/>
        </w:rPr>
        <w:t>, vrátane kyseliny acetylsalicylovej ≥</w:t>
      </w:r>
      <w:r w:rsidR="00A51A6B" w:rsidRPr="00CC458C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="0053195B" w:rsidRPr="00CC458C">
        <w:rPr>
          <w:rFonts w:ascii="Times New Roman" w:hAnsi="Times New Roman" w:cs="Times New Roman"/>
          <w:sz w:val="22"/>
          <w:szCs w:val="22"/>
          <w:lang w:val="sk-SK"/>
        </w:rPr>
        <w:t>500 </w:t>
      </w:r>
      <w:r w:rsidR="00D906B8" w:rsidRPr="00CC458C">
        <w:rPr>
          <w:rFonts w:ascii="Times New Roman" w:hAnsi="Times New Roman" w:cs="Times New Roman"/>
          <w:sz w:val="22"/>
          <w:szCs w:val="22"/>
          <w:lang w:val="sk-SK"/>
        </w:rPr>
        <w:t>m</w:t>
      </w:r>
      <w:r w:rsidR="000653C2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g </w:t>
      </w:r>
      <w:r w:rsidR="00AA2BB9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jednorazovo </w:t>
      </w:r>
      <w:r w:rsidR="000653C2" w:rsidRPr="00CC458C">
        <w:rPr>
          <w:rFonts w:ascii="Times New Roman" w:hAnsi="Times New Roman" w:cs="Times New Roman"/>
          <w:sz w:val="22"/>
          <w:szCs w:val="22"/>
          <w:lang w:val="sk-SK"/>
        </w:rPr>
        <w:t>alebo ≥</w:t>
      </w:r>
      <w:r w:rsidR="00A51A6B" w:rsidRPr="00CC458C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="000653C2" w:rsidRPr="00CC458C">
        <w:rPr>
          <w:rFonts w:ascii="Times New Roman" w:hAnsi="Times New Roman" w:cs="Times New Roman"/>
          <w:sz w:val="22"/>
          <w:szCs w:val="22"/>
          <w:lang w:val="sk-SK"/>
        </w:rPr>
        <w:t>3</w:t>
      </w:r>
      <w:r w:rsidR="0053195B" w:rsidRPr="00CC458C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="000653C2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g ako celková denná dávka) sa neodporúča. 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Podávanie viacerých druhov NSAID súbežne môže zvýšiť riziko gastrointestinálnych vredov a krvácania, prostredníctvom synerg</w:t>
      </w:r>
      <w:r w:rsidR="00017389" w:rsidRPr="00CC458C">
        <w:rPr>
          <w:rFonts w:ascii="Times New Roman" w:hAnsi="Times New Roman" w:cs="Times New Roman"/>
          <w:sz w:val="22"/>
          <w:szCs w:val="22"/>
          <w:lang w:val="sk-SK"/>
        </w:rPr>
        <w:t>ické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ho účinku.</w:t>
      </w:r>
    </w:p>
    <w:p w14:paraId="405E2819" w14:textId="77777777" w:rsidR="00B967F6" w:rsidRPr="00CC458C" w:rsidRDefault="00B967F6" w:rsidP="000E4141">
      <w:pPr>
        <w:rPr>
          <w:rFonts w:ascii="Times New Roman" w:hAnsi="Times New Roman" w:cs="Times New Roman"/>
          <w:i/>
          <w:sz w:val="22"/>
          <w:szCs w:val="22"/>
          <w:lang w:val="sk-SK"/>
        </w:rPr>
      </w:pPr>
    </w:p>
    <w:p w14:paraId="77352ABC" w14:textId="77777777" w:rsidR="004B3483" w:rsidRPr="00CC458C" w:rsidRDefault="00B967F6" w:rsidP="009E09D0">
      <w:pPr>
        <w:keepNext/>
        <w:rPr>
          <w:rFonts w:ascii="Times New Roman" w:hAnsi="Times New Roman" w:cs="Times New Roman"/>
          <w:i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i/>
          <w:sz w:val="22"/>
          <w:szCs w:val="22"/>
          <w:lang w:val="sk-SK"/>
        </w:rPr>
        <w:t>Kortikosteroidy</w:t>
      </w:r>
      <w:r w:rsidR="0072160F" w:rsidRPr="00CC458C">
        <w:rPr>
          <w:rFonts w:ascii="Times New Roman" w:hAnsi="Times New Roman" w:cs="Times New Roman"/>
          <w:i/>
          <w:sz w:val="22"/>
          <w:szCs w:val="22"/>
          <w:lang w:val="sk-SK"/>
        </w:rPr>
        <w:t xml:space="preserve"> </w:t>
      </w:r>
      <w:r w:rsidR="004B3483" w:rsidRPr="00CC458C">
        <w:rPr>
          <w:rFonts w:ascii="Times New Roman" w:hAnsi="Times New Roman" w:cs="Times New Roman"/>
          <w:i/>
          <w:sz w:val="22"/>
          <w:szCs w:val="22"/>
          <w:lang w:val="sk-SK"/>
        </w:rPr>
        <w:t>(napr. glukokortikoidy):</w:t>
      </w:r>
    </w:p>
    <w:p w14:paraId="4DB55E77" w14:textId="77777777" w:rsidR="00B967F6" w:rsidRPr="00CC458C" w:rsidRDefault="004B3483" w:rsidP="00470750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Súbežné podávanie </w:t>
      </w:r>
      <w:r w:rsidR="0053195B" w:rsidRPr="00CC458C">
        <w:rPr>
          <w:rFonts w:ascii="Times New Roman" w:hAnsi="Times New Roman" w:cs="Times New Roman"/>
          <w:sz w:val="22"/>
          <w:szCs w:val="22"/>
          <w:lang w:val="sk-SK"/>
        </w:rPr>
        <w:t>s</w:t>
      </w:r>
      <w:r w:rsidR="0053195B" w:rsidRPr="00CC458C">
        <w:rPr>
          <w:rFonts w:ascii="Times New Roman" w:hAnsi="Times New Roman" w:cs="Times New Roman"/>
          <w:sz w:val="22"/>
          <w:szCs w:val="22"/>
        </w:rPr>
        <w:t> 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kortikosteroidmi vyžaduje opatrnosť, kvôli zvýšenému riziku krvácania alebo gastrointestinálnej ulcerácie.</w:t>
      </w:r>
    </w:p>
    <w:p w14:paraId="41F5D1EC" w14:textId="77777777" w:rsidR="00B967F6" w:rsidRPr="00CC458C" w:rsidRDefault="00B967F6" w:rsidP="00703BAD">
      <w:pPr>
        <w:rPr>
          <w:rFonts w:ascii="Times New Roman" w:hAnsi="Times New Roman" w:cs="Times New Roman"/>
          <w:i/>
          <w:sz w:val="22"/>
          <w:szCs w:val="22"/>
          <w:lang w:val="sk-SK"/>
        </w:rPr>
      </w:pPr>
    </w:p>
    <w:p w14:paraId="0E832AA5" w14:textId="77777777" w:rsidR="00627DAF" w:rsidRPr="00CC458C" w:rsidRDefault="00627DAF" w:rsidP="009E09D0">
      <w:pPr>
        <w:keepNext/>
        <w:rPr>
          <w:rFonts w:ascii="Times New Roman" w:hAnsi="Times New Roman" w:cs="Times New Roman"/>
          <w:i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i/>
          <w:sz w:val="22"/>
          <w:szCs w:val="22"/>
          <w:lang w:val="sk-SK"/>
        </w:rPr>
        <w:t>Antikoagulanciá alebo heparín:</w:t>
      </w:r>
    </w:p>
    <w:p w14:paraId="5907C299" w14:textId="77777777" w:rsidR="00627DAF" w:rsidRPr="00CC458C" w:rsidRDefault="00627DAF" w:rsidP="00703BAD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Podstatne zvýšené riziko krvácania, spôsobené inhibíciou funkcie krvných doštičiek a poškodením gastroduodenálnej sliznice. </w:t>
      </w:r>
      <w:r w:rsidR="0072160F" w:rsidRPr="00CC458C">
        <w:rPr>
          <w:rFonts w:ascii="Times New Roman" w:hAnsi="Times New Roman" w:cs="Times New Roman"/>
          <w:sz w:val="22"/>
          <w:szCs w:val="22"/>
          <w:lang w:val="sk-SK"/>
        </w:rPr>
        <w:t>NSAID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môžu zvýšiť účinok antikoagulancií ako </w:t>
      </w:r>
      <w:r w:rsidR="00D906B8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sú 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warfarín (pozri časť 4.4)</w:t>
      </w:r>
      <w:r w:rsidR="00A51A6B" w:rsidRPr="00CC458C">
        <w:rPr>
          <w:rFonts w:ascii="Times New Roman" w:hAnsi="Times New Roman" w:cs="Times New Roman"/>
          <w:sz w:val="22"/>
          <w:szCs w:val="22"/>
          <w:lang w:val="sk-SK"/>
        </w:rPr>
        <w:t>,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D906B8" w:rsidRPr="00CC458C">
        <w:rPr>
          <w:rFonts w:ascii="Times New Roman" w:hAnsi="Times New Roman" w:cs="Times New Roman"/>
          <w:sz w:val="22"/>
          <w:szCs w:val="22"/>
          <w:lang w:val="sk-SK"/>
        </w:rPr>
        <w:t>priame inhibítory trombínu (napr. dabigatran)</w:t>
      </w:r>
      <w:r w:rsidR="00A51A6B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D906B8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alebo inhibítory faktoru Xa (napr. apixaban). 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Súbežné podávanie </w:t>
      </w:r>
      <w:r w:rsidR="0072160F" w:rsidRPr="00CC458C">
        <w:rPr>
          <w:rFonts w:ascii="Times New Roman" w:hAnsi="Times New Roman" w:cs="Times New Roman"/>
          <w:sz w:val="22"/>
          <w:szCs w:val="22"/>
          <w:lang w:val="sk-SK"/>
        </w:rPr>
        <w:t>NSAID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a antikoagulancií alebo heparínu v geriatrii alebo v liečebných dávkach sa neodporúča (pozri časť 4.4). </w:t>
      </w:r>
    </w:p>
    <w:p w14:paraId="19C14C70" w14:textId="77777777" w:rsidR="00C35D39" w:rsidRPr="00CC458C" w:rsidRDefault="00C35D39" w:rsidP="00703BAD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279E2AE6" w14:textId="77777777" w:rsidR="00D906B8" w:rsidRPr="00CC458C" w:rsidRDefault="00627DAF" w:rsidP="00D564B3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V zostávajúcich prípadoch </w:t>
      </w:r>
      <w:r w:rsidR="00D906B8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(napr. preventívne dávky) 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použitia heparínu, je potrebná opatrnosť vzhľadom </w:t>
      </w:r>
      <w:r w:rsidR="0072160F" w:rsidRPr="00CC458C">
        <w:rPr>
          <w:rFonts w:ascii="Times New Roman" w:hAnsi="Times New Roman" w:cs="Times New Roman"/>
          <w:sz w:val="22"/>
          <w:szCs w:val="22"/>
          <w:lang w:val="sk-SK"/>
        </w:rPr>
        <w:t>na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zvýšené</w:t>
      </w:r>
      <w:r w:rsidR="0072160F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rizik</w:t>
      </w:r>
      <w:r w:rsidR="0072160F" w:rsidRPr="00CC458C">
        <w:rPr>
          <w:rFonts w:ascii="Times New Roman" w:hAnsi="Times New Roman" w:cs="Times New Roman"/>
          <w:sz w:val="22"/>
          <w:szCs w:val="22"/>
          <w:lang w:val="sk-SK"/>
        </w:rPr>
        <w:t>o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krvácania.</w:t>
      </w:r>
    </w:p>
    <w:p w14:paraId="79E07498" w14:textId="77777777" w:rsidR="00D906B8" w:rsidRPr="00CC458C" w:rsidRDefault="00D906B8" w:rsidP="00D564B3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32E5F084" w14:textId="77777777" w:rsidR="00B967F6" w:rsidRPr="00CC458C" w:rsidRDefault="00B967F6" w:rsidP="00A51A6B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Ak nie je možné vyhnúť sa tejto kombinácii liekov, je potrebné starostlivo sledovať hodnotu INR. </w:t>
      </w:r>
    </w:p>
    <w:p w14:paraId="3A48D730" w14:textId="77777777" w:rsidR="00B967F6" w:rsidRPr="00CC458C" w:rsidRDefault="00B967F6" w:rsidP="00A51A6B">
      <w:pPr>
        <w:rPr>
          <w:rFonts w:ascii="Times New Roman" w:hAnsi="Times New Roman" w:cs="Times New Roman"/>
          <w:i/>
          <w:sz w:val="22"/>
          <w:szCs w:val="22"/>
          <w:lang w:val="sk-SK"/>
        </w:rPr>
      </w:pPr>
    </w:p>
    <w:p w14:paraId="1774211C" w14:textId="77777777" w:rsidR="00B967F6" w:rsidRPr="00CC458C" w:rsidRDefault="00B967F6" w:rsidP="009E09D0">
      <w:pPr>
        <w:keepNext/>
        <w:rPr>
          <w:rFonts w:ascii="Times New Roman" w:hAnsi="Times New Roman" w:cs="Times New Roman"/>
          <w:i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i/>
          <w:sz w:val="22"/>
          <w:szCs w:val="22"/>
          <w:lang w:val="sk-SK"/>
        </w:rPr>
        <w:t>Trombolytiká a</w:t>
      </w:r>
      <w:r w:rsidR="007B1C8F" w:rsidRPr="00CC458C">
        <w:rPr>
          <w:rFonts w:ascii="Times New Roman" w:hAnsi="Times New Roman" w:cs="Times New Roman"/>
          <w:i/>
          <w:sz w:val="22"/>
          <w:szCs w:val="22"/>
          <w:lang w:val="sk-SK"/>
        </w:rPr>
        <w:t xml:space="preserve"> antiagreganciá trombocytov</w:t>
      </w:r>
      <w:r w:rsidRPr="00CC458C">
        <w:rPr>
          <w:rFonts w:ascii="Times New Roman" w:hAnsi="Times New Roman" w:cs="Times New Roman"/>
          <w:i/>
          <w:sz w:val="22"/>
          <w:szCs w:val="22"/>
          <w:lang w:val="sk-SK"/>
        </w:rPr>
        <w:t>:</w:t>
      </w:r>
    </w:p>
    <w:p w14:paraId="5D26EC63" w14:textId="0819D0F2" w:rsidR="00B967F6" w:rsidRPr="00CC458C" w:rsidRDefault="00B967F6" w:rsidP="00A51A6B">
      <w:pPr>
        <w:rPr>
          <w:rFonts w:ascii="Times New Roman" w:hAnsi="Times New Roman" w:cs="Times New Roman"/>
          <w:i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Zvýšené riziko krvácania </w:t>
      </w:r>
      <w:r w:rsidR="00645B2A" w:rsidRPr="00CC458C">
        <w:rPr>
          <w:rFonts w:ascii="Times New Roman" w:hAnsi="Times New Roman" w:cs="Times New Roman"/>
          <w:sz w:val="22"/>
          <w:szCs w:val="22"/>
          <w:lang w:val="sk-SK"/>
        </w:rPr>
        <w:t>v dôsledku inhibície funkcie krvných doštičiek a poškodeni</w:t>
      </w:r>
      <w:r w:rsidR="00A16E7B" w:rsidRPr="00CC458C">
        <w:rPr>
          <w:rFonts w:ascii="Times New Roman" w:hAnsi="Times New Roman" w:cs="Times New Roman"/>
          <w:sz w:val="22"/>
          <w:szCs w:val="22"/>
          <w:lang w:val="sk-SK"/>
        </w:rPr>
        <w:t>a</w:t>
      </w:r>
      <w:r w:rsidR="00645B2A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gastroduodenálnej sliznice.</w:t>
      </w:r>
    </w:p>
    <w:p w14:paraId="39477B2A" w14:textId="77777777" w:rsidR="00645B2A" w:rsidRPr="00CC458C" w:rsidRDefault="00645B2A" w:rsidP="00A51A6B">
      <w:pPr>
        <w:rPr>
          <w:rFonts w:ascii="Times New Roman" w:hAnsi="Times New Roman" w:cs="Times New Roman"/>
          <w:i/>
          <w:sz w:val="22"/>
          <w:szCs w:val="22"/>
          <w:lang w:val="sk-SK"/>
        </w:rPr>
      </w:pPr>
    </w:p>
    <w:p w14:paraId="064CD500" w14:textId="77777777" w:rsidR="00645B2A" w:rsidRPr="00CC458C" w:rsidRDefault="00645B2A" w:rsidP="009E09D0">
      <w:pPr>
        <w:keepNext/>
        <w:rPr>
          <w:rFonts w:ascii="Times New Roman" w:hAnsi="Times New Roman" w:cs="Times New Roman"/>
          <w:i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i/>
          <w:sz w:val="22"/>
          <w:szCs w:val="22"/>
          <w:lang w:val="sk-SK"/>
        </w:rPr>
        <w:t>Selektívne inhibítory spätného vychytávania s</w:t>
      </w:r>
      <w:r w:rsidR="002C7F67" w:rsidRPr="00CC458C">
        <w:rPr>
          <w:rFonts w:ascii="Times New Roman" w:hAnsi="Times New Roman" w:cs="Times New Roman"/>
          <w:i/>
          <w:sz w:val="22"/>
          <w:szCs w:val="22"/>
          <w:lang w:val="sk-SK"/>
        </w:rPr>
        <w:t>é</w:t>
      </w:r>
      <w:r w:rsidRPr="00CC458C">
        <w:rPr>
          <w:rFonts w:ascii="Times New Roman" w:hAnsi="Times New Roman" w:cs="Times New Roman"/>
          <w:i/>
          <w:sz w:val="22"/>
          <w:szCs w:val="22"/>
          <w:lang w:val="sk-SK"/>
        </w:rPr>
        <w:t>rotonínu (SSRI):</w:t>
      </w:r>
    </w:p>
    <w:p w14:paraId="4C941334" w14:textId="77777777" w:rsidR="00645B2A" w:rsidRPr="00CC458C" w:rsidRDefault="00645B2A" w:rsidP="00D91346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Zvýšené riziko gastrointestinálneho krvácania. </w:t>
      </w:r>
    </w:p>
    <w:p w14:paraId="67B18030" w14:textId="77777777" w:rsidR="00645B2A" w:rsidRPr="00CC458C" w:rsidRDefault="00645B2A" w:rsidP="00A562EF">
      <w:pPr>
        <w:rPr>
          <w:rFonts w:ascii="Times New Roman" w:hAnsi="Times New Roman" w:cs="Times New Roman"/>
          <w:i/>
          <w:sz w:val="22"/>
          <w:szCs w:val="22"/>
          <w:lang w:val="sk-SK"/>
        </w:rPr>
      </w:pPr>
    </w:p>
    <w:p w14:paraId="1F8FAA86" w14:textId="77777777" w:rsidR="00B967F6" w:rsidRPr="00CC458C" w:rsidRDefault="00B967F6" w:rsidP="009E09D0">
      <w:pPr>
        <w:keepNext/>
        <w:rPr>
          <w:rFonts w:ascii="Times New Roman" w:hAnsi="Times New Roman" w:cs="Times New Roman"/>
          <w:i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i/>
          <w:sz w:val="22"/>
          <w:szCs w:val="22"/>
          <w:lang w:val="sk-SK"/>
        </w:rPr>
        <w:t>Diuretiká, ACE inhibítory a antagonist</w:t>
      </w:r>
      <w:r w:rsidR="00880F85" w:rsidRPr="00CC458C">
        <w:rPr>
          <w:rFonts w:ascii="Times New Roman" w:hAnsi="Times New Roman" w:cs="Times New Roman"/>
          <w:i/>
          <w:sz w:val="22"/>
          <w:szCs w:val="22"/>
          <w:lang w:val="sk-SK"/>
        </w:rPr>
        <w:t>y</w:t>
      </w:r>
      <w:r w:rsidRPr="00CC458C">
        <w:rPr>
          <w:rFonts w:ascii="Times New Roman" w:hAnsi="Times New Roman" w:cs="Times New Roman"/>
          <w:i/>
          <w:sz w:val="22"/>
          <w:szCs w:val="22"/>
          <w:lang w:val="sk-SK"/>
        </w:rPr>
        <w:t xml:space="preserve"> angiotenzínu II:</w:t>
      </w:r>
    </w:p>
    <w:p w14:paraId="658D9E89" w14:textId="77777777" w:rsidR="00B967F6" w:rsidRPr="00CC458C" w:rsidRDefault="0066454B" w:rsidP="00A562EF">
      <w:pPr>
        <w:rPr>
          <w:rFonts w:ascii="Times New Roman" w:hAnsi="Times New Roman" w:cs="Times New Roman"/>
          <w:iCs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iCs/>
          <w:sz w:val="22"/>
          <w:szCs w:val="22"/>
          <w:lang w:val="sk-SK"/>
        </w:rPr>
        <w:t>NSAID</w:t>
      </w:r>
      <w:r w:rsidR="00B967F6" w:rsidRPr="00CC458C">
        <w:rPr>
          <w:rFonts w:ascii="Times New Roman" w:hAnsi="Times New Roman" w:cs="Times New Roman"/>
          <w:iCs/>
          <w:sz w:val="22"/>
          <w:szCs w:val="22"/>
          <w:lang w:val="sk-SK"/>
        </w:rPr>
        <w:t xml:space="preserve"> môžu znižovať účinok diuretík a iných antihypertenzn</w:t>
      </w:r>
      <w:r w:rsidR="00880F85" w:rsidRPr="00CC458C">
        <w:rPr>
          <w:rFonts w:ascii="Times New Roman" w:hAnsi="Times New Roman" w:cs="Times New Roman"/>
          <w:iCs/>
          <w:sz w:val="22"/>
          <w:szCs w:val="22"/>
          <w:lang w:val="sk-SK"/>
        </w:rPr>
        <w:t>ý</w:t>
      </w:r>
      <w:r w:rsidR="00B967F6" w:rsidRPr="00CC458C">
        <w:rPr>
          <w:rFonts w:ascii="Times New Roman" w:hAnsi="Times New Roman" w:cs="Times New Roman"/>
          <w:iCs/>
          <w:sz w:val="22"/>
          <w:szCs w:val="22"/>
          <w:lang w:val="sk-SK"/>
        </w:rPr>
        <w:t>ch liekov. U niektorých pacientov so zhoršenou funkciou obličiek (napr. dehydratovaní pacienti alebo starší pacienti so zhoršenou funkciou obličiek) môže súbežné podanie ACE inhibítora alebo antagonistu angiotenzínu II a inhibítora cyklooxygenázy spôsobiť ďalšie zhoršenie renálnych funkcií, vrátane možného akútneho zlyhania obličiek, ktoré je zvyčajne reverzibilné. Z toho dôvodu je pri podaní tejto kombinácie liekov potrebná opatrnosť, najmä u starších pacientov. Pacienti majú byť primerane hydratovaní a je potrebné zvážiť sledovanie renáln</w:t>
      </w:r>
      <w:r w:rsidR="00AF6E86" w:rsidRPr="00CC458C">
        <w:rPr>
          <w:rFonts w:ascii="Times New Roman" w:hAnsi="Times New Roman" w:cs="Times New Roman"/>
          <w:iCs/>
          <w:sz w:val="22"/>
          <w:szCs w:val="22"/>
          <w:lang w:val="sk-SK"/>
        </w:rPr>
        <w:t>ej</w:t>
      </w:r>
      <w:r w:rsidR="00B967F6" w:rsidRPr="00CC458C">
        <w:rPr>
          <w:rFonts w:ascii="Times New Roman" w:hAnsi="Times New Roman" w:cs="Times New Roman"/>
          <w:iCs/>
          <w:sz w:val="22"/>
          <w:szCs w:val="22"/>
          <w:lang w:val="sk-SK"/>
        </w:rPr>
        <w:t xml:space="preserve"> funkci</w:t>
      </w:r>
      <w:r w:rsidR="00AF6E86" w:rsidRPr="00CC458C">
        <w:rPr>
          <w:rFonts w:ascii="Times New Roman" w:hAnsi="Times New Roman" w:cs="Times New Roman"/>
          <w:iCs/>
          <w:sz w:val="22"/>
          <w:szCs w:val="22"/>
          <w:lang w:val="sk-SK"/>
        </w:rPr>
        <w:t>e</w:t>
      </w:r>
      <w:r w:rsidR="00B967F6" w:rsidRPr="00CC458C">
        <w:rPr>
          <w:rFonts w:ascii="Times New Roman" w:hAnsi="Times New Roman" w:cs="Times New Roman"/>
          <w:iCs/>
          <w:sz w:val="22"/>
          <w:szCs w:val="22"/>
          <w:lang w:val="sk-SK"/>
        </w:rPr>
        <w:t xml:space="preserve"> po začatí súbežnej liečby a následne v pravidelných intervaloch (pozri tiež časť 4.4).</w:t>
      </w:r>
    </w:p>
    <w:p w14:paraId="0507CF08" w14:textId="77777777" w:rsidR="00B967F6" w:rsidRPr="00CC458C" w:rsidRDefault="00B967F6" w:rsidP="00A562EF">
      <w:pPr>
        <w:rPr>
          <w:rFonts w:ascii="Times New Roman" w:hAnsi="Times New Roman" w:cs="Times New Roman"/>
          <w:i/>
          <w:sz w:val="22"/>
          <w:szCs w:val="22"/>
          <w:lang w:val="sk-SK"/>
        </w:rPr>
      </w:pPr>
    </w:p>
    <w:p w14:paraId="179E108B" w14:textId="77777777" w:rsidR="00B967F6" w:rsidRPr="00CC458C" w:rsidRDefault="00B967F6" w:rsidP="009E09D0">
      <w:pPr>
        <w:keepNext/>
        <w:rPr>
          <w:rFonts w:ascii="Times New Roman" w:hAnsi="Times New Roman" w:cs="Times New Roman"/>
          <w:i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i/>
          <w:sz w:val="22"/>
          <w:szCs w:val="22"/>
          <w:lang w:val="sk-SK"/>
        </w:rPr>
        <w:t>Iné antihypertenzíva (napr. beta-blokátory):</w:t>
      </w:r>
    </w:p>
    <w:p w14:paraId="25ED6589" w14:textId="77777777" w:rsidR="00B967F6" w:rsidRPr="00CC458C" w:rsidRDefault="00B967F6" w:rsidP="00A562EF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Pri </w:t>
      </w:r>
      <w:r w:rsidR="00E95DDC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súbežnom 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podávaní meloxikamu s beta-blokátormi sa môže znížiť ich antihypertenzný účinok (v dôsledku inhibície prostaglandínov s vazodilatačným účinkom).</w:t>
      </w:r>
    </w:p>
    <w:p w14:paraId="1F5D05B9" w14:textId="77777777" w:rsidR="00B967F6" w:rsidRPr="00CC458C" w:rsidRDefault="00B967F6" w:rsidP="00A562EF">
      <w:pPr>
        <w:rPr>
          <w:rFonts w:ascii="Times New Roman" w:hAnsi="Times New Roman" w:cs="Times New Roman"/>
          <w:i/>
          <w:sz w:val="22"/>
          <w:szCs w:val="22"/>
          <w:lang w:val="sk-SK"/>
        </w:rPr>
      </w:pPr>
    </w:p>
    <w:p w14:paraId="4EB15296" w14:textId="77777777" w:rsidR="00B967F6" w:rsidRPr="00CC458C" w:rsidRDefault="00115997" w:rsidP="00A562EF">
      <w:pPr>
        <w:rPr>
          <w:rFonts w:ascii="Times New Roman" w:hAnsi="Times New Roman" w:cs="Times New Roman"/>
          <w:i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i/>
          <w:sz w:val="22"/>
          <w:szCs w:val="22"/>
          <w:lang w:val="sk-SK"/>
        </w:rPr>
        <w:t>Inhibítory kalcineur</w:t>
      </w:r>
      <w:r w:rsidR="002C7F67" w:rsidRPr="00CC458C">
        <w:rPr>
          <w:rFonts w:ascii="Times New Roman" w:hAnsi="Times New Roman" w:cs="Times New Roman"/>
          <w:i/>
          <w:sz w:val="22"/>
          <w:szCs w:val="22"/>
          <w:lang w:val="sk-SK"/>
        </w:rPr>
        <w:t>í</w:t>
      </w:r>
      <w:r w:rsidRPr="00CC458C">
        <w:rPr>
          <w:rFonts w:ascii="Times New Roman" w:hAnsi="Times New Roman" w:cs="Times New Roman"/>
          <w:i/>
          <w:sz w:val="22"/>
          <w:szCs w:val="22"/>
          <w:lang w:val="sk-SK"/>
        </w:rPr>
        <w:t xml:space="preserve">nu (napr. </w:t>
      </w:r>
      <w:r w:rsidR="00D906B8" w:rsidRPr="00CC458C">
        <w:rPr>
          <w:rFonts w:ascii="Times New Roman" w:hAnsi="Times New Roman" w:cs="Times New Roman"/>
          <w:i/>
          <w:sz w:val="22"/>
          <w:szCs w:val="22"/>
          <w:lang w:val="sk-SK"/>
        </w:rPr>
        <w:t>c</w:t>
      </w:r>
      <w:r w:rsidR="00A51A6B" w:rsidRPr="00CC458C">
        <w:rPr>
          <w:rFonts w:ascii="Times New Roman" w:hAnsi="Times New Roman" w:cs="Times New Roman"/>
          <w:i/>
          <w:sz w:val="22"/>
          <w:szCs w:val="22"/>
          <w:lang w:val="sk-SK"/>
        </w:rPr>
        <w:t>y</w:t>
      </w:r>
      <w:r w:rsidR="00D906B8" w:rsidRPr="00CC458C">
        <w:rPr>
          <w:rFonts w:ascii="Times New Roman" w:hAnsi="Times New Roman" w:cs="Times New Roman"/>
          <w:i/>
          <w:sz w:val="22"/>
          <w:szCs w:val="22"/>
          <w:lang w:val="sk-SK"/>
        </w:rPr>
        <w:t>klosporín</w:t>
      </w:r>
      <w:r w:rsidRPr="00CC458C">
        <w:rPr>
          <w:rFonts w:ascii="Times New Roman" w:hAnsi="Times New Roman" w:cs="Times New Roman"/>
          <w:i/>
          <w:sz w:val="22"/>
          <w:szCs w:val="22"/>
          <w:lang w:val="sk-SK"/>
        </w:rPr>
        <w:t>, takrolimus)</w:t>
      </w:r>
      <w:r w:rsidR="00B967F6" w:rsidRPr="00CC458C">
        <w:rPr>
          <w:rFonts w:ascii="Times New Roman" w:hAnsi="Times New Roman" w:cs="Times New Roman"/>
          <w:i/>
          <w:sz w:val="22"/>
          <w:szCs w:val="22"/>
          <w:lang w:val="sk-SK"/>
        </w:rPr>
        <w:t>:</w:t>
      </w:r>
    </w:p>
    <w:p w14:paraId="03BA302B" w14:textId="77777777" w:rsidR="00B967F6" w:rsidRPr="00CC458C" w:rsidRDefault="00B967F6" w:rsidP="00A562EF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lang w:val="sk-SK"/>
        </w:rPr>
        <w:t>Nesteroid</w:t>
      </w:r>
      <w:r w:rsidR="00D91346" w:rsidRPr="00CC458C">
        <w:rPr>
          <w:rFonts w:ascii="Times New Roman" w:hAnsi="Times New Roman" w:cs="Times New Roman"/>
          <w:sz w:val="22"/>
          <w:szCs w:val="22"/>
          <w:lang w:val="sk-SK"/>
        </w:rPr>
        <w:t>ov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é antiflogistiká môžu zvýšiť nefrotoxicitu </w:t>
      </w:r>
      <w:r w:rsidR="002F3599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inhibítorov kalcineurínu 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prostredníctvom účinkov sprostredkovaných renálnymi prostaglandínmi. Počas kombinovanej liečby je potrebné sledovať funkci</w:t>
      </w:r>
      <w:r w:rsidR="00DC4C85" w:rsidRPr="00CC458C">
        <w:rPr>
          <w:rFonts w:ascii="Times New Roman" w:hAnsi="Times New Roman" w:cs="Times New Roman"/>
          <w:sz w:val="22"/>
          <w:szCs w:val="22"/>
          <w:lang w:val="sk-SK"/>
        </w:rPr>
        <w:t>u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obličiek. Odporúča sa starostlivé sledovanie funkcie obličiek, najmä u starších pacientov.</w:t>
      </w:r>
    </w:p>
    <w:p w14:paraId="18D695C6" w14:textId="77777777" w:rsidR="00D906B8" w:rsidRPr="00CC458C" w:rsidRDefault="00D906B8" w:rsidP="00A562EF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7B3C9096" w14:textId="77777777" w:rsidR="00D906B8" w:rsidRPr="00CC458C" w:rsidRDefault="00D906B8" w:rsidP="009E09D0">
      <w:pPr>
        <w:keepNext/>
        <w:rPr>
          <w:rFonts w:ascii="Times New Roman" w:hAnsi="Times New Roman" w:cs="Times New Roman"/>
          <w:i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i/>
          <w:sz w:val="22"/>
          <w:szCs w:val="22"/>
          <w:lang w:val="sk-SK"/>
        </w:rPr>
        <w:t>Deferasirox:</w:t>
      </w:r>
    </w:p>
    <w:p w14:paraId="5D83CB84" w14:textId="77777777" w:rsidR="00B967F6" w:rsidRPr="00CC458C" w:rsidRDefault="00D906B8" w:rsidP="00A562EF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lang w:val="sk-SK"/>
        </w:rPr>
        <w:t>Súčasné podávanie meloxikamu s deferasirox môžu zvýšiť riziko gastrointestinálych nežiaducich účinkov. Opatrnosť je potrebná pri kombinovaní týchto liekov.</w:t>
      </w:r>
    </w:p>
    <w:p w14:paraId="24237F11" w14:textId="77777777" w:rsidR="00B967F6" w:rsidRPr="00CC458C" w:rsidRDefault="00B967F6" w:rsidP="00A562EF">
      <w:pPr>
        <w:rPr>
          <w:rFonts w:ascii="Times New Roman" w:hAnsi="Times New Roman" w:cs="Times New Roman"/>
          <w:sz w:val="22"/>
          <w:szCs w:val="22"/>
          <w:u w:val="single"/>
          <w:lang w:val="sk-SK"/>
        </w:rPr>
      </w:pPr>
    </w:p>
    <w:p w14:paraId="00CE692D" w14:textId="77777777" w:rsidR="00B967F6" w:rsidRPr="00CC458C" w:rsidRDefault="00B967F6" w:rsidP="009E09D0">
      <w:pPr>
        <w:keepNext/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u w:val="single"/>
          <w:lang w:val="sk-SK"/>
        </w:rPr>
        <w:lastRenderedPageBreak/>
        <w:t>Farmakokinetické interakcie (účinok meloxikamu na farmakokinetiku iných liekov)</w:t>
      </w:r>
    </w:p>
    <w:p w14:paraId="09A58718" w14:textId="77777777" w:rsidR="00B967F6" w:rsidRPr="00CC458C" w:rsidRDefault="00B967F6" w:rsidP="009E09D0">
      <w:pPr>
        <w:keepNext/>
        <w:rPr>
          <w:rFonts w:ascii="Times New Roman" w:hAnsi="Times New Roman" w:cs="Times New Roman"/>
          <w:i/>
          <w:sz w:val="22"/>
          <w:szCs w:val="22"/>
          <w:lang w:val="sk-SK"/>
        </w:rPr>
      </w:pPr>
    </w:p>
    <w:p w14:paraId="2E3C497C" w14:textId="77777777" w:rsidR="00B967F6" w:rsidRPr="00CC458C" w:rsidRDefault="00B967F6" w:rsidP="009E09D0">
      <w:pPr>
        <w:keepNext/>
        <w:rPr>
          <w:rFonts w:ascii="Times New Roman" w:hAnsi="Times New Roman" w:cs="Times New Roman"/>
          <w:i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i/>
          <w:sz w:val="22"/>
          <w:szCs w:val="22"/>
          <w:lang w:val="sk-SK"/>
        </w:rPr>
        <w:t>Lítium:</w:t>
      </w:r>
    </w:p>
    <w:p w14:paraId="59DBEE01" w14:textId="77777777" w:rsidR="00B967F6" w:rsidRPr="00CC458C" w:rsidRDefault="00DC4C85" w:rsidP="00A562EF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lang w:val="sk-SK"/>
        </w:rPr>
        <w:t>Zaznamenalo sa, že n</w:t>
      </w:r>
      <w:r w:rsidR="00B967F6" w:rsidRPr="00CC458C">
        <w:rPr>
          <w:rFonts w:ascii="Times New Roman" w:hAnsi="Times New Roman" w:cs="Times New Roman"/>
          <w:sz w:val="22"/>
          <w:szCs w:val="22"/>
          <w:lang w:val="sk-SK"/>
        </w:rPr>
        <w:t>esteroid</w:t>
      </w:r>
      <w:r w:rsidR="00D91346" w:rsidRPr="00CC458C">
        <w:rPr>
          <w:rFonts w:ascii="Times New Roman" w:hAnsi="Times New Roman" w:cs="Times New Roman"/>
          <w:sz w:val="22"/>
          <w:szCs w:val="22"/>
          <w:lang w:val="sk-SK"/>
        </w:rPr>
        <w:t>ov</w:t>
      </w:r>
      <w:r w:rsidR="00B967F6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é antiflogistiká zvyšujú hladiny lítia v krvi (v dôsledku zníženia renálneho vylučovania lítia), ktoré môžu dosiahnuť až toxické hodnoty. </w:t>
      </w:r>
      <w:r w:rsidR="00E95DDC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Súbežné </w:t>
      </w:r>
      <w:r w:rsidR="00B967F6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užívanie lítia a </w:t>
      </w:r>
      <w:r w:rsidR="00D91346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nesteroidových </w:t>
      </w:r>
      <w:r w:rsidR="00B967F6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antiflogistík sa neodporúča (pozri časť 4.4). Ak je však táto kombinácia nevyhnutná, plazmatické koncentrácie lítia je potrebné starostlivo sledovať na začiatku liečby, pri úprave dávky a po ukončení liečby 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M</w:t>
      </w:r>
      <w:r w:rsidR="00B967F6" w:rsidRPr="00CC458C">
        <w:rPr>
          <w:rFonts w:ascii="Times New Roman" w:hAnsi="Times New Roman" w:cs="Times New Roman"/>
          <w:sz w:val="22"/>
          <w:szCs w:val="22"/>
          <w:lang w:val="sk-SK"/>
        </w:rPr>
        <w:t>eloxi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c</w:t>
      </w:r>
      <w:r w:rsidR="00B967F6" w:rsidRPr="00CC458C">
        <w:rPr>
          <w:rFonts w:ascii="Times New Roman" w:hAnsi="Times New Roman" w:cs="Times New Roman"/>
          <w:sz w:val="22"/>
          <w:szCs w:val="22"/>
          <w:lang w:val="sk-SK"/>
        </w:rPr>
        <w:t>amom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Mylan</w:t>
      </w:r>
      <w:r w:rsidR="00B967F6" w:rsidRPr="00CC458C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65467749" w14:textId="77777777" w:rsidR="00B967F6" w:rsidRPr="00CC458C" w:rsidRDefault="00B967F6" w:rsidP="00A562EF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5B5B28A6" w14:textId="77777777" w:rsidR="00B967F6" w:rsidRPr="00CC458C" w:rsidRDefault="00B967F6" w:rsidP="009E09D0">
      <w:pPr>
        <w:keepNext/>
        <w:rPr>
          <w:rFonts w:ascii="Times New Roman" w:hAnsi="Times New Roman" w:cs="Times New Roman"/>
          <w:i/>
          <w:iCs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i/>
          <w:iCs/>
          <w:sz w:val="22"/>
          <w:szCs w:val="22"/>
          <w:lang w:val="sk-SK"/>
        </w:rPr>
        <w:t>Metotrexát:</w:t>
      </w:r>
    </w:p>
    <w:p w14:paraId="53334F2E" w14:textId="77777777" w:rsidR="00B967F6" w:rsidRPr="00CC458C" w:rsidRDefault="00D91346" w:rsidP="00A562EF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Nesteroidové </w:t>
      </w:r>
      <w:r w:rsidR="00B967F6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antiflogistiká môžu znížiť tubulárnu sekréciu metotrexátu, v dôsledku čoho môžu zvyšovať jeho plazmatické koncentrácie. Z toho dôvodu sa u pacientov dostávajúcich vysoké dávky metotrexátu (viac ako 15 mg týždenne) neodporúča </w:t>
      </w:r>
      <w:r w:rsidR="00E95DDC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súbežné </w:t>
      </w:r>
      <w:r w:rsidR="00B967F6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podávanie 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nesteroidových </w:t>
      </w:r>
      <w:r w:rsidR="00B967F6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antiflogistík (pozri časť 4.4). </w:t>
      </w:r>
    </w:p>
    <w:p w14:paraId="7271809C" w14:textId="77777777" w:rsidR="00B967F6" w:rsidRPr="00CC458C" w:rsidRDefault="00B967F6" w:rsidP="00A562EF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075FC5E7" w14:textId="77777777" w:rsidR="00B967F6" w:rsidRPr="00CC458C" w:rsidRDefault="00B967F6" w:rsidP="00A562EF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Riziko interakcie medzi </w:t>
      </w:r>
      <w:r w:rsidR="00D91346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nesteroidovými 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antiflogistikami a metotrexátom sa </w:t>
      </w:r>
      <w:r w:rsidR="00E95DDC" w:rsidRPr="00CC458C">
        <w:rPr>
          <w:rFonts w:ascii="Times New Roman" w:hAnsi="Times New Roman" w:cs="Times New Roman"/>
          <w:sz w:val="22"/>
          <w:szCs w:val="22"/>
          <w:lang w:val="sk-SK"/>
        </w:rPr>
        <w:t>má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zvážiť </w:t>
      </w:r>
      <w:r w:rsidR="00E95DDC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aj 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u pacientov dostávajúcich nízke dávky metotrexátu, najmä u pacientov s poruchou funkcie obličiek. V prípade kombinovanej liečby je potrebné sledovať krvný obraz a funkci</w:t>
      </w:r>
      <w:r w:rsidR="00AF6E86" w:rsidRPr="00CC458C">
        <w:rPr>
          <w:rFonts w:ascii="Times New Roman" w:hAnsi="Times New Roman" w:cs="Times New Roman"/>
          <w:sz w:val="22"/>
          <w:szCs w:val="22"/>
          <w:lang w:val="sk-SK"/>
        </w:rPr>
        <w:t>u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obličiek. Opatrnosť je potrebná pri</w:t>
      </w:r>
      <w:r w:rsidR="00E95DDC" w:rsidRPr="00CC458C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podávaní </w:t>
      </w:r>
      <w:r w:rsidR="00D91346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nesteroidových 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antiflogistík a metotrexátu v priebehu 3 dní, kedy môže dôjsť k zvýšeniu plazmatických hladín metotrexátu a k prejavom jeho zvýšenej toxicity.</w:t>
      </w:r>
    </w:p>
    <w:p w14:paraId="0037F1AF" w14:textId="77777777" w:rsidR="00B967F6" w:rsidRPr="00CC458C" w:rsidRDefault="00B967F6" w:rsidP="00A562EF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7D3F73FA" w14:textId="77777777" w:rsidR="00B967F6" w:rsidRPr="00CC458C" w:rsidRDefault="00B967F6" w:rsidP="00A562EF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Hoci súbežná liečba meloxikamom významne neovplyvňuje farmakokinetiku metotrexátu (pri dávkach 15 mg týždenne), je potrebné zvážiť možnosť zvýšenia hematologickej toxicity metotrexátu pri súčasnej liečbe </w:t>
      </w:r>
      <w:r w:rsidR="00D91346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nesteroidovými 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antiflogistikami (pozri vyššie) (pozri časť 4.8).</w:t>
      </w:r>
    </w:p>
    <w:p w14:paraId="065140E0" w14:textId="77777777" w:rsidR="00D906B8" w:rsidRPr="00CC458C" w:rsidRDefault="00D906B8" w:rsidP="00A562EF">
      <w:pPr>
        <w:rPr>
          <w:rFonts w:ascii="Times New Roman" w:hAnsi="Times New Roman" w:cs="Times New Roman"/>
          <w:sz w:val="22"/>
          <w:szCs w:val="22"/>
          <w:u w:val="single"/>
          <w:lang w:val="sk-SK"/>
        </w:rPr>
      </w:pPr>
    </w:p>
    <w:p w14:paraId="76328765" w14:textId="77777777" w:rsidR="00D906B8" w:rsidRPr="00CC458C" w:rsidRDefault="00D906B8" w:rsidP="009E09D0">
      <w:pPr>
        <w:keepNext/>
        <w:rPr>
          <w:rFonts w:ascii="Times New Roman" w:hAnsi="Times New Roman" w:cs="Times New Roman"/>
          <w:i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i/>
          <w:sz w:val="22"/>
          <w:szCs w:val="22"/>
          <w:lang w:val="sk-SK"/>
        </w:rPr>
        <w:t>Pemetrexed:</w:t>
      </w:r>
    </w:p>
    <w:p w14:paraId="0B812C79" w14:textId="2A44CD8D" w:rsidR="00D906B8" w:rsidRPr="00CC458C" w:rsidRDefault="00AA2BB9" w:rsidP="00A562EF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lang w:val="sk-SK"/>
        </w:rPr>
        <w:t>U</w:t>
      </w:r>
      <w:r w:rsidR="00F73CE4" w:rsidRPr="00CC458C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="00D906B8" w:rsidRPr="00CC458C">
        <w:rPr>
          <w:rFonts w:ascii="Times New Roman" w:hAnsi="Times New Roman" w:cs="Times New Roman"/>
          <w:sz w:val="22"/>
          <w:szCs w:val="22"/>
          <w:lang w:val="sk-SK"/>
        </w:rPr>
        <w:t>pacientov s</w:t>
      </w:r>
      <w:r w:rsidR="00F73CE4" w:rsidRPr="00CC458C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="00995801" w:rsidRPr="00CC458C">
        <w:rPr>
          <w:rFonts w:ascii="Times New Roman" w:hAnsi="Times New Roman" w:cs="Times New Roman"/>
          <w:sz w:val="22"/>
          <w:szCs w:val="22"/>
          <w:lang w:val="sk-SK"/>
        </w:rPr>
        <w:t>ľahk</w:t>
      </w:r>
      <w:r w:rsidR="00A51A6B" w:rsidRPr="00CC458C">
        <w:rPr>
          <w:rFonts w:ascii="Times New Roman" w:hAnsi="Times New Roman" w:cs="Times New Roman"/>
          <w:sz w:val="22"/>
          <w:szCs w:val="22"/>
          <w:lang w:val="sk-SK"/>
        </w:rPr>
        <w:t>ou</w:t>
      </w:r>
      <w:r w:rsidR="00D906B8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až stredne ťažk</w:t>
      </w:r>
      <w:r w:rsidR="00A51A6B" w:rsidRPr="00CC458C">
        <w:rPr>
          <w:rFonts w:ascii="Times New Roman" w:hAnsi="Times New Roman" w:cs="Times New Roman"/>
          <w:sz w:val="22"/>
          <w:szCs w:val="22"/>
          <w:lang w:val="sk-SK"/>
        </w:rPr>
        <w:t>ou poruchou funkcie</w:t>
      </w:r>
      <w:r w:rsidR="00D906B8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obličiek (klírens kreatinínu od 45 do 79</w:t>
      </w:r>
      <w:r w:rsidR="00351099" w:rsidRPr="00CC458C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="00D906B8" w:rsidRPr="00CC458C">
        <w:rPr>
          <w:rFonts w:ascii="Times New Roman" w:hAnsi="Times New Roman" w:cs="Times New Roman"/>
          <w:sz w:val="22"/>
          <w:szCs w:val="22"/>
          <w:lang w:val="sk-SK"/>
        </w:rPr>
        <w:t>ml/min)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sa pri súčasnom užívaní meloxikamu s pemetrexedom má</w:t>
      </w:r>
      <w:r w:rsidR="00D906B8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351099" w:rsidRPr="00CC458C">
        <w:rPr>
          <w:rFonts w:ascii="Times New Roman" w:hAnsi="Times New Roman" w:cs="Times New Roman"/>
          <w:sz w:val="22"/>
          <w:szCs w:val="22"/>
          <w:lang w:val="sk-SK"/>
        </w:rPr>
        <w:t>podávanie meloxikamu pozastaviť 5</w:t>
      </w:r>
      <w:r w:rsidR="00F73CE4" w:rsidRPr="00CC458C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="00351099" w:rsidRPr="00CC458C">
        <w:rPr>
          <w:rFonts w:ascii="Times New Roman" w:hAnsi="Times New Roman" w:cs="Times New Roman"/>
          <w:sz w:val="22"/>
          <w:szCs w:val="22"/>
          <w:lang w:val="sk-SK"/>
        </w:rPr>
        <w:t>dní</w:t>
      </w:r>
      <w:r w:rsidR="009A47A6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pred</w:t>
      </w:r>
      <w:r w:rsidR="00351099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podaním</w:t>
      </w:r>
      <w:r w:rsidR="00A51A6B" w:rsidRPr="00CC458C">
        <w:rPr>
          <w:rFonts w:ascii="Times New Roman" w:hAnsi="Times New Roman" w:cs="Times New Roman"/>
          <w:sz w:val="22"/>
          <w:szCs w:val="22"/>
          <w:lang w:val="sk-SK"/>
        </w:rPr>
        <w:t>,</w:t>
      </w:r>
      <w:r w:rsidR="00351099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9A47A6" w:rsidRPr="00CC458C">
        <w:rPr>
          <w:rFonts w:ascii="Times New Roman" w:hAnsi="Times New Roman" w:cs="Times New Roman"/>
          <w:sz w:val="22"/>
          <w:szCs w:val="22"/>
          <w:lang w:val="sk-SK"/>
        </w:rPr>
        <w:t>v deň podania a</w:t>
      </w:r>
      <w:r w:rsidR="00F73CE4" w:rsidRPr="00CC458C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="009A47A6" w:rsidRPr="00CC458C">
        <w:rPr>
          <w:rFonts w:ascii="Times New Roman" w:hAnsi="Times New Roman" w:cs="Times New Roman"/>
          <w:sz w:val="22"/>
          <w:szCs w:val="22"/>
          <w:lang w:val="sk-SK"/>
        </w:rPr>
        <w:t>2</w:t>
      </w:r>
      <w:r w:rsidR="00F73CE4" w:rsidRPr="00CC458C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="009A47A6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dni po podaní </w:t>
      </w:r>
      <w:r w:rsidR="00351099" w:rsidRPr="00CC458C">
        <w:rPr>
          <w:rFonts w:ascii="Times New Roman" w:hAnsi="Times New Roman" w:cs="Times New Roman"/>
          <w:sz w:val="22"/>
          <w:szCs w:val="22"/>
          <w:lang w:val="sk-SK"/>
        </w:rPr>
        <w:t>pemetrexedu</w:t>
      </w:r>
      <w:r w:rsidR="00D906B8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. Ak je potrebná kombinácia meloxikamu </w:t>
      </w:r>
      <w:r w:rsidR="009A47A6" w:rsidRPr="00CC458C">
        <w:rPr>
          <w:rFonts w:ascii="Times New Roman" w:hAnsi="Times New Roman" w:cs="Times New Roman"/>
          <w:sz w:val="22"/>
          <w:szCs w:val="22"/>
          <w:lang w:val="sk-SK"/>
        </w:rPr>
        <w:t>s</w:t>
      </w:r>
      <w:r w:rsidR="00F73CE4" w:rsidRPr="00CC458C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="00D906B8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pemetrexedom, pacienti </w:t>
      </w:r>
      <w:r w:rsidR="009A47A6" w:rsidRPr="00CC458C">
        <w:rPr>
          <w:rFonts w:ascii="Times New Roman" w:hAnsi="Times New Roman" w:cs="Times New Roman"/>
          <w:sz w:val="22"/>
          <w:szCs w:val="22"/>
          <w:lang w:val="sk-SK"/>
        </w:rPr>
        <w:t>majú</w:t>
      </w:r>
      <w:r w:rsidR="00D906B8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byť pozorne sledovaní, a</w:t>
      </w:r>
      <w:r w:rsidR="00F73CE4" w:rsidRPr="00CC458C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="00D906B8" w:rsidRPr="00CC458C">
        <w:rPr>
          <w:rFonts w:ascii="Times New Roman" w:hAnsi="Times New Roman" w:cs="Times New Roman"/>
          <w:sz w:val="22"/>
          <w:szCs w:val="22"/>
          <w:lang w:val="sk-SK"/>
        </w:rPr>
        <w:t>to najmä kvôli myelosupresii a</w:t>
      </w:r>
      <w:r w:rsidR="009A47A6" w:rsidRPr="00CC458C">
        <w:rPr>
          <w:rFonts w:ascii="Times New Roman" w:hAnsi="Times New Roman" w:cs="Times New Roman"/>
          <w:sz w:val="22"/>
          <w:szCs w:val="22"/>
          <w:lang w:val="sk-SK"/>
        </w:rPr>
        <w:t> gast</w:t>
      </w:r>
      <w:r w:rsidR="006C6DAC" w:rsidRPr="00CC458C">
        <w:rPr>
          <w:rFonts w:ascii="Times New Roman" w:hAnsi="Times New Roman" w:cs="Times New Roman"/>
          <w:sz w:val="22"/>
          <w:szCs w:val="22"/>
          <w:lang w:val="sk-SK"/>
        </w:rPr>
        <w:t>r</w:t>
      </w:r>
      <w:r w:rsidR="009A47A6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ointestinálným </w:t>
      </w:r>
      <w:r w:rsidR="00D906B8" w:rsidRPr="00CC458C">
        <w:rPr>
          <w:rFonts w:ascii="Times New Roman" w:hAnsi="Times New Roman" w:cs="Times New Roman"/>
          <w:sz w:val="22"/>
          <w:szCs w:val="22"/>
          <w:lang w:val="sk-SK"/>
        </w:rPr>
        <w:t>nežiaduci</w:t>
      </w:r>
      <w:r w:rsidR="009E55EA" w:rsidRPr="00CC458C">
        <w:rPr>
          <w:rFonts w:ascii="Times New Roman" w:hAnsi="Times New Roman" w:cs="Times New Roman"/>
          <w:sz w:val="22"/>
          <w:szCs w:val="22"/>
          <w:lang w:val="sk-SK"/>
        </w:rPr>
        <w:t>m</w:t>
      </w:r>
      <w:r w:rsidR="00D906B8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995801" w:rsidRPr="00CC458C">
        <w:rPr>
          <w:rFonts w:ascii="Times New Roman" w:hAnsi="Times New Roman" w:cs="Times New Roman"/>
          <w:sz w:val="22"/>
          <w:szCs w:val="22"/>
          <w:lang w:val="sk-SK"/>
        </w:rPr>
        <w:t>reakciám</w:t>
      </w:r>
      <w:r w:rsidR="00D906B8" w:rsidRPr="00CC458C">
        <w:rPr>
          <w:rFonts w:ascii="Times New Roman" w:hAnsi="Times New Roman" w:cs="Times New Roman"/>
          <w:sz w:val="22"/>
          <w:szCs w:val="22"/>
          <w:lang w:val="sk-SK"/>
        </w:rPr>
        <w:t>. U</w:t>
      </w:r>
      <w:r w:rsidR="00995801" w:rsidRPr="00CC458C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="00D906B8" w:rsidRPr="00CC458C">
        <w:rPr>
          <w:rFonts w:ascii="Times New Roman" w:hAnsi="Times New Roman" w:cs="Times New Roman"/>
          <w:sz w:val="22"/>
          <w:szCs w:val="22"/>
          <w:lang w:val="sk-SK"/>
        </w:rPr>
        <w:t>pacientov s</w:t>
      </w:r>
      <w:r w:rsidR="00A51A6B" w:rsidRPr="00CC458C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="00D906B8" w:rsidRPr="00CC458C">
        <w:rPr>
          <w:rFonts w:ascii="Times New Roman" w:hAnsi="Times New Roman" w:cs="Times New Roman"/>
          <w:sz w:val="22"/>
          <w:szCs w:val="22"/>
          <w:lang w:val="sk-SK"/>
        </w:rPr>
        <w:t>ťažk</w:t>
      </w:r>
      <w:r w:rsidR="00A51A6B" w:rsidRPr="00CC458C">
        <w:rPr>
          <w:rFonts w:ascii="Times New Roman" w:hAnsi="Times New Roman" w:cs="Times New Roman"/>
          <w:sz w:val="22"/>
          <w:szCs w:val="22"/>
          <w:lang w:val="sk-SK"/>
        </w:rPr>
        <w:t>ou poruchou funkcie</w:t>
      </w:r>
      <w:r w:rsidR="00D906B8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obličiek (klírens kreatinínu pod 45</w:t>
      </w:r>
      <w:r w:rsidR="00995801" w:rsidRPr="00CC458C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="00D906B8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ml/min) </w:t>
      </w:r>
      <w:r w:rsidR="009A47A6" w:rsidRPr="00CC458C">
        <w:rPr>
          <w:rFonts w:ascii="Times New Roman" w:hAnsi="Times New Roman" w:cs="Times New Roman"/>
          <w:sz w:val="22"/>
          <w:szCs w:val="22"/>
          <w:lang w:val="sk-SK"/>
        </w:rPr>
        <w:t>sa s</w:t>
      </w:r>
      <w:r w:rsidR="00D906B8" w:rsidRPr="00CC458C">
        <w:rPr>
          <w:rFonts w:ascii="Times New Roman" w:hAnsi="Times New Roman" w:cs="Times New Roman"/>
          <w:sz w:val="22"/>
          <w:szCs w:val="22"/>
          <w:lang w:val="sk-SK"/>
        </w:rPr>
        <w:t>účasné podávanie meloxikamu s</w:t>
      </w:r>
      <w:r w:rsidR="00995801" w:rsidRPr="00CC458C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="00D906B8" w:rsidRPr="00CC458C">
        <w:rPr>
          <w:rFonts w:ascii="Times New Roman" w:hAnsi="Times New Roman" w:cs="Times New Roman"/>
          <w:sz w:val="22"/>
          <w:szCs w:val="22"/>
          <w:lang w:val="sk-SK"/>
        </w:rPr>
        <w:t>pemetrexed</w:t>
      </w:r>
      <w:r w:rsidR="009E55EA" w:rsidRPr="00CC458C">
        <w:rPr>
          <w:rFonts w:ascii="Times New Roman" w:hAnsi="Times New Roman" w:cs="Times New Roman"/>
          <w:sz w:val="22"/>
          <w:szCs w:val="22"/>
          <w:lang w:val="sk-SK"/>
        </w:rPr>
        <w:t>om</w:t>
      </w:r>
      <w:r w:rsidR="00D906B8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neodporúča.</w:t>
      </w:r>
    </w:p>
    <w:p w14:paraId="7593DE51" w14:textId="77777777" w:rsidR="00D906B8" w:rsidRPr="00CC458C" w:rsidRDefault="00D906B8" w:rsidP="00A562EF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44C4CAC1" w14:textId="77777777" w:rsidR="00B967F6" w:rsidRPr="00CC458C" w:rsidRDefault="00D906B8" w:rsidP="00A562EF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lang w:val="sk-SK"/>
        </w:rPr>
        <w:t>U</w:t>
      </w:r>
      <w:r w:rsidR="00F73CE4" w:rsidRPr="00CC458C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pacientov s</w:t>
      </w:r>
      <w:r w:rsidR="00F73CE4" w:rsidRPr="00CC458C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normálnou funkciou obličiek (klírens kreatinínu 80</w:t>
      </w:r>
      <w:r w:rsidR="00F73CE4" w:rsidRPr="00CC458C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ml/min), dávky 15</w:t>
      </w:r>
      <w:r w:rsidR="00F73CE4" w:rsidRPr="00CC458C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mg meloxikamu </w:t>
      </w:r>
      <w:r w:rsidR="009A47A6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môžu 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znížiť </w:t>
      </w:r>
      <w:r w:rsidR="009A47A6" w:rsidRPr="00CC458C">
        <w:rPr>
          <w:rFonts w:ascii="Times New Roman" w:hAnsi="Times New Roman" w:cs="Times New Roman"/>
          <w:sz w:val="22"/>
          <w:szCs w:val="22"/>
          <w:lang w:val="sk-SK"/>
        </w:rPr>
        <w:t>elimináciu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pemetrexedu a</w:t>
      </w:r>
      <w:r w:rsidR="00F73CE4" w:rsidRPr="00CC458C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tým zvýšiť výskyt nežiaducich účinkov pemetrexedu. Preto</w:t>
      </w:r>
      <w:r w:rsidR="00814E13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pri podávaní 15</w:t>
      </w:r>
      <w:r w:rsidR="00F73CE4" w:rsidRPr="00CC458C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="00814E13" w:rsidRPr="00CC458C">
        <w:rPr>
          <w:rFonts w:ascii="Times New Roman" w:hAnsi="Times New Roman" w:cs="Times New Roman"/>
          <w:sz w:val="22"/>
          <w:szCs w:val="22"/>
          <w:lang w:val="sk-SK"/>
        </w:rPr>
        <w:t>mg meloxikamu súčasne s</w:t>
      </w:r>
      <w:r w:rsidR="00F73CE4" w:rsidRPr="00CC458C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="00814E13" w:rsidRPr="00CC458C">
        <w:rPr>
          <w:rFonts w:ascii="Times New Roman" w:hAnsi="Times New Roman" w:cs="Times New Roman"/>
          <w:sz w:val="22"/>
          <w:szCs w:val="22"/>
          <w:lang w:val="sk-SK"/>
        </w:rPr>
        <w:t>pemetrexedom u</w:t>
      </w:r>
      <w:r w:rsidR="00F73CE4" w:rsidRPr="00CC458C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="00814E13" w:rsidRPr="00CC458C">
        <w:rPr>
          <w:rFonts w:ascii="Times New Roman" w:hAnsi="Times New Roman" w:cs="Times New Roman"/>
          <w:sz w:val="22"/>
          <w:szCs w:val="22"/>
          <w:lang w:val="sk-SK"/>
        </w:rPr>
        <w:t>pacientov s</w:t>
      </w:r>
      <w:r w:rsidR="00F73CE4" w:rsidRPr="00CC458C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="00814E13" w:rsidRPr="00CC458C">
        <w:rPr>
          <w:rFonts w:ascii="Times New Roman" w:hAnsi="Times New Roman" w:cs="Times New Roman"/>
          <w:sz w:val="22"/>
          <w:szCs w:val="22"/>
          <w:lang w:val="sk-SK"/>
        </w:rPr>
        <w:t>normálnou funkciou (klírens kreatinínu 80</w:t>
      </w:r>
      <w:r w:rsidR="00F73CE4" w:rsidRPr="00CC458C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="00814E13" w:rsidRPr="00CC458C">
        <w:rPr>
          <w:rFonts w:ascii="Times New Roman" w:hAnsi="Times New Roman" w:cs="Times New Roman"/>
          <w:sz w:val="22"/>
          <w:szCs w:val="22"/>
          <w:lang w:val="sk-SK"/>
        </w:rPr>
        <w:t>ml/min)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je potrebná </w:t>
      </w:r>
      <w:r w:rsidR="00814E13" w:rsidRPr="00CC458C">
        <w:rPr>
          <w:rFonts w:ascii="Times New Roman" w:hAnsi="Times New Roman" w:cs="Times New Roman"/>
          <w:sz w:val="22"/>
          <w:szCs w:val="22"/>
          <w:lang w:val="sk-SK"/>
        </w:rPr>
        <w:t>opatrnosť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4CA3155F" w14:textId="77777777" w:rsidR="009A47A6" w:rsidRPr="00CC458C" w:rsidRDefault="009A47A6" w:rsidP="00A562EF">
      <w:pPr>
        <w:rPr>
          <w:rFonts w:ascii="Times New Roman" w:hAnsi="Times New Roman" w:cs="Times New Roman"/>
          <w:sz w:val="22"/>
          <w:szCs w:val="22"/>
          <w:u w:val="single"/>
          <w:lang w:val="sk-SK"/>
        </w:rPr>
      </w:pPr>
    </w:p>
    <w:p w14:paraId="2777AD63" w14:textId="77777777" w:rsidR="00B967F6" w:rsidRPr="00CC458C" w:rsidRDefault="00B967F6" w:rsidP="009E09D0">
      <w:pPr>
        <w:keepNext/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u w:val="single"/>
          <w:lang w:val="sk-SK"/>
        </w:rPr>
        <w:t xml:space="preserve">Farmakokinetické interakcie (účinok iných </w:t>
      </w:r>
      <w:r w:rsidR="00F73CE4" w:rsidRPr="00CC458C">
        <w:rPr>
          <w:rFonts w:ascii="Times New Roman" w:hAnsi="Times New Roman" w:cs="Times New Roman"/>
          <w:sz w:val="22"/>
          <w:szCs w:val="22"/>
          <w:u w:val="single"/>
          <w:lang w:val="sk-SK"/>
        </w:rPr>
        <w:t xml:space="preserve">liečiv </w:t>
      </w:r>
      <w:r w:rsidRPr="00CC458C">
        <w:rPr>
          <w:rFonts w:ascii="Times New Roman" w:hAnsi="Times New Roman" w:cs="Times New Roman"/>
          <w:sz w:val="22"/>
          <w:szCs w:val="22"/>
          <w:u w:val="single"/>
          <w:lang w:val="sk-SK"/>
        </w:rPr>
        <w:t>na farmakokinetiku meloxikamu)</w:t>
      </w:r>
    </w:p>
    <w:p w14:paraId="35437A92" w14:textId="77777777" w:rsidR="00B967F6" w:rsidRPr="00CC458C" w:rsidRDefault="00B967F6" w:rsidP="009E09D0">
      <w:pPr>
        <w:keepNext/>
        <w:rPr>
          <w:rFonts w:ascii="Times New Roman" w:hAnsi="Times New Roman" w:cs="Times New Roman"/>
          <w:i/>
          <w:sz w:val="22"/>
          <w:szCs w:val="22"/>
          <w:lang w:val="sk-SK"/>
        </w:rPr>
      </w:pPr>
    </w:p>
    <w:p w14:paraId="78C1F114" w14:textId="77777777" w:rsidR="00B967F6" w:rsidRPr="00CC458C" w:rsidRDefault="00B967F6" w:rsidP="009E09D0">
      <w:pPr>
        <w:keepNext/>
        <w:rPr>
          <w:rFonts w:ascii="Times New Roman" w:hAnsi="Times New Roman" w:cs="Times New Roman"/>
          <w:i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i/>
          <w:sz w:val="22"/>
          <w:szCs w:val="22"/>
          <w:lang w:val="sk-SK"/>
        </w:rPr>
        <w:t>Cholestyramín:</w:t>
      </w:r>
    </w:p>
    <w:p w14:paraId="434A7564" w14:textId="77777777" w:rsidR="00B967F6" w:rsidRPr="00CC458C" w:rsidRDefault="00B967F6" w:rsidP="00A562EF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lang w:val="sk-SK"/>
        </w:rPr>
        <w:t>Cholestyramín zrýchľuje vylučovanie meloxikamu v dôsledku prerušenia enterohepatálnej cirkulácie, čím zvyšuje klírens meloxikamu o</w:t>
      </w:r>
      <w:r w:rsidR="00F73CE4" w:rsidRPr="00CC458C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50</w:t>
      </w:r>
      <w:r w:rsidR="00F73CE4" w:rsidRPr="00CC458C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% a skracuje polčas o 13 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sym w:font="Symbol" w:char="F0B1"/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3 hod. Táto interakcia má klinický význam.</w:t>
      </w:r>
    </w:p>
    <w:p w14:paraId="1A86512D" w14:textId="77777777" w:rsidR="00B967F6" w:rsidRPr="00CC458C" w:rsidRDefault="00B967F6" w:rsidP="00A562EF">
      <w:pPr>
        <w:rPr>
          <w:rFonts w:ascii="Times New Roman" w:hAnsi="Times New Roman" w:cs="Times New Roman"/>
          <w:i/>
          <w:sz w:val="22"/>
          <w:szCs w:val="22"/>
          <w:lang w:val="sk-SK"/>
        </w:rPr>
      </w:pPr>
    </w:p>
    <w:p w14:paraId="2DE4E8A4" w14:textId="77777777" w:rsidR="00B967F6" w:rsidRPr="00CC458C" w:rsidRDefault="00B967F6" w:rsidP="00F73CE4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lang w:val="sk-SK"/>
        </w:rPr>
        <w:t>Pri súbežnom podaní antacíd, cimetidínu a digoxínu sa nezaznamenali žiadne klinicky významné farmakokinetické liekové interakcie.</w:t>
      </w:r>
    </w:p>
    <w:p w14:paraId="41BDA562" w14:textId="77777777" w:rsidR="00B967F6" w:rsidRPr="00CC458C" w:rsidRDefault="00B967F6" w:rsidP="00995801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237E7739" w14:textId="77777777" w:rsidR="00B967F6" w:rsidRPr="00CC458C" w:rsidRDefault="00B967F6" w:rsidP="00CC458C">
      <w:pPr>
        <w:keepNext/>
        <w:tabs>
          <w:tab w:val="left" w:pos="567"/>
        </w:tabs>
        <w:outlineLvl w:val="3"/>
        <w:rPr>
          <w:rFonts w:ascii="Times New Roman" w:hAnsi="Times New Roman" w:cs="Times New Roman"/>
          <w:b/>
          <w:bCs w:val="0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b/>
          <w:bCs w:val="0"/>
          <w:sz w:val="22"/>
          <w:szCs w:val="22"/>
          <w:lang w:val="sk-SK"/>
        </w:rPr>
        <w:t>4.6</w:t>
      </w:r>
      <w:r w:rsidRPr="00CC458C">
        <w:rPr>
          <w:rFonts w:ascii="Times New Roman" w:hAnsi="Times New Roman" w:cs="Times New Roman"/>
          <w:b/>
          <w:bCs w:val="0"/>
          <w:sz w:val="22"/>
          <w:szCs w:val="22"/>
          <w:lang w:val="sk-SK"/>
        </w:rPr>
        <w:tab/>
      </w:r>
      <w:r w:rsidR="00DC4C85" w:rsidRPr="00CC458C">
        <w:rPr>
          <w:rFonts w:ascii="Times New Roman" w:hAnsi="Times New Roman" w:cs="Times New Roman"/>
          <w:b/>
          <w:bCs w:val="0"/>
          <w:sz w:val="22"/>
          <w:szCs w:val="22"/>
          <w:lang w:val="sk-SK"/>
        </w:rPr>
        <w:t>Fertilita, g</w:t>
      </w:r>
      <w:r w:rsidRPr="00CC458C">
        <w:rPr>
          <w:rFonts w:ascii="Times New Roman" w:hAnsi="Times New Roman" w:cs="Times New Roman"/>
          <w:b/>
          <w:bCs w:val="0"/>
          <w:sz w:val="22"/>
          <w:szCs w:val="22"/>
          <w:lang w:val="sk-SK"/>
        </w:rPr>
        <w:t>ravidita a laktácia</w:t>
      </w:r>
    </w:p>
    <w:p w14:paraId="45B07849" w14:textId="77777777" w:rsidR="00B967F6" w:rsidRPr="00CC458C" w:rsidRDefault="00B967F6" w:rsidP="009E09D0">
      <w:pPr>
        <w:keepNext/>
        <w:rPr>
          <w:rFonts w:ascii="Times New Roman" w:hAnsi="Times New Roman" w:cs="Times New Roman"/>
          <w:sz w:val="22"/>
          <w:szCs w:val="22"/>
          <w:lang w:val="sk-SK"/>
        </w:rPr>
      </w:pPr>
    </w:p>
    <w:p w14:paraId="1E03534D" w14:textId="77777777" w:rsidR="00B967F6" w:rsidRPr="00CC458C" w:rsidRDefault="00B967F6" w:rsidP="00470750">
      <w:pPr>
        <w:pStyle w:val="Nadpis7"/>
        <w:tabs>
          <w:tab w:val="clear" w:pos="540"/>
        </w:tabs>
        <w:rPr>
          <w:rFonts w:ascii="Times New Roman" w:hAnsi="Times New Roman" w:cs="Times New Roman"/>
          <w:b w:val="0"/>
          <w:szCs w:val="22"/>
          <w:u w:val="single"/>
        </w:rPr>
      </w:pPr>
      <w:r w:rsidRPr="00CC458C">
        <w:rPr>
          <w:rFonts w:ascii="Times New Roman" w:hAnsi="Times New Roman" w:cs="Times New Roman"/>
          <w:b w:val="0"/>
          <w:szCs w:val="22"/>
          <w:u w:val="single"/>
        </w:rPr>
        <w:t>Gravidita</w:t>
      </w:r>
    </w:p>
    <w:p w14:paraId="009F6F18" w14:textId="77777777" w:rsidR="0017574F" w:rsidRPr="00CC458C" w:rsidRDefault="00B967F6" w:rsidP="00703BAD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Inhibícia syntézy prostaglandínov môže nepriaznivo ovplyvniť graviditu a/alebo embryonálny/fetálny vývoj. Údaje z epidemiologických štúdií naznačujú zvýšené riziko spontánneho potratu, malformácií srdca a gastroschízy po podaní inhibítora syntézy prostaglandínov na začiatku gravidity. Absolútne riziko </w:t>
      </w:r>
      <w:r w:rsidR="00F73CE4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kardiovaskulárnych 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malformácií sa zvýšilo z menej ako 1</w:t>
      </w:r>
      <w:r w:rsidR="00F73CE4" w:rsidRPr="00CC458C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% na približne 1,5</w:t>
      </w:r>
      <w:r w:rsidR="00F73CE4" w:rsidRPr="00CC458C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%. Riziko sa môže zvýšiť s dávkou a dĺžkou liečby. Podanie inhibítora syntézy prostaglandínov u zvierat viedlo 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lastRenderedPageBreak/>
        <w:t>k zvýšeným stratám pred a po nidácii a k zvýšenej embryonálnej/fetálnej úmrtnosti. Okrem toho u zvierat, ktorým bol podaný inhibítor syntézy prostaglandínov v priebehu obdobia organogenézy, sa zaznamenala zvýšená incidencia rozličných malformácií, vrátane kardiovaskulárnych.</w:t>
      </w:r>
    </w:p>
    <w:p w14:paraId="7F758F15" w14:textId="77777777" w:rsidR="0017574F" w:rsidRPr="00CC458C" w:rsidRDefault="0017574F" w:rsidP="00703BAD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5BFF0EA4" w14:textId="77777777" w:rsidR="00B967F6" w:rsidRPr="00CC458C" w:rsidRDefault="00B967F6" w:rsidP="00F73CE4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V priebehu prvého a druhého trimestra gravidity sa meloxikam nemá podávať, pokiaľ to nie je </w:t>
      </w:r>
      <w:r w:rsidR="0017574F" w:rsidRPr="00CC458C">
        <w:rPr>
          <w:rFonts w:ascii="Times New Roman" w:hAnsi="Times New Roman" w:cs="Times New Roman"/>
          <w:sz w:val="22"/>
          <w:szCs w:val="22"/>
          <w:lang w:val="sk-SK"/>
        </w:rPr>
        <w:t>úplne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nevyhnutné. V prípade liečby pacientky, ktorá sa snaží otehotnieť alebo pacientky počas prvého alebo druhého trimestra gravidity, je potrebné podávať nízku dávku meloxikamu a liečba má byť čo najkratšia.</w:t>
      </w:r>
    </w:p>
    <w:p w14:paraId="62E19240" w14:textId="77777777" w:rsidR="00B967F6" w:rsidRPr="00CC458C" w:rsidRDefault="00B967F6" w:rsidP="00995801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02B497F1" w14:textId="77777777" w:rsidR="00B967F6" w:rsidRPr="00CC458C" w:rsidRDefault="00B967F6" w:rsidP="000E4141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lang w:val="sk-SK"/>
        </w:rPr>
        <w:t>V priebehu tretieho trimestra gravidity môže podanie všetkých inhibítorov syntézy prostaglandínov viesť u plodu k:</w:t>
      </w:r>
    </w:p>
    <w:p w14:paraId="6535A13C" w14:textId="77777777" w:rsidR="00B967F6" w:rsidRPr="00CC458C" w:rsidRDefault="00B967F6" w:rsidP="00A562EF">
      <w:pPr>
        <w:numPr>
          <w:ilvl w:val="0"/>
          <w:numId w:val="10"/>
        </w:numPr>
        <w:tabs>
          <w:tab w:val="clear" w:pos="720"/>
          <w:tab w:val="num" w:pos="567"/>
        </w:tabs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lang w:val="sk-SK"/>
        </w:rPr>
        <w:t>kardiopulmonárnej toxicite (s</w:t>
      </w:r>
      <w:r w:rsidR="00F73CE4" w:rsidRPr="00CC458C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predčasným uzáverom arteriálneho duktu a s pľúcnou hypertenziou);</w:t>
      </w:r>
    </w:p>
    <w:p w14:paraId="55776CD7" w14:textId="77777777" w:rsidR="00B967F6" w:rsidRPr="00CC458C" w:rsidRDefault="00B967F6" w:rsidP="00A562EF">
      <w:pPr>
        <w:numPr>
          <w:ilvl w:val="0"/>
          <w:numId w:val="10"/>
        </w:numPr>
        <w:tabs>
          <w:tab w:val="clear" w:pos="720"/>
          <w:tab w:val="num" w:pos="567"/>
        </w:tabs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lang w:val="sk-SK"/>
        </w:rPr>
        <w:t>renálnej dysfunkcii, ktorá sa môže rozvinúť do renálneho zlyhania s oligo-hydroamniózou;</w:t>
      </w:r>
    </w:p>
    <w:p w14:paraId="6197501E" w14:textId="77777777" w:rsidR="00B967F6" w:rsidRPr="00CC458C" w:rsidRDefault="00B967F6" w:rsidP="00F73CE4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04E96AD7" w14:textId="77777777" w:rsidR="00B967F6" w:rsidRPr="00CC458C" w:rsidRDefault="00814E13" w:rsidP="00F73CE4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lang w:val="sk-SK"/>
        </w:rPr>
        <w:t>U </w:t>
      </w:r>
      <w:r w:rsidR="00B967F6" w:rsidRPr="00CC458C">
        <w:rPr>
          <w:rFonts w:ascii="Times New Roman" w:hAnsi="Times New Roman" w:cs="Times New Roman"/>
          <w:sz w:val="22"/>
          <w:szCs w:val="22"/>
          <w:lang w:val="sk-SK"/>
        </w:rPr>
        <w:t>matky a novorodenca, na konci gravidity, k:</w:t>
      </w:r>
    </w:p>
    <w:p w14:paraId="09B468B7" w14:textId="77777777" w:rsidR="00B967F6" w:rsidRPr="00CC458C" w:rsidRDefault="00B967F6" w:rsidP="00A562EF">
      <w:pPr>
        <w:numPr>
          <w:ilvl w:val="0"/>
          <w:numId w:val="11"/>
        </w:numPr>
        <w:tabs>
          <w:tab w:val="clear" w:pos="720"/>
          <w:tab w:val="num" w:pos="567"/>
        </w:tabs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lang w:val="sk-SK"/>
        </w:rPr>
        <w:t>možnému predĺženiu času krvácania a antiagregačnému účinku, ktorý sa môže vyskytnúť aj pri veľmi malých dávkach;</w:t>
      </w:r>
    </w:p>
    <w:p w14:paraId="6921E734" w14:textId="77777777" w:rsidR="00B967F6" w:rsidRPr="00CC458C" w:rsidRDefault="00B967F6" w:rsidP="00A562EF">
      <w:pPr>
        <w:numPr>
          <w:ilvl w:val="0"/>
          <w:numId w:val="11"/>
        </w:numPr>
        <w:tabs>
          <w:tab w:val="clear" w:pos="720"/>
          <w:tab w:val="num" w:pos="567"/>
        </w:tabs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lang w:val="sk-SK"/>
        </w:rPr>
        <w:t>inhibícii maternicových kontrakcií, čo vedie k oneskorenému alebo predĺženému pôrodu.</w:t>
      </w:r>
    </w:p>
    <w:p w14:paraId="54AFB4F8" w14:textId="77777777" w:rsidR="00B967F6" w:rsidRPr="00CC458C" w:rsidRDefault="00B967F6" w:rsidP="00F73CE4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73BE6A54" w14:textId="77777777" w:rsidR="00B967F6" w:rsidRPr="00CC458C" w:rsidRDefault="00B967F6" w:rsidP="00F73CE4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V dôsledku toho je </w:t>
      </w:r>
      <w:r w:rsidR="002F3599" w:rsidRPr="00CC458C">
        <w:rPr>
          <w:rFonts w:ascii="Times New Roman" w:hAnsi="Times New Roman" w:cs="Times New Roman"/>
          <w:sz w:val="22"/>
          <w:szCs w:val="22"/>
          <w:lang w:val="sk-SK"/>
        </w:rPr>
        <w:t>meloxikam</w:t>
      </w:r>
      <w:r w:rsidR="00E813EC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kontraindikovaný počas tretieho trimestra gravidity.</w:t>
      </w:r>
    </w:p>
    <w:p w14:paraId="6B02095B" w14:textId="77777777" w:rsidR="00B967F6" w:rsidRPr="00CC458C" w:rsidRDefault="00B967F6" w:rsidP="00995801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482DD72D" w14:textId="77777777" w:rsidR="00B967F6" w:rsidRPr="00CC458C" w:rsidRDefault="00F73CE4" w:rsidP="00995801">
      <w:pPr>
        <w:pStyle w:val="Nadpis7"/>
        <w:tabs>
          <w:tab w:val="clear" w:pos="540"/>
        </w:tabs>
        <w:rPr>
          <w:rFonts w:ascii="Times New Roman" w:hAnsi="Times New Roman" w:cs="Times New Roman"/>
          <w:b w:val="0"/>
          <w:szCs w:val="22"/>
          <w:u w:val="single"/>
        </w:rPr>
      </w:pPr>
      <w:r w:rsidRPr="00CC458C">
        <w:rPr>
          <w:rFonts w:ascii="Times New Roman" w:hAnsi="Times New Roman" w:cs="Times New Roman"/>
          <w:b w:val="0"/>
          <w:szCs w:val="22"/>
          <w:u w:val="single"/>
        </w:rPr>
        <w:t>Dojčenie</w:t>
      </w:r>
    </w:p>
    <w:p w14:paraId="21A4C193" w14:textId="6F32A50D" w:rsidR="00B967F6" w:rsidRPr="00CC458C" w:rsidRDefault="00B967F6" w:rsidP="000E4141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Hoci pre meloxikam nie sú k dispozícii žiadne špecifické skúsenosti, je známe, že </w:t>
      </w:r>
      <w:r w:rsidR="0017574F" w:rsidRPr="00CC458C">
        <w:rPr>
          <w:rFonts w:ascii="Times New Roman" w:hAnsi="Times New Roman" w:cs="Times New Roman"/>
          <w:sz w:val="22"/>
          <w:szCs w:val="22"/>
          <w:lang w:val="sk-SK"/>
        </w:rPr>
        <w:t>NSAID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prechádzajú do materského mlieka. </w:t>
      </w:r>
      <w:r w:rsidR="00E813EC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Podanie </w:t>
      </w:r>
      <w:r w:rsidR="00F73CE4" w:rsidRPr="00CC458C">
        <w:rPr>
          <w:rFonts w:ascii="Times New Roman" w:hAnsi="Times New Roman" w:cs="Times New Roman"/>
          <w:sz w:val="22"/>
          <w:szCs w:val="22"/>
          <w:lang w:val="sk-SK"/>
        </w:rPr>
        <w:t>sa preto neodporúča u d</w:t>
      </w:r>
      <w:r w:rsidR="000515F3" w:rsidRPr="00CC458C">
        <w:rPr>
          <w:rFonts w:ascii="Times New Roman" w:hAnsi="Times New Roman" w:cs="Times New Roman"/>
          <w:sz w:val="22"/>
          <w:szCs w:val="22"/>
          <w:lang w:val="sk-SK"/>
        </w:rPr>
        <w:t>oj</w:t>
      </w:r>
      <w:r w:rsidR="00F73CE4" w:rsidRPr="00CC458C">
        <w:rPr>
          <w:rFonts w:ascii="Times New Roman" w:hAnsi="Times New Roman" w:cs="Times New Roman"/>
          <w:sz w:val="22"/>
          <w:szCs w:val="22"/>
          <w:lang w:val="sk-SK"/>
        </w:rPr>
        <w:t>čiacich žien</w:t>
      </w:r>
      <w:r w:rsidR="00E813EC" w:rsidRPr="00CC458C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48A2F147" w14:textId="77777777" w:rsidR="002F3599" w:rsidRPr="00CC458C" w:rsidRDefault="002F3599" w:rsidP="00470750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2E0F1892" w14:textId="77777777" w:rsidR="002F3599" w:rsidRPr="00CC458C" w:rsidRDefault="002F3599" w:rsidP="009E09D0">
      <w:pPr>
        <w:keepNext/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u w:val="single"/>
          <w:lang w:val="sk-SK"/>
        </w:rPr>
        <w:t>Fertilita</w:t>
      </w:r>
    </w:p>
    <w:p w14:paraId="142E6279" w14:textId="77777777" w:rsidR="002F3599" w:rsidRPr="00CC458C" w:rsidRDefault="002F3599" w:rsidP="00703BAD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lang w:val="sk-SK"/>
        </w:rPr>
        <w:t>Použitie meloxikamu, rovnako ako aj iných liekov, ktoré inhibujú cyklooxygenázu/syntézu prostaglandínov, môže poškodiť ženskú plodnosť a neodporúča sa ženám, ktoré sa snažia otehotnieť. U žien, ktoré majú problémy s otehotnením alebo podstupujú vyšetrenia kvôli plodnosti, je potrebné zvážiť vysadenie meloxikamu.</w:t>
      </w:r>
    </w:p>
    <w:p w14:paraId="52846FBB" w14:textId="77777777" w:rsidR="00B967F6" w:rsidRPr="00CC458C" w:rsidRDefault="00B967F6" w:rsidP="00D564B3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3DBF467B" w14:textId="77777777" w:rsidR="00B967F6" w:rsidRPr="00CC458C" w:rsidRDefault="00B967F6" w:rsidP="00CC458C">
      <w:pPr>
        <w:keepNext/>
        <w:tabs>
          <w:tab w:val="left" w:pos="567"/>
        </w:tabs>
        <w:outlineLvl w:val="3"/>
        <w:rPr>
          <w:rFonts w:ascii="Times New Roman" w:hAnsi="Times New Roman" w:cs="Times New Roman"/>
          <w:b/>
          <w:bCs w:val="0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b/>
          <w:bCs w:val="0"/>
          <w:sz w:val="22"/>
          <w:szCs w:val="22"/>
          <w:lang w:val="sk-SK"/>
        </w:rPr>
        <w:t>4.7</w:t>
      </w:r>
      <w:r w:rsidRPr="00CC458C">
        <w:rPr>
          <w:rFonts w:ascii="Times New Roman" w:hAnsi="Times New Roman" w:cs="Times New Roman"/>
          <w:b/>
          <w:bCs w:val="0"/>
          <w:sz w:val="22"/>
          <w:szCs w:val="22"/>
          <w:lang w:val="sk-SK"/>
        </w:rPr>
        <w:tab/>
        <w:t>Ovplyvnenie schopnosti viesť vozidlá a obsluhovať stroje</w:t>
      </w:r>
    </w:p>
    <w:p w14:paraId="6DFFA596" w14:textId="77777777" w:rsidR="00B967F6" w:rsidRPr="00CC458C" w:rsidRDefault="00B967F6" w:rsidP="009E09D0">
      <w:pPr>
        <w:keepNext/>
        <w:rPr>
          <w:rFonts w:ascii="Times New Roman" w:hAnsi="Times New Roman" w:cs="Times New Roman"/>
          <w:sz w:val="22"/>
          <w:szCs w:val="22"/>
          <w:lang w:val="sk-SK"/>
        </w:rPr>
      </w:pPr>
    </w:p>
    <w:p w14:paraId="03806195" w14:textId="77777777" w:rsidR="00B967F6" w:rsidRPr="00CC458C" w:rsidRDefault="00B967F6" w:rsidP="00A51A6B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lang w:val="sk-SK"/>
        </w:rPr>
        <w:t>Neuskutočnili sa žiadne štúdie o účinkoch na schopnosť viesť vozidlá a obsluhovať stroje. Avšak vzhľadom na farmakodynamický profil a</w:t>
      </w:r>
      <w:r w:rsidR="00DF519C" w:rsidRPr="00CC458C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popisované nežiaduce účinky meloxikam pravdepodobne </w:t>
      </w:r>
      <w:r w:rsidR="00474DF6" w:rsidRPr="00CC458C">
        <w:rPr>
          <w:rFonts w:ascii="Times New Roman" w:hAnsi="Times New Roman" w:cs="Times New Roman"/>
          <w:sz w:val="22"/>
          <w:szCs w:val="22"/>
          <w:lang w:val="sk-SK"/>
        </w:rPr>
        <w:t>nemá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žiadny alebo</w:t>
      </w:r>
      <w:r w:rsidR="00474DF6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má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len </w:t>
      </w:r>
      <w:r w:rsidR="00474DF6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zanedbateľný 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vplyv na tieto </w:t>
      </w:r>
      <w:r w:rsidR="0017574F" w:rsidRPr="00CC458C">
        <w:rPr>
          <w:rFonts w:ascii="Times New Roman" w:hAnsi="Times New Roman" w:cs="Times New Roman"/>
          <w:sz w:val="22"/>
          <w:szCs w:val="22"/>
          <w:lang w:val="sk-SK"/>
        </w:rPr>
        <w:t>schopnosti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. Ak však dôjde k poruchám zraku</w:t>
      </w:r>
      <w:r w:rsidR="002F3599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, vrátane rozmazaného videnia, </w:t>
      </w:r>
      <w:r w:rsidR="00A26C9B" w:rsidRPr="00CC458C">
        <w:rPr>
          <w:rFonts w:ascii="Times New Roman" w:hAnsi="Times New Roman" w:cs="Times New Roman"/>
          <w:sz w:val="22"/>
          <w:szCs w:val="22"/>
          <w:lang w:val="sk-SK"/>
        </w:rPr>
        <w:t>závratov,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ospalosti, </w:t>
      </w:r>
      <w:r w:rsidR="000640EB" w:rsidRPr="00CC458C">
        <w:rPr>
          <w:rFonts w:ascii="Times New Roman" w:hAnsi="Times New Roman" w:cs="Times New Roman"/>
          <w:sz w:val="22"/>
          <w:szCs w:val="22"/>
          <w:lang w:val="sk-SK"/>
        </w:rPr>
        <w:t>vertig</w:t>
      </w:r>
      <w:r w:rsidR="00A26C9B" w:rsidRPr="00CC458C">
        <w:rPr>
          <w:rFonts w:ascii="Times New Roman" w:hAnsi="Times New Roman" w:cs="Times New Roman"/>
          <w:sz w:val="22"/>
          <w:szCs w:val="22"/>
          <w:lang w:val="sk-SK"/>
        </w:rPr>
        <w:t>a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alebo </w:t>
      </w:r>
      <w:r w:rsidR="00A26C9B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iných 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por</w:t>
      </w:r>
      <w:r w:rsidR="00A26C9B" w:rsidRPr="00CC458C">
        <w:rPr>
          <w:rFonts w:ascii="Times New Roman" w:hAnsi="Times New Roman" w:cs="Times New Roman"/>
          <w:sz w:val="22"/>
          <w:szCs w:val="22"/>
          <w:lang w:val="sk-SK"/>
        </w:rPr>
        <w:t>ú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ch centrálneho nervového systému, odporúča sa </w:t>
      </w:r>
      <w:r w:rsidR="00254E5B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vyhnúť sa vedeniu </w:t>
      </w:r>
      <w:r w:rsidR="00F73CE4" w:rsidRPr="00CC458C">
        <w:rPr>
          <w:rFonts w:ascii="Times New Roman" w:hAnsi="Times New Roman" w:cs="Times New Roman"/>
          <w:sz w:val="22"/>
          <w:szCs w:val="22"/>
          <w:lang w:val="sk-SK"/>
        </w:rPr>
        <w:t>vozidiel</w:t>
      </w:r>
      <w:r w:rsidR="00254E5B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F73CE4" w:rsidRPr="00CC458C">
        <w:rPr>
          <w:rFonts w:ascii="Times New Roman" w:hAnsi="Times New Roman" w:cs="Times New Roman"/>
          <w:sz w:val="22"/>
          <w:szCs w:val="22"/>
          <w:lang w:val="sk-SK"/>
        </w:rPr>
        <w:t>a </w:t>
      </w:r>
      <w:r w:rsidR="00254E5B" w:rsidRPr="00CC458C">
        <w:rPr>
          <w:rFonts w:ascii="Times New Roman" w:hAnsi="Times New Roman" w:cs="Times New Roman"/>
          <w:sz w:val="22"/>
          <w:szCs w:val="22"/>
          <w:lang w:val="sk-SK"/>
        </w:rPr>
        <w:t>obsluhe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stroj</w:t>
      </w:r>
      <w:r w:rsidR="00254E5B" w:rsidRPr="00CC458C">
        <w:rPr>
          <w:rFonts w:ascii="Times New Roman" w:hAnsi="Times New Roman" w:cs="Times New Roman"/>
          <w:sz w:val="22"/>
          <w:szCs w:val="22"/>
          <w:lang w:val="sk-SK"/>
        </w:rPr>
        <w:t>ov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6F2C4ECB" w14:textId="77777777" w:rsidR="00B967F6" w:rsidRPr="00CC458C" w:rsidRDefault="00B967F6" w:rsidP="00A562EF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11D7AE65" w14:textId="77777777" w:rsidR="00B967F6" w:rsidRPr="00CC458C" w:rsidRDefault="00B967F6" w:rsidP="00CC458C">
      <w:pPr>
        <w:keepNext/>
        <w:tabs>
          <w:tab w:val="left" w:pos="567"/>
        </w:tabs>
        <w:outlineLvl w:val="3"/>
        <w:rPr>
          <w:rFonts w:ascii="Times New Roman" w:hAnsi="Times New Roman" w:cs="Times New Roman"/>
          <w:b/>
          <w:bCs w:val="0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b/>
          <w:bCs w:val="0"/>
          <w:sz w:val="22"/>
          <w:szCs w:val="22"/>
          <w:lang w:val="sk-SK"/>
        </w:rPr>
        <w:t>4.8</w:t>
      </w:r>
      <w:r w:rsidRPr="00CC458C">
        <w:rPr>
          <w:rFonts w:ascii="Times New Roman" w:hAnsi="Times New Roman" w:cs="Times New Roman"/>
          <w:b/>
          <w:bCs w:val="0"/>
          <w:sz w:val="22"/>
          <w:szCs w:val="22"/>
          <w:lang w:val="sk-SK"/>
        </w:rPr>
        <w:tab/>
        <w:t>Nežiaduce účinky</w:t>
      </w:r>
    </w:p>
    <w:p w14:paraId="1A4A1ADB" w14:textId="77777777" w:rsidR="00B967F6" w:rsidRPr="00CC458C" w:rsidRDefault="00B967F6" w:rsidP="009E09D0">
      <w:pPr>
        <w:keepNext/>
        <w:rPr>
          <w:rFonts w:ascii="Times New Roman" w:hAnsi="Times New Roman" w:cs="Times New Roman"/>
          <w:b/>
          <w:bCs w:val="0"/>
          <w:sz w:val="22"/>
          <w:szCs w:val="22"/>
          <w:lang w:val="sk-SK"/>
        </w:rPr>
      </w:pPr>
    </w:p>
    <w:p w14:paraId="27F505F2" w14:textId="77777777" w:rsidR="00B967F6" w:rsidRPr="00CC458C" w:rsidRDefault="00B967F6" w:rsidP="00DF519C">
      <w:pPr>
        <w:rPr>
          <w:rFonts w:ascii="Times New Roman" w:hAnsi="Times New Roman" w:cs="Times New Roman"/>
          <w:bCs w:val="0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bCs w:val="0"/>
          <w:sz w:val="22"/>
          <w:szCs w:val="22"/>
          <w:lang w:val="sk-SK"/>
        </w:rPr>
        <w:t xml:space="preserve">a) </w:t>
      </w:r>
      <w:r w:rsidR="00A26C9B" w:rsidRPr="00CC458C">
        <w:rPr>
          <w:rFonts w:ascii="Times New Roman" w:hAnsi="Times New Roman" w:cs="Times New Roman"/>
          <w:bCs w:val="0"/>
          <w:sz w:val="22"/>
          <w:szCs w:val="22"/>
          <w:lang w:val="sk-SK"/>
        </w:rPr>
        <w:t>Súhrn bezpečnostného profilu</w:t>
      </w:r>
    </w:p>
    <w:p w14:paraId="7DF1EC34" w14:textId="77777777" w:rsidR="00B967F6" w:rsidRPr="00CC458C" w:rsidRDefault="00B967F6" w:rsidP="00995801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44FF782F" w14:textId="77777777" w:rsidR="002F71D3" w:rsidRPr="00CC458C" w:rsidRDefault="002F71D3" w:rsidP="000E4141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lang w:val="sk-SK"/>
        </w:rPr>
        <w:t>Údaje z</w:t>
      </w:r>
      <w:r w:rsidR="00DF519C" w:rsidRPr="00CC458C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klinických štúdií a</w:t>
      </w:r>
      <w:r w:rsidR="00DF519C" w:rsidRPr="00CC458C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epidemiologické údaje naznačujú, že použitie niektorých </w:t>
      </w:r>
      <w:r w:rsidR="00D91346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nesteroidových 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antiflogistík (obzvlášť vo vysokých dávkach a</w:t>
      </w:r>
      <w:r w:rsidR="00DF519C" w:rsidRPr="00CC458C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pri dlhodobej liečbe) môže byť spojené s</w:t>
      </w:r>
      <w:r w:rsidR="00DF519C" w:rsidRPr="00CC458C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="00E5457F" w:rsidRPr="00CC458C">
        <w:rPr>
          <w:rFonts w:ascii="Times New Roman" w:hAnsi="Times New Roman" w:cs="Times New Roman"/>
          <w:sz w:val="22"/>
          <w:szCs w:val="22"/>
          <w:lang w:val="sk-SK"/>
        </w:rPr>
        <w:t>malým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zvýšen</w:t>
      </w:r>
      <w:r w:rsidR="00E5457F" w:rsidRPr="00CC458C">
        <w:rPr>
          <w:rFonts w:ascii="Times New Roman" w:hAnsi="Times New Roman" w:cs="Times New Roman"/>
          <w:sz w:val="22"/>
          <w:szCs w:val="22"/>
          <w:lang w:val="sk-SK"/>
        </w:rPr>
        <w:t>í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m rizik</w:t>
      </w:r>
      <w:r w:rsidR="00E5457F" w:rsidRPr="00CC458C">
        <w:rPr>
          <w:rFonts w:ascii="Times New Roman" w:hAnsi="Times New Roman" w:cs="Times New Roman"/>
          <w:sz w:val="22"/>
          <w:szCs w:val="22"/>
          <w:lang w:val="sk-SK"/>
        </w:rPr>
        <w:t>a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arteriálnych trombotických príhod (napr. infarkt myokardu alebo mŕtvica) (pozri časť</w:t>
      </w:r>
      <w:r w:rsidR="00DF519C" w:rsidRPr="00CC458C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4.4).</w:t>
      </w:r>
    </w:p>
    <w:p w14:paraId="17B26F21" w14:textId="77777777" w:rsidR="002F71D3" w:rsidRPr="00CC458C" w:rsidRDefault="002F71D3" w:rsidP="00470750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335E067A" w14:textId="77777777" w:rsidR="002F71D3" w:rsidRPr="00CC458C" w:rsidRDefault="002F71D3" w:rsidP="00703BAD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lang w:val="sk-SK"/>
        </w:rPr>
        <w:t>V</w:t>
      </w:r>
      <w:r w:rsidR="00DF519C" w:rsidRPr="00CC458C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súvislosti s</w:t>
      </w:r>
      <w:r w:rsidR="00DF519C" w:rsidRPr="00CC458C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liečbou </w:t>
      </w:r>
      <w:r w:rsidR="00D91346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nesteroidovými 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antiflogistikami bol hlásený edém, hypertenzia a</w:t>
      </w:r>
      <w:r w:rsidR="00DF519C" w:rsidRPr="00CC458C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srdcové zlyhanie.</w:t>
      </w:r>
    </w:p>
    <w:p w14:paraId="392B46B8" w14:textId="77777777" w:rsidR="002F71D3" w:rsidRPr="00CC458C" w:rsidRDefault="002F71D3" w:rsidP="00703BAD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4C44D6DC" w14:textId="77777777" w:rsidR="002F71D3" w:rsidRPr="00CC458C" w:rsidRDefault="002F71D3" w:rsidP="00DF519C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lang w:val="sk-SK"/>
        </w:rPr>
        <w:t>Najčastejšie pozorovan</w:t>
      </w:r>
      <w:r w:rsidR="00D714BE" w:rsidRPr="00CC458C">
        <w:rPr>
          <w:rFonts w:ascii="Times New Roman" w:hAnsi="Times New Roman" w:cs="Times New Roman"/>
          <w:sz w:val="22"/>
          <w:szCs w:val="22"/>
          <w:lang w:val="sk-SK"/>
        </w:rPr>
        <w:t>é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nežiaduc</w:t>
      </w:r>
      <w:r w:rsidR="00D714BE" w:rsidRPr="00CC458C">
        <w:rPr>
          <w:rFonts w:ascii="Times New Roman" w:hAnsi="Times New Roman" w:cs="Times New Roman"/>
          <w:sz w:val="22"/>
          <w:szCs w:val="22"/>
          <w:lang w:val="sk-SK"/>
        </w:rPr>
        <w:t>e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účink</w:t>
      </w:r>
      <w:r w:rsidR="00D714BE" w:rsidRPr="00CC458C">
        <w:rPr>
          <w:rFonts w:ascii="Times New Roman" w:hAnsi="Times New Roman" w:cs="Times New Roman"/>
          <w:sz w:val="22"/>
          <w:szCs w:val="22"/>
          <w:lang w:val="sk-SK"/>
        </w:rPr>
        <w:t>y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boli gastrointestináln</w:t>
      </w:r>
      <w:r w:rsidR="0004421E" w:rsidRPr="00CC458C">
        <w:rPr>
          <w:rFonts w:ascii="Times New Roman" w:hAnsi="Times New Roman" w:cs="Times New Roman"/>
          <w:sz w:val="22"/>
          <w:szCs w:val="22"/>
          <w:lang w:val="sk-SK"/>
        </w:rPr>
        <w:t>ej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04421E" w:rsidRPr="00CC458C">
        <w:rPr>
          <w:rFonts w:ascii="Times New Roman" w:hAnsi="Times New Roman" w:cs="Times New Roman"/>
          <w:sz w:val="22"/>
          <w:szCs w:val="22"/>
          <w:lang w:val="sk-SK"/>
        </w:rPr>
        <w:t>povahy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. Môžu sa vyskytnúť: peptické vredy, perforácia alebo gastrointestinálne krvácanie, niekedy fatáln</w:t>
      </w:r>
      <w:r w:rsidR="00E5457F" w:rsidRPr="00CC458C">
        <w:rPr>
          <w:rFonts w:ascii="Times New Roman" w:hAnsi="Times New Roman" w:cs="Times New Roman"/>
          <w:sz w:val="22"/>
          <w:szCs w:val="22"/>
          <w:lang w:val="sk-SK"/>
        </w:rPr>
        <w:t>e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r w:rsidR="0017574F" w:rsidRPr="00CC458C">
        <w:rPr>
          <w:rFonts w:ascii="Times New Roman" w:hAnsi="Times New Roman" w:cs="Times New Roman"/>
          <w:sz w:val="22"/>
          <w:szCs w:val="22"/>
          <w:lang w:val="sk-SK"/>
        </w:rPr>
        <w:t>obzvlášť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DF519C" w:rsidRPr="00CC458C">
        <w:rPr>
          <w:rFonts w:ascii="Times New Roman" w:hAnsi="Times New Roman" w:cs="Times New Roman"/>
          <w:sz w:val="22"/>
          <w:szCs w:val="22"/>
          <w:lang w:val="sk-SK"/>
        </w:rPr>
        <w:t>u 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starších </w:t>
      </w:r>
      <w:r w:rsidR="00163CE1" w:rsidRPr="00CC458C">
        <w:rPr>
          <w:rFonts w:ascii="Times New Roman" w:hAnsi="Times New Roman" w:cs="Times New Roman"/>
          <w:sz w:val="22"/>
          <w:szCs w:val="22"/>
          <w:lang w:val="sk-SK"/>
        </w:rPr>
        <w:t>pacientov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(pozri časť</w:t>
      </w:r>
      <w:r w:rsidR="00DF519C" w:rsidRPr="00CC458C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4.4). Po podaní meloxikamu boli hlásené aj: nauzea, vracanie, hnačka, flatulencia, zápcha, dyspepsia, bolesť brucha, meléna, hemateméza, ulceratívna stomatitída, 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lastRenderedPageBreak/>
        <w:t>exacerbácia kolitídy a</w:t>
      </w:r>
      <w:r w:rsidR="00DF519C" w:rsidRPr="00CC458C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Crohnovej choroby (pozri časť</w:t>
      </w:r>
      <w:r w:rsidR="00DF519C" w:rsidRPr="00CC458C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4.4 – </w:t>
      </w:r>
      <w:r w:rsidR="0017574F" w:rsidRPr="00CC458C">
        <w:rPr>
          <w:rFonts w:ascii="Times New Roman" w:hAnsi="Times New Roman" w:cs="Times New Roman"/>
          <w:sz w:val="22"/>
          <w:szCs w:val="22"/>
          <w:lang w:val="sk-SK"/>
        </w:rPr>
        <w:t>Osobit</w:t>
      </w:r>
      <w:r w:rsidR="00E5457F" w:rsidRPr="00CC458C">
        <w:rPr>
          <w:rFonts w:ascii="Times New Roman" w:hAnsi="Times New Roman" w:cs="Times New Roman"/>
          <w:sz w:val="22"/>
          <w:szCs w:val="22"/>
          <w:lang w:val="sk-SK"/>
        </w:rPr>
        <w:t>n</w:t>
      </w:r>
      <w:r w:rsidR="0017574F" w:rsidRPr="00CC458C">
        <w:rPr>
          <w:rFonts w:ascii="Times New Roman" w:hAnsi="Times New Roman" w:cs="Times New Roman"/>
          <w:sz w:val="22"/>
          <w:szCs w:val="22"/>
          <w:lang w:val="sk-SK"/>
        </w:rPr>
        <w:t>é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upozornenia a opatrenia). Menej často sa pozorovala gastritída.</w:t>
      </w:r>
    </w:p>
    <w:p w14:paraId="07F3A3D8" w14:textId="77777777" w:rsidR="00814E13" w:rsidRPr="00CC458C" w:rsidRDefault="00814E13" w:rsidP="00DF519C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28E15ADB" w14:textId="77777777" w:rsidR="002F71D3" w:rsidRPr="00CC458C" w:rsidRDefault="00814E13" w:rsidP="00995801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lang w:val="sk-SK"/>
        </w:rPr>
        <w:t>Závažné kožné nežiaduce reakcie (ZKNR)</w:t>
      </w:r>
      <w:r w:rsidR="00A51A6B" w:rsidRPr="00CC458C">
        <w:rPr>
          <w:rFonts w:ascii="Times New Roman" w:hAnsi="Times New Roman" w:cs="Times New Roman"/>
          <w:sz w:val="22"/>
          <w:szCs w:val="22"/>
          <w:lang w:val="sk-SK"/>
        </w:rPr>
        <w:t>: b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oli hlásené Stevensov-Johnsonov syndróm (SJS) a</w:t>
      </w:r>
      <w:r w:rsidR="00DF519C" w:rsidRPr="00CC458C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toxick</w:t>
      </w:r>
      <w:r w:rsidR="00A51A6B" w:rsidRPr="00CC458C">
        <w:rPr>
          <w:rFonts w:ascii="Times New Roman" w:hAnsi="Times New Roman" w:cs="Times New Roman"/>
          <w:sz w:val="22"/>
          <w:szCs w:val="22"/>
          <w:lang w:val="sk-SK"/>
        </w:rPr>
        <w:t>á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epidermáln</w:t>
      </w:r>
      <w:r w:rsidR="00A51A6B" w:rsidRPr="00CC458C">
        <w:rPr>
          <w:rFonts w:ascii="Times New Roman" w:hAnsi="Times New Roman" w:cs="Times New Roman"/>
          <w:sz w:val="22"/>
          <w:szCs w:val="22"/>
          <w:lang w:val="sk-SK"/>
        </w:rPr>
        <w:t>a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ne</w:t>
      </w:r>
      <w:r w:rsidR="00DF519C" w:rsidRPr="00CC458C">
        <w:rPr>
          <w:rFonts w:ascii="Times New Roman" w:hAnsi="Times New Roman" w:cs="Times New Roman"/>
          <w:sz w:val="22"/>
          <w:szCs w:val="22"/>
          <w:lang w:val="sk-SK"/>
        </w:rPr>
        <w:t>krolýz</w:t>
      </w:r>
      <w:r w:rsidR="00A51A6B" w:rsidRPr="00CC458C">
        <w:rPr>
          <w:rFonts w:ascii="Times New Roman" w:hAnsi="Times New Roman" w:cs="Times New Roman"/>
          <w:sz w:val="22"/>
          <w:szCs w:val="22"/>
          <w:lang w:val="sk-SK"/>
        </w:rPr>
        <w:t>a</w:t>
      </w:r>
      <w:r w:rsidR="00DF519C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(TEN) (pozri časť 4.4).</w:t>
      </w:r>
    </w:p>
    <w:p w14:paraId="68673EAD" w14:textId="77777777" w:rsidR="00814E13" w:rsidRPr="00CC458C" w:rsidRDefault="00814E13" w:rsidP="00995801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5BDC58C0" w14:textId="77777777" w:rsidR="002F71D3" w:rsidRPr="00CC458C" w:rsidRDefault="002F71D3" w:rsidP="000E4141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Frekvencia výskytu nežiaducich </w:t>
      </w:r>
      <w:r w:rsidR="00E5457F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reakcií 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uvedených nižšie zodpovedá údajom o</w:t>
      </w:r>
      <w:r w:rsidR="00DF519C" w:rsidRPr="00CC458C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výskyte hlásených nežiaducich účinkov získaných v</w:t>
      </w:r>
      <w:r w:rsidR="00DF519C" w:rsidRPr="00CC458C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27</w:t>
      </w:r>
      <w:r w:rsidR="00DF519C" w:rsidRPr="00CC458C">
        <w:rPr>
          <w:rFonts w:ascii="Times New Roman" w:hAnsi="Times New Roman" w:cs="Times New Roman"/>
          <w:sz w:val="22"/>
          <w:szCs w:val="22"/>
        </w:rPr>
        <w:t> 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klinických štúdiách s</w:t>
      </w:r>
      <w:r w:rsidR="00DF519C" w:rsidRPr="00CC458C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trvaním liečby najmenej 14</w:t>
      </w:r>
      <w:r w:rsidR="00DF519C" w:rsidRPr="00CC458C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dní. Informácie sa zistili v</w:t>
      </w:r>
      <w:r w:rsidRPr="00CC458C">
        <w:rPr>
          <w:rFonts w:ascii="Times New Roman" w:hAnsi="Times New Roman" w:cs="Times New Roman"/>
          <w:sz w:val="22"/>
          <w:szCs w:val="22"/>
        </w:rPr>
        <w:t xml:space="preserve"> 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klinických štúdiách zahŕňajúcich 15</w:t>
      </w:r>
      <w:r w:rsidR="006117F7" w:rsidRPr="00CC458C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197 pacientov, ktorí boli liečení dennou perorálnou dávkou 7,5</w:t>
      </w:r>
      <w:r w:rsidR="001740AB" w:rsidRPr="00CC458C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mg alebo 15</w:t>
      </w:r>
      <w:r w:rsidR="001740AB" w:rsidRPr="00CC458C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mg meloxikamu vo forme tablety</w:t>
      </w:r>
      <w:r w:rsidR="00A26C9B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(alebo kapsúl)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, počas obdobia</w:t>
      </w:r>
      <w:r w:rsidR="001740AB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až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1740AB" w:rsidRPr="00CC458C">
        <w:rPr>
          <w:rFonts w:ascii="Times New Roman" w:hAnsi="Times New Roman" w:cs="Times New Roman"/>
          <w:sz w:val="22"/>
          <w:szCs w:val="22"/>
          <w:lang w:val="sk-SK"/>
        </w:rPr>
        <w:t>do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jedného roka.</w:t>
      </w:r>
    </w:p>
    <w:p w14:paraId="2F4598CA" w14:textId="77777777" w:rsidR="00A26C9B" w:rsidRPr="00CC458C" w:rsidRDefault="00A26C9B" w:rsidP="00470750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1C034B76" w14:textId="77777777" w:rsidR="00B967F6" w:rsidRPr="00CC458C" w:rsidRDefault="002F71D3" w:rsidP="00703BAD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lang w:val="sk-SK"/>
        </w:rPr>
        <w:t>Uvedené sú nežiaduce</w:t>
      </w:r>
      <w:r w:rsidR="00874E4F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E5457F" w:rsidRPr="00CC458C">
        <w:rPr>
          <w:rFonts w:ascii="Times New Roman" w:hAnsi="Times New Roman" w:cs="Times New Roman"/>
          <w:sz w:val="22"/>
          <w:szCs w:val="22"/>
          <w:lang w:val="sk-SK"/>
        </w:rPr>
        <w:t>reakcie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, ktoré sa objavili ako výsledok hlásení</w:t>
      </w:r>
      <w:r w:rsidR="002C53BE" w:rsidRPr="00CC458C">
        <w:rPr>
          <w:rFonts w:ascii="Times New Roman" w:hAnsi="Times New Roman" w:cs="Times New Roman"/>
          <w:sz w:val="22"/>
          <w:szCs w:val="22"/>
          <w:lang w:val="sk-SK"/>
        </w:rPr>
        <w:t>, zaznamenaných v</w:t>
      </w:r>
      <w:r w:rsidR="00DF519C" w:rsidRPr="00CC458C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="002C53BE" w:rsidRPr="00CC458C">
        <w:rPr>
          <w:rFonts w:ascii="Times New Roman" w:hAnsi="Times New Roman" w:cs="Times New Roman"/>
          <w:sz w:val="22"/>
          <w:szCs w:val="22"/>
          <w:lang w:val="sk-SK"/>
        </w:rPr>
        <w:t>súvislosti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2C53BE" w:rsidRPr="00CC458C">
        <w:rPr>
          <w:rFonts w:ascii="Times New Roman" w:hAnsi="Times New Roman" w:cs="Times New Roman"/>
          <w:sz w:val="22"/>
          <w:szCs w:val="22"/>
          <w:lang w:val="sk-SK"/>
        </w:rPr>
        <w:t>s 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podávan</w:t>
      </w:r>
      <w:r w:rsidR="002C53BE" w:rsidRPr="00CC458C">
        <w:rPr>
          <w:rFonts w:ascii="Times New Roman" w:hAnsi="Times New Roman" w:cs="Times New Roman"/>
          <w:sz w:val="22"/>
          <w:szCs w:val="22"/>
          <w:lang w:val="sk-SK"/>
        </w:rPr>
        <w:t>ím lieku uvedeného na trh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4572ABAF" w14:textId="77777777" w:rsidR="00A26C9B" w:rsidRPr="00CC458C" w:rsidRDefault="00A26C9B" w:rsidP="00703BAD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5B312CCB" w14:textId="77777777" w:rsidR="00B967F6" w:rsidRPr="00CC458C" w:rsidRDefault="002A4B9E" w:rsidP="00DF519C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lang w:val="sk-SK"/>
        </w:rPr>
        <w:t>N</w:t>
      </w:r>
      <w:r w:rsidR="001D28A9" w:rsidRPr="00CC458C">
        <w:rPr>
          <w:rFonts w:ascii="Times New Roman" w:hAnsi="Times New Roman" w:cs="Times New Roman"/>
          <w:sz w:val="22"/>
          <w:szCs w:val="22"/>
          <w:lang w:val="sk-SK"/>
        </w:rPr>
        <w:t>e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žiaduce </w:t>
      </w:r>
      <w:r w:rsidR="00E5457F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reakcie 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boli zoradené </w:t>
      </w:r>
      <w:r w:rsidR="00B967F6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podľa výskytu frekvencie </w:t>
      </w:r>
      <w:r w:rsidR="00DF519C" w:rsidRPr="00CC458C">
        <w:rPr>
          <w:rFonts w:ascii="Times New Roman" w:hAnsi="Times New Roman" w:cs="Times New Roman"/>
          <w:sz w:val="22"/>
          <w:szCs w:val="22"/>
          <w:lang w:val="sk-SK"/>
        </w:rPr>
        <w:t>s 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použitím nasledovnej konvencie</w:t>
      </w:r>
      <w:r w:rsidR="00B967F6" w:rsidRPr="00CC458C">
        <w:rPr>
          <w:rFonts w:ascii="Times New Roman" w:hAnsi="Times New Roman" w:cs="Times New Roman"/>
          <w:sz w:val="22"/>
          <w:szCs w:val="22"/>
          <w:lang w:val="sk-SK"/>
        </w:rPr>
        <w:t>:</w:t>
      </w:r>
    </w:p>
    <w:p w14:paraId="089047E2" w14:textId="77777777" w:rsidR="00B967F6" w:rsidRPr="00CC458C" w:rsidRDefault="00B967F6" w:rsidP="00DF519C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lang w:val="sk-SK"/>
        </w:rPr>
        <w:t>veľmi časté (</w:t>
      </w:r>
      <w:r w:rsidR="002A4B9E" w:rsidRPr="00CC458C">
        <w:rPr>
          <w:rFonts w:ascii="Times New Roman" w:hAnsi="Times New Roman" w:cs="Times New Roman"/>
          <w:sz w:val="22"/>
          <w:szCs w:val="22"/>
          <w:lang w:val="sk-SK"/>
        </w:rPr>
        <w:t>≥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 1/10)</w:t>
      </w:r>
      <w:r w:rsidR="002C53BE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časté (</w:t>
      </w:r>
      <w:r w:rsidR="002A4B9E" w:rsidRPr="00CC458C">
        <w:rPr>
          <w:rFonts w:ascii="Times New Roman" w:hAnsi="Times New Roman" w:cs="Times New Roman"/>
          <w:sz w:val="22"/>
          <w:szCs w:val="22"/>
          <w:lang w:val="sk-SK"/>
        </w:rPr>
        <w:t>≥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 1/100</w:t>
      </w:r>
      <w:r w:rsidR="002A4B9E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až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&lt; 1/10)</w:t>
      </w:r>
      <w:r w:rsidR="002C53BE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menej časté </w:t>
      </w:r>
      <w:r w:rsidR="002A4B9E" w:rsidRPr="00CC458C">
        <w:rPr>
          <w:rFonts w:ascii="Times New Roman" w:hAnsi="Times New Roman" w:cs="Times New Roman"/>
          <w:sz w:val="22"/>
          <w:szCs w:val="22"/>
          <w:lang w:val="sk-SK"/>
        </w:rPr>
        <w:t>≥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 1/1</w:t>
      </w:r>
      <w:r w:rsidR="002A4B9E" w:rsidRPr="00CC458C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000</w:t>
      </w:r>
      <w:r w:rsidR="002A4B9E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až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&lt; 1/100)</w:t>
      </w:r>
      <w:r w:rsidR="002C53BE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zriedkavé (</w:t>
      </w:r>
      <w:r w:rsidR="002A4B9E" w:rsidRPr="00CC458C">
        <w:rPr>
          <w:rFonts w:ascii="Times New Roman" w:hAnsi="Times New Roman" w:cs="Times New Roman"/>
          <w:sz w:val="22"/>
          <w:szCs w:val="22"/>
          <w:lang w:val="sk-SK"/>
        </w:rPr>
        <w:t>≥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 1/10</w:t>
      </w:r>
      <w:r w:rsidR="002A4B9E" w:rsidRPr="00CC458C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000</w:t>
      </w:r>
      <w:r w:rsidR="002A4B9E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až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&lt; 1/1</w:t>
      </w:r>
      <w:r w:rsidR="002A4B9E" w:rsidRPr="00CC458C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000)</w:t>
      </w:r>
      <w:r w:rsidR="002C53BE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veľmi zriedkavé (&lt; 1/10</w:t>
      </w:r>
      <w:r w:rsidR="002A4B9E" w:rsidRPr="00CC458C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000)</w:t>
      </w:r>
      <w:r w:rsidR="002A4B9E" w:rsidRPr="00CC458C">
        <w:rPr>
          <w:rFonts w:ascii="Times New Roman" w:hAnsi="Times New Roman" w:cs="Times New Roman"/>
          <w:sz w:val="22"/>
          <w:szCs w:val="22"/>
          <w:lang w:val="sk-SK"/>
        </w:rPr>
        <w:t>, neznáme (z dostupných údajov).</w:t>
      </w:r>
    </w:p>
    <w:p w14:paraId="22225E4E" w14:textId="77777777" w:rsidR="00B967F6" w:rsidRPr="00CC458C" w:rsidRDefault="00B967F6" w:rsidP="00995801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1B888877" w14:textId="77777777" w:rsidR="0040611E" w:rsidRPr="00CC458C" w:rsidRDefault="00B967F6" w:rsidP="00DF519C">
      <w:pPr>
        <w:rPr>
          <w:rFonts w:ascii="Times New Roman" w:hAnsi="Times New Roman" w:cs="Times New Roman"/>
          <w:bCs w:val="0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bCs w:val="0"/>
          <w:sz w:val="22"/>
          <w:szCs w:val="22"/>
          <w:lang w:val="sk-SK"/>
        </w:rPr>
        <w:t xml:space="preserve">b) </w:t>
      </w:r>
      <w:r w:rsidR="00814E13" w:rsidRPr="00CC458C">
        <w:rPr>
          <w:rFonts w:ascii="Times New Roman" w:hAnsi="Times New Roman" w:cs="Times New Roman"/>
          <w:bCs w:val="0"/>
          <w:sz w:val="22"/>
          <w:szCs w:val="22"/>
          <w:lang w:val="sk-SK"/>
        </w:rPr>
        <w:t>Tabuľkový súhrn nežiaducich reakcií</w:t>
      </w:r>
    </w:p>
    <w:p w14:paraId="5FE80490" w14:textId="77777777" w:rsidR="00814E13" w:rsidRPr="00CC458C" w:rsidRDefault="00814E13" w:rsidP="00DF519C">
      <w:pPr>
        <w:rPr>
          <w:rFonts w:ascii="Times New Roman" w:hAnsi="Times New Roman" w:cs="Times New Roman"/>
          <w:b/>
          <w:bCs w:val="0"/>
          <w:sz w:val="22"/>
          <w:szCs w:val="22"/>
          <w:lang w:val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3"/>
        <w:gridCol w:w="4531"/>
      </w:tblGrid>
      <w:tr w:rsidR="00D80577" w:rsidRPr="00CC458C" w14:paraId="2694C904" w14:textId="77777777" w:rsidTr="00A562EF">
        <w:tc>
          <w:tcPr>
            <w:tcW w:w="8954" w:type="dxa"/>
            <w:gridSpan w:val="2"/>
            <w:shd w:val="clear" w:color="auto" w:fill="auto"/>
          </w:tcPr>
          <w:p w14:paraId="6303DF27" w14:textId="77777777" w:rsidR="00814E13" w:rsidRPr="00CC458C" w:rsidRDefault="00814E13" w:rsidP="00995801">
            <w:pPr>
              <w:pStyle w:val="MGGTextLeft"/>
              <w:rPr>
                <w:i/>
                <w:szCs w:val="22"/>
              </w:rPr>
            </w:pPr>
            <w:r w:rsidRPr="00CC458C">
              <w:rPr>
                <w:i/>
                <w:szCs w:val="22"/>
                <w:lang w:val="sk-SK"/>
              </w:rPr>
              <w:t>Poruchy krvi a lymfatického systému</w:t>
            </w:r>
          </w:p>
        </w:tc>
      </w:tr>
      <w:tr w:rsidR="00D80577" w:rsidRPr="00CC458C" w14:paraId="7DBBFAC6" w14:textId="77777777" w:rsidTr="00A562EF">
        <w:tc>
          <w:tcPr>
            <w:tcW w:w="4423" w:type="dxa"/>
            <w:shd w:val="clear" w:color="auto" w:fill="auto"/>
          </w:tcPr>
          <w:p w14:paraId="34F05CDF" w14:textId="77777777" w:rsidR="00814E13" w:rsidRPr="00CC458C" w:rsidRDefault="00814E13" w:rsidP="0040611E">
            <w:pPr>
              <w:pStyle w:val="MGGTextLeft"/>
              <w:rPr>
                <w:szCs w:val="22"/>
              </w:rPr>
            </w:pPr>
            <w:r w:rsidRPr="00CC458C">
              <w:rPr>
                <w:iCs/>
                <w:szCs w:val="22"/>
                <w:lang w:val="sk-SK"/>
              </w:rPr>
              <w:t>Menej časté</w:t>
            </w:r>
          </w:p>
        </w:tc>
        <w:tc>
          <w:tcPr>
            <w:tcW w:w="4531" w:type="dxa"/>
            <w:shd w:val="clear" w:color="auto" w:fill="auto"/>
          </w:tcPr>
          <w:p w14:paraId="04279641" w14:textId="77777777" w:rsidR="00814E13" w:rsidRPr="00CC458C" w:rsidRDefault="00AF5F42" w:rsidP="00995801">
            <w:pPr>
              <w:pStyle w:val="MGGTextLeft"/>
              <w:rPr>
                <w:szCs w:val="22"/>
              </w:rPr>
            </w:pPr>
            <w:r w:rsidRPr="00CC458C">
              <w:rPr>
                <w:szCs w:val="22"/>
              </w:rPr>
              <w:t>anémia</w:t>
            </w:r>
          </w:p>
        </w:tc>
      </w:tr>
      <w:tr w:rsidR="00D80577" w:rsidRPr="00CC458C" w14:paraId="441E7E6C" w14:textId="77777777" w:rsidTr="00A562EF">
        <w:tc>
          <w:tcPr>
            <w:tcW w:w="4423" w:type="dxa"/>
            <w:shd w:val="clear" w:color="auto" w:fill="auto"/>
          </w:tcPr>
          <w:p w14:paraId="2F9082DB" w14:textId="77777777" w:rsidR="00814E13" w:rsidRPr="00CC458C" w:rsidRDefault="00814E13" w:rsidP="0040611E">
            <w:pPr>
              <w:pStyle w:val="MGGTextLeft"/>
              <w:rPr>
                <w:szCs w:val="22"/>
              </w:rPr>
            </w:pPr>
            <w:r w:rsidRPr="00CC458C">
              <w:rPr>
                <w:iCs/>
                <w:szCs w:val="22"/>
                <w:lang w:val="sk-SK"/>
              </w:rPr>
              <w:t>Zriedkavé</w:t>
            </w:r>
          </w:p>
        </w:tc>
        <w:tc>
          <w:tcPr>
            <w:tcW w:w="4531" w:type="dxa"/>
            <w:shd w:val="clear" w:color="auto" w:fill="auto"/>
          </w:tcPr>
          <w:p w14:paraId="55F8C806" w14:textId="77777777" w:rsidR="00814E13" w:rsidRPr="00CC458C" w:rsidRDefault="00AF5F42" w:rsidP="00995801">
            <w:pPr>
              <w:pStyle w:val="MGGTextLeft"/>
              <w:rPr>
                <w:szCs w:val="22"/>
              </w:rPr>
            </w:pPr>
            <w:r w:rsidRPr="00CC458C">
              <w:rPr>
                <w:szCs w:val="22"/>
                <w:lang w:val="sk-SK"/>
              </w:rPr>
              <w:t>a</w:t>
            </w:r>
            <w:r w:rsidR="00814E13" w:rsidRPr="00CC458C">
              <w:rPr>
                <w:szCs w:val="22"/>
                <w:lang w:val="sk-SK"/>
              </w:rPr>
              <w:t>bnormály krvný obraz (vrátane diferenciálneho počtu bielych krviniek), leukopénia, trombocytopénia</w:t>
            </w:r>
          </w:p>
        </w:tc>
      </w:tr>
      <w:tr w:rsidR="00D80577" w:rsidRPr="00CC458C" w14:paraId="3E49D853" w14:textId="77777777" w:rsidTr="00A562EF">
        <w:tc>
          <w:tcPr>
            <w:tcW w:w="4423" w:type="dxa"/>
            <w:shd w:val="clear" w:color="auto" w:fill="auto"/>
          </w:tcPr>
          <w:p w14:paraId="60E4D2D1" w14:textId="77777777" w:rsidR="00814E13" w:rsidRPr="00CC458C" w:rsidRDefault="00814E13" w:rsidP="0040611E">
            <w:pPr>
              <w:pStyle w:val="MGGTextLeft"/>
              <w:rPr>
                <w:szCs w:val="22"/>
                <w:lang w:val="sk-SK"/>
              </w:rPr>
            </w:pPr>
            <w:r w:rsidRPr="00CC458C">
              <w:rPr>
                <w:szCs w:val="22"/>
                <w:lang w:val="sk-SK"/>
              </w:rPr>
              <w:t>Veľmi zriedkavé</w:t>
            </w:r>
          </w:p>
        </w:tc>
        <w:tc>
          <w:tcPr>
            <w:tcW w:w="4531" w:type="dxa"/>
            <w:shd w:val="clear" w:color="auto" w:fill="auto"/>
          </w:tcPr>
          <w:p w14:paraId="4578971C" w14:textId="77777777" w:rsidR="00814E13" w:rsidRPr="00CC458C" w:rsidRDefault="00AF5F42" w:rsidP="00995801">
            <w:pPr>
              <w:pStyle w:val="MGGTextLeft"/>
              <w:rPr>
                <w:szCs w:val="22"/>
              </w:rPr>
            </w:pPr>
            <w:r w:rsidRPr="00CC458C">
              <w:rPr>
                <w:szCs w:val="22"/>
                <w:lang w:val="sk-SK"/>
              </w:rPr>
              <w:t>b</w:t>
            </w:r>
            <w:r w:rsidR="00814E13" w:rsidRPr="00CC458C">
              <w:rPr>
                <w:szCs w:val="22"/>
                <w:lang w:val="sk-SK"/>
              </w:rPr>
              <w:t>oli hlásené</w:t>
            </w:r>
            <w:r w:rsidR="00814E13" w:rsidRPr="00CC458C">
              <w:rPr>
                <w:i/>
                <w:iCs/>
                <w:szCs w:val="22"/>
                <w:lang w:val="sk-SK"/>
              </w:rPr>
              <w:t xml:space="preserve"> </w:t>
            </w:r>
            <w:r w:rsidR="00814E13" w:rsidRPr="00CC458C">
              <w:rPr>
                <w:iCs/>
                <w:szCs w:val="22"/>
                <w:lang w:val="sk-SK"/>
              </w:rPr>
              <w:t>veľmi zriedkavé</w:t>
            </w:r>
            <w:r w:rsidR="00814E13" w:rsidRPr="00CC458C">
              <w:rPr>
                <w:szCs w:val="22"/>
                <w:lang w:val="sk-SK"/>
              </w:rPr>
              <w:t xml:space="preserve"> prípady agranulocytózy (pozri časť c).</w:t>
            </w:r>
          </w:p>
        </w:tc>
      </w:tr>
      <w:tr w:rsidR="00D80577" w:rsidRPr="00CC458C" w14:paraId="49BC12A9" w14:textId="77777777" w:rsidTr="00A562EF">
        <w:tc>
          <w:tcPr>
            <w:tcW w:w="8954" w:type="dxa"/>
            <w:gridSpan w:val="2"/>
            <w:shd w:val="clear" w:color="auto" w:fill="auto"/>
          </w:tcPr>
          <w:p w14:paraId="31FCC91C" w14:textId="77777777" w:rsidR="00814E13" w:rsidRPr="00CC458C" w:rsidRDefault="00814E13" w:rsidP="0040611E">
            <w:pPr>
              <w:pStyle w:val="Nadpis8"/>
              <w:rPr>
                <w:szCs w:val="22"/>
              </w:rPr>
            </w:pPr>
            <w:r w:rsidRPr="00CC458C">
              <w:rPr>
                <w:b w:val="0"/>
                <w:szCs w:val="22"/>
                <w:lang w:val="sk-SK"/>
              </w:rPr>
              <w:t>Poruchy imunitného systému</w:t>
            </w:r>
          </w:p>
        </w:tc>
      </w:tr>
      <w:tr w:rsidR="00D80577" w:rsidRPr="00CC458C" w14:paraId="262BCD1F" w14:textId="77777777" w:rsidTr="00A562EF">
        <w:tc>
          <w:tcPr>
            <w:tcW w:w="4423" w:type="dxa"/>
            <w:shd w:val="clear" w:color="auto" w:fill="auto"/>
          </w:tcPr>
          <w:p w14:paraId="4F24AEEA" w14:textId="77777777" w:rsidR="00814E13" w:rsidRPr="00CC458C" w:rsidRDefault="00814E13" w:rsidP="0040611E">
            <w:pPr>
              <w:pStyle w:val="MGGTextLeft"/>
              <w:rPr>
                <w:szCs w:val="22"/>
              </w:rPr>
            </w:pPr>
            <w:r w:rsidRPr="00CC458C">
              <w:rPr>
                <w:iCs/>
                <w:szCs w:val="22"/>
                <w:lang w:val="sk-SK"/>
              </w:rPr>
              <w:t>Menej časté</w:t>
            </w:r>
          </w:p>
        </w:tc>
        <w:tc>
          <w:tcPr>
            <w:tcW w:w="4531" w:type="dxa"/>
            <w:shd w:val="clear" w:color="auto" w:fill="auto"/>
          </w:tcPr>
          <w:p w14:paraId="4D5738D3" w14:textId="77777777" w:rsidR="00814E13" w:rsidRPr="00CC458C" w:rsidRDefault="00814E13" w:rsidP="00995801">
            <w:pPr>
              <w:pStyle w:val="MGGTextLeft"/>
              <w:rPr>
                <w:szCs w:val="22"/>
              </w:rPr>
            </w:pPr>
            <w:r w:rsidRPr="00CC458C">
              <w:rPr>
                <w:iCs/>
                <w:szCs w:val="22"/>
                <w:lang w:val="sk-SK"/>
              </w:rPr>
              <w:t>alergické reakcie iné než anafylaktické alebo anafylaktoidné</w:t>
            </w:r>
          </w:p>
        </w:tc>
      </w:tr>
      <w:tr w:rsidR="00D80577" w:rsidRPr="00CC458C" w14:paraId="7B5AA4EF" w14:textId="77777777" w:rsidTr="00A562EF">
        <w:tc>
          <w:tcPr>
            <w:tcW w:w="4423" w:type="dxa"/>
            <w:shd w:val="clear" w:color="auto" w:fill="auto"/>
          </w:tcPr>
          <w:p w14:paraId="7968E943" w14:textId="77777777" w:rsidR="00814E13" w:rsidRPr="00CC458C" w:rsidRDefault="00814E13" w:rsidP="0040611E">
            <w:pPr>
              <w:pStyle w:val="MGGTextLeft"/>
              <w:rPr>
                <w:szCs w:val="22"/>
              </w:rPr>
            </w:pPr>
            <w:r w:rsidRPr="00CC458C">
              <w:rPr>
                <w:iCs/>
                <w:szCs w:val="22"/>
                <w:lang w:val="sk-SK"/>
              </w:rPr>
              <w:t>Neznáme</w:t>
            </w:r>
          </w:p>
        </w:tc>
        <w:tc>
          <w:tcPr>
            <w:tcW w:w="4531" w:type="dxa"/>
            <w:shd w:val="clear" w:color="auto" w:fill="auto"/>
          </w:tcPr>
          <w:p w14:paraId="48C9A8B9" w14:textId="77777777" w:rsidR="00814E13" w:rsidRPr="00CC458C" w:rsidRDefault="0040611E" w:rsidP="00DF519C">
            <w:pPr>
              <w:pStyle w:val="MGGTextLeft"/>
              <w:rPr>
                <w:szCs w:val="22"/>
              </w:rPr>
            </w:pPr>
            <w:r w:rsidRPr="00CC458C">
              <w:rPr>
                <w:szCs w:val="22"/>
                <w:lang w:val="sk-SK"/>
              </w:rPr>
              <w:t xml:space="preserve">anafylaktická reakcia, </w:t>
            </w:r>
            <w:r w:rsidR="00814E13" w:rsidRPr="00CC458C">
              <w:rPr>
                <w:szCs w:val="22"/>
                <w:lang w:val="sk-SK"/>
              </w:rPr>
              <w:t>anafylaktoidné reakcie</w:t>
            </w:r>
          </w:p>
        </w:tc>
      </w:tr>
      <w:tr w:rsidR="00D80577" w:rsidRPr="00CC458C" w14:paraId="5AB2BF03" w14:textId="77777777" w:rsidTr="00A562EF">
        <w:tc>
          <w:tcPr>
            <w:tcW w:w="8954" w:type="dxa"/>
            <w:gridSpan w:val="2"/>
            <w:shd w:val="clear" w:color="auto" w:fill="auto"/>
          </w:tcPr>
          <w:p w14:paraId="5F765BF5" w14:textId="77777777" w:rsidR="00814E13" w:rsidRPr="00CC458C" w:rsidRDefault="00AF5F42" w:rsidP="0040611E">
            <w:pPr>
              <w:pStyle w:val="Nadpis8"/>
              <w:rPr>
                <w:szCs w:val="22"/>
              </w:rPr>
            </w:pPr>
            <w:r w:rsidRPr="00CC458C">
              <w:rPr>
                <w:b w:val="0"/>
                <w:szCs w:val="22"/>
                <w:lang w:val="sk-SK"/>
              </w:rPr>
              <w:t>Psychické poruchy</w:t>
            </w:r>
          </w:p>
        </w:tc>
      </w:tr>
      <w:tr w:rsidR="00D80577" w:rsidRPr="00CC458C" w14:paraId="63956F2B" w14:textId="77777777" w:rsidTr="00A562EF">
        <w:tc>
          <w:tcPr>
            <w:tcW w:w="4423" w:type="dxa"/>
            <w:shd w:val="clear" w:color="auto" w:fill="auto"/>
          </w:tcPr>
          <w:p w14:paraId="1656BD58" w14:textId="77777777" w:rsidR="00AF5F42" w:rsidRPr="00CC458C" w:rsidRDefault="00AF5F42" w:rsidP="0040611E">
            <w:pPr>
              <w:pStyle w:val="MGGTextLeft"/>
              <w:rPr>
                <w:szCs w:val="22"/>
              </w:rPr>
            </w:pPr>
            <w:r w:rsidRPr="00CC458C">
              <w:rPr>
                <w:iCs/>
                <w:szCs w:val="22"/>
                <w:lang w:val="sk-SK"/>
              </w:rPr>
              <w:t>Zriedkavé</w:t>
            </w:r>
          </w:p>
        </w:tc>
        <w:tc>
          <w:tcPr>
            <w:tcW w:w="4531" w:type="dxa"/>
            <w:shd w:val="clear" w:color="auto" w:fill="auto"/>
          </w:tcPr>
          <w:p w14:paraId="18AA97FC" w14:textId="77777777" w:rsidR="00AF5F42" w:rsidRPr="00CC458C" w:rsidRDefault="00AF5F42" w:rsidP="00995801">
            <w:pPr>
              <w:pStyle w:val="MGGTextLeft"/>
              <w:rPr>
                <w:szCs w:val="22"/>
              </w:rPr>
            </w:pPr>
            <w:r w:rsidRPr="00CC458C">
              <w:rPr>
                <w:szCs w:val="22"/>
                <w:lang w:val="sk-SK"/>
              </w:rPr>
              <w:t>zmeny nálad, nočné mory</w:t>
            </w:r>
          </w:p>
        </w:tc>
      </w:tr>
      <w:tr w:rsidR="00D80577" w:rsidRPr="00CC458C" w14:paraId="561464BE" w14:textId="77777777" w:rsidTr="00A562EF">
        <w:tc>
          <w:tcPr>
            <w:tcW w:w="4423" w:type="dxa"/>
            <w:shd w:val="clear" w:color="auto" w:fill="auto"/>
          </w:tcPr>
          <w:p w14:paraId="76D6AF8A" w14:textId="77777777" w:rsidR="00AF5F42" w:rsidRPr="00CC458C" w:rsidRDefault="00AF5F42" w:rsidP="0040611E">
            <w:pPr>
              <w:pStyle w:val="MGGTextLeft"/>
              <w:rPr>
                <w:szCs w:val="22"/>
              </w:rPr>
            </w:pPr>
            <w:r w:rsidRPr="00CC458C">
              <w:rPr>
                <w:szCs w:val="22"/>
                <w:lang w:val="sk-SK"/>
              </w:rPr>
              <w:t>Neznáme</w:t>
            </w:r>
          </w:p>
        </w:tc>
        <w:tc>
          <w:tcPr>
            <w:tcW w:w="4531" w:type="dxa"/>
            <w:shd w:val="clear" w:color="auto" w:fill="auto"/>
          </w:tcPr>
          <w:p w14:paraId="2519490E" w14:textId="77777777" w:rsidR="00AF5F42" w:rsidRPr="00CC458C" w:rsidRDefault="00AF5F42" w:rsidP="00995801">
            <w:pPr>
              <w:pStyle w:val="MGGTextLeft"/>
              <w:rPr>
                <w:szCs w:val="22"/>
              </w:rPr>
            </w:pPr>
            <w:r w:rsidRPr="00CC458C">
              <w:rPr>
                <w:szCs w:val="22"/>
                <w:lang w:val="sk-SK"/>
              </w:rPr>
              <w:t>stavy zmätenosti, strata orientácie</w:t>
            </w:r>
          </w:p>
        </w:tc>
      </w:tr>
      <w:tr w:rsidR="00D80577" w:rsidRPr="00CC458C" w14:paraId="5CD9CAF2" w14:textId="77777777" w:rsidTr="00A562EF">
        <w:tc>
          <w:tcPr>
            <w:tcW w:w="8954" w:type="dxa"/>
            <w:gridSpan w:val="2"/>
            <w:shd w:val="clear" w:color="auto" w:fill="auto"/>
          </w:tcPr>
          <w:p w14:paraId="6769B1E0" w14:textId="77777777" w:rsidR="00AF5F42" w:rsidRPr="00CC458C" w:rsidRDefault="00AF5F42" w:rsidP="0040611E">
            <w:pPr>
              <w:pStyle w:val="MGGTextLeft"/>
              <w:rPr>
                <w:i/>
                <w:szCs w:val="22"/>
              </w:rPr>
            </w:pPr>
            <w:r w:rsidRPr="00CC458C">
              <w:rPr>
                <w:i/>
                <w:szCs w:val="22"/>
                <w:lang w:val="sk-SK"/>
              </w:rPr>
              <w:t>Poruchy nervového systému</w:t>
            </w:r>
          </w:p>
        </w:tc>
      </w:tr>
      <w:tr w:rsidR="00D80577" w:rsidRPr="00CC458C" w14:paraId="60341F5D" w14:textId="77777777" w:rsidTr="00A562EF">
        <w:tc>
          <w:tcPr>
            <w:tcW w:w="4423" w:type="dxa"/>
            <w:shd w:val="clear" w:color="auto" w:fill="auto"/>
          </w:tcPr>
          <w:p w14:paraId="2A4B8753" w14:textId="77777777" w:rsidR="00AF5F42" w:rsidRPr="00CC458C" w:rsidRDefault="00AF5F42" w:rsidP="0040611E">
            <w:pPr>
              <w:pStyle w:val="MGGTextLeft"/>
              <w:rPr>
                <w:szCs w:val="22"/>
              </w:rPr>
            </w:pPr>
            <w:r w:rsidRPr="00CC458C">
              <w:rPr>
                <w:iCs/>
                <w:szCs w:val="22"/>
                <w:lang w:val="sk-SK"/>
              </w:rPr>
              <w:t>Časté</w:t>
            </w:r>
          </w:p>
        </w:tc>
        <w:tc>
          <w:tcPr>
            <w:tcW w:w="4531" w:type="dxa"/>
            <w:shd w:val="clear" w:color="auto" w:fill="auto"/>
          </w:tcPr>
          <w:p w14:paraId="2E9333B9" w14:textId="77777777" w:rsidR="00AF5F42" w:rsidRPr="00CC458C" w:rsidRDefault="00AF5F42" w:rsidP="00995801">
            <w:pPr>
              <w:pStyle w:val="MGGTextLeft"/>
              <w:rPr>
                <w:szCs w:val="22"/>
              </w:rPr>
            </w:pPr>
            <w:r w:rsidRPr="00CC458C">
              <w:rPr>
                <w:szCs w:val="22"/>
              </w:rPr>
              <w:t>bolesť hlavy</w:t>
            </w:r>
          </w:p>
        </w:tc>
      </w:tr>
      <w:tr w:rsidR="00D80577" w:rsidRPr="00CC458C" w14:paraId="5D995C3B" w14:textId="77777777" w:rsidTr="00A562EF">
        <w:tc>
          <w:tcPr>
            <w:tcW w:w="4423" w:type="dxa"/>
            <w:shd w:val="clear" w:color="auto" w:fill="auto"/>
          </w:tcPr>
          <w:p w14:paraId="4AA426D9" w14:textId="77777777" w:rsidR="00AF5F42" w:rsidRPr="00CC458C" w:rsidRDefault="00AF5F42" w:rsidP="0040611E">
            <w:pPr>
              <w:pStyle w:val="MGGTextLeft"/>
              <w:rPr>
                <w:szCs w:val="22"/>
              </w:rPr>
            </w:pPr>
            <w:r w:rsidRPr="00CC458C">
              <w:rPr>
                <w:iCs/>
                <w:szCs w:val="22"/>
                <w:lang w:val="sk-SK"/>
              </w:rPr>
              <w:t>Menej časté</w:t>
            </w:r>
          </w:p>
        </w:tc>
        <w:tc>
          <w:tcPr>
            <w:tcW w:w="4531" w:type="dxa"/>
            <w:shd w:val="clear" w:color="auto" w:fill="auto"/>
          </w:tcPr>
          <w:p w14:paraId="16733A89" w14:textId="77777777" w:rsidR="00AF5F42" w:rsidRPr="00CC458C" w:rsidRDefault="00AF5F42" w:rsidP="00995801">
            <w:pPr>
              <w:pStyle w:val="MGGTextLeft"/>
              <w:rPr>
                <w:szCs w:val="22"/>
              </w:rPr>
            </w:pPr>
            <w:r w:rsidRPr="00CC458C">
              <w:rPr>
                <w:szCs w:val="22"/>
                <w:lang w:val="sk-SK"/>
              </w:rPr>
              <w:t>závrat, somnolencia</w:t>
            </w:r>
          </w:p>
        </w:tc>
      </w:tr>
      <w:tr w:rsidR="00D80577" w:rsidRPr="00CC458C" w14:paraId="053D707A" w14:textId="77777777" w:rsidTr="00A562EF">
        <w:tc>
          <w:tcPr>
            <w:tcW w:w="8954" w:type="dxa"/>
            <w:gridSpan w:val="2"/>
            <w:shd w:val="clear" w:color="auto" w:fill="auto"/>
          </w:tcPr>
          <w:p w14:paraId="5F7421B1" w14:textId="77777777" w:rsidR="00814E13" w:rsidRPr="00CC458C" w:rsidRDefault="00AF5F42" w:rsidP="0040611E">
            <w:pPr>
              <w:pStyle w:val="MGGTextLeft"/>
              <w:rPr>
                <w:szCs w:val="22"/>
              </w:rPr>
            </w:pPr>
            <w:r w:rsidRPr="00CC458C">
              <w:rPr>
                <w:i/>
                <w:iCs/>
                <w:szCs w:val="22"/>
              </w:rPr>
              <w:t>Poruchy oka</w:t>
            </w:r>
          </w:p>
        </w:tc>
      </w:tr>
      <w:tr w:rsidR="00D80577" w:rsidRPr="00CC458C" w14:paraId="28B9019E" w14:textId="77777777" w:rsidTr="00A562EF">
        <w:tc>
          <w:tcPr>
            <w:tcW w:w="4423" w:type="dxa"/>
            <w:shd w:val="clear" w:color="auto" w:fill="auto"/>
          </w:tcPr>
          <w:p w14:paraId="21109E63" w14:textId="77777777" w:rsidR="00AF5F42" w:rsidRPr="00CC458C" w:rsidRDefault="00AF5F42" w:rsidP="0040611E">
            <w:pPr>
              <w:pStyle w:val="MGGTextLeft"/>
              <w:rPr>
                <w:szCs w:val="22"/>
              </w:rPr>
            </w:pPr>
            <w:r w:rsidRPr="00CC458C">
              <w:rPr>
                <w:iCs/>
                <w:szCs w:val="22"/>
                <w:lang w:val="sk-SK"/>
              </w:rPr>
              <w:t>Zriedkavé</w:t>
            </w:r>
          </w:p>
        </w:tc>
        <w:tc>
          <w:tcPr>
            <w:tcW w:w="4531" w:type="dxa"/>
            <w:shd w:val="clear" w:color="auto" w:fill="auto"/>
          </w:tcPr>
          <w:p w14:paraId="1598F9EF" w14:textId="77777777" w:rsidR="00AF5F42" w:rsidRPr="00CC458C" w:rsidRDefault="00AF5F42" w:rsidP="00995801">
            <w:pPr>
              <w:pStyle w:val="MGGTextLeft"/>
              <w:rPr>
                <w:szCs w:val="22"/>
              </w:rPr>
            </w:pPr>
            <w:r w:rsidRPr="00CC458C">
              <w:rPr>
                <w:szCs w:val="22"/>
                <w:lang w:val="sk-SK"/>
              </w:rPr>
              <w:t>poruchy zraku vrátane rozmazaného videnia, konjuktivitída</w:t>
            </w:r>
          </w:p>
        </w:tc>
      </w:tr>
      <w:tr w:rsidR="00D80577" w:rsidRPr="00CC458C" w14:paraId="31190D32" w14:textId="77777777" w:rsidTr="00A562EF">
        <w:tc>
          <w:tcPr>
            <w:tcW w:w="8954" w:type="dxa"/>
            <w:gridSpan w:val="2"/>
            <w:shd w:val="clear" w:color="auto" w:fill="auto"/>
          </w:tcPr>
          <w:p w14:paraId="5C7FE24A" w14:textId="77777777" w:rsidR="00814E13" w:rsidRPr="00CC458C" w:rsidRDefault="00AF5F42" w:rsidP="0040611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C458C">
              <w:rPr>
                <w:rFonts w:ascii="Times New Roman" w:hAnsi="Times New Roman" w:cs="Times New Roman"/>
                <w:i/>
                <w:sz w:val="22"/>
                <w:szCs w:val="22"/>
                <w:lang w:val="sk-SK"/>
              </w:rPr>
              <w:t>Poruchy ucha a</w:t>
            </w:r>
            <w:r w:rsidR="00D12A1B" w:rsidRPr="00CC458C">
              <w:rPr>
                <w:rFonts w:ascii="Times New Roman" w:hAnsi="Times New Roman" w:cs="Times New Roman"/>
                <w:i/>
                <w:sz w:val="22"/>
                <w:szCs w:val="22"/>
                <w:lang w:val="sk-SK"/>
              </w:rPr>
              <w:t> </w:t>
            </w:r>
            <w:r w:rsidRPr="00CC458C">
              <w:rPr>
                <w:rFonts w:ascii="Times New Roman" w:hAnsi="Times New Roman" w:cs="Times New Roman"/>
                <w:i/>
                <w:sz w:val="22"/>
                <w:szCs w:val="22"/>
                <w:lang w:val="sk-SK"/>
              </w:rPr>
              <w:t>labyrintu</w:t>
            </w:r>
          </w:p>
        </w:tc>
      </w:tr>
      <w:tr w:rsidR="00D80577" w:rsidRPr="00CC458C" w14:paraId="4B5C4FE8" w14:textId="77777777" w:rsidTr="00A562EF">
        <w:tc>
          <w:tcPr>
            <w:tcW w:w="4423" w:type="dxa"/>
            <w:shd w:val="clear" w:color="auto" w:fill="auto"/>
          </w:tcPr>
          <w:p w14:paraId="291C089D" w14:textId="77777777" w:rsidR="00814E13" w:rsidRPr="00CC458C" w:rsidRDefault="00D12A1B" w:rsidP="0040611E">
            <w:pPr>
              <w:pStyle w:val="MGGTextLeft"/>
              <w:rPr>
                <w:szCs w:val="22"/>
              </w:rPr>
            </w:pPr>
            <w:r w:rsidRPr="00CC458C">
              <w:rPr>
                <w:iCs/>
                <w:szCs w:val="22"/>
                <w:lang w:val="sk-SK"/>
              </w:rPr>
              <w:t>Menej časté</w:t>
            </w:r>
          </w:p>
        </w:tc>
        <w:tc>
          <w:tcPr>
            <w:tcW w:w="4531" w:type="dxa"/>
            <w:shd w:val="clear" w:color="auto" w:fill="auto"/>
          </w:tcPr>
          <w:p w14:paraId="33833385" w14:textId="77777777" w:rsidR="00814E13" w:rsidRPr="00CC458C" w:rsidRDefault="00AF5F42" w:rsidP="00995801">
            <w:pPr>
              <w:pStyle w:val="MGGTextLeft"/>
              <w:rPr>
                <w:szCs w:val="22"/>
              </w:rPr>
            </w:pPr>
            <w:r w:rsidRPr="00CC458C">
              <w:rPr>
                <w:iCs/>
                <w:szCs w:val="22"/>
                <w:lang w:val="sk-SK"/>
              </w:rPr>
              <w:t>vertigo</w:t>
            </w:r>
          </w:p>
        </w:tc>
      </w:tr>
      <w:tr w:rsidR="00D80577" w:rsidRPr="00CC458C" w14:paraId="2BC52969" w14:textId="77777777" w:rsidTr="00A562EF">
        <w:tc>
          <w:tcPr>
            <w:tcW w:w="4423" w:type="dxa"/>
            <w:shd w:val="clear" w:color="auto" w:fill="auto"/>
          </w:tcPr>
          <w:p w14:paraId="2F7241E9" w14:textId="77777777" w:rsidR="00814E13" w:rsidRPr="00CC458C" w:rsidRDefault="00AF5F42" w:rsidP="0040611E">
            <w:pPr>
              <w:pStyle w:val="MGGTextLeft"/>
              <w:rPr>
                <w:szCs w:val="22"/>
              </w:rPr>
            </w:pPr>
            <w:r w:rsidRPr="00CC458C">
              <w:rPr>
                <w:iCs/>
                <w:szCs w:val="22"/>
                <w:lang w:val="sk-SK"/>
              </w:rPr>
              <w:t>Zriedkavé</w:t>
            </w:r>
          </w:p>
        </w:tc>
        <w:tc>
          <w:tcPr>
            <w:tcW w:w="4531" w:type="dxa"/>
            <w:shd w:val="clear" w:color="auto" w:fill="auto"/>
          </w:tcPr>
          <w:p w14:paraId="4D575E30" w14:textId="77777777" w:rsidR="00814E13" w:rsidRPr="00CC458C" w:rsidRDefault="00AF5F42" w:rsidP="00995801">
            <w:pPr>
              <w:pStyle w:val="MGGTextLeft"/>
              <w:rPr>
                <w:szCs w:val="22"/>
              </w:rPr>
            </w:pPr>
            <w:r w:rsidRPr="00CC458C">
              <w:rPr>
                <w:iCs/>
                <w:szCs w:val="22"/>
                <w:lang w:val="sk-SK"/>
              </w:rPr>
              <w:t>tinitus</w:t>
            </w:r>
          </w:p>
        </w:tc>
      </w:tr>
      <w:tr w:rsidR="00D80577" w:rsidRPr="00CC458C" w14:paraId="35213A1A" w14:textId="77777777" w:rsidTr="00A562EF">
        <w:tc>
          <w:tcPr>
            <w:tcW w:w="8954" w:type="dxa"/>
            <w:gridSpan w:val="2"/>
            <w:shd w:val="clear" w:color="auto" w:fill="auto"/>
          </w:tcPr>
          <w:p w14:paraId="45D2700B" w14:textId="77777777" w:rsidR="00814E13" w:rsidRPr="00CC458C" w:rsidRDefault="00AF5F42" w:rsidP="0040611E">
            <w:pPr>
              <w:pStyle w:val="Nadpis8"/>
              <w:rPr>
                <w:szCs w:val="22"/>
              </w:rPr>
            </w:pPr>
            <w:r w:rsidRPr="00CC458C">
              <w:rPr>
                <w:b w:val="0"/>
                <w:szCs w:val="22"/>
                <w:lang w:val="sk-SK"/>
              </w:rPr>
              <w:t>Poruchy srdca a srdcovej činnosti</w:t>
            </w:r>
          </w:p>
        </w:tc>
      </w:tr>
      <w:tr w:rsidR="00D80577" w:rsidRPr="00CC458C" w14:paraId="066B4690" w14:textId="77777777" w:rsidTr="00A562EF">
        <w:tc>
          <w:tcPr>
            <w:tcW w:w="4423" w:type="dxa"/>
            <w:shd w:val="clear" w:color="auto" w:fill="auto"/>
          </w:tcPr>
          <w:p w14:paraId="56BEC4B2" w14:textId="77777777" w:rsidR="00814E13" w:rsidRPr="00CC458C" w:rsidRDefault="00AF5F42" w:rsidP="0040611E">
            <w:pPr>
              <w:pStyle w:val="MGGTextLeft"/>
              <w:rPr>
                <w:szCs w:val="22"/>
              </w:rPr>
            </w:pPr>
            <w:r w:rsidRPr="00CC458C">
              <w:rPr>
                <w:iCs/>
                <w:szCs w:val="22"/>
                <w:lang w:val="sk-SK"/>
              </w:rPr>
              <w:t>Zriedkavé</w:t>
            </w:r>
          </w:p>
        </w:tc>
        <w:tc>
          <w:tcPr>
            <w:tcW w:w="4531" w:type="dxa"/>
            <w:shd w:val="clear" w:color="auto" w:fill="auto"/>
          </w:tcPr>
          <w:p w14:paraId="6F8CC4EA" w14:textId="77777777" w:rsidR="00814E13" w:rsidRPr="00CC458C" w:rsidRDefault="00AF5F42" w:rsidP="00995801">
            <w:pPr>
              <w:pStyle w:val="MGGTextLeft"/>
              <w:rPr>
                <w:szCs w:val="22"/>
              </w:rPr>
            </w:pPr>
            <w:r w:rsidRPr="00CC458C">
              <w:rPr>
                <w:szCs w:val="22"/>
                <w:lang w:val="sk-SK"/>
              </w:rPr>
              <w:t>palpitácie</w:t>
            </w:r>
          </w:p>
        </w:tc>
      </w:tr>
      <w:tr w:rsidR="00D80577" w:rsidRPr="00CC458C" w14:paraId="017DD333" w14:textId="77777777" w:rsidTr="00A562EF">
        <w:tc>
          <w:tcPr>
            <w:tcW w:w="4423" w:type="dxa"/>
            <w:shd w:val="clear" w:color="auto" w:fill="auto"/>
          </w:tcPr>
          <w:p w14:paraId="5C7EB809" w14:textId="77777777" w:rsidR="00814E13" w:rsidRPr="00CC458C" w:rsidRDefault="00AF5F42" w:rsidP="0040611E">
            <w:pPr>
              <w:pStyle w:val="MGGTextLeft"/>
              <w:rPr>
                <w:szCs w:val="22"/>
                <w:lang w:val="sk-SK"/>
              </w:rPr>
            </w:pPr>
            <w:r w:rsidRPr="00CC458C">
              <w:rPr>
                <w:szCs w:val="22"/>
                <w:lang w:val="sk-SK"/>
              </w:rPr>
              <w:t>Neznáme</w:t>
            </w:r>
          </w:p>
        </w:tc>
        <w:tc>
          <w:tcPr>
            <w:tcW w:w="4531" w:type="dxa"/>
            <w:shd w:val="clear" w:color="auto" w:fill="auto"/>
          </w:tcPr>
          <w:p w14:paraId="0467142E" w14:textId="77777777" w:rsidR="00814E13" w:rsidRPr="00CC458C" w:rsidRDefault="00AB7B9D" w:rsidP="00DF51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C458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z</w:t>
            </w:r>
            <w:r w:rsidR="00AF5F42" w:rsidRPr="00CC458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aznamenali sa hlásenia zlyhania srdca v súvislosti s liečbou NSAID</w:t>
            </w:r>
          </w:p>
        </w:tc>
      </w:tr>
      <w:tr w:rsidR="00D80577" w:rsidRPr="00CC458C" w14:paraId="74043BAE" w14:textId="77777777" w:rsidTr="00A562EF">
        <w:tc>
          <w:tcPr>
            <w:tcW w:w="8954" w:type="dxa"/>
            <w:gridSpan w:val="2"/>
            <w:shd w:val="clear" w:color="auto" w:fill="auto"/>
          </w:tcPr>
          <w:p w14:paraId="531BFEA1" w14:textId="77777777" w:rsidR="00814E13" w:rsidRPr="00CC458C" w:rsidRDefault="00AF5F42" w:rsidP="00DF519C">
            <w:pPr>
              <w:pStyle w:val="Nadpis8"/>
              <w:rPr>
                <w:szCs w:val="22"/>
              </w:rPr>
            </w:pPr>
            <w:r w:rsidRPr="00CC458C">
              <w:rPr>
                <w:b w:val="0"/>
                <w:szCs w:val="22"/>
                <w:lang w:val="sk-SK"/>
              </w:rPr>
              <w:t>Poruchy ciev</w:t>
            </w:r>
          </w:p>
        </w:tc>
      </w:tr>
      <w:tr w:rsidR="00D80577" w:rsidRPr="00CC458C" w14:paraId="7D5CD9CF" w14:textId="77777777" w:rsidTr="00A562EF">
        <w:tc>
          <w:tcPr>
            <w:tcW w:w="4423" w:type="dxa"/>
            <w:shd w:val="clear" w:color="auto" w:fill="auto"/>
          </w:tcPr>
          <w:p w14:paraId="61727BAB" w14:textId="77777777" w:rsidR="00DF519C" w:rsidRPr="00CC458C" w:rsidRDefault="00DF519C" w:rsidP="00DF519C">
            <w:pPr>
              <w:pStyle w:val="MGGTextLeft"/>
              <w:rPr>
                <w:szCs w:val="22"/>
              </w:rPr>
            </w:pPr>
            <w:r w:rsidRPr="00CC458C">
              <w:rPr>
                <w:iCs/>
                <w:szCs w:val="22"/>
                <w:lang w:val="sk-SK"/>
              </w:rPr>
              <w:t>Menej časté</w:t>
            </w:r>
          </w:p>
        </w:tc>
        <w:tc>
          <w:tcPr>
            <w:tcW w:w="4531" w:type="dxa"/>
            <w:shd w:val="clear" w:color="auto" w:fill="auto"/>
          </w:tcPr>
          <w:p w14:paraId="7FFF39E4" w14:textId="77777777" w:rsidR="00DF519C" w:rsidRPr="00CC458C" w:rsidRDefault="00DF519C" w:rsidP="00DF519C">
            <w:pPr>
              <w:pStyle w:val="MGGTextLeft"/>
              <w:rPr>
                <w:szCs w:val="22"/>
              </w:rPr>
            </w:pPr>
            <w:r w:rsidRPr="00CC458C">
              <w:rPr>
                <w:szCs w:val="22"/>
                <w:lang w:val="sk-SK"/>
              </w:rPr>
              <w:t>zvýšený tlak krvi (pozri časť 4.4), návaly tepla</w:t>
            </w:r>
          </w:p>
        </w:tc>
      </w:tr>
      <w:tr w:rsidR="00D80577" w:rsidRPr="00CC458C" w14:paraId="4CE0BADF" w14:textId="77777777" w:rsidTr="00A562EF">
        <w:tc>
          <w:tcPr>
            <w:tcW w:w="4423" w:type="dxa"/>
            <w:shd w:val="clear" w:color="auto" w:fill="auto"/>
          </w:tcPr>
          <w:p w14:paraId="6E1CCF4F" w14:textId="77777777" w:rsidR="00DF519C" w:rsidRPr="00CC458C" w:rsidRDefault="00DF519C" w:rsidP="00DF519C">
            <w:pPr>
              <w:pStyle w:val="MGGTextLeft"/>
              <w:rPr>
                <w:iCs/>
                <w:szCs w:val="22"/>
                <w:lang w:val="sk-SK"/>
              </w:rPr>
            </w:pPr>
            <w:r w:rsidRPr="00CC458C">
              <w:rPr>
                <w:iCs/>
                <w:szCs w:val="22"/>
                <w:lang w:val="sk-SK"/>
              </w:rPr>
              <w:t>Veľmi zriedkavé</w:t>
            </w:r>
          </w:p>
        </w:tc>
        <w:tc>
          <w:tcPr>
            <w:tcW w:w="4531" w:type="dxa"/>
            <w:shd w:val="clear" w:color="auto" w:fill="auto"/>
          </w:tcPr>
          <w:p w14:paraId="624A064E" w14:textId="77777777" w:rsidR="00DF519C" w:rsidRPr="00CC458C" w:rsidRDefault="00DF519C" w:rsidP="00DF519C">
            <w:pPr>
              <w:pStyle w:val="MGGTextLeft"/>
              <w:rPr>
                <w:szCs w:val="22"/>
                <w:lang w:val="sk-SK"/>
              </w:rPr>
            </w:pPr>
            <w:r w:rsidRPr="00CC458C">
              <w:rPr>
                <w:bCs/>
                <w:szCs w:val="22"/>
                <w:lang w:val="en-US"/>
              </w:rPr>
              <w:t>Riziko arteriálnych trombotických príhod (napríklad infarktu myokardu alebo cievnej mozgovej príhody)</w:t>
            </w:r>
          </w:p>
        </w:tc>
      </w:tr>
      <w:tr w:rsidR="00D80577" w:rsidRPr="00CC458C" w14:paraId="66B84545" w14:textId="77777777" w:rsidTr="00A562EF">
        <w:tc>
          <w:tcPr>
            <w:tcW w:w="8954" w:type="dxa"/>
            <w:gridSpan w:val="2"/>
            <w:shd w:val="clear" w:color="auto" w:fill="auto"/>
          </w:tcPr>
          <w:p w14:paraId="646DE35D" w14:textId="77777777" w:rsidR="00814E13" w:rsidRPr="00CC458C" w:rsidRDefault="00AF5F42" w:rsidP="0040611E">
            <w:pPr>
              <w:pStyle w:val="Nadpis8"/>
              <w:rPr>
                <w:szCs w:val="22"/>
              </w:rPr>
            </w:pPr>
            <w:r w:rsidRPr="00CC458C">
              <w:rPr>
                <w:b w:val="0"/>
                <w:szCs w:val="22"/>
                <w:lang w:val="sk-SK"/>
              </w:rPr>
              <w:t>Poruchy dýchacej sústavy, hrudníka a mediastína</w:t>
            </w:r>
          </w:p>
        </w:tc>
      </w:tr>
      <w:tr w:rsidR="00D80577" w:rsidRPr="00CC458C" w14:paraId="5A9EEB4C" w14:textId="77777777" w:rsidTr="00A562EF">
        <w:tc>
          <w:tcPr>
            <w:tcW w:w="4423" w:type="dxa"/>
            <w:shd w:val="clear" w:color="auto" w:fill="auto"/>
          </w:tcPr>
          <w:p w14:paraId="464643C7" w14:textId="77777777" w:rsidR="00814E13" w:rsidRPr="00CC458C" w:rsidRDefault="00AF5F42" w:rsidP="0040611E">
            <w:pPr>
              <w:pStyle w:val="MGGTextLeft"/>
              <w:rPr>
                <w:szCs w:val="22"/>
              </w:rPr>
            </w:pPr>
            <w:r w:rsidRPr="00CC458C">
              <w:rPr>
                <w:iCs/>
                <w:szCs w:val="22"/>
                <w:lang w:val="sk-SK"/>
              </w:rPr>
              <w:t>Zriedkavé</w:t>
            </w:r>
          </w:p>
        </w:tc>
        <w:tc>
          <w:tcPr>
            <w:tcW w:w="4531" w:type="dxa"/>
            <w:shd w:val="clear" w:color="auto" w:fill="auto"/>
          </w:tcPr>
          <w:p w14:paraId="10A30FB9" w14:textId="77777777" w:rsidR="00814E13" w:rsidRPr="00CC458C" w:rsidRDefault="00AF5F42" w:rsidP="00D91346">
            <w:pPr>
              <w:pStyle w:val="MGGTextLeft"/>
              <w:rPr>
                <w:szCs w:val="22"/>
              </w:rPr>
            </w:pPr>
            <w:r w:rsidRPr="00CC458C">
              <w:rPr>
                <w:szCs w:val="22"/>
                <w:lang w:val="sk-SK"/>
              </w:rPr>
              <w:t>astma u jedincov alergických na kyselinu acetylsalicylovú alebo na iné nesteroid</w:t>
            </w:r>
            <w:r w:rsidR="00D91346" w:rsidRPr="00CC458C">
              <w:rPr>
                <w:szCs w:val="22"/>
                <w:lang w:val="sk-SK"/>
              </w:rPr>
              <w:t>ov</w:t>
            </w:r>
            <w:r w:rsidRPr="00CC458C">
              <w:rPr>
                <w:szCs w:val="22"/>
                <w:lang w:val="sk-SK"/>
              </w:rPr>
              <w:t xml:space="preserve">é </w:t>
            </w:r>
            <w:r w:rsidRPr="00CC458C">
              <w:rPr>
                <w:szCs w:val="22"/>
                <w:lang w:val="sk-SK"/>
              </w:rPr>
              <w:lastRenderedPageBreak/>
              <w:t>antiflogistiká</w:t>
            </w:r>
          </w:p>
        </w:tc>
      </w:tr>
      <w:tr w:rsidR="00D80577" w:rsidRPr="00CC458C" w14:paraId="5AE97D54" w14:textId="77777777" w:rsidTr="00A562EF">
        <w:tc>
          <w:tcPr>
            <w:tcW w:w="8954" w:type="dxa"/>
            <w:gridSpan w:val="2"/>
            <w:shd w:val="clear" w:color="auto" w:fill="auto"/>
          </w:tcPr>
          <w:p w14:paraId="1DB59A34" w14:textId="77777777" w:rsidR="00814E13" w:rsidRPr="00CC458C" w:rsidRDefault="00AF5F42" w:rsidP="0040611E">
            <w:pPr>
              <w:pStyle w:val="Nadpis8"/>
              <w:rPr>
                <w:szCs w:val="22"/>
              </w:rPr>
            </w:pPr>
            <w:r w:rsidRPr="00CC458C">
              <w:rPr>
                <w:b w:val="0"/>
                <w:szCs w:val="22"/>
                <w:lang w:val="sk-SK"/>
              </w:rPr>
              <w:lastRenderedPageBreak/>
              <w:t>Poruchy gastrointestinálneho traktu</w:t>
            </w:r>
          </w:p>
        </w:tc>
      </w:tr>
      <w:tr w:rsidR="00D80577" w:rsidRPr="00CC458C" w14:paraId="3C921084" w14:textId="77777777" w:rsidTr="00A562EF">
        <w:tc>
          <w:tcPr>
            <w:tcW w:w="4423" w:type="dxa"/>
            <w:shd w:val="clear" w:color="auto" w:fill="auto"/>
          </w:tcPr>
          <w:p w14:paraId="4A79E172" w14:textId="77777777" w:rsidR="00814E13" w:rsidRPr="00CC458C" w:rsidRDefault="00AF5F42" w:rsidP="0040611E">
            <w:pPr>
              <w:pStyle w:val="MGGTextLeft"/>
              <w:ind w:left="1440" w:hanging="1440"/>
              <w:rPr>
                <w:szCs w:val="22"/>
              </w:rPr>
            </w:pPr>
            <w:r w:rsidRPr="00CC458C">
              <w:rPr>
                <w:iCs/>
                <w:szCs w:val="22"/>
                <w:lang w:val="sk-SK"/>
              </w:rPr>
              <w:t>Veľmi časté</w:t>
            </w:r>
          </w:p>
        </w:tc>
        <w:tc>
          <w:tcPr>
            <w:tcW w:w="4531" w:type="dxa"/>
            <w:shd w:val="clear" w:color="auto" w:fill="auto"/>
          </w:tcPr>
          <w:p w14:paraId="40CABBC3" w14:textId="77777777" w:rsidR="00814E13" w:rsidRPr="00CC458C" w:rsidRDefault="00AB7B9D" w:rsidP="00995801">
            <w:pPr>
              <w:pStyle w:val="MGGTextLeft"/>
              <w:rPr>
                <w:szCs w:val="22"/>
              </w:rPr>
            </w:pPr>
            <w:r w:rsidRPr="00CC458C">
              <w:rPr>
                <w:szCs w:val="22"/>
                <w:lang w:val="sk-SK"/>
              </w:rPr>
              <w:t>g</w:t>
            </w:r>
            <w:r w:rsidR="00D12A1B" w:rsidRPr="00CC458C">
              <w:rPr>
                <w:szCs w:val="22"/>
                <w:lang w:val="sk-SK"/>
              </w:rPr>
              <w:t>astrointestinál</w:t>
            </w:r>
            <w:r w:rsidRPr="00CC458C">
              <w:rPr>
                <w:szCs w:val="22"/>
                <w:lang w:val="sk-SK"/>
              </w:rPr>
              <w:t xml:space="preserve">ne poruchy ako </w:t>
            </w:r>
            <w:r w:rsidR="00AF5F42" w:rsidRPr="00CC458C">
              <w:rPr>
                <w:szCs w:val="22"/>
                <w:lang w:val="sk-SK"/>
              </w:rPr>
              <w:t>dyspepsia, nevoľnosť</w:t>
            </w:r>
            <w:r w:rsidR="00FF56A1" w:rsidRPr="00CC458C">
              <w:rPr>
                <w:szCs w:val="22"/>
                <w:lang w:val="sk-SK"/>
              </w:rPr>
              <w:t>,</w:t>
            </w:r>
            <w:r w:rsidR="00AF5F42" w:rsidRPr="00CC458C">
              <w:rPr>
                <w:szCs w:val="22"/>
                <w:lang w:val="sk-SK"/>
              </w:rPr>
              <w:t xml:space="preserve"> vracanie, abdominálna bolesť, zápcha, flatulencia, hnačka</w:t>
            </w:r>
          </w:p>
        </w:tc>
      </w:tr>
      <w:tr w:rsidR="00D80577" w:rsidRPr="00CC458C" w14:paraId="2DC73C26" w14:textId="77777777" w:rsidTr="00A562EF">
        <w:tc>
          <w:tcPr>
            <w:tcW w:w="4423" w:type="dxa"/>
            <w:shd w:val="clear" w:color="auto" w:fill="auto"/>
          </w:tcPr>
          <w:p w14:paraId="4A906847" w14:textId="77777777" w:rsidR="00814E13" w:rsidRPr="00CC458C" w:rsidRDefault="00AF5F42" w:rsidP="0040611E">
            <w:pPr>
              <w:pStyle w:val="MGGTextLeft"/>
              <w:rPr>
                <w:szCs w:val="22"/>
              </w:rPr>
            </w:pPr>
            <w:r w:rsidRPr="00CC458C">
              <w:rPr>
                <w:iCs/>
                <w:szCs w:val="22"/>
                <w:lang w:val="sk-SK"/>
              </w:rPr>
              <w:t>Menej časté</w:t>
            </w:r>
          </w:p>
        </w:tc>
        <w:tc>
          <w:tcPr>
            <w:tcW w:w="4531" w:type="dxa"/>
            <w:shd w:val="clear" w:color="auto" w:fill="auto"/>
          </w:tcPr>
          <w:p w14:paraId="20FD3AD8" w14:textId="77777777" w:rsidR="00814E13" w:rsidRPr="00CC458C" w:rsidRDefault="00D12A1B" w:rsidP="00995801">
            <w:pPr>
              <w:pStyle w:val="MGGTextLeft"/>
              <w:rPr>
                <w:szCs w:val="22"/>
              </w:rPr>
            </w:pPr>
            <w:r w:rsidRPr="00CC458C">
              <w:rPr>
                <w:szCs w:val="22"/>
                <w:lang w:val="sk-SK"/>
              </w:rPr>
              <w:t>okultné alebo makroskopické gastrointestinálne krvácanie</w:t>
            </w:r>
            <w:r w:rsidR="00DF519C" w:rsidRPr="00CC458C">
              <w:rPr>
                <w:szCs w:val="22"/>
                <w:lang w:val="sk-SK"/>
              </w:rPr>
              <w:t>*</w:t>
            </w:r>
            <w:r w:rsidRPr="00CC458C">
              <w:rPr>
                <w:szCs w:val="22"/>
                <w:lang w:val="sk-SK"/>
              </w:rPr>
              <w:t>, stomatitída, gastritída, grganie</w:t>
            </w:r>
          </w:p>
        </w:tc>
      </w:tr>
      <w:tr w:rsidR="00D80577" w:rsidRPr="00CC458C" w14:paraId="70E530D1" w14:textId="77777777" w:rsidTr="00A562EF">
        <w:tc>
          <w:tcPr>
            <w:tcW w:w="4423" w:type="dxa"/>
            <w:shd w:val="clear" w:color="auto" w:fill="auto"/>
          </w:tcPr>
          <w:p w14:paraId="4F5B42D0" w14:textId="77777777" w:rsidR="00814E13" w:rsidRPr="00CC458C" w:rsidRDefault="00AF5F42" w:rsidP="0040611E">
            <w:pPr>
              <w:pStyle w:val="MGGTextLeft"/>
              <w:rPr>
                <w:szCs w:val="22"/>
              </w:rPr>
            </w:pPr>
            <w:r w:rsidRPr="00CC458C">
              <w:rPr>
                <w:iCs/>
                <w:szCs w:val="22"/>
                <w:lang w:val="sk-SK"/>
              </w:rPr>
              <w:t>Zriedkavé</w:t>
            </w:r>
          </w:p>
        </w:tc>
        <w:tc>
          <w:tcPr>
            <w:tcW w:w="4531" w:type="dxa"/>
            <w:shd w:val="clear" w:color="auto" w:fill="auto"/>
          </w:tcPr>
          <w:p w14:paraId="7B1F0A90" w14:textId="77777777" w:rsidR="00814E13" w:rsidRPr="00CC458C" w:rsidRDefault="00D12A1B" w:rsidP="00995801">
            <w:pPr>
              <w:pStyle w:val="MGGTextLeft"/>
              <w:rPr>
                <w:szCs w:val="22"/>
              </w:rPr>
            </w:pPr>
            <w:r w:rsidRPr="00CC458C">
              <w:rPr>
                <w:szCs w:val="22"/>
                <w:lang w:val="sk-SK"/>
              </w:rPr>
              <w:t>kolitída, gastroduodenálny vred, ezofagitída</w:t>
            </w:r>
          </w:p>
        </w:tc>
      </w:tr>
      <w:tr w:rsidR="00D80577" w:rsidRPr="00CC458C" w14:paraId="2FABE688" w14:textId="77777777" w:rsidTr="00A562EF">
        <w:tc>
          <w:tcPr>
            <w:tcW w:w="4423" w:type="dxa"/>
            <w:shd w:val="clear" w:color="auto" w:fill="auto"/>
          </w:tcPr>
          <w:p w14:paraId="238EC188" w14:textId="77777777" w:rsidR="00814E13" w:rsidRPr="00CC458C" w:rsidRDefault="00AF5F42" w:rsidP="0040611E">
            <w:pPr>
              <w:pStyle w:val="MGGTextLeft"/>
              <w:rPr>
                <w:szCs w:val="22"/>
              </w:rPr>
            </w:pPr>
            <w:r w:rsidRPr="00CC458C">
              <w:rPr>
                <w:szCs w:val="22"/>
                <w:lang w:val="sk-SK"/>
              </w:rPr>
              <w:t>Veľmi zriedkavé</w:t>
            </w:r>
          </w:p>
        </w:tc>
        <w:tc>
          <w:tcPr>
            <w:tcW w:w="4531" w:type="dxa"/>
            <w:shd w:val="clear" w:color="auto" w:fill="auto"/>
          </w:tcPr>
          <w:p w14:paraId="36A33EC5" w14:textId="77777777" w:rsidR="00814E13" w:rsidRPr="00CC458C" w:rsidRDefault="00D12A1B" w:rsidP="00DF519C">
            <w:pPr>
              <w:pStyle w:val="MGGTextLeft"/>
              <w:rPr>
                <w:szCs w:val="22"/>
              </w:rPr>
            </w:pPr>
            <w:r w:rsidRPr="00CC458C">
              <w:rPr>
                <w:szCs w:val="22"/>
                <w:lang w:val="sk-SK"/>
              </w:rPr>
              <w:t>perforácie gastrointestinálneho traktu</w:t>
            </w:r>
            <w:r w:rsidR="00814E13" w:rsidRPr="00CC458C">
              <w:rPr>
                <w:szCs w:val="22"/>
              </w:rPr>
              <w:t>*</w:t>
            </w:r>
          </w:p>
        </w:tc>
      </w:tr>
      <w:tr w:rsidR="00D80577" w:rsidRPr="00CC458C" w14:paraId="1E8512D6" w14:textId="77777777" w:rsidTr="00A562EF">
        <w:tc>
          <w:tcPr>
            <w:tcW w:w="4423" w:type="dxa"/>
            <w:shd w:val="clear" w:color="auto" w:fill="auto"/>
          </w:tcPr>
          <w:p w14:paraId="5ECDFFB2" w14:textId="3F233D7C" w:rsidR="00243021" w:rsidRPr="00CC458C" w:rsidRDefault="00243021" w:rsidP="0040611E">
            <w:pPr>
              <w:pStyle w:val="MGGTextLeft"/>
              <w:rPr>
                <w:szCs w:val="22"/>
                <w:lang w:val="sk-SK"/>
              </w:rPr>
            </w:pPr>
            <w:r w:rsidRPr="00CC458C">
              <w:rPr>
                <w:szCs w:val="22"/>
                <w:lang w:val="sk-SK"/>
              </w:rPr>
              <w:t>Neznáme</w:t>
            </w:r>
          </w:p>
        </w:tc>
        <w:tc>
          <w:tcPr>
            <w:tcW w:w="4531" w:type="dxa"/>
            <w:shd w:val="clear" w:color="auto" w:fill="auto"/>
          </w:tcPr>
          <w:p w14:paraId="1FD737D1" w14:textId="3259918A" w:rsidR="00243021" w:rsidRPr="00CC458C" w:rsidRDefault="00243021" w:rsidP="00DF519C">
            <w:pPr>
              <w:pStyle w:val="MGGTextLeft"/>
              <w:rPr>
                <w:szCs w:val="22"/>
                <w:lang w:val="sk-SK"/>
              </w:rPr>
            </w:pPr>
            <w:r w:rsidRPr="00CC458C">
              <w:rPr>
                <w:szCs w:val="22"/>
                <w:lang w:val="sk-SK"/>
              </w:rPr>
              <w:t>pankreatitída</w:t>
            </w:r>
          </w:p>
        </w:tc>
      </w:tr>
      <w:tr w:rsidR="00D80577" w:rsidRPr="00CC458C" w14:paraId="4EA5A1E2" w14:textId="77777777" w:rsidTr="00A562EF">
        <w:tc>
          <w:tcPr>
            <w:tcW w:w="8954" w:type="dxa"/>
            <w:gridSpan w:val="2"/>
            <w:shd w:val="clear" w:color="auto" w:fill="auto"/>
          </w:tcPr>
          <w:p w14:paraId="39640F24" w14:textId="77777777" w:rsidR="00814E13" w:rsidRPr="00CC458C" w:rsidRDefault="00D12A1B" w:rsidP="0040611E">
            <w:pPr>
              <w:pStyle w:val="Nadpis8"/>
              <w:rPr>
                <w:szCs w:val="22"/>
              </w:rPr>
            </w:pPr>
            <w:r w:rsidRPr="00CC458C">
              <w:rPr>
                <w:b w:val="0"/>
                <w:szCs w:val="22"/>
                <w:lang w:val="sk-SK"/>
              </w:rPr>
              <w:t>Poruchy pečene a žlčových ciest</w:t>
            </w:r>
          </w:p>
        </w:tc>
      </w:tr>
      <w:tr w:rsidR="00D80577" w:rsidRPr="00CC458C" w14:paraId="394F41CC" w14:textId="77777777" w:rsidTr="00A562EF">
        <w:tc>
          <w:tcPr>
            <w:tcW w:w="4423" w:type="dxa"/>
            <w:shd w:val="clear" w:color="auto" w:fill="auto"/>
          </w:tcPr>
          <w:p w14:paraId="434031B8" w14:textId="77777777" w:rsidR="00814E13" w:rsidRPr="00CC458C" w:rsidRDefault="00D12A1B" w:rsidP="00DF519C">
            <w:pPr>
              <w:pStyle w:val="MGGTextLeft"/>
              <w:rPr>
                <w:iCs/>
                <w:szCs w:val="22"/>
                <w:u w:val="single"/>
              </w:rPr>
            </w:pPr>
            <w:r w:rsidRPr="00CC458C">
              <w:rPr>
                <w:iCs/>
                <w:szCs w:val="22"/>
                <w:lang w:val="sk-SK"/>
              </w:rPr>
              <w:t>Menej časté</w:t>
            </w:r>
          </w:p>
        </w:tc>
        <w:tc>
          <w:tcPr>
            <w:tcW w:w="4531" w:type="dxa"/>
            <w:shd w:val="clear" w:color="auto" w:fill="auto"/>
          </w:tcPr>
          <w:p w14:paraId="10C038C9" w14:textId="77777777" w:rsidR="00814E13" w:rsidRPr="00CC458C" w:rsidRDefault="00AB7B9D" w:rsidP="00DF519C">
            <w:pPr>
              <w:pStyle w:val="MGGTextLeft"/>
              <w:rPr>
                <w:szCs w:val="22"/>
              </w:rPr>
            </w:pPr>
            <w:r w:rsidRPr="00CC458C">
              <w:rPr>
                <w:iCs/>
                <w:szCs w:val="22"/>
                <w:lang w:val="sk-SK"/>
              </w:rPr>
              <w:t>p</w:t>
            </w:r>
            <w:r w:rsidR="00D12A1B" w:rsidRPr="00CC458C">
              <w:rPr>
                <w:iCs/>
                <w:szCs w:val="22"/>
                <w:lang w:val="sk-SK"/>
              </w:rPr>
              <w:t>orucha pečeňovej funkcie (napr. zvýšené transaminázy alebo bilirubín)</w:t>
            </w:r>
          </w:p>
        </w:tc>
      </w:tr>
      <w:tr w:rsidR="00D80577" w:rsidRPr="00CC458C" w14:paraId="4A4EB724" w14:textId="77777777" w:rsidTr="00A562EF">
        <w:tc>
          <w:tcPr>
            <w:tcW w:w="4423" w:type="dxa"/>
            <w:shd w:val="clear" w:color="auto" w:fill="auto"/>
          </w:tcPr>
          <w:p w14:paraId="309C1397" w14:textId="77777777" w:rsidR="00814E13" w:rsidRPr="00CC458C" w:rsidRDefault="00D12A1B" w:rsidP="00DF519C">
            <w:pPr>
              <w:pStyle w:val="MGGTextLeft"/>
              <w:rPr>
                <w:iCs/>
                <w:szCs w:val="22"/>
                <w:u w:val="single"/>
              </w:rPr>
            </w:pPr>
            <w:r w:rsidRPr="00CC458C">
              <w:rPr>
                <w:iCs/>
                <w:szCs w:val="22"/>
                <w:lang w:val="sk-SK"/>
              </w:rPr>
              <w:t>Veľmi zriedkavé</w:t>
            </w:r>
          </w:p>
        </w:tc>
        <w:tc>
          <w:tcPr>
            <w:tcW w:w="4531" w:type="dxa"/>
            <w:shd w:val="clear" w:color="auto" w:fill="auto"/>
          </w:tcPr>
          <w:p w14:paraId="6EA85195" w14:textId="77777777" w:rsidR="00814E13" w:rsidRPr="00CC458C" w:rsidRDefault="00D12A1B" w:rsidP="00DF519C">
            <w:pPr>
              <w:pStyle w:val="MGGTextLeft"/>
              <w:rPr>
                <w:szCs w:val="22"/>
              </w:rPr>
            </w:pPr>
            <w:r w:rsidRPr="00CC458C">
              <w:rPr>
                <w:szCs w:val="22"/>
                <w:lang w:val="sk-SK"/>
              </w:rPr>
              <w:t>hepatitída</w:t>
            </w:r>
          </w:p>
        </w:tc>
      </w:tr>
      <w:tr w:rsidR="00D80577" w:rsidRPr="00CC458C" w14:paraId="246BB85B" w14:textId="77777777" w:rsidTr="00A562EF">
        <w:tc>
          <w:tcPr>
            <w:tcW w:w="8954" w:type="dxa"/>
            <w:gridSpan w:val="2"/>
            <w:shd w:val="clear" w:color="auto" w:fill="auto"/>
          </w:tcPr>
          <w:p w14:paraId="48D4BD37" w14:textId="77777777" w:rsidR="00814E13" w:rsidRPr="00CC458C" w:rsidRDefault="00D12A1B" w:rsidP="0040611E">
            <w:pPr>
              <w:pStyle w:val="Nadpis8"/>
              <w:rPr>
                <w:szCs w:val="22"/>
              </w:rPr>
            </w:pPr>
            <w:r w:rsidRPr="00CC458C">
              <w:rPr>
                <w:b w:val="0"/>
                <w:szCs w:val="22"/>
                <w:lang w:val="sk-SK"/>
              </w:rPr>
              <w:t>Poruchy kože a podkožného tkaniva</w:t>
            </w:r>
          </w:p>
        </w:tc>
      </w:tr>
      <w:tr w:rsidR="00D80577" w:rsidRPr="00CC458C" w14:paraId="0B52A8CB" w14:textId="77777777" w:rsidTr="00A562EF">
        <w:tc>
          <w:tcPr>
            <w:tcW w:w="4423" w:type="dxa"/>
            <w:shd w:val="clear" w:color="auto" w:fill="auto"/>
          </w:tcPr>
          <w:p w14:paraId="538C3893" w14:textId="77777777" w:rsidR="00814E13" w:rsidRPr="00CC458C" w:rsidRDefault="00D12A1B" w:rsidP="00DF519C">
            <w:pPr>
              <w:pStyle w:val="MGGTextLeft"/>
              <w:rPr>
                <w:iCs/>
                <w:szCs w:val="22"/>
                <w:u w:val="single"/>
              </w:rPr>
            </w:pPr>
            <w:r w:rsidRPr="00CC458C">
              <w:rPr>
                <w:iCs/>
                <w:szCs w:val="22"/>
                <w:lang w:val="sk-SK"/>
              </w:rPr>
              <w:t>Menej časté</w:t>
            </w:r>
          </w:p>
        </w:tc>
        <w:tc>
          <w:tcPr>
            <w:tcW w:w="4531" w:type="dxa"/>
            <w:shd w:val="clear" w:color="auto" w:fill="auto"/>
          </w:tcPr>
          <w:p w14:paraId="45633E1D" w14:textId="77777777" w:rsidR="00814E13" w:rsidRPr="00CC458C" w:rsidRDefault="00D12A1B" w:rsidP="00DF519C">
            <w:pPr>
              <w:pStyle w:val="MGGTextLeft"/>
              <w:rPr>
                <w:szCs w:val="22"/>
              </w:rPr>
            </w:pPr>
            <w:r w:rsidRPr="00CC458C">
              <w:rPr>
                <w:iCs/>
                <w:szCs w:val="22"/>
                <w:lang w:val="sk-SK"/>
              </w:rPr>
              <w:t>angioedém,</w:t>
            </w:r>
            <w:r w:rsidRPr="00CC458C">
              <w:rPr>
                <w:i/>
                <w:iCs/>
                <w:szCs w:val="22"/>
                <w:lang w:val="sk-SK"/>
              </w:rPr>
              <w:t xml:space="preserve"> </w:t>
            </w:r>
            <w:r w:rsidRPr="00CC458C">
              <w:rPr>
                <w:szCs w:val="22"/>
                <w:lang w:val="sk-SK"/>
              </w:rPr>
              <w:t>pruritus, vyrážka</w:t>
            </w:r>
          </w:p>
        </w:tc>
      </w:tr>
      <w:tr w:rsidR="00D80577" w:rsidRPr="00CC458C" w14:paraId="77F4AB5F" w14:textId="77777777" w:rsidTr="00A562EF">
        <w:tc>
          <w:tcPr>
            <w:tcW w:w="4423" w:type="dxa"/>
            <w:shd w:val="clear" w:color="auto" w:fill="auto"/>
          </w:tcPr>
          <w:p w14:paraId="7D222771" w14:textId="77777777" w:rsidR="00814E13" w:rsidRPr="00CC458C" w:rsidRDefault="00D12A1B" w:rsidP="0040611E">
            <w:pPr>
              <w:pStyle w:val="MGGTextLeft"/>
              <w:ind w:left="1418" w:hanging="1418"/>
              <w:rPr>
                <w:iCs/>
                <w:szCs w:val="22"/>
                <w:u w:val="single"/>
              </w:rPr>
            </w:pPr>
            <w:r w:rsidRPr="00CC458C">
              <w:rPr>
                <w:iCs/>
                <w:szCs w:val="22"/>
                <w:lang w:val="sk-SK"/>
              </w:rPr>
              <w:t>Zriedkavé</w:t>
            </w:r>
          </w:p>
        </w:tc>
        <w:tc>
          <w:tcPr>
            <w:tcW w:w="4531" w:type="dxa"/>
            <w:shd w:val="clear" w:color="auto" w:fill="auto"/>
          </w:tcPr>
          <w:p w14:paraId="225026FE" w14:textId="77777777" w:rsidR="00814E13" w:rsidRPr="00CC458C" w:rsidRDefault="00D12A1B" w:rsidP="00DF519C">
            <w:pPr>
              <w:pStyle w:val="MGGTextLeft"/>
              <w:rPr>
                <w:szCs w:val="22"/>
              </w:rPr>
            </w:pPr>
            <w:r w:rsidRPr="00CC458C">
              <w:rPr>
                <w:szCs w:val="22"/>
                <w:lang w:val="sk-SK"/>
              </w:rPr>
              <w:t>Stevensov-Johnsonov syndróm (SJS) a</w:t>
            </w:r>
            <w:r w:rsidR="00DF519C" w:rsidRPr="00CC458C">
              <w:rPr>
                <w:szCs w:val="22"/>
                <w:lang w:val="sk-SK"/>
              </w:rPr>
              <w:t> </w:t>
            </w:r>
            <w:r w:rsidRPr="00CC458C">
              <w:rPr>
                <w:szCs w:val="22"/>
                <w:lang w:val="sk-SK"/>
              </w:rPr>
              <w:t>toxická epidermálna nekrolýza (TEN)</w:t>
            </w:r>
            <w:r w:rsidR="00814E13" w:rsidRPr="00CC458C">
              <w:rPr>
                <w:szCs w:val="22"/>
              </w:rPr>
              <w:t xml:space="preserve">, </w:t>
            </w:r>
            <w:r w:rsidRPr="00CC458C">
              <w:rPr>
                <w:szCs w:val="22"/>
                <w:lang w:val="sk-SK"/>
              </w:rPr>
              <w:t>urtikária</w:t>
            </w:r>
          </w:p>
        </w:tc>
      </w:tr>
      <w:tr w:rsidR="00D80577" w:rsidRPr="00CC458C" w14:paraId="490539B3" w14:textId="77777777" w:rsidTr="00A562EF">
        <w:tc>
          <w:tcPr>
            <w:tcW w:w="4423" w:type="dxa"/>
            <w:shd w:val="clear" w:color="auto" w:fill="auto"/>
          </w:tcPr>
          <w:p w14:paraId="005F5832" w14:textId="77777777" w:rsidR="00814E13" w:rsidRPr="00CC458C" w:rsidRDefault="00D12A1B" w:rsidP="00DF519C">
            <w:pPr>
              <w:pStyle w:val="MGGTextLeft"/>
              <w:rPr>
                <w:iCs/>
                <w:szCs w:val="22"/>
                <w:u w:val="single"/>
              </w:rPr>
            </w:pPr>
            <w:r w:rsidRPr="00CC458C">
              <w:rPr>
                <w:iCs/>
                <w:szCs w:val="22"/>
                <w:lang w:val="sk-SK"/>
              </w:rPr>
              <w:t>Veľmi zriedkavé</w:t>
            </w:r>
          </w:p>
        </w:tc>
        <w:tc>
          <w:tcPr>
            <w:tcW w:w="4531" w:type="dxa"/>
            <w:shd w:val="clear" w:color="auto" w:fill="auto"/>
          </w:tcPr>
          <w:p w14:paraId="64C7333B" w14:textId="77777777" w:rsidR="00814E13" w:rsidRPr="00CC458C" w:rsidRDefault="00D12A1B" w:rsidP="00DF519C">
            <w:pPr>
              <w:pStyle w:val="MGGTextLeft"/>
              <w:rPr>
                <w:szCs w:val="22"/>
              </w:rPr>
            </w:pPr>
            <w:r w:rsidRPr="00CC458C">
              <w:rPr>
                <w:szCs w:val="22"/>
                <w:lang w:val="sk-SK"/>
              </w:rPr>
              <w:t>bulózna dermatitída, multiformný erytém</w:t>
            </w:r>
          </w:p>
        </w:tc>
      </w:tr>
      <w:tr w:rsidR="00D80577" w:rsidRPr="00CC458C" w14:paraId="746963D3" w14:textId="77777777" w:rsidTr="00A562EF">
        <w:tc>
          <w:tcPr>
            <w:tcW w:w="4423" w:type="dxa"/>
            <w:shd w:val="clear" w:color="auto" w:fill="auto"/>
          </w:tcPr>
          <w:p w14:paraId="68835307" w14:textId="77777777" w:rsidR="00814E13" w:rsidRPr="00CC458C" w:rsidRDefault="00D12A1B" w:rsidP="0040611E">
            <w:pPr>
              <w:pStyle w:val="MGGTextLeft"/>
              <w:rPr>
                <w:iCs/>
                <w:szCs w:val="22"/>
                <w:u w:val="single"/>
              </w:rPr>
            </w:pPr>
            <w:r w:rsidRPr="00CC458C">
              <w:rPr>
                <w:szCs w:val="22"/>
                <w:lang w:val="sk-SK"/>
              </w:rPr>
              <w:t>Neznáme</w:t>
            </w:r>
          </w:p>
        </w:tc>
        <w:tc>
          <w:tcPr>
            <w:tcW w:w="4531" w:type="dxa"/>
            <w:shd w:val="clear" w:color="auto" w:fill="auto"/>
          </w:tcPr>
          <w:p w14:paraId="11152CEE" w14:textId="77777777" w:rsidR="00814E13" w:rsidRPr="00CC458C" w:rsidRDefault="00D12A1B" w:rsidP="00995801">
            <w:pPr>
              <w:pStyle w:val="MGGTextLeft"/>
              <w:rPr>
                <w:szCs w:val="22"/>
              </w:rPr>
            </w:pPr>
            <w:r w:rsidRPr="00CC458C">
              <w:rPr>
                <w:szCs w:val="22"/>
                <w:lang w:val="sk-SK"/>
              </w:rPr>
              <w:t>fotosenzitívne reakcie</w:t>
            </w:r>
          </w:p>
        </w:tc>
      </w:tr>
      <w:tr w:rsidR="00D80577" w:rsidRPr="00CC458C" w14:paraId="2A50F408" w14:textId="77777777" w:rsidTr="00A562EF">
        <w:tc>
          <w:tcPr>
            <w:tcW w:w="8954" w:type="dxa"/>
            <w:gridSpan w:val="2"/>
            <w:shd w:val="clear" w:color="auto" w:fill="auto"/>
          </w:tcPr>
          <w:p w14:paraId="0A278CCB" w14:textId="77777777" w:rsidR="00814E13" w:rsidRPr="00CC458C" w:rsidRDefault="00D12A1B" w:rsidP="0040611E">
            <w:pPr>
              <w:pStyle w:val="Nadpis8"/>
              <w:rPr>
                <w:b w:val="0"/>
                <w:i w:val="0"/>
                <w:szCs w:val="22"/>
                <w:u w:val="single"/>
                <w:lang w:val="sk-SK"/>
              </w:rPr>
            </w:pPr>
            <w:r w:rsidRPr="00CC458C">
              <w:rPr>
                <w:b w:val="0"/>
                <w:szCs w:val="22"/>
                <w:lang w:val="sk-SK"/>
              </w:rPr>
              <w:t>Poruchy obličiek a močových ciest</w:t>
            </w:r>
          </w:p>
        </w:tc>
      </w:tr>
      <w:tr w:rsidR="00D80577" w:rsidRPr="00CC458C" w14:paraId="6D639852" w14:textId="77777777" w:rsidTr="00A562EF">
        <w:tc>
          <w:tcPr>
            <w:tcW w:w="4423" w:type="dxa"/>
            <w:shd w:val="clear" w:color="auto" w:fill="auto"/>
          </w:tcPr>
          <w:p w14:paraId="7EAE97CA" w14:textId="77777777" w:rsidR="00814E13" w:rsidRPr="00CC458C" w:rsidRDefault="00D12A1B" w:rsidP="00DF519C">
            <w:pPr>
              <w:pStyle w:val="MGGTextLeft"/>
              <w:rPr>
                <w:iCs/>
                <w:szCs w:val="22"/>
                <w:u w:val="single"/>
              </w:rPr>
            </w:pPr>
            <w:r w:rsidRPr="00CC458C">
              <w:rPr>
                <w:iCs/>
                <w:szCs w:val="22"/>
                <w:lang w:val="sk-SK"/>
              </w:rPr>
              <w:t>Menej časté</w:t>
            </w:r>
          </w:p>
        </w:tc>
        <w:tc>
          <w:tcPr>
            <w:tcW w:w="4531" w:type="dxa"/>
            <w:shd w:val="clear" w:color="auto" w:fill="auto"/>
          </w:tcPr>
          <w:p w14:paraId="0B022C21" w14:textId="77777777" w:rsidR="00814E13" w:rsidRPr="00CC458C" w:rsidRDefault="00D12A1B" w:rsidP="00DF519C">
            <w:pPr>
              <w:pStyle w:val="MGGTextLeft"/>
              <w:rPr>
                <w:szCs w:val="22"/>
              </w:rPr>
            </w:pPr>
            <w:r w:rsidRPr="00CC458C">
              <w:rPr>
                <w:szCs w:val="22"/>
                <w:lang w:val="sk-SK"/>
              </w:rPr>
              <w:t>retencia sodíka a vody, hyperkaliémia (pozri časti</w:t>
            </w:r>
            <w:r w:rsidR="00DF519C" w:rsidRPr="00CC458C">
              <w:rPr>
                <w:szCs w:val="22"/>
                <w:lang w:val="sk-SK"/>
              </w:rPr>
              <w:t> </w:t>
            </w:r>
            <w:r w:rsidRPr="00CC458C">
              <w:rPr>
                <w:szCs w:val="22"/>
                <w:lang w:val="sk-SK"/>
              </w:rPr>
              <w:t>4.4 a 4.5), nezvyčajné hodnoty funkčných vyšetrení obličiek (zvýšený kreatinín a/alebo močovina v sére)</w:t>
            </w:r>
          </w:p>
        </w:tc>
      </w:tr>
      <w:tr w:rsidR="00D80577" w:rsidRPr="00CC458C" w14:paraId="65FB222F" w14:textId="77777777" w:rsidTr="00A562EF">
        <w:tc>
          <w:tcPr>
            <w:tcW w:w="4423" w:type="dxa"/>
            <w:shd w:val="clear" w:color="auto" w:fill="auto"/>
          </w:tcPr>
          <w:p w14:paraId="20D773AF" w14:textId="77777777" w:rsidR="00814E13" w:rsidRPr="00CC458C" w:rsidRDefault="00D12A1B" w:rsidP="0040611E">
            <w:pPr>
              <w:pStyle w:val="MGGTextLeft"/>
              <w:rPr>
                <w:iCs/>
                <w:szCs w:val="22"/>
                <w:u w:val="single"/>
              </w:rPr>
            </w:pPr>
            <w:r w:rsidRPr="00CC458C">
              <w:rPr>
                <w:iCs/>
                <w:szCs w:val="22"/>
                <w:lang w:val="sk-SK"/>
              </w:rPr>
              <w:t>Veľmi zriedkavé</w:t>
            </w:r>
          </w:p>
        </w:tc>
        <w:tc>
          <w:tcPr>
            <w:tcW w:w="4531" w:type="dxa"/>
            <w:shd w:val="clear" w:color="auto" w:fill="auto"/>
          </w:tcPr>
          <w:p w14:paraId="047DB7A7" w14:textId="77777777" w:rsidR="00814E13" w:rsidRPr="00CC458C" w:rsidRDefault="00D12A1B" w:rsidP="00DF51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C458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akútne funkčné zlyhanie obličiek u pacientov s rizikovými faktormi (pozri časť</w:t>
            </w:r>
            <w:r w:rsidR="00DF519C" w:rsidRPr="00CC458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 </w:t>
            </w:r>
            <w:r w:rsidRPr="00CC458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4.4)</w:t>
            </w:r>
          </w:p>
        </w:tc>
      </w:tr>
      <w:tr w:rsidR="00D80577" w:rsidRPr="00CC458C" w14:paraId="4251F196" w14:textId="77777777" w:rsidTr="00A562EF">
        <w:tc>
          <w:tcPr>
            <w:tcW w:w="8954" w:type="dxa"/>
            <w:gridSpan w:val="2"/>
            <w:shd w:val="clear" w:color="auto" w:fill="auto"/>
          </w:tcPr>
          <w:p w14:paraId="6E5B5ED5" w14:textId="77777777" w:rsidR="00814E13" w:rsidRPr="00CC458C" w:rsidRDefault="00D12A1B" w:rsidP="0040611E">
            <w:pPr>
              <w:pStyle w:val="Nadpis8"/>
              <w:rPr>
                <w:szCs w:val="22"/>
              </w:rPr>
            </w:pPr>
            <w:r w:rsidRPr="00CC458C">
              <w:rPr>
                <w:b w:val="0"/>
                <w:szCs w:val="22"/>
                <w:lang w:val="sk-SK"/>
              </w:rPr>
              <w:t>Celkové poruchy a reakcie v mieste podania</w:t>
            </w:r>
          </w:p>
        </w:tc>
      </w:tr>
      <w:tr w:rsidR="00D80577" w:rsidRPr="00CC458C" w14:paraId="390934EE" w14:textId="77777777" w:rsidTr="00A562EF">
        <w:tc>
          <w:tcPr>
            <w:tcW w:w="4423" w:type="dxa"/>
            <w:shd w:val="clear" w:color="auto" w:fill="auto"/>
          </w:tcPr>
          <w:p w14:paraId="5CADEA05" w14:textId="77777777" w:rsidR="00814E13" w:rsidRPr="00CC458C" w:rsidRDefault="00D12A1B" w:rsidP="0040611E">
            <w:pPr>
              <w:pStyle w:val="MGGTextLeft"/>
              <w:rPr>
                <w:iCs/>
                <w:szCs w:val="22"/>
                <w:u w:val="single"/>
              </w:rPr>
            </w:pPr>
            <w:r w:rsidRPr="00CC458C">
              <w:rPr>
                <w:iCs/>
                <w:szCs w:val="22"/>
                <w:lang w:val="sk-SK"/>
              </w:rPr>
              <w:t>Menej časté</w:t>
            </w:r>
          </w:p>
        </w:tc>
        <w:tc>
          <w:tcPr>
            <w:tcW w:w="4531" w:type="dxa"/>
            <w:shd w:val="clear" w:color="auto" w:fill="auto"/>
          </w:tcPr>
          <w:p w14:paraId="16F7BC8D" w14:textId="77777777" w:rsidR="00814E13" w:rsidRPr="00CC458C" w:rsidRDefault="00D12A1B" w:rsidP="0040611E">
            <w:pPr>
              <w:pStyle w:val="MGGTextLeft"/>
              <w:rPr>
                <w:szCs w:val="22"/>
              </w:rPr>
            </w:pPr>
            <w:r w:rsidRPr="00CC458C">
              <w:rPr>
                <w:szCs w:val="22"/>
                <w:lang w:val="sk-SK"/>
              </w:rPr>
              <w:t>edém vrátane edému dolných končatín</w:t>
            </w:r>
          </w:p>
        </w:tc>
      </w:tr>
    </w:tbl>
    <w:p w14:paraId="314061C8" w14:textId="77777777" w:rsidR="0040611E" w:rsidRPr="00CC458C" w:rsidRDefault="0040611E" w:rsidP="0040611E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lang w:val="sk-SK"/>
        </w:rPr>
        <w:t>*Gastrointestinálne krvácanie, ulcerácia alebo perforácia môžu byť najmä u starších niekedy závažné a potenciálne smrteľné (pozri časť 4.4).</w:t>
      </w:r>
    </w:p>
    <w:p w14:paraId="0DF40EE6" w14:textId="77777777" w:rsidR="00B967F6" w:rsidRPr="00CC458C" w:rsidRDefault="00B967F6" w:rsidP="00703BAD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66EC4DD7" w14:textId="77777777" w:rsidR="00B967F6" w:rsidRPr="00CC458C" w:rsidRDefault="00B967F6" w:rsidP="00703BAD">
      <w:pPr>
        <w:pStyle w:val="Zkladntext3"/>
        <w:rPr>
          <w:szCs w:val="22"/>
          <w:lang w:val="sk-SK"/>
        </w:rPr>
      </w:pPr>
      <w:r w:rsidRPr="00CC458C">
        <w:rPr>
          <w:b w:val="0"/>
          <w:szCs w:val="22"/>
          <w:lang w:val="sk-SK"/>
        </w:rPr>
        <w:t xml:space="preserve">c) </w:t>
      </w:r>
      <w:r w:rsidR="00A26C9B" w:rsidRPr="00CC458C">
        <w:rPr>
          <w:b w:val="0"/>
          <w:szCs w:val="22"/>
          <w:lang w:val="sk-SK"/>
        </w:rPr>
        <w:t>Popis niektorých nežiaducich reakcií</w:t>
      </w:r>
    </w:p>
    <w:p w14:paraId="12732B77" w14:textId="77777777" w:rsidR="00B967F6" w:rsidRPr="00CC458C" w:rsidRDefault="00B967F6" w:rsidP="00703BAD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67573F75" w14:textId="77777777" w:rsidR="00B967F6" w:rsidRPr="00CC458C" w:rsidRDefault="0040611E" w:rsidP="00703BAD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lang w:val="sk-SK"/>
        </w:rPr>
        <w:t>U </w:t>
      </w:r>
      <w:r w:rsidR="00B967F6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pacientov liečených meloxikamom alebo inými potenciálne myelotoxickými liekmi boli opísané </w:t>
      </w:r>
      <w:r w:rsidR="00180329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veľmi zriedkavé </w:t>
      </w:r>
      <w:r w:rsidR="00B967F6" w:rsidRPr="00CC458C">
        <w:rPr>
          <w:rFonts w:ascii="Times New Roman" w:hAnsi="Times New Roman" w:cs="Times New Roman"/>
          <w:sz w:val="22"/>
          <w:szCs w:val="22"/>
          <w:lang w:val="sk-SK"/>
        </w:rPr>
        <w:t>prípady agranulocytózy (pozri časť 4.5).</w:t>
      </w:r>
    </w:p>
    <w:p w14:paraId="192A536F" w14:textId="77777777" w:rsidR="00B967F6" w:rsidRPr="00CC458C" w:rsidRDefault="00B967F6" w:rsidP="00D564B3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07CF7A55" w14:textId="77777777" w:rsidR="00B967F6" w:rsidRPr="00CC458C" w:rsidRDefault="00B967F6" w:rsidP="00D564B3">
      <w:pPr>
        <w:pStyle w:val="Zkladntext3"/>
        <w:rPr>
          <w:b w:val="0"/>
          <w:szCs w:val="22"/>
          <w:lang w:val="sk-SK"/>
        </w:rPr>
      </w:pPr>
      <w:r w:rsidRPr="00CC458C">
        <w:rPr>
          <w:b w:val="0"/>
          <w:szCs w:val="22"/>
          <w:lang w:val="sk-SK"/>
        </w:rPr>
        <w:t>d) Nežiaduce</w:t>
      </w:r>
      <w:r w:rsidR="00874E4F" w:rsidRPr="00CC458C">
        <w:rPr>
          <w:b w:val="0"/>
          <w:szCs w:val="22"/>
          <w:lang w:val="sk-SK"/>
        </w:rPr>
        <w:t xml:space="preserve"> </w:t>
      </w:r>
      <w:r w:rsidR="00C56675" w:rsidRPr="00CC458C">
        <w:rPr>
          <w:b w:val="0"/>
          <w:szCs w:val="22"/>
          <w:lang w:val="sk-SK"/>
        </w:rPr>
        <w:t>reakcie</w:t>
      </w:r>
      <w:r w:rsidRPr="00CC458C">
        <w:rPr>
          <w:b w:val="0"/>
          <w:szCs w:val="22"/>
          <w:lang w:val="sk-SK"/>
        </w:rPr>
        <w:t xml:space="preserve">, ktoré ešte neboli pozorované vo vzťahu k tomuto lieku, ale sú </w:t>
      </w:r>
      <w:r w:rsidR="0040611E" w:rsidRPr="00CC458C">
        <w:rPr>
          <w:b w:val="0"/>
          <w:szCs w:val="22"/>
          <w:lang w:val="sk-SK"/>
        </w:rPr>
        <w:t xml:space="preserve">vo </w:t>
      </w:r>
      <w:r w:rsidRPr="00CC458C">
        <w:rPr>
          <w:b w:val="0"/>
          <w:szCs w:val="22"/>
          <w:lang w:val="sk-SK"/>
        </w:rPr>
        <w:t>všeobecnosti akceptované a pripisujú sa ďalším členom tejto skupiny liekov</w:t>
      </w:r>
    </w:p>
    <w:p w14:paraId="3D94BA6A" w14:textId="77777777" w:rsidR="00B967F6" w:rsidRPr="00CC458C" w:rsidRDefault="00B967F6" w:rsidP="00A51A6B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0DC03C71" w14:textId="77777777" w:rsidR="00B967F6" w:rsidRPr="00CC458C" w:rsidRDefault="00B967F6" w:rsidP="00A51A6B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Organické renálne poškodenie pravdepodobne vyúsťujúce do akútneho renálneho zlyhania: boli opísané </w:t>
      </w:r>
      <w:r w:rsidR="00A26C9B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veľmi zriedkavé 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prípady intersticiálnej nefritídy, akútnej tubulárnej nekrózy, nefrotického syndrómu a papilárnej nekrózy (pozri časť 4.4).</w:t>
      </w:r>
    </w:p>
    <w:p w14:paraId="22DB7CEA" w14:textId="77777777" w:rsidR="00B967F6" w:rsidRPr="00CC458C" w:rsidRDefault="00B967F6" w:rsidP="00A51A6B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5953E9E2" w14:textId="77777777" w:rsidR="009D62B8" w:rsidRPr="00CC458C" w:rsidRDefault="009D62B8" w:rsidP="00CC458C">
      <w:pPr>
        <w:keepNext/>
        <w:suppressLineNumbers/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bCs w:val="0"/>
          <w:sz w:val="22"/>
          <w:szCs w:val="22"/>
          <w:u w:val="single"/>
          <w:lang w:val="sk-SK"/>
        </w:rPr>
      </w:pPr>
      <w:r w:rsidRPr="00CC458C">
        <w:rPr>
          <w:rFonts w:ascii="Times New Roman" w:hAnsi="Times New Roman" w:cs="Times New Roman"/>
          <w:bCs w:val="0"/>
          <w:noProof/>
          <w:sz w:val="22"/>
          <w:szCs w:val="22"/>
          <w:u w:val="single"/>
          <w:lang w:val="sk-SK"/>
        </w:rPr>
        <w:t>Hlásenie podozrení na nežiaduce reakcie</w:t>
      </w:r>
    </w:p>
    <w:p w14:paraId="03406AE2" w14:textId="77777777" w:rsidR="009D62B8" w:rsidRPr="00CC458C" w:rsidRDefault="009D62B8" w:rsidP="00CC458C">
      <w:pPr>
        <w:keepNext/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bCs w:val="0"/>
          <w:noProof/>
          <w:sz w:val="22"/>
          <w:szCs w:val="22"/>
          <w:lang w:val="sk-SK"/>
        </w:rPr>
        <w:t>Hlásenie podozrení na nežiaduce reakcie po registrácii lieku je dôležité.</w:t>
      </w:r>
      <w:r w:rsidRPr="00CC458C">
        <w:rPr>
          <w:rFonts w:ascii="Times New Roman" w:hAnsi="Times New Roman" w:cs="Times New Roman"/>
          <w:bCs w:val="0"/>
          <w:sz w:val="22"/>
          <w:szCs w:val="22"/>
          <w:lang w:val="sk-SK"/>
        </w:rPr>
        <w:t xml:space="preserve"> </w:t>
      </w:r>
      <w:r w:rsidRPr="00CC458C">
        <w:rPr>
          <w:rFonts w:ascii="Times New Roman" w:hAnsi="Times New Roman" w:cs="Times New Roman"/>
          <w:bCs w:val="0"/>
          <w:noProof/>
          <w:sz w:val="22"/>
          <w:szCs w:val="22"/>
          <w:lang w:val="sk-SK"/>
        </w:rPr>
        <w:t>Umožňuje priebežné monitorovanie pomeru prínosu a rizika lieku.</w:t>
      </w:r>
      <w:r w:rsidRPr="00CC458C">
        <w:rPr>
          <w:rFonts w:ascii="Times New Roman" w:hAnsi="Times New Roman" w:cs="Times New Roman"/>
          <w:bCs w:val="0"/>
          <w:sz w:val="22"/>
          <w:szCs w:val="22"/>
          <w:lang w:val="sk-SK"/>
        </w:rPr>
        <w:t xml:space="preserve"> Od </w:t>
      </w:r>
      <w:r w:rsidRPr="00CC458C">
        <w:rPr>
          <w:rFonts w:ascii="Times New Roman" w:hAnsi="Times New Roman" w:cs="Times New Roman"/>
          <w:bCs w:val="0"/>
          <w:noProof/>
          <w:sz w:val="22"/>
          <w:szCs w:val="22"/>
          <w:lang w:val="sk-SK"/>
        </w:rPr>
        <w:t xml:space="preserve">zdravotníckych pracovníkov sa vyžaduje, aby hlásili akékoľvek podozrenia na nežiaduce reakcie </w:t>
      </w:r>
      <w:r w:rsidR="000E4141" w:rsidRPr="00CC458C">
        <w:rPr>
          <w:rFonts w:ascii="Times New Roman" w:hAnsi="Times New Roman" w:cs="Times New Roman"/>
          <w:bCs w:val="0"/>
          <w:noProof/>
          <w:sz w:val="22"/>
          <w:szCs w:val="22"/>
          <w:lang w:val="sk-SK"/>
        </w:rPr>
        <w:t xml:space="preserve">na </w:t>
      </w:r>
      <w:r w:rsidRPr="00CC458C">
        <w:rPr>
          <w:rFonts w:ascii="Times New Roman" w:hAnsi="Times New Roman" w:cs="Times New Roman"/>
          <w:bCs w:val="0"/>
          <w:noProof/>
          <w:sz w:val="22"/>
          <w:szCs w:val="22"/>
          <w:highlight w:val="lightGray"/>
          <w:lang w:val="sk-SK"/>
        </w:rPr>
        <w:t xml:space="preserve">národné </w:t>
      </w:r>
      <w:r w:rsidR="000E4141" w:rsidRPr="00CC458C">
        <w:rPr>
          <w:rFonts w:ascii="Times New Roman" w:hAnsi="Times New Roman" w:cs="Times New Roman"/>
          <w:bCs w:val="0"/>
          <w:noProof/>
          <w:sz w:val="22"/>
          <w:szCs w:val="22"/>
          <w:highlight w:val="lightGray"/>
          <w:lang w:val="sk-SK"/>
        </w:rPr>
        <w:t xml:space="preserve">centrum </w:t>
      </w:r>
      <w:r w:rsidRPr="00CC458C">
        <w:rPr>
          <w:rFonts w:ascii="Times New Roman" w:hAnsi="Times New Roman" w:cs="Times New Roman"/>
          <w:bCs w:val="0"/>
          <w:noProof/>
          <w:sz w:val="22"/>
          <w:szCs w:val="22"/>
          <w:highlight w:val="lightGray"/>
          <w:lang w:val="sk-SK"/>
        </w:rPr>
        <w:t>hlásenia uvedené v </w:t>
      </w:r>
      <w:hyperlink r:id="rId8" w:history="1">
        <w:r w:rsidRPr="00CC458C">
          <w:rPr>
            <w:rFonts w:ascii="Times New Roman" w:hAnsi="Times New Roman" w:cs="Times New Roman"/>
            <w:bCs w:val="0"/>
            <w:noProof/>
            <w:sz w:val="22"/>
            <w:szCs w:val="22"/>
            <w:highlight w:val="lightGray"/>
            <w:u w:val="single"/>
            <w:lang w:val="sk-SK"/>
          </w:rPr>
          <w:t>Prílohe V</w:t>
        </w:r>
      </w:hyperlink>
      <w:r w:rsidRPr="00CC458C">
        <w:rPr>
          <w:rFonts w:ascii="Times New Roman" w:hAnsi="Times New Roman" w:cs="Times New Roman"/>
          <w:bCs w:val="0"/>
          <w:sz w:val="22"/>
          <w:szCs w:val="22"/>
          <w:highlight w:val="lightGray"/>
          <w:lang w:val="sk-SK"/>
        </w:rPr>
        <w:t>.</w:t>
      </w:r>
    </w:p>
    <w:p w14:paraId="5951032B" w14:textId="77777777" w:rsidR="00B967F6" w:rsidRPr="00CC458C" w:rsidRDefault="00B967F6" w:rsidP="0040611E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13F362C4" w14:textId="77777777" w:rsidR="00B967F6" w:rsidRPr="00CC458C" w:rsidRDefault="00B967F6" w:rsidP="00CC458C">
      <w:pPr>
        <w:keepNext/>
        <w:tabs>
          <w:tab w:val="left" w:pos="567"/>
        </w:tabs>
        <w:outlineLvl w:val="3"/>
        <w:rPr>
          <w:rFonts w:ascii="Times New Roman" w:hAnsi="Times New Roman" w:cs="Times New Roman"/>
          <w:b/>
          <w:bCs w:val="0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b/>
          <w:bCs w:val="0"/>
          <w:sz w:val="22"/>
          <w:szCs w:val="22"/>
          <w:lang w:val="sk-SK"/>
        </w:rPr>
        <w:t>4.9</w:t>
      </w:r>
      <w:r w:rsidRPr="00CC458C">
        <w:rPr>
          <w:rFonts w:ascii="Times New Roman" w:hAnsi="Times New Roman" w:cs="Times New Roman"/>
          <w:b/>
          <w:bCs w:val="0"/>
          <w:sz w:val="22"/>
          <w:szCs w:val="22"/>
          <w:lang w:val="sk-SK"/>
        </w:rPr>
        <w:tab/>
        <w:t>Predávkovanie</w:t>
      </w:r>
    </w:p>
    <w:p w14:paraId="7B20B105" w14:textId="77777777" w:rsidR="00B967F6" w:rsidRPr="00CC458C" w:rsidRDefault="00B967F6" w:rsidP="009E09D0">
      <w:pPr>
        <w:keepNext/>
        <w:rPr>
          <w:rFonts w:ascii="Times New Roman" w:hAnsi="Times New Roman" w:cs="Times New Roman"/>
          <w:sz w:val="22"/>
          <w:szCs w:val="22"/>
          <w:lang w:val="sk-SK"/>
        </w:rPr>
      </w:pPr>
    </w:p>
    <w:p w14:paraId="30341962" w14:textId="77777777" w:rsidR="00B967F6" w:rsidRPr="00CC458C" w:rsidRDefault="00B967F6" w:rsidP="00470750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Príznaky akútneho predávkovania </w:t>
      </w:r>
      <w:r w:rsidR="00D91346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nesteroidovými 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antiflogistikami sa obyčajne obmedzujú na letargiu, ospalosť, nevoľnosť, vracanie</w:t>
      </w:r>
      <w:r w:rsidR="007906C3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C72FB1" w:rsidRPr="00CC458C">
        <w:rPr>
          <w:rFonts w:ascii="Times New Roman" w:hAnsi="Times New Roman" w:cs="Times New Roman"/>
          <w:sz w:val="22"/>
          <w:szCs w:val="22"/>
          <w:lang w:val="sk-SK"/>
        </w:rPr>
        <w:t>a 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bolesti v epigastriu, ktoré zvyčajne ustúpia po podpornej liečbe. Môže sa objaviť gastrointestinálne krvácanie. Ťažká otrava môže mať za následok hypertenziu, akútne zlyhanie obličiek, dysfunkciu pečene, útlm dýchania, kómu, kŕče, kardiovaskulárny šok </w:t>
      </w:r>
      <w:r w:rsidR="00C72FB1" w:rsidRPr="00CC458C">
        <w:rPr>
          <w:rFonts w:ascii="Times New Roman" w:hAnsi="Times New Roman" w:cs="Times New Roman"/>
          <w:sz w:val="22"/>
          <w:szCs w:val="22"/>
          <w:lang w:val="sk-SK"/>
        </w:rPr>
        <w:t>a 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zástavu 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lastRenderedPageBreak/>
        <w:t xml:space="preserve">srdca. Počas terapeutického užívania </w:t>
      </w:r>
      <w:r w:rsidR="00D91346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nesteroidových 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antiflogistík boli opísané anafylaktoidné reakcie a môžu sa objaviť ako dôsledok predávkovania.</w:t>
      </w:r>
    </w:p>
    <w:p w14:paraId="59BE9526" w14:textId="77777777" w:rsidR="00B967F6" w:rsidRPr="00CC458C" w:rsidRDefault="00B967F6" w:rsidP="00703BAD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7F6CB6C1" w14:textId="77777777" w:rsidR="00B967F6" w:rsidRPr="00CC458C" w:rsidRDefault="00B967F6" w:rsidP="00703BAD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Liečba predávkovania </w:t>
      </w:r>
      <w:r w:rsidR="00D91346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nesteroidovým 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antiflogistikom zahŕňa symptomatickú a podpornú liečbu pacientov. V klinickej štúdii sa pozorovala rýchlejšia eliminácia </w:t>
      </w:r>
      <w:r w:rsidR="00A26C9B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meloxikamu 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pri perorálnom podaní cholestyramínu v dávke </w:t>
      </w:r>
      <w:smartTag w:uri="urn:schemas-microsoft-com:office:smarttags" w:element="metricconverter">
        <w:smartTagPr>
          <w:attr w:name="ProductID" w:val="4ﾠg"/>
        </w:smartTagPr>
        <w:r w:rsidRPr="00CC458C">
          <w:rPr>
            <w:rFonts w:ascii="Times New Roman" w:hAnsi="Times New Roman" w:cs="Times New Roman"/>
            <w:sz w:val="22"/>
            <w:szCs w:val="22"/>
            <w:lang w:val="sk-SK"/>
          </w:rPr>
          <w:t>4 g</w:t>
        </w:r>
      </w:smartTag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trikrát denne.</w:t>
      </w:r>
    </w:p>
    <w:p w14:paraId="08AC1628" w14:textId="77777777" w:rsidR="00B967F6" w:rsidRPr="00CC458C" w:rsidRDefault="00B967F6" w:rsidP="00703BAD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4CDAC2BD" w14:textId="77777777" w:rsidR="00B967F6" w:rsidRPr="00CC458C" w:rsidRDefault="00B967F6" w:rsidP="00A562EF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7F6DAE10" w14:textId="77777777" w:rsidR="00B967F6" w:rsidRPr="00CC458C" w:rsidRDefault="00B967F6" w:rsidP="00CC458C">
      <w:pPr>
        <w:keepNext/>
        <w:tabs>
          <w:tab w:val="left" w:pos="567"/>
        </w:tabs>
        <w:outlineLvl w:val="3"/>
        <w:rPr>
          <w:rFonts w:ascii="Times New Roman" w:hAnsi="Times New Roman" w:cs="Times New Roman"/>
          <w:b/>
          <w:bCs w:val="0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b/>
          <w:bCs w:val="0"/>
          <w:sz w:val="22"/>
          <w:szCs w:val="22"/>
          <w:lang w:val="sk-SK"/>
        </w:rPr>
        <w:t>5.</w:t>
      </w:r>
      <w:r w:rsidRPr="00CC458C">
        <w:rPr>
          <w:rFonts w:ascii="Times New Roman" w:hAnsi="Times New Roman" w:cs="Times New Roman"/>
          <w:b/>
          <w:bCs w:val="0"/>
          <w:sz w:val="22"/>
          <w:szCs w:val="22"/>
          <w:lang w:val="sk-SK"/>
        </w:rPr>
        <w:tab/>
        <w:t>FARMAKOLOGICKÉ VLASTNOSTI</w:t>
      </w:r>
    </w:p>
    <w:p w14:paraId="2DBBA11D" w14:textId="77777777" w:rsidR="00B967F6" w:rsidRPr="00CC458C" w:rsidRDefault="00B967F6" w:rsidP="009E09D0">
      <w:pPr>
        <w:keepNext/>
        <w:rPr>
          <w:rFonts w:ascii="Times New Roman" w:hAnsi="Times New Roman" w:cs="Times New Roman"/>
          <w:sz w:val="22"/>
          <w:szCs w:val="22"/>
          <w:lang w:val="sk-SK"/>
        </w:rPr>
      </w:pPr>
    </w:p>
    <w:p w14:paraId="12208E69" w14:textId="77777777" w:rsidR="00B967F6" w:rsidRPr="00CC458C" w:rsidRDefault="00B967F6" w:rsidP="00CC458C">
      <w:pPr>
        <w:keepNext/>
        <w:tabs>
          <w:tab w:val="left" w:pos="567"/>
        </w:tabs>
        <w:outlineLvl w:val="3"/>
        <w:rPr>
          <w:rFonts w:ascii="Times New Roman" w:hAnsi="Times New Roman" w:cs="Times New Roman"/>
          <w:b/>
          <w:bCs w:val="0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b/>
          <w:bCs w:val="0"/>
          <w:sz w:val="22"/>
          <w:szCs w:val="22"/>
          <w:lang w:val="sk-SK"/>
        </w:rPr>
        <w:t>5.1</w:t>
      </w:r>
      <w:r w:rsidRPr="00CC458C">
        <w:rPr>
          <w:rFonts w:ascii="Times New Roman" w:hAnsi="Times New Roman" w:cs="Times New Roman"/>
          <w:b/>
          <w:bCs w:val="0"/>
          <w:sz w:val="22"/>
          <w:szCs w:val="22"/>
          <w:lang w:val="sk-SK"/>
        </w:rPr>
        <w:tab/>
        <w:t>Farmakodynamické vlastnosti</w:t>
      </w:r>
    </w:p>
    <w:p w14:paraId="06040074" w14:textId="77777777" w:rsidR="00B967F6" w:rsidRPr="00CC458C" w:rsidRDefault="00B967F6" w:rsidP="009E09D0">
      <w:pPr>
        <w:keepNext/>
        <w:rPr>
          <w:rFonts w:ascii="Times New Roman" w:hAnsi="Times New Roman" w:cs="Times New Roman"/>
          <w:sz w:val="22"/>
          <w:szCs w:val="22"/>
          <w:lang w:val="sk-SK"/>
        </w:rPr>
      </w:pPr>
    </w:p>
    <w:p w14:paraId="6339A416" w14:textId="0236034D" w:rsidR="004509B6" w:rsidRPr="00CC458C" w:rsidRDefault="00B967F6" w:rsidP="0040611E">
      <w:pPr>
        <w:rPr>
          <w:rFonts w:ascii="Times New Roman" w:hAnsi="Times New Roman" w:cs="Times New Roman"/>
          <w:bCs w:val="0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bCs w:val="0"/>
          <w:sz w:val="22"/>
          <w:szCs w:val="22"/>
          <w:lang w:val="sk-SK"/>
        </w:rPr>
        <w:t>Farmakoterapeutická skupina: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AB7B9D" w:rsidRPr="00CC458C">
        <w:rPr>
          <w:rFonts w:ascii="Times New Roman" w:hAnsi="Times New Roman" w:cs="Times New Roman"/>
          <w:sz w:val="22"/>
          <w:szCs w:val="22"/>
          <w:lang w:val="sk-SK"/>
        </w:rPr>
        <w:t>Nesteroidové antiflogistiká a</w:t>
      </w:r>
      <w:r w:rsidR="00604813" w:rsidRPr="00CC458C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="00AB7B9D" w:rsidRPr="00CC458C">
        <w:rPr>
          <w:rFonts w:ascii="Times New Roman" w:hAnsi="Times New Roman" w:cs="Times New Roman"/>
          <w:sz w:val="22"/>
          <w:szCs w:val="22"/>
          <w:lang w:val="sk-SK"/>
        </w:rPr>
        <w:t>antireumatiká</w:t>
      </w:r>
      <w:r w:rsidR="00A26C9B" w:rsidRPr="00CC458C">
        <w:rPr>
          <w:rFonts w:ascii="Times New Roman" w:hAnsi="Times New Roman" w:cs="Times New Roman"/>
          <w:sz w:val="22"/>
          <w:szCs w:val="22"/>
          <w:lang w:val="sk-SK"/>
        </w:rPr>
        <w:t>,</w:t>
      </w:r>
      <w:r w:rsidR="00A97BB1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nesteroidy,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oxikamy</w:t>
      </w:r>
      <w:r w:rsidR="00A26C9B" w:rsidRPr="00CC458C">
        <w:rPr>
          <w:rFonts w:ascii="Times New Roman" w:hAnsi="Times New Roman" w:cs="Times New Roman"/>
          <w:bCs w:val="0"/>
          <w:sz w:val="22"/>
          <w:szCs w:val="22"/>
          <w:lang w:val="sk-SK"/>
        </w:rPr>
        <w:t xml:space="preserve">, </w:t>
      </w:r>
    </w:p>
    <w:p w14:paraId="62921F5B" w14:textId="3558BDCE" w:rsidR="00B967F6" w:rsidRPr="00CC458C" w:rsidRDefault="00B967F6" w:rsidP="0040611E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bCs w:val="0"/>
          <w:sz w:val="22"/>
          <w:szCs w:val="22"/>
          <w:lang w:val="sk-SK"/>
        </w:rPr>
        <w:t>ATC kód: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M01AC06</w:t>
      </w:r>
    </w:p>
    <w:p w14:paraId="1AC9CF43" w14:textId="77777777" w:rsidR="00B967F6" w:rsidRPr="00CC458C" w:rsidRDefault="00B967F6" w:rsidP="00DF519C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4B20F1B7" w14:textId="77777777" w:rsidR="00B967F6" w:rsidRPr="00CC458C" w:rsidRDefault="00B967F6" w:rsidP="00995801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Meloxikam je </w:t>
      </w:r>
      <w:r w:rsidR="00D91346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nesteroidové antiflogistikum 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(NSAID) zo skupiny oxikamov, ktorá má antiflogistické, analgetické a antipyretické vlastnosti.</w:t>
      </w:r>
    </w:p>
    <w:p w14:paraId="49E5D20C" w14:textId="77777777" w:rsidR="00A26C9B" w:rsidRPr="00CC458C" w:rsidRDefault="00A26C9B" w:rsidP="000E4141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10B7E4AA" w14:textId="77777777" w:rsidR="00A26C9B" w:rsidRPr="00CC458C" w:rsidRDefault="00A26C9B" w:rsidP="009E09D0">
      <w:pPr>
        <w:keepNext/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u w:val="single"/>
          <w:lang w:val="sk-SK"/>
        </w:rPr>
        <w:t>Mechanizmus účinku</w:t>
      </w:r>
    </w:p>
    <w:p w14:paraId="79CBFA1D" w14:textId="77777777" w:rsidR="00B967F6" w:rsidRPr="00CC458C" w:rsidRDefault="00B967F6" w:rsidP="00703BAD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Protizápalové účinky meloxikamu sa overili v klasických modeloch zápalu. Podobne ako pri iných </w:t>
      </w:r>
      <w:r w:rsidR="00D91346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nesteroidových 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antiflogistikách nie je známy presný mechanizmus účinku meloxikamu. Avšak všetky </w:t>
      </w:r>
      <w:r w:rsidR="00D91346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nesteroidové 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antiflogistiká (vrátane meloxikamu) majú aspoň jeden spoločný mechanizmus účinku: inhibíciu biosyntézy prostaglandínov, známych mediátorov zápalu.</w:t>
      </w:r>
    </w:p>
    <w:p w14:paraId="214718C2" w14:textId="77777777" w:rsidR="00B967F6" w:rsidRPr="00CC458C" w:rsidRDefault="00B967F6" w:rsidP="00703BAD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3F8D8572" w14:textId="77777777" w:rsidR="00B967F6" w:rsidRPr="00CC458C" w:rsidRDefault="00B967F6" w:rsidP="00CC458C">
      <w:pPr>
        <w:keepNext/>
        <w:tabs>
          <w:tab w:val="left" w:pos="567"/>
        </w:tabs>
        <w:outlineLvl w:val="3"/>
        <w:rPr>
          <w:rFonts w:ascii="Times New Roman" w:hAnsi="Times New Roman" w:cs="Times New Roman"/>
          <w:b/>
          <w:bCs w:val="0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b/>
          <w:bCs w:val="0"/>
          <w:sz w:val="22"/>
          <w:szCs w:val="22"/>
          <w:lang w:val="sk-SK"/>
        </w:rPr>
        <w:t>5.2</w:t>
      </w:r>
      <w:r w:rsidRPr="00CC458C">
        <w:rPr>
          <w:rFonts w:ascii="Times New Roman" w:hAnsi="Times New Roman" w:cs="Times New Roman"/>
          <w:b/>
          <w:bCs w:val="0"/>
          <w:sz w:val="22"/>
          <w:szCs w:val="22"/>
          <w:lang w:val="sk-SK"/>
        </w:rPr>
        <w:tab/>
        <w:t>Farmakokinetické vlastnosti</w:t>
      </w:r>
    </w:p>
    <w:p w14:paraId="33453E62" w14:textId="77777777" w:rsidR="00B967F6" w:rsidRPr="00CC458C" w:rsidRDefault="00B967F6" w:rsidP="009E09D0">
      <w:pPr>
        <w:keepNext/>
        <w:rPr>
          <w:rFonts w:ascii="Times New Roman" w:hAnsi="Times New Roman" w:cs="Times New Roman"/>
          <w:sz w:val="22"/>
          <w:szCs w:val="22"/>
          <w:lang w:val="sk-SK"/>
        </w:rPr>
      </w:pPr>
    </w:p>
    <w:p w14:paraId="0276F286" w14:textId="77777777" w:rsidR="00B967F6" w:rsidRPr="00CC458C" w:rsidRDefault="00B967F6" w:rsidP="00A51A6B">
      <w:pPr>
        <w:pStyle w:val="Nadpis9"/>
        <w:rPr>
          <w:i w:val="0"/>
          <w:szCs w:val="22"/>
          <w:u w:val="single"/>
          <w:lang w:val="sk-SK"/>
        </w:rPr>
      </w:pPr>
      <w:r w:rsidRPr="00CC458C">
        <w:rPr>
          <w:i w:val="0"/>
          <w:szCs w:val="22"/>
          <w:u w:val="single"/>
          <w:lang w:val="sk-SK"/>
        </w:rPr>
        <w:t>Absorpcia</w:t>
      </w:r>
    </w:p>
    <w:p w14:paraId="2842A5A5" w14:textId="77777777" w:rsidR="00B967F6" w:rsidRPr="00CC458C" w:rsidRDefault="00B967F6" w:rsidP="00A51A6B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Meloxikam sa dobre vstrebáva z tráviaceho traktu, čomu zodpovedá aj vysoká hodnota absolútnej biologickej dostupnosti </w:t>
      </w:r>
      <w:r w:rsidR="00A26C9B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okolo 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9</w:t>
      </w:r>
      <w:r w:rsidR="00A26C9B" w:rsidRPr="00CC458C">
        <w:rPr>
          <w:rFonts w:ascii="Times New Roman" w:hAnsi="Times New Roman" w:cs="Times New Roman"/>
          <w:sz w:val="22"/>
          <w:szCs w:val="22"/>
          <w:lang w:val="sk-SK"/>
        </w:rPr>
        <w:t>0</w:t>
      </w:r>
      <w:r w:rsidR="00604813" w:rsidRPr="00CC458C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% po perorálnom podaní (kapsuly). Tablety, perorálna suspenzia a kapsuly sa preukázali ako bioekvivalentné.</w:t>
      </w:r>
    </w:p>
    <w:p w14:paraId="1FD96FCE" w14:textId="77777777" w:rsidR="00B967F6" w:rsidRPr="00CC458C" w:rsidRDefault="00B967F6" w:rsidP="00A51A6B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73A2F98A" w14:textId="77777777" w:rsidR="00B967F6" w:rsidRPr="00CC458C" w:rsidRDefault="00B967F6" w:rsidP="00A51A6B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lang w:val="sk-SK"/>
        </w:rPr>
        <w:t>Po jednorazovom podaní meloxikamu sa priemerné maximálne plazmatické koncentrácie dosiahnu v rámci 2 hodín po podaní suspenzie a v rámci 5</w:t>
      </w:r>
      <w:r w:rsidR="00F34BC3" w:rsidRPr="00CC458C">
        <w:rPr>
          <w:rFonts w:ascii="Times New Roman" w:hAnsi="Times New Roman" w:cs="Times New Roman"/>
          <w:sz w:val="22"/>
          <w:szCs w:val="22"/>
          <w:lang w:val="sk-SK"/>
        </w:rPr>
        <w:t> – 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6 hodín po podaní tuhej liekovej formy (kapsuly a tablety).</w:t>
      </w:r>
    </w:p>
    <w:p w14:paraId="4E4C1CD1" w14:textId="77777777" w:rsidR="00B967F6" w:rsidRPr="00CC458C" w:rsidRDefault="00B967F6" w:rsidP="00A51A6B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58FA572A" w14:textId="77777777" w:rsidR="00B967F6" w:rsidRPr="00CC458C" w:rsidRDefault="00B967F6" w:rsidP="00F34BC3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lang w:val="sk-SK"/>
        </w:rPr>
        <w:t>Pri opakovanom podávaní sa rovnovážne koncentrácie dosiahnu v priebehu 3</w:t>
      </w:r>
      <w:r w:rsidR="00F34BC3" w:rsidRPr="00CC458C">
        <w:rPr>
          <w:rFonts w:ascii="Times New Roman" w:hAnsi="Times New Roman" w:cs="Times New Roman"/>
          <w:sz w:val="22"/>
          <w:szCs w:val="22"/>
          <w:lang w:val="sk-SK"/>
        </w:rPr>
        <w:t> – 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5 dní. Dávkovanie raz denne vedie k</w:t>
      </w:r>
      <w:r w:rsidR="00B36351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 priemerným 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plazmatickým koncentráciám látky s relatívne malým kolísaním hodnôt „peak-trough“ v rozsahu 0,4</w:t>
      </w:r>
      <w:r w:rsidR="00F34BC3" w:rsidRPr="00CC458C">
        <w:rPr>
          <w:rFonts w:ascii="Times New Roman" w:hAnsi="Times New Roman" w:cs="Times New Roman"/>
          <w:sz w:val="22"/>
          <w:szCs w:val="22"/>
          <w:lang w:val="sk-SK"/>
        </w:rPr>
        <w:t> – 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1,0 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sym w:font="Symbol" w:char="F06D"/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g/ml pri 7,5 mg dávkach a 0,8</w:t>
      </w:r>
      <w:r w:rsidR="00F34BC3" w:rsidRPr="00CC458C">
        <w:rPr>
          <w:rFonts w:ascii="Times New Roman" w:hAnsi="Times New Roman" w:cs="Times New Roman"/>
          <w:sz w:val="22"/>
          <w:szCs w:val="22"/>
          <w:lang w:val="sk-SK"/>
        </w:rPr>
        <w:t> – 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2,0 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sym w:font="Symbol" w:char="F06D"/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g/ml pri 15 mg dávkach (C</w:t>
      </w:r>
      <w:r w:rsidRPr="00CC458C">
        <w:rPr>
          <w:rFonts w:ascii="Times New Roman" w:hAnsi="Times New Roman" w:cs="Times New Roman"/>
          <w:sz w:val="22"/>
          <w:szCs w:val="22"/>
          <w:vertAlign w:val="subscript"/>
          <w:lang w:val="sk-SK"/>
        </w:rPr>
        <w:t>min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a C</w:t>
      </w:r>
      <w:r w:rsidRPr="00CC458C">
        <w:rPr>
          <w:rFonts w:ascii="Times New Roman" w:hAnsi="Times New Roman" w:cs="Times New Roman"/>
          <w:sz w:val="22"/>
          <w:szCs w:val="22"/>
          <w:vertAlign w:val="subscript"/>
          <w:lang w:val="sk-SK"/>
        </w:rPr>
        <w:t>max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v rovnovážnom stave). </w:t>
      </w:r>
      <w:r w:rsidR="00B36351" w:rsidRPr="00CC458C">
        <w:rPr>
          <w:rFonts w:ascii="Times New Roman" w:hAnsi="Times New Roman" w:cs="Times New Roman"/>
          <w:sz w:val="22"/>
          <w:szCs w:val="22"/>
          <w:lang w:val="sk-SK"/>
        </w:rPr>
        <w:t>Priemerné m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aximálne plazmatické koncentrácie meloxikamu v rovnovážnom stave sa dosahujú </w:t>
      </w:r>
      <w:r w:rsidR="00604813" w:rsidRPr="00CC458C">
        <w:rPr>
          <w:rFonts w:ascii="Times New Roman" w:hAnsi="Times New Roman" w:cs="Times New Roman"/>
          <w:sz w:val="22"/>
          <w:szCs w:val="22"/>
          <w:lang w:val="sk-SK"/>
        </w:rPr>
        <w:t>v 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rámci 5 až 6 hodín, pre tablety, kapsul</w:t>
      </w:r>
      <w:r w:rsidR="00FA0CE7" w:rsidRPr="00CC458C">
        <w:rPr>
          <w:rFonts w:ascii="Times New Roman" w:hAnsi="Times New Roman" w:cs="Times New Roman"/>
          <w:sz w:val="22"/>
          <w:szCs w:val="22"/>
          <w:lang w:val="sk-SK"/>
        </w:rPr>
        <w:t>y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a perorálne suspenzie. Koncentrácie liečiva </w:t>
      </w:r>
      <w:r w:rsidR="00604813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po 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kontinuálnej liečbe trvajúcej viac ako jeden rok sú podobné koncentráciám meloxikamu v rovnovážnom stave, ktorý sa dosiahol po počiatočnom podaní. Rozsah absorpcie meloxikamu sa po perorálnom podaní súčasným príjmom potravy nemení</w:t>
      </w:r>
      <w:r w:rsidR="00B36351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alebo použitím </w:t>
      </w:r>
      <w:r w:rsidR="00F34BC3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iných </w:t>
      </w:r>
      <w:r w:rsidR="00B36351" w:rsidRPr="00CC458C">
        <w:rPr>
          <w:rFonts w:ascii="Times New Roman" w:hAnsi="Times New Roman" w:cs="Times New Roman"/>
          <w:sz w:val="22"/>
          <w:szCs w:val="22"/>
          <w:lang w:val="sk-SK"/>
        </w:rPr>
        <w:t>anorganick</w:t>
      </w:r>
      <w:r w:rsidR="00F34BC3" w:rsidRPr="00CC458C">
        <w:rPr>
          <w:rFonts w:ascii="Times New Roman" w:hAnsi="Times New Roman" w:cs="Times New Roman"/>
          <w:sz w:val="22"/>
          <w:szCs w:val="22"/>
          <w:lang w:val="sk-SK"/>
        </w:rPr>
        <w:t>ých</w:t>
      </w:r>
      <w:r w:rsidR="00B36351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F34BC3" w:rsidRPr="00CC458C">
        <w:rPr>
          <w:rFonts w:ascii="Times New Roman" w:hAnsi="Times New Roman" w:cs="Times New Roman"/>
          <w:sz w:val="22"/>
          <w:szCs w:val="22"/>
          <w:lang w:val="sk-SK"/>
        </w:rPr>
        <w:t>antacíd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16EECCEA" w14:textId="77777777" w:rsidR="00B967F6" w:rsidRPr="00CC458C" w:rsidRDefault="00B967F6" w:rsidP="00D91346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6237DAA3" w14:textId="77777777" w:rsidR="00B967F6" w:rsidRPr="00CC458C" w:rsidRDefault="00B967F6" w:rsidP="009E09D0">
      <w:pPr>
        <w:keepNext/>
        <w:rPr>
          <w:rFonts w:ascii="Times New Roman" w:hAnsi="Times New Roman" w:cs="Times New Roman"/>
          <w:iCs/>
          <w:sz w:val="22"/>
          <w:szCs w:val="22"/>
          <w:u w:val="single"/>
          <w:lang w:val="sk-SK"/>
        </w:rPr>
      </w:pPr>
      <w:r w:rsidRPr="00CC458C">
        <w:rPr>
          <w:rFonts w:ascii="Times New Roman" w:hAnsi="Times New Roman" w:cs="Times New Roman"/>
          <w:iCs/>
          <w:sz w:val="22"/>
          <w:szCs w:val="22"/>
          <w:u w:val="single"/>
          <w:lang w:val="sk-SK"/>
        </w:rPr>
        <w:t>Distribúcia</w:t>
      </w:r>
    </w:p>
    <w:p w14:paraId="13CB90CF" w14:textId="77777777" w:rsidR="00B967F6" w:rsidRPr="00CC458C" w:rsidRDefault="00B967F6" w:rsidP="00A562EF">
      <w:pPr>
        <w:pStyle w:val="Zkladntext"/>
        <w:tabs>
          <w:tab w:val="clear" w:pos="540"/>
        </w:tabs>
        <w:rPr>
          <w:rFonts w:ascii="Times New Roman" w:hAnsi="Times New Roman" w:cs="Times New Roman"/>
          <w:szCs w:val="22"/>
        </w:rPr>
      </w:pPr>
      <w:r w:rsidRPr="00CC458C">
        <w:rPr>
          <w:rFonts w:ascii="Times New Roman" w:hAnsi="Times New Roman" w:cs="Times New Roman"/>
          <w:szCs w:val="22"/>
        </w:rPr>
        <w:t>Meloxikam je veľmi pevne viazaný na plazmatické bielkoviny, najmä na albumín (99</w:t>
      </w:r>
      <w:r w:rsidR="00604813" w:rsidRPr="00CC458C">
        <w:rPr>
          <w:rFonts w:ascii="Times New Roman" w:hAnsi="Times New Roman" w:cs="Times New Roman"/>
          <w:szCs w:val="22"/>
        </w:rPr>
        <w:t> </w:t>
      </w:r>
      <w:r w:rsidRPr="00CC458C">
        <w:rPr>
          <w:rFonts w:ascii="Times New Roman" w:hAnsi="Times New Roman" w:cs="Times New Roman"/>
          <w:szCs w:val="22"/>
        </w:rPr>
        <w:t>%). Meloxikam prechádza do synoviálnej tekutiny, kde dosahuje približne polovičné koncentrácie ako v plazme. Distribučný objem je malý</w:t>
      </w:r>
      <w:r w:rsidR="00B50C42" w:rsidRPr="00CC458C">
        <w:rPr>
          <w:rFonts w:ascii="Times New Roman" w:hAnsi="Times New Roman" w:cs="Times New Roman"/>
          <w:szCs w:val="22"/>
        </w:rPr>
        <w:t xml:space="preserve">, </w:t>
      </w:r>
      <w:r w:rsidR="00171FDC" w:rsidRPr="00CC458C">
        <w:rPr>
          <w:rFonts w:ascii="Times New Roman" w:hAnsi="Times New Roman" w:cs="Times New Roman"/>
          <w:szCs w:val="22"/>
        </w:rPr>
        <w:t>t</w:t>
      </w:r>
      <w:r w:rsidR="00F34BC3" w:rsidRPr="00CC458C">
        <w:rPr>
          <w:rFonts w:ascii="Times New Roman" w:hAnsi="Times New Roman" w:cs="Times New Roman"/>
          <w:szCs w:val="22"/>
        </w:rPr>
        <w:t>.</w:t>
      </w:r>
      <w:r w:rsidR="00171FDC" w:rsidRPr="00CC458C">
        <w:rPr>
          <w:rFonts w:ascii="Times New Roman" w:hAnsi="Times New Roman" w:cs="Times New Roman"/>
          <w:szCs w:val="22"/>
        </w:rPr>
        <w:t>j. približne</w:t>
      </w:r>
      <w:r w:rsidRPr="00CC458C">
        <w:rPr>
          <w:rFonts w:ascii="Times New Roman" w:hAnsi="Times New Roman" w:cs="Times New Roman"/>
          <w:szCs w:val="22"/>
        </w:rPr>
        <w:t xml:space="preserve"> 11 l</w:t>
      </w:r>
      <w:r w:rsidR="00171FDC" w:rsidRPr="00CC458C">
        <w:rPr>
          <w:rFonts w:ascii="Times New Roman" w:hAnsi="Times New Roman" w:cs="Times New Roman"/>
          <w:szCs w:val="22"/>
        </w:rPr>
        <w:t xml:space="preserve"> po </w:t>
      </w:r>
      <w:r w:rsidR="00171FDC" w:rsidRPr="00CC458C">
        <w:rPr>
          <w:rFonts w:ascii="Times New Roman" w:hAnsi="Times New Roman" w:cs="Times New Roman"/>
          <w:i/>
          <w:szCs w:val="22"/>
        </w:rPr>
        <w:t>i.m.</w:t>
      </w:r>
      <w:r w:rsidR="00171FDC" w:rsidRPr="00CC458C">
        <w:rPr>
          <w:rFonts w:ascii="Times New Roman" w:hAnsi="Times New Roman" w:cs="Times New Roman"/>
          <w:szCs w:val="22"/>
        </w:rPr>
        <w:t xml:space="preserve"> alebo </w:t>
      </w:r>
      <w:r w:rsidR="00171FDC" w:rsidRPr="00CC458C">
        <w:rPr>
          <w:rFonts w:ascii="Times New Roman" w:hAnsi="Times New Roman" w:cs="Times New Roman"/>
          <w:i/>
          <w:szCs w:val="22"/>
        </w:rPr>
        <w:t>i.v.</w:t>
      </w:r>
      <w:r w:rsidR="00171FDC" w:rsidRPr="00CC458C">
        <w:rPr>
          <w:rFonts w:ascii="Times New Roman" w:hAnsi="Times New Roman" w:cs="Times New Roman"/>
          <w:szCs w:val="22"/>
        </w:rPr>
        <w:t xml:space="preserve"> podaní a ukazuje interindividuálne variácie na úrovni 7 – 20</w:t>
      </w:r>
      <w:r w:rsidR="00604813" w:rsidRPr="00CC458C">
        <w:rPr>
          <w:rFonts w:ascii="Times New Roman" w:hAnsi="Times New Roman" w:cs="Times New Roman"/>
          <w:szCs w:val="22"/>
        </w:rPr>
        <w:t> </w:t>
      </w:r>
      <w:r w:rsidR="00171FDC" w:rsidRPr="00CC458C">
        <w:rPr>
          <w:rFonts w:ascii="Times New Roman" w:hAnsi="Times New Roman" w:cs="Times New Roman"/>
          <w:szCs w:val="22"/>
        </w:rPr>
        <w:t>%. Distribučný objem po opakovanej dávke meloxikamu (7,5 – 15 mg) je približne 16 l s premenlivými koeficientmi v rozsahu 11</w:t>
      </w:r>
      <w:r w:rsidR="005F0654" w:rsidRPr="00CC458C">
        <w:rPr>
          <w:rFonts w:ascii="Times New Roman" w:hAnsi="Times New Roman" w:cs="Times New Roman"/>
          <w:szCs w:val="22"/>
        </w:rPr>
        <w:t> – </w:t>
      </w:r>
      <w:r w:rsidR="00171FDC" w:rsidRPr="00CC458C">
        <w:rPr>
          <w:rFonts w:ascii="Times New Roman" w:hAnsi="Times New Roman" w:cs="Times New Roman"/>
          <w:szCs w:val="22"/>
        </w:rPr>
        <w:t>32</w:t>
      </w:r>
      <w:r w:rsidR="00604813" w:rsidRPr="00CC458C">
        <w:rPr>
          <w:rFonts w:ascii="Times New Roman" w:hAnsi="Times New Roman" w:cs="Times New Roman"/>
          <w:szCs w:val="22"/>
        </w:rPr>
        <w:t> </w:t>
      </w:r>
      <w:r w:rsidR="00171FDC" w:rsidRPr="00CC458C">
        <w:rPr>
          <w:rFonts w:ascii="Times New Roman" w:hAnsi="Times New Roman" w:cs="Times New Roman"/>
          <w:szCs w:val="22"/>
        </w:rPr>
        <w:t>%</w:t>
      </w:r>
      <w:r w:rsidRPr="00CC458C">
        <w:rPr>
          <w:rFonts w:ascii="Times New Roman" w:hAnsi="Times New Roman" w:cs="Times New Roman"/>
          <w:szCs w:val="22"/>
        </w:rPr>
        <w:t>.</w:t>
      </w:r>
    </w:p>
    <w:p w14:paraId="037F16C4" w14:textId="77777777" w:rsidR="00B967F6" w:rsidRPr="00CC458C" w:rsidRDefault="00B967F6" w:rsidP="00A562EF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3D990E35" w14:textId="77777777" w:rsidR="00B967F6" w:rsidRPr="00CC458C" w:rsidRDefault="00B967F6" w:rsidP="00A562EF">
      <w:pPr>
        <w:pStyle w:val="Nadpis9"/>
        <w:rPr>
          <w:i w:val="0"/>
          <w:szCs w:val="22"/>
          <w:u w:val="single"/>
          <w:lang w:val="sk-SK"/>
        </w:rPr>
      </w:pPr>
      <w:r w:rsidRPr="00CC458C">
        <w:rPr>
          <w:i w:val="0"/>
          <w:szCs w:val="22"/>
          <w:u w:val="single"/>
          <w:lang w:val="sk-SK"/>
        </w:rPr>
        <w:t>Biotransformácia</w:t>
      </w:r>
    </w:p>
    <w:p w14:paraId="33C2D927" w14:textId="77777777" w:rsidR="00B967F6" w:rsidRPr="00CC458C" w:rsidRDefault="00B967F6" w:rsidP="00A562EF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lang w:val="sk-SK"/>
        </w:rPr>
        <w:t>Meloxikam podlieha extenzívnej biotransformácii v pečeni. V moči sa identifikovali 4 rôzne metabolity, ktoré sú farmakodynamicky neaktívne. Hlavný metabolit, 5‘-karboxymeloxikam, (predstavuje 60</w:t>
      </w:r>
      <w:r w:rsidR="00604813" w:rsidRPr="00CC458C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% z podanej dávky) vzniká oxidáciou intermediárneho metabolitu 5‘</w:t>
      </w:r>
      <w:r w:rsidR="0048217F" w:rsidRPr="00CC458C">
        <w:rPr>
          <w:rFonts w:ascii="Times New Roman" w:hAnsi="Times New Roman" w:cs="Times New Roman"/>
          <w:sz w:val="22"/>
          <w:szCs w:val="22"/>
          <w:lang w:val="sk-SK"/>
        </w:rPr>
        <w:noBreakHyphen/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hydroxymetylmeloxikamu, ktorý sa taktiež vylučuje hoci v menšej miere (9</w:t>
      </w:r>
      <w:r w:rsidR="00604813" w:rsidRPr="00CC458C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% z podanej dávky). 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lastRenderedPageBreak/>
        <w:t xml:space="preserve">Štúdie </w:t>
      </w:r>
      <w:r w:rsidRPr="00CC458C">
        <w:rPr>
          <w:rFonts w:ascii="Times New Roman" w:hAnsi="Times New Roman" w:cs="Times New Roman"/>
          <w:i/>
          <w:iCs/>
          <w:sz w:val="22"/>
          <w:szCs w:val="22"/>
          <w:lang w:val="sk-SK"/>
        </w:rPr>
        <w:t>in vitro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naznačujú, že enzýmový systém CYP</w:t>
      </w:r>
      <w:r w:rsidR="0048217F" w:rsidRPr="00CC458C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2C9 má dôležitú úlohu v tejto metabolickej dráhe, pričom menší význam má tiež izoenzým CYP</w:t>
      </w:r>
      <w:r w:rsidR="0048217F" w:rsidRPr="00CC458C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3A4. Peroxidázová aktivita pacienta je pravdepodobne zodpovedná za ďalšie dva metabolity, ktoré predstavujú 16</w:t>
      </w:r>
      <w:r w:rsidR="00604813" w:rsidRPr="00CC458C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% resp. 4</w:t>
      </w:r>
      <w:r w:rsidR="00604813" w:rsidRPr="00CC458C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% z podanej látky.</w:t>
      </w:r>
    </w:p>
    <w:p w14:paraId="55117519" w14:textId="77777777" w:rsidR="00B967F6" w:rsidRPr="00CC458C" w:rsidRDefault="00B967F6" w:rsidP="00A562EF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19C6284F" w14:textId="77777777" w:rsidR="00B967F6" w:rsidRPr="00CC458C" w:rsidRDefault="00B967F6" w:rsidP="00A562EF">
      <w:pPr>
        <w:pStyle w:val="Nadpis9"/>
        <w:rPr>
          <w:i w:val="0"/>
          <w:szCs w:val="22"/>
          <w:u w:val="single"/>
          <w:lang w:val="sk-SK"/>
        </w:rPr>
      </w:pPr>
      <w:r w:rsidRPr="00CC458C">
        <w:rPr>
          <w:i w:val="0"/>
          <w:szCs w:val="22"/>
          <w:u w:val="single"/>
          <w:lang w:val="sk-SK"/>
        </w:rPr>
        <w:t>Eliminácia</w:t>
      </w:r>
    </w:p>
    <w:p w14:paraId="62052B93" w14:textId="77777777" w:rsidR="0048217F" w:rsidRPr="00CC458C" w:rsidRDefault="00B967F6" w:rsidP="00A562EF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Meloxikam sa vylučuje prevažne vo forme metabolitov rovnakou mierou </w:t>
      </w:r>
      <w:r w:rsidR="00604813" w:rsidRPr="00CC458C">
        <w:rPr>
          <w:rFonts w:ascii="Times New Roman" w:hAnsi="Times New Roman" w:cs="Times New Roman"/>
          <w:sz w:val="22"/>
          <w:szCs w:val="22"/>
          <w:lang w:val="sk-SK"/>
        </w:rPr>
        <w:t>močom a stolicou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. Menej ako 5% z podanej </w:t>
      </w:r>
      <w:r w:rsidR="0048217F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dennej 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dávky sa vylučuje v nezmenenej forme </w:t>
      </w:r>
      <w:r w:rsidR="00604813" w:rsidRPr="00CC458C">
        <w:rPr>
          <w:rFonts w:ascii="Times New Roman" w:hAnsi="Times New Roman" w:cs="Times New Roman"/>
          <w:sz w:val="22"/>
          <w:szCs w:val="22"/>
          <w:lang w:val="sk-SK"/>
        </w:rPr>
        <w:t>stolicou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, pričom pôvodná látka sa nachádza v moči len v stopových množstvách.</w:t>
      </w:r>
    </w:p>
    <w:p w14:paraId="7B658E2D" w14:textId="77777777" w:rsidR="00171FDC" w:rsidRPr="00CC458C" w:rsidRDefault="00171FDC" w:rsidP="00A562EF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020C4425" w14:textId="77777777" w:rsidR="00B967F6" w:rsidRPr="00CC458C" w:rsidRDefault="00B967F6" w:rsidP="00A562EF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Priemerná hodnota eliminačného polčasu </w:t>
      </w:r>
      <w:r w:rsidR="00171FDC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sa pohybuje medzi 13 a 25 hodín po perorálnom, </w:t>
      </w:r>
      <w:r w:rsidR="00171FDC" w:rsidRPr="00CC458C">
        <w:rPr>
          <w:rFonts w:ascii="Times New Roman" w:hAnsi="Times New Roman" w:cs="Times New Roman"/>
          <w:i/>
          <w:sz w:val="22"/>
          <w:szCs w:val="22"/>
          <w:lang w:val="sk-SK"/>
        </w:rPr>
        <w:t>i.m.</w:t>
      </w:r>
      <w:r w:rsidR="00171FDC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a </w:t>
      </w:r>
      <w:r w:rsidR="00171FDC" w:rsidRPr="00CC458C">
        <w:rPr>
          <w:rFonts w:ascii="Times New Roman" w:hAnsi="Times New Roman" w:cs="Times New Roman"/>
          <w:i/>
          <w:sz w:val="22"/>
          <w:szCs w:val="22"/>
          <w:lang w:val="sk-SK"/>
        </w:rPr>
        <w:t>i.v.</w:t>
      </w:r>
      <w:r w:rsidR="00171FDC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podaní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. Celková hodnota plazmatického klírensu je </w:t>
      </w:r>
      <w:r w:rsidR="00171FDC" w:rsidRPr="00CC458C">
        <w:rPr>
          <w:rFonts w:ascii="Times New Roman" w:hAnsi="Times New Roman" w:cs="Times New Roman"/>
          <w:sz w:val="22"/>
          <w:szCs w:val="22"/>
          <w:lang w:val="sk-SK"/>
        </w:rPr>
        <w:t>okolo 7</w:t>
      </w:r>
      <w:r w:rsidR="005F0654" w:rsidRPr="00CC458C">
        <w:rPr>
          <w:rFonts w:ascii="Times New Roman" w:hAnsi="Times New Roman" w:cs="Times New Roman"/>
          <w:sz w:val="22"/>
          <w:szCs w:val="22"/>
          <w:lang w:val="sk-SK"/>
        </w:rPr>
        <w:t> – </w:t>
      </w:r>
      <w:r w:rsidR="00171FDC" w:rsidRPr="00CC458C">
        <w:rPr>
          <w:rFonts w:ascii="Times New Roman" w:hAnsi="Times New Roman" w:cs="Times New Roman"/>
          <w:sz w:val="22"/>
          <w:szCs w:val="22"/>
          <w:lang w:val="sk-SK"/>
        </w:rPr>
        <w:t>12 ml/min po podaní jedn</w:t>
      </w:r>
      <w:r w:rsidR="00604813" w:rsidRPr="00CC458C">
        <w:rPr>
          <w:rFonts w:ascii="Times New Roman" w:hAnsi="Times New Roman" w:cs="Times New Roman"/>
          <w:sz w:val="22"/>
          <w:szCs w:val="22"/>
          <w:lang w:val="sk-SK"/>
        </w:rPr>
        <w:t>orazovej perorálnej,</w:t>
      </w:r>
      <w:r w:rsidR="00171FDC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604813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intravenóznej alebo rektálnej </w:t>
      </w:r>
      <w:r w:rsidR="00171FDC" w:rsidRPr="00CC458C">
        <w:rPr>
          <w:rFonts w:ascii="Times New Roman" w:hAnsi="Times New Roman" w:cs="Times New Roman"/>
          <w:sz w:val="22"/>
          <w:szCs w:val="22"/>
          <w:lang w:val="sk-SK"/>
        </w:rPr>
        <w:t>dávky.</w:t>
      </w:r>
    </w:p>
    <w:p w14:paraId="2B9EF338" w14:textId="77777777" w:rsidR="00B967F6" w:rsidRPr="00CC458C" w:rsidRDefault="00B967F6" w:rsidP="00A562EF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0BE57288" w14:textId="77777777" w:rsidR="00B967F6" w:rsidRPr="00CC458C" w:rsidRDefault="00B967F6" w:rsidP="00A562EF">
      <w:pPr>
        <w:pStyle w:val="Nadpis9"/>
        <w:rPr>
          <w:i w:val="0"/>
          <w:szCs w:val="22"/>
          <w:u w:val="single"/>
          <w:lang w:val="sk-SK"/>
        </w:rPr>
      </w:pPr>
      <w:r w:rsidRPr="00CC458C">
        <w:rPr>
          <w:i w:val="0"/>
          <w:szCs w:val="22"/>
          <w:u w:val="single"/>
          <w:lang w:val="sk-SK"/>
        </w:rPr>
        <w:t>Linearita/nelinearita</w:t>
      </w:r>
    </w:p>
    <w:p w14:paraId="7C6784F3" w14:textId="77777777" w:rsidR="00B967F6" w:rsidRPr="00CC458C" w:rsidRDefault="00B967F6" w:rsidP="00A562EF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lang w:val="sk-SK"/>
        </w:rPr>
        <w:t>Meloxikam podávaný perorálne alebo intramuskulárne v terapeutických dávkach 7,5 mg a 15 mg vykazuje lineárnu farmakokinetiku.</w:t>
      </w:r>
    </w:p>
    <w:p w14:paraId="2A644B4D" w14:textId="77777777" w:rsidR="00B967F6" w:rsidRPr="00CC458C" w:rsidRDefault="00B967F6" w:rsidP="00A562EF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64A98789" w14:textId="77777777" w:rsidR="00B967F6" w:rsidRPr="00CC458C" w:rsidRDefault="00B967F6" w:rsidP="00A562EF">
      <w:pPr>
        <w:pStyle w:val="Nadpis8"/>
        <w:rPr>
          <w:b w:val="0"/>
          <w:i w:val="0"/>
          <w:szCs w:val="22"/>
          <w:u w:val="single"/>
          <w:lang w:val="sk-SK"/>
        </w:rPr>
      </w:pPr>
      <w:r w:rsidRPr="00CC458C">
        <w:rPr>
          <w:b w:val="0"/>
          <w:i w:val="0"/>
          <w:szCs w:val="22"/>
          <w:u w:val="single"/>
          <w:lang w:val="sk-SK"/>
        </w:rPr>
        <w:t>Osobitné skupiny pacientov</w:t>
      </w:r>
    </w:p>
    <w:p w14:paraId="56C1864F" w14:textId="77777777" w:rsidR="00B967F6" w:rsidRPr="00CC458C" w:rsidRDefault="00B967F6" w:rsidP="00A562EF">
      <w:pPr>
        <w:pStyle w:val="Nadpis9"/>
        <w:rPr>
          <w:szCs w:val="22"/>
          <w:lang w:val="sk-SK"/>
        </w:rPr>
      </w:pPr>
    </w:p>
    <w:p w14:paraId="594A61FC" w14:textId="77777777" w:rsidR="00B967F6" w:rsidRPr="00CC458C" w:rsidRDefault="00B967F6" w:rsidP="00A562EF">
      <w:pPr>
        <w:pStyle w:val="Nadpis9"/>
        <w:rPr>
          <w:szCs w:val="22"/>
          <w:lang w:val="sk-SK"/>
        </w:rPr>
      </w:pPr>
      <w:r w:rsidRPr="00CC458C">
        <w:rPr>
          <w:szCs w:val="22"/>
          <w:lang w:val="sk-SK"/>
        </w:rPr>
        <w:t>Zlyhanie pečene/obličiek</w:t>
      </w:r>
    </w:p>
    <w:p w14:paraId="159DDFDC" w14:textId="77777777" w:rsidR="00B967F6" w:rsidRPr="00CC458C" w:rsidRDefault="00B967F6" w:rsidP="00A562EF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Zlyhanie pečene, </w:t>
      </w:r>
      <w:r w:rsidR="00171FDC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ani </w:t>
      </w:r>
      <w:r w:rsidR="00EE65BE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ľahké 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zlyhanie obličiek nemá podstatný vplyv </w:t>
      </w:r>
      <w:r w:rsidR="00EE65BE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na 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farmakokinetiku meloxikamu. </w:t>
      </w:r>
      <w:r w:rsidR="005F0654" w:rsidRPr="00CC458C">
        <w:rPr>
          <w:rFonts w:ascii="Times New Roman" w:hAnsi="Times New Roman" w:cs="Times New Roman"/>
          <w:sz w:val="22"/>
          <w:szCs w:val="22"/>
          <w:lang w:val="sk-SK"/>
        </w:rPr>
        <w:t>J</w:t>
      </w:r>
      <w:r w:rsidR="00EE65BE" w:rsidRPr="00CC458C">
        <w:rPr>
          <w:rFonts w:ascii="Times New Roman" w:hAnsi="Times New Roman" w:cs="Times New Roman"/>
          <w:sz w:val="22"/>
          <w:szCs w:val="22"/>
          <w:lang w:val="sk-SK"/>
        </w:rPr>
        <w:t>edinci</w:t>
      </w:r>
      <w:r w:rsidR="005F0654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171FDC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so </w:t>
      </w:r>
      <w:r w:rsidR="00745C34" w:rsidRPr="00CC458C">
        <w:rPr>
          <w:rFonts w:ascii="Times New Roman" w:hAnsi="Times New Roman" w:cs="Times New Roman"/>
          <w:sz w:val="22"/>
          <w:szCs w:val="22"/>
          <w:lang w:val="sk-SK"/>
        </w:rPr>
        <w:t>stredne ťažkou poruchou</w:t>
      </w:r>
      <w:r w:rsidR="00171FDC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funkci</w:t>
      </w:r>
      <w:r w:rsidR="00745C34" w:rsidRPr="00CC458C">
        <w:rPr>
          <w:rFonts w:ascii="Times New Roman" w:hAnsi="Times New Roman" w:cs="Times New Roman"/>
          <w:sz w:val="22"/>
          <w:szCs w:val="22"/>
          <w:lang w:val="sk-SK"/>
        </w:rPr>
        <w:t>e</w:t>
      </w:r>
      <w:r w:rsidR="00171FDC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obličiek mali významne vyšší celkový klírens </w:t>
      </w:r>
      <w:r w:rsidR="00EE65BE" w:rsidRPr="00CC458C">
        <w:rPr>
          <w:rFonts w:ascii="Times New Roman" w:hAnsi="Times New Roman" w:cs="Times New Roman"/>
          <w:sz w:val="22"/>
          <w:szCs w:val="22"/>
          <w:lang w:val="sk-SK"/>
        </w:rPr>
        <w:t>liečiva</w:t>
      </w:r>
      <w:r w:rsidR="00171FDC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. U pacientov s terminálnym zlyhaním obličiek bola pozorovaná znížená väzba na proteín. 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U pacientov s terminálnym zlyhaním obličiek môže zväčšenie distribučného objemu viesť k vyššej koncentrácii voľného meloxikamu, a preto denná dávka meloxikamu nesmie prekročiť 7,5 mg denne (pozri </w:t>
      </w:r>
      <w:r w:rsidR="00604813" w:rsidRPr="00CC458C">
        <w:rPr>
          <w:rFonts w:ascii="Times New Roman" w:hAnsi="Times New Roman" w:cs="Times New Roman"/>
          <w:sz w:val="22"/>
          <w:szCs w:val="22"/>
          <w:lang w:val="sk-SK"/>
        </w:rPr>
        <w:t>časť 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4.2).</w:t>
      </w:r>
    </w:p>
    <w:p w14:paraId="64A1B032" w14:textId="77777777" w:rsidR="00B967F6" w:rsidRPr="00CC458C" w:rsidRDefault="00B967F6" w:rsidP="00A562EF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29F14DA0" w14:textId="77777777" w:rsidR="00B967F6" w:rsidRPr="00CC458C" w:rsidRDefault="00B967F6" w:rsidP="00A562EF">
      <w:pPr>
        <w:pStyle w:val="Nadpis9"/>
        <w:rPr>
          <w:szCs w:val="22"/>
          <w:lang w:val="sk-SK"/>
        </w:rPr>
      </w:pPr>
      <w:r w:rsidRPr="00CC458C">
        <w:rPr>
          <w:szCs w:val="22"/>
          <w:lang w:val="sk-SK"/>
        </w:rPr>
        <w:t xml:space="preserve">Starší </w:t>
      </w:r>
      <w:r w:rsidR="00005F6E" w:rsidRPr="00CC458C">
        <w:rPr>
          <w:szCs w:val="22"/>
          <w:lang w:val="sk-SK"/>
        </w:rPr>
        <w:t>ľudia</w:t>
      </w:r>
    </w:p>
    <w:p w14:paraId="293BB656" w14:textId="77777777" w:rsidR="00B967F6" w:rsidRPr="00CC458C" w:rsidRDefault="00745C34" w:rsidP="00A562EF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Starší </w:t>
      </w:r>
      <w:r w:rsidR="005F0654" w:rsidRPr="00CC458C">
        <w:rPr>
          <w:rFonts w:ascii="Times New Roman" w:hAnsi="Times New Roman" w:cs="Times New Roman"/>
          <w:sz w:val="22"/>
          <w:szCs w:val="22"/>
          <w:lang w:val="sk-SK"/>
        </w:rPr>
        <w:t>mužskí jedinci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v porovnaní s mladšími </w:t>
      </w:r>
      <w:r w:rsidR="00EE65BE" w:rsidRPr="00CC458C">
        <w:rPr>
          <w:rFonts w:ascii="Times New Roman" w:hAnsi="Times New Roman" w:cs="Times New Roman"/>
          <w:sz w:val="22"/>
          <w:szCs w:val="22"/>
          <w:lang w:val="sk-SK"/>
        </w:rPr>
        <w:t>jedincami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vykazovali podobné priemerné farmakokinetické parametre. Staršie pacientky v porovnaní s mladšími </w:t>
      </w:r>
      <w:r w:rsidR="00EE65BE" w:rsidRPr="00CC458C">
        <w:rPr>
          <w:rFonts w:ascii="Times New Roman" w:hAnsi="Times New Roman" w:cs="Times New Roman"/>
          <w:sz w:val="22"/>
          <w:szCs w:val="22"/>
          <w:lang w:val="sk-SK"/>
        </w:rPr>
        <w:t>jedincami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oboch pohlaví vykazovali vyššie AUC hodnoty a dlhší polčas eliminácie. </w:t>
      </w:r>
      <w:r w:rsidR="00B967F6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Priemerné hodnoty plazmatického klírensu v rovnovážnom stave u starších </w:t>
      </w:r>
      <w:r w:rsidR="00EE65BE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jedincov </w:t>
      </w:r>
      <w:r w:rsidR="00B967F6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boli mierne nižšie ako u mladších </w:t>
      </w:r>
      <w:r w:rsidR="00EE65BE" w:rsidRPr="00CC458C">
        <w:rPr>
          <w:rFonts w:ascii="Times New Roman" w:hAnsi="Times New Roman" w:cs="Times New Roman"/>
          <w:sz w:val="22"/>
          <w:szCs w:val="22"/>
          <w:lang w:val="sk-SK"/>
        </w:rPr>
        <w:t>jedincov</w:t>
      </w:r>
      <w:r w:rsidR="00B967F6" w:rsidRPr="00CC458C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72CED875" w14:textId="77777777" w:rsidR="00B967F6" w:rsidRPr="00CC458C" w:rsidRDefault="00B967F6" w:rsidP="00A562EF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0452EAD5" w14:textId="77777777" w:rsidR="00B967F6" w:rsidRPr="00CC458C" w:rsidRDefault="00B967F6" w:rsidP="00CC458C">
      <w:pPr>
        <w:keepNext/>
        <w:tabs>
          <w:tab w:val="left" w:pos="567"/>
        </w:tabs>
        <w:outlineLvl w:val="3"/>
        <w:rPr>
          <w:rFonts w:ascii="Times New Roman" w:hAnsi="Times New Roman" w:cs="Times New Roman"/>
          <w:b/>
          <w:bCs w:val="0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b/>
          <w:bCs w:val="0"/>
          <w:sz w:val="22"/>
          <w:szCs w:val="22"/>
          <w:lang w:val="sk-SK"/>
        </w:rPr>
        <w:t>5.3</w:t>
      </w:r>
      <w:r w:rsidRPr="00CC458C">
        <w:rPr>
          <w:rFonts w:ascii="Times New Roman" w:hAnsi="Times New Roman" w:cs="Times New Roman"/>
          <w:b/>
          <w:bCs w:val="0"/>
          <w:sz w:val="22"/>
          <w:szCs w:val="22"/>
          <w:lang w:val="sk-SK"/>
        </w:rPr>
        <w:tab/>
        <w:t>Predklinické údaje o bezpečnosti</w:t>
      </w:r>
    </w:p>
    <w:p w14:paraId="7C079743" w14:textId="77777777" w:rsidR="00B967F6" w:rsidRPr="00CC458C" w:rsidRDefault="00B967F6" w:rsidP="009E09D0">
      <w:pPr>
        <w:keepNext/>
        <w:rPr>
          <w:rFonts w:ascii="Times New Roman" w:hAnsi="Times New Roman" w:cs="Times New Roman"/>
          <w:sz w:val="22"/>
          <w:szCs w:val="22"/>
          <w:lang w:val="sk-SK"/>
        </w:rPr>
      </w:pPr>
    </w:p>
    <w:p w14:paraId="4A42D3C9" w14:textId="77777777" w:rsidR="00B967F6" w:rsidRPr="00CC458C" w:rsidRDefault="00B967F6" w:rsidP="00A562EF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V predklinických štúdiách sa zistilo, že toxikologický profil meloxikamu je rovnaký ako v prípade iných </w:t>
      </w:r>
      <w:r w:rsidR="00D91346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nesteroidových 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antiflogistík: gastrointestinálne ulcerácie </w:t>
      </w:r>
      <w:r w:rsidR="00EE65BE" w:rsidRPr="00CC458C">
        <w:rPr>
          <w:rFonts w:ascii="Times New Roman" w:hAnsi="Times New Roman" w:cs="Times New Roman"/>
          <w:sz w:val="22"/>
          <w:szCs w:val="22"/>
          <w:lang w:val="sk-SK"/>
        </w:rPr>
        <w:t>a 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erózie, renálna papilárna nekróza </w:t>
      </w:r>
      <w:r w:rsidR="00EE65BE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po 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chronickom podávaní vysokých dávok dvom zvieracím druhom.</w:t>
      </w:r>
    </w:p>
    <w:p w14:paraId="00C395F9" w14:textId="77777777" w:rsidR="00B967F6" w:rsidRPr="00CC458C" w:rsidRDefault="00B967F6" w:rsidP="00A562EF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6A5D1DAA" w14:textId="77777777" w:rsidR="00B967F6" w:rsidRPr="00CC458C" w:rsidRDefault="00B967F6" w:rsidP="00A562EF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lang w:val="sk-SK"/>
        </w:rPr>
        <w:t>Reprodukčné štúdie s meloxikamom podávaným perorálne potkano</w:t>
      </w:r>
      <w:r w:rsidR="00EE65BE" w:rsidRPr="00CC458C">
        <w:rPr>
          <w:rFonts w:ascii="Times New Roman" w:hAnsi="Times New Roman" w:cs="Times New Roman"/>
          <w:sz w:val="22"/>
          <w:szCs w:val="22"/>
          <w:lang w:val="sk-SK"/>
        </w:rPr>
        <w:t>m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ukázali zníženie ovulácie, inhibíciu implantácie a embryotoxické účinky (zvýšenie resorpcie) pri </w:t>
      </w:r>
      <w:r w:rsidR="00EE65BE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maternotoxickej dávke 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sym w:font="Symbol" w:char="F0B3"/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 1 mg/kg. Štúdie reprodukčnej toxicity </w:t>
      </w:r>
      <w:r w:rsidR="00EE65BE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na potkanoch 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a </w:t>
      </w:r>
      <w:r w:rsidR="00EE65BE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zajacoch 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nepreukázali teratogenicitu </w:t>
      </w:r>
      <w:r w:rsidR="00EE65BE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pri 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perorálnych dávkach až do 4 mg/kg u potkanov a 80 mg/kg </w:t>
      </w:r>
      <w:r w:rsidR="00EE65BE" w:rsidRPr="00CC458C">
        <w:rPr>
          <w:rFonts w:ascii="Times New Roman" w:hAnsi="Times New Roman" w:cs="Times New Roman"/>
          <w:sz w:val="22"/>
          <w:szCs w:val="22"/>
          <w:lang w:val="sk-SK"/>
        </w:rPr>
        <w:t>u 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zajacov.</w:t>
      </w:r>
    </w:p>
    <w:p w14:paraId="1147E30C" w14:textId="77777777" w:rsidR="00B967F6" w:rsidRPr="00CC458C" w:rsidRDefault="00B967F6" w:rsidP="00A562EF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0DDDEB99" w14:textId="77777777" w:rsidR="00B967F6" w:rsidRPr="00CC458C" w:rsidRDefault="00B967F6" w:rsidP="00A562EF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lang w:val="sk-SK"/>
        </w:rPr>
        <w:t>Uvedené dávky boli 10</w:t>
      </w:r>
      <w:r w:rsidR="00FA0CE7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až 5</w:t>
      </w:r>
      <w:r w:rsidR="00EE65BE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x vyššie (na základe mg/kg), ako sú klinické dávky (7,5</w:t>
      </w:r>
      <w:r w:rsidR="005F0654" w:rsidRPr="00CC458C">
        <w:rPr>
          <w:rFonts w:ascii="Times New Roman" w:hAnsi="Times New Roman" w:cs="Times New Roman"/>
          <w:sz w:val="22"/>
          <w:szCs w:val="22"/>
          <w:lang w:val="sk-SK"/>
        </w:rPr>
        <w:t> – 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15 mg u 75 kg človeka). Po meloxikame sa opísali rovnaké fetotoxické účinky na konci gestačného obdobia ako po všetkých inhibítoroch syntézy prostaglandínov. V štúdiách </w:t>
      </w:r>
      <w:r w:rsidRPr="00CC458C">
        <w:rPr>
          <w:rFonts w:ascii="Times New Roman" w:hAnsi="Times New Roman" w:cs="Times New Roman"/>
          <w:i/>
          <w:iCs/>
          <w:sz w:val="22"/>
          <w:szCs w:val="22"/>
          <w:lang w:val="sk-SK"/>
        </w:rPr>
        <w:t>in vivo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EE65BE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alebo </w:t>
      </w:r>
      <w:r w:rsidRPr="00CC458C">
        <w:rPr>
          <w:rFonts w:ascii="Times New Roman" w:hAnsi="Times New Roman" w:cs="Times New Roman"/>
          <w:i/>
          <w:iCs/>
          <w:sz w:val="22"/>
          <w:szCs w:val="22"/>
          <w:lang w:val="sk-SK"/>
        </w:rPr>
        <w:t>in vitro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sa nezistili žiadne mutagénne účinky meloxikamu. V štúdiách na myšiach a potkanoch sa nepozorovalo žiadne karcinogénne riziko meloxikamu pri podávaní dávok oveľa vyšších, ako sú klinické dávky.</w:t>
      </w:r>
    </w:p>
    <w:p w14:paraId="15A414D1" w14:textId="77777777" w:rsidR="00B967F6" w:rsidRPr="00CC458C" w:rsidRDefault="00B967F6" w:rsidP="00A562EF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52BF4D4C" w14:textId="77777777" w:rsidR="00B967F6" w:rsidRPr="00CC458C" w:rsidRDefault="00B967F6" w:rsidP="00A562EF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10053F5E" w14:textId="77777777" w:rsidR="00B967F6" w:rsidRPr="00CC458C" w:rsidRDefault="00B967F6" w:rsidP="00CC458C">
      <w:pPr>
        <w:keepNext/>
        <w:tabs>
          <w:tab w:val="left" w:pos="567"/>
        </w:tabs>
        <w:outlineLvl w:val="3"/>
        <w:rPr>
          <w:rFonts w:ascii="Times New Roman" w:hAnsi="Times New Roman" w:cs="Times New Roman"/>
          <w:b/>
          <w:bCs w:val="0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b/>
          <w:bCs w:val="0"/>
          <w:sz w:val="22"/>
          <w:szCs w:val="22"/>
          <w:lang w:val="sk-SK"/>
        </w:rPr>
        <w:t>6.</w:t>
      </w:r>
      <w:r w:rsidRPr="00CC458C">
        <w:rPr>
          <w:rFonts w:ascii="Times New Roman" w:hAnsi="Times New Roman" w:cs="Times New Roman"/>
          <w:b/>
          <w:bCs w:val="0"/>
          <w:sz w:val="22"/>
          <w:szCs w:val="22"/>
          <w:lang w:val="sk-SK"/>
        </w:rPr>
        <w:tab/>
        <w:t>FARMACEUTICKÉ INFORMÁCIE</w:t>
      </w:r>
    </w:p>
    <w:p w14:paraId="345CBC0F" w14:textId="77777777" w:rsidR="00B967F6" w:rsidRPr="00CC458C" w:rsidRDefault="00B967F6" w:rsidP="009E09D0">
      <w:pPr>
        <w:keepNext/>
        <w:rPr>
          <w:rFonts w:ascii="Times New Roman" w:hAnsi="Times New Roman" w:cs="Times New Roman"/>
          <w:sz w:val="22"/>
          <w:szCs w:val="22"/>
          <w:lang w:val="sk-SK"/>
        </w:rPr>
      </w:pPr>
    </w:p>
    <w:p w14:paraId="64A76D27" w14:textId="77777777" w:rsidR="00B967F6" w:rsidRPr="00CC458C" w:rsidRDefault="00B967F6" w:rsidP="00CC458C">
      <w:pPr>
        <w:keepNext/>
        <w:tabs>
          <w:tab w:val="left" w:pos="567"/>
        </w:tabs>
        <w:outlineLvl w:val="3"/>
        <w:rPr>
          <w:rFonts w:ascii="Times New Roman" w:hAnsi="Times New Roman" w:cs="Times New Roman"/>
          <w:b/>
          <w:bCs w:val="0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b/>
          <w:bCs w:val="0"/>
          <w:sz w:val="22"/>
          <w:szCs w:val="22"/>
          <w:lang w:val="sk-SK"/>
        </w:rPr>
        <w:t>6.1</w:t>
      </w:r>
      <w:r w:rsidRPr="00CC458C">
        <w:rPr>
          <w:rFonts w:ascii="Times New Roman" w:hAnsi="Times New Roman" w:cs="Times New Roman"/>
          <w:b/>
          <w:bCs w:val="0"/>
          <w:sz w:val="22"/>
          <w:szCs w:val="22"/>
          <w:lang w:val="sk-SK"/>
        </w:rPr>
        <w:tab/>
        <w:t>Zoznam pomocných látok</w:t>
      </w:r>
    </w:p>
    <w:p w14:paraId="06136BFB" w14:textId="77777777" w:rsidR="00B967F6" w:rsidRPr="00CC458C" w:rsidRDefault="00B967F6" w:rsidP="009E09D0">
      <w:pPr>
        <w:keepNext/>
        <w:rPr>
          <w:rFonts w:ascii="Times New Roman" w:hAnsi="Times New Roman" w:cs="Times New Roman"/>
          <w:sz w:val="22"/>
          <w:szCs w:val="22"/>
          <w:lang w:val="sk-SK"/>
        </w:rPr>
      </w:pPr>
    </w:p>
    <w:p w14:paraId="3222247F" w14:textId="77777777" w:rsidR="00B967F6" w:rsidRPr="00CC458C" w:rsidRDefault="00005F6E" w:rsidP="00A562EF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lang w:val="sk-SK"/>
        </w:rPr>
        <w:t>m</w:t>
      </w:r>
      <w:r w:rsidR="00B967F6" w:rsidRPr="00CC458C">
        <w:rPr>
          <w:rFonts w:ascii="Times New Roman" w:hAnsi="Times New Roman" w:cs="Times New Roman"/>
          <w:sz w:val="22"/>
          <w:szCs w:val="22"/>
          <w:lang w:val="sk-SK"/>
        </w:rPr>
        <w:t>ikrokryštalická celulóza</w:t>
      </w:r>
    </w:p>
    <w:p w14:paraId="62DEEB56" w14:textId="4599B346" w:rsidR="00B967F6" w:rsidRPr="00CC458C" w:rsidRDefault="00005F6E" w:rsidP="00A562EF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lang w:val="sk-SK"/>
        </w:rPr>
        <w:lastRenderedPageBreak/>
        <w:t>p</w:t>
      </w:r>
      <w:r w:rsidR="00611E7E" w:rsidRPr="00CC458C">
        <w:rPr>
          <w:rFonts w:ascii="Times New Roman" w:hAnsi="Times New Roman" w:cs="Times New Roman"/>
          <w:sz w:val="22"/>
          <w:szCs w:val="22"/>
          <w:lang w:val="sk-SK"/>
        </w:rPr>
        <w:t>redželatíno</w:t>
      </w:r>
      <w:r w:rsidR="00CC458C">
        <w:rPr>
          <w:rFonts w:ascii="Times New Roman" w:hAnsi="Times New Roman" w:cs="Times New Roman"/>
          <w:sz w:val="22"/>
          <w:szCs w:val="22"/>
          <w:lang w:val="sk-SK"/>
        </w:rPr>
        <w:t>van</w:t>
      </w:r>
      <w:r w:rsidR="00611E7E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ý </w:t>
      </w:r>
      <w:r w:rsidR="00E23FEF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kukuričný </w:t>
      </w:r>
      <w:r w:rsidR="00B967F6" w:rsidRPr="00CC458C">
        <w:rPr>
          <w:rFonts w:ascii="Times New Roman" w:hAnsi="Times New Roman" w:cs="Times New Roman"/>
          <w:sz w:val="22"/>
          <w:szCs w:val="22"/>
          <w:lang w:val="sk-SK"/>
        </w:rPr>
        <w:t>škrob</w:t>
      </w:r>
    </w:p>
    <w:p w14:paraId="35CAE041" w14:textId="77777777" w:rsidR="00D54AE5" w:rsidRPr="00CC458C" w:rsidRDefault="00A97BB1" w:rsidP="00A562EF">
      <w:pPr>
        <w:rPr>
          <w:rFonts w:ascii="Times New Roman" w:hAnsi="Times New Roman" w:cs="Times New Roman"/>
          <w:sz w:val="22"/>
          <w:szCs w:val="22"/>
        </w:rPr>
      </w:pPr>
      <w:r w:rsidRPr="00CC458C">
        <w:rPr>
          <w:rFonts w:ascii="Times New Roman" w:hAnsi="Times New Roman" w:cs="Times New Roman"/>
          <w:sz w:val="22"/>
          <w:szCs w:val="22"/>
        </w:rPr>
        <w:t>laktóza, monohydrát</w:t>
      </w:r>
    </w:p>
    <w:p w14:paraId="4EF483B0" w14:textId="77777777" w:rsidR="00B967F6" w:rsidRPr="00CC458C" w:rsidRDefault="00005F6E" w:rsidP="00A562EF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lang w:val="sk-SK"/>
        </w:rPr>
        <w:t>k</w:t>
      </w:r>
      <w:r w:rsidR="00B967F6" w:rsidRPr="00CC458C">
        <w:rPr>
          <w:rFonts w:ascii="Times New Roman" w:hAnsi="Times New Roman" w:cs="Times New Roman"/>
          <w:sz w:val="22"/>
          <w:szCs w:val="22"/>
          <w:lang w:val="sk-SK"/>
        </w:rPr>
        <w:t>ukuričný škrob</w:t>
      </w:r>
    </w:p>
    <w:p w14:paraId="156CDCB1" w14:textId="77777777" w:rsidR="00B967F6" w:rsidRPr="00CC458C" w:rsidRDefault="00005F6E" w:rsidP="00A562EF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lang w:val="sk-SK"/>
        </w:rPr>
        <w:t>c</w:t>
      </w:r>
      <w:r w:rsidR="00B967F6" w:rsidRPr="00CC458C">
        <w:rPr>
          <w:rFonts w:ascii="Times New Roman" w:hAnsi="Times New Roman" w:cs="Times New Roman"/>
          <w:sz w:val="22"/>
          <w:szCs w:val="22"/>
          <w:lang w:val="sk-SK"/>
        </w:rPr>
        <w:t>itrónan sodný</w:t>
      </w:r>
    </w:p>
    <w:p w14:paraId="0C5B3F68" w14:textId="77777777" w:rsidR="00B967F6" w:rsidRPr="00CC458C" w:rsidRDefault="00005F6E" w:rsidP="00A562EF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lang w:val="sk-SK"/>
        </w:rPr>
        <w:t>k</w:t>
      </w:r>
      <w:r w:rsidR="00B967F6" w:rsidRPr="00CC458C">
        <w:rPr>
          <w:rFonts w:ascii="Times New Roman" w:hAnsi="Times New Roman" w:cs="Times New Roman"/>
          <w:sz w:val="22"/>
          <w:szCs w:val="22"/>
          <w:lang w:val="sk-SK"/>
        </w:rPr>
        <w:t>oloidný oxid kremičitý</w:t>
      </w:r>
    </w:p>
    <w:p w14:paraId="38D397BA" w14:textId="17A24D21" w:rsidR="00B967F6" w:rsidRDefault="00A97BB1" w:rsidP="00A562EF">
      <w:pPr>
        <w:rPr>
          <w:rFonts w:ascii="Times New Roman" w:hAnsi="Times New Roman" w:cs="Times New Roman"/>
          <w:sz w:val="22"/>
          <w:szCs w:val="22"/>
        </w:rPr>
      </w:pPr>
      <w:r w:rsidRPr="00CC458C">
        <w:rPr>
          <w:rFonts w:ascii="Times New Roman" w:hAnsi="Times New Roman" w:cs="Times New Roman"/>
          <w:sz w:val="22"/>
          <w:szCs w:val="22"/>
        </w:rPr>
        <w:t>stearan horečnatý</w:t>
      </w:r>
    </w:p>
    <w:p w14:paraId="347F6144" w14:textId="77777777" w:rsidR="00CC458C" w:rsidRPr="00CC458C" w:rsidRDefault="00CC458C" w:rsidP="00A562EF">
      <w:pPr>
        <w:rPr>
          <w:rFonts w:ascii="Times New Roman" w:hAnsi="Times New Roman" w:cs="Times New Roman"/>
          <w:sz w:val="22"/>
          <w:szCs w:val="22"/>
          <w:lang w:val="sk-SK"/>
        </w:rPr>
      </w:pPr>
      <w:bookmarkStart w:id="0" w:name="_GoBack"/>
      <w:bookmarkEnd w:id="0"/>
    </w:p>
    <w:p w14:paraId="287095D6" w14:textId="77777777" w:rsidR="00B967F6" w:rsidRPr="00CC458C" w:rsidRDefault="00B967F6" w:rsidP="00CC458C">
      <w:pPr>
        <w:keepNext/>
        <w:tabs>
          <w:tab w:val="left" w:pos="567"/>
        </w:tabs>
        <w:outlineLvl w:val="3"/>
        <w:rPr>
          <w:rFonts w:ascii="Times New Roman" w:hAnsi="Times New Roman" w:cs="Times New Roman"/>
          <w:b/>
          <w:bCs w:val="0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b/>
          <w:bCs w:val="0"/>
          <w:sz w:val="22"/>
          <w:szCs w:val="22"/>
          <w:lang w:val="sk-SK"/>
        </w:rPr>
        <w:t>6.2</w:t>
      </w:r>
      <w:r w:rsidRPr="00CC458C">
        <w:rPr>
          <w:rFonts w:ascii="Times New Roman" w:hAnsi="Times New Roman" w:cs="Times New Roman"/>
          <w:b/>
          <w:bCs w:val="0"/>
          <w:sz w:val="22"/>
          <w:szCs w:val="22"/>
          <w:lang w:val="sk-SK"/>
        </w:rPr>
        <w:tab/>
        <w:t>Inkompatibility</w:t>
      </w:r>
    </w:p>
    <w:p w14:paraId="0230EF5D" w14:textId="77777777" w:rsidR="00B967F6" w:rsidRPr="00CC458C" w:rsidRDefault="00B967F6" w:rsidP="009E09D0">
      <w:pPr>
        <w:keepNext/>
        <w:rPr>
          <w:rFonts w:ascii="Times New Roman" w:hAnsi="Times New Roman" w:cs="Times New Roman"/>
          <w:sz w:val="22"/>
          <w:szCs w:val="22"/>
          <w:lang w:val="sk-SK"/>
        </w:rPr>
      </w:pPr>
    </w:p>
    <w:p w14:paraId="2A5B743D" w14:textId="77777777" w:rsidR="00B967F6" w:rsidRPr="00CC458C" w:rsidRDefault="00B967F6" w:rsidP="00A562EF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lang w:val="sk-SK"/>
        </w:rPr>
        <w:t>Neaplikovateľné.</w:t>
      </w:r>
    </w:p>
    <w:p w14:paraId="11871D82" w14:textId="77777777" w:rsidR="00B967F6" w:rsidRPr="00CC458C" w:rsidRDefault="00B967F6" w:rsidP="00A562EF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0783CA70" w14:textId="77777777" w:rsidR="00B967F6" w:rsidRPr="00CC458C" w:rsidRDefault="00B967F6" w:rsidP="00CC458C">
      <w:pPr>
        <w:keepNext/>
        <w:tabs>
          <w:tab w:val="left" w:pos="567"/>
        </w:tabs>
        <w:outlineLvl w:val="3"/>
        <w:rPr>
          <w:rFonts w:ascii="Times New Roman" w:hAnsi="Times New Roman" w:cs="Times New Roman"/>
          <w:b/>
          <w:bCs w:val="0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b/>
          <w:bCs w:val="0"/>
          <w:sz w:val="22"/>
          <w:szCs w:val="22"/>
          <w:lang w:val="sk-SK"/>
        </w:rPr>
        <w:t>6.3</w:t>
      </w:r>
      <w:r w:rsidRPr="00CC458C">
        <w:rPr>
          <w:rFonts w:ascii="Times New Roman" w:hAnsi="Times New Roman" w:cs="Times New Roman"/>
          <w:b/>
          <w:bCs w:val="0"/>
          <w:sz w:val="22"/>
          <w:szCs w:val="22"/>
          <w:lang w:val="sk-SK"/>
        </w:rPr>
        <w:tab/>
        <w:t>Čas použiteľnosti</w:t>
      </w:r>
    </w:p>
    <w:p w14:paraId="65F9E5BB" w14:textId="77777777" w:rsidR="00B967F6" w:rsidRPr="00CC458C" w:rsidRDefault="00B967F6" w:rsidP="009E09D0">
      <w:pPr>
        <w:keepNext/>
        <w:rPr>
          <w:rFonts w:ascii="Times New Roman" w:hAnsi="Times New Roman" w:cs="Times New Roman"/>
          <w:sz w:val="22"/>
          <w:szCs w:val="22"/>
          <w:lang w:val="sk-SK"/>
        </w:rPr>
      </w:pPr>
    </w:p>
    <w:p w14:paraId="3EEF15DE" w14:textId="77777777" w:rsidR="00B967F6" w:rsidRPr="00CC458C" w:rsidRDefault="00B967F6" w:rsidP="00A562EF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lang w:val="sk-SK"/>
        </w:rPr>
        <w:t>3 roky</w:t>
      </w:r>
    </w:p>
    <w:p w14:paraId="7526C4CE" w14:textId="77777777" w:rsidR="00B967F6" w:rsidRPr="00CC458C" w:rsidRDefault="00B967F6" w:rsidP="00A562EF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6B5906E6" w14:textId="77777777" w:rsidR="00B967F6" w:rsidRPr="00CC458C" w:rsidRDefault="00B967F6" w:rsidP="00CC458C">
      <w:pPr>
        <w:keepNext/>
        <w:tabs>
          <w:tab w:val="left" w:pos="567"/>
        </w:tabs>
        <w:outlineLvl w:val="3"/>
        <w:rPr>
          <w:rFonts w:ascii="Times New Roman" w:hAnsi="Times New Roman" w:cs="Times New Roman"/>
          <w:b/>
          <w:bCs w:val="0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b/>
          <w:bCs w:val="0"/>
          <w:sz w:val="22"/>
          <w:szCs w:val="22"/>
          <w:lang w:val="sk-SK"/>
        </w:rPr>
        <w:t>6.4</w:t>
      </w:r>
      <w:r w:rsidRPr="00CC458C">
        <w:rPr>
          <w:rFonts w:ascii="Times New Roman" w:hAnsi="Times New Roman" w:cs="Times New Roman"/>
          <w:b/>
          <w:bCs w:val="0"/>
          <w:sz w:val="22"/>
          <w:szCs w:val="22"/>
          <w:lang w:val="sk-SK"/>
        </w:rPr>
        <w:tab/>
        <w:t>Špeciálne upozornenia na uchovávanie</w:t>
      </w:r>
    </w:p>
    <w:p w14:paraId="516A8D54" w14:textId="77777777" w:rsidR="00B967F6" w:rsidRPr="00CC458C" w:rsidRDefault="00B967F6" w:rsidP="009E09D0">
      <w:pPr>
        <w:keepNext/>
        <w:rPr>
          <w:rFonts w:ascii="Times New Roman" w:hAnsi="Times New Roman" w:cs="Times New Roman"/>
          <w:sz w:val="22"/>
          <w:szCs w:val="22"/>
          <w:lang w:val="sk-SK"/>
        </w:rPr>
      </w:pPr>
    </w:p>
    <w:p w14:paraId="7FBCBF61" w14:textId="79859822" w:rsidR="00B967F6" w:rsidRPr="00CC458C" w:rsidRDefault="006E189C" w:rsidP="00A562EF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noProof/>
          <w:sz w:val="22"/>
          <w:szCs w:val="22"/>
        </w:rPr>
        <w:t>Tento liek nevyžaduje žiadne zvláštne podmienky na uchovávanie.</w:t>
      </w:r>
    </w:p>
    <w:p w14:paraId="0706F3B6" w14:textId="77777777" w:rsidR="00B967F6" w:rsidRPr="00CC458C" w:rsidRDefault="00B967F6" w:rsidP="00A562EF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30C0502E" w14:textId="77777777" w:rsidR="00B967F6" w:rsidRPr="00CC458C" w:rsidRDefault="00B967F6" w:rsidP="00CC458C">
      <w:pPr>
        <w:keepNext/>
        <w:tabs>
          <w:tab w:val="left" w:pos="567"/>
        </w:tabs>
        <w:outlineLvl w:val="3"/>
        <w:rPr>
          <w:rFonts w:ascii="Times New Roman" w:hAnsi="Times New Roman" w:cs="Times New Roman"/>
          <w:b/>
          <w:bCs w:val="0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b/>
          <w:bCs w:val="0"/>
          <w:sz w:val="22"/>
          <w:szCs w:val="22"/>
          <w:lang w:val="sk-SK"/>
        </w:rPr>
        <w:t>6.5</w:t>
      </w:r>
      <w:r w:rsidRPr="00CC458C">
        <w:rPr>
          <w:rFonts w:ascii="Times New Roman" w:hAnsi="Times New Roman" w:cs="Times New Roman"/>
          <w:b/>
          <w:bCs w:val="0"/>
          <w:sz w:val="22"/>
          <w:szCs w:val="22"/>
          <w:lang w:val="sk-SK"/>
        </w:rPr>
        <w:tab/>
        <w:t>Druh obalu a obsah balenia</w:t>
      </w:r>
    </w:p>
    <w:p w14:paraId="5CD0BDFD" w14:textId="77777777" w:rsidR="00B967F6" w:rsidRPr="00CC458C" w:rsidRDefault="00B967F6" w:rsidP="009E09D0">
      <w:pPr>
        <w:keepNext/>
        <w:rPr>
          <w:rFonts w:ascii="Times New Roman" w:hAnsi="Times New Roman" w:cs="Times New Roman"/>
          <w:sz w:val="22"/>
          <w:szCs w:val="22"/>
          <w:lang w:val="sk-SK"/>
        </w:rPr>
      </w:pPr>
    </w:p>
    <w:p w14:paraId="4F15857A" w14:textId="77777777" w:rsidR="00B967F6" w:rsidRPr="00CC458C" w:rsidRDefault="00B967F6" w:rsidP="00A562EF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Blistre vyrobené z PVC/PVdC a vysoko temperovanej </w:t>
      </w:r>
      <w:r w:rsidR="00AB7B9D" w:rsidRPr="00CC458C">
        <w:rPr>
          <w:rFonts w:ascii="Times New Roman" w:hAnsi="Times New Roman" w:cs="Times New Roman"/>
          <w:sz w:val="22"/>
          <w:szCs w:val="22"/>
          <w:lang w:val="sk-SK"/>
        </w:rPr>
        <w:t>hliníkovej</w:t>
      </w:r>
      <w:r w:rsidR="00470750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fólie.</w:t>
      </w:r>
    </w:p>
    <w:p w14:paraId="07AE68C0" w14:textId="77777777" w:rsidR="00B967F6" w:rsidRPr="00CC458C" w:rsidRDefault="00B967F6" w:rsidP="00A562EF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lang w:val="sk-SK"/>
        </w:rPr>
        <w:t>Veľkosť balenia: 7, 10, 14, 15, 20, 28, 30, 50, 60, 100, 140, 280, 300, 500 alebo 1000 tabliet</w:t>
      </w:r>
      <w:r w:rsidR="00EE65BE" w:rsidRPr="00CC458C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48F52F8B" w14:textId="77777777" w:rsidR="00B967F6" w:rsidRPr="00CC458C" w:rsidRDefault="00B967F6" w:rsidP="00A562EF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012DBE44" w14:textId="77777777" w:rsidR="00B967F6" w:rsidRPr="00CC458C" w:rsidRDefault="001B7FB8" w:rsidP="00A562EF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lang w:val="sk-SK"/>
        </w:rPr>
        <w:t>Na trh nemusia byť uvedené</w:t>
      </w:r>
      <w:r w:rsidR="00B967F6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všetky veľkosti balenia.</w:t>
      </w:r>
    </w:p>
    <w:p w14:paraId="52E8F737" w14:textId="77777777" w:rsidR="00B967F6" w:rsidRPr="00CC458C" w:rsidRDefault="00B967F6" w:rsidP="00A562EF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4E60E1E1" w14:textId="77777777" w:rsidR="00B967F6" w:rsidRPr="00CC458C" w:rsidRDefault="00B967F6" w:rsidP="00CC458C">
      <w:pPr>
        <w:keepNext/>
        <w:tabs>
          <w:tab w:val="left" w:pos="567"/>
        </w:tabs>
        <w:outlineLvl w:val="3"/>
        <w:rPr>
          <w:rFonts w:ascii="Times New Roman" w:hAnsi="Times New Roman" w:cs="Times New Roman"/>
          <w:b/>
          <w:bCs w:val="0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b/>
          <w:bCs w:val="0"/>
          <w:sz w:val="22"/>
          <w:szCs w:val="22"/>
          <w:lang w:val="sk-SK"/>
        </w:rPr>
        <w:t>6.6</w:t>
      </w:r>
      <w:r w:rsidRPr="00CC458C">
        <w:rPr>
          <w:rFonts w:ascii="Times New Roman" w:hAnsi="Times New Roman" w:cs="Times New Roman"/>
          <w:b/>
          <w:bCs w:val="0"/>
          <w:sz w:val="22"/>
          <w:szCs w:val="22"/>
          <w:lang w:val="sk-SK"/>
        </w:rPr>
        <w:tab/>
        <w:t>Špeciálne opatrenia na likvidáciu</w:t>
      </w:r>
    </w:p>
    <w:p w14:paraId="75C6656D" w14:textId="77777777" w:rsidR="00B967F6" w:rsidRPr="00CC458C" w:rsidRDefault="00B967F6" w:rsidP="009E09D0">
      <w:pPr>
        <w:keepNext/>
        <w:rPr>
          <w:rFonts w:ascii="Times New Roman" w:hAnsi="Times New Roman" w:cs="Times New Roman"/>
          <w:sz w:val="22"/>
          <w:szCs w:val="22"/>
          <w:lang w:val="sk-SK"/>
        </w:rPr>
      </w:pPr>
    </w:p>
    <w:p w14:paraId="572E0DFE" w14:textId="77777777" w:rsidR="00B967F6" w:rsidRPr="00CC458C" w:rsidRDefault="00B967F6" w:rsidP="00A562EF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lang w:val="sk-SK"/>
        </w:rPr>
        <w:t>Žiadne zvláštne požiadavky.</w:t>
      </w:r>
    </w:p>
    <w:p w14:paraId="1CDBABCE" w14:textId="77777777" w:rsidR="00D34DAF" w:rsidRPr="00CC458C" w:rsidRDefault="00D34DAF" w:rsidP="00A562EF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325AD235" w14:textId="77777777" w:rsidR="00B967F6" w:rsidRPr="00CC458C" w:rsidRDefault="00B967F6" w:rsidP="00A562EF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613F02F5" w14:textId="77777777" w:rsidR="00B967F6" w:rsidRPr="00CC458C" w:rsidRDefault="00B967F6" w:rsidP="00CC458C">
      <w:pPr>
        <w:keepNext/>
        <w:tabs>
          <w:tab w:val="left" w:pos="567"/>
        </w:tabs>
        <w:outlineLvl w:val="3"/>
        <w:rPr>
          <w:rFonts w:ascii="Times New Roman" w:hAnsi="Times New Roman" w:cs="Times New Roman"/>
          <w:b/>
          <w:bCs w:val="0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b/>
          <w:bCs w:val="0"/>
          <w:sz w:val="22"/>
          <w:szCs w:val="22"/>
          <w:lang w:val="sk-SK"/>
        </w:rPr>
        <w:t>7.</w:t>
      </w:r>
      <w:r w:rsidRPr="00CC458C">
        <w:rPr>
          <w:rFonts w:ascii="Times New Roman" w:hAnsi="Times New Roman" w:cs="Times New Roman"/>
          <w:b/>
          <w:bCs w:val="0"/>
          <w:sz w:val="22"/>
          <w:szCs w:val="22"/>
          <w:lang w:val="sk-SK"/>
        </w:rPr>
        <w:tab/>
        <w:t>DRŽITEĽ ROZHODNUTIA O REGISTRÁCII</w:t>
      </w:r>
    </w:p>
    <w:p w14:paraId="49616AB0" w14:textId="77777777" w:rsidR="00B967F6" w:rsidRPr="00CC458C" w:rsidRDefault="00B967F6" w:rsidP="009E09D0">
      <w:pPr>
        <w:keepNext/>
        <w:rPr>
          <w:rFonts w:ascii="Times New Roman" w:hAnsi="Times New Roman" w:cs="Times New Roman"/>
          <w:sz w:val="22"/>
          <w:szCs w:val="22"/>
          <w:lang w:val="sk-SK"/>
        </w:rPr>
      </w:pPr>
    </w:p>
    <w:p w14:paraId="3946BB2E" w14:textId="77777777" w:rsidR="00532497" w:rsidRPr="00CC458C" w:rsidRDefault="00532497" w:rsidP="00532497">
      <w:pPr>
        <w:tabs>
          <w:tab w:val="left" w:pos="2198"/>
        </w:tabs>
        <w:rPr>
          <w:rFonts w:ascii="Times New Roman" w:hAnsi="Times New Roman" w:cs="Times New Roman"/>
          <w:noProof/>
          <w:sz w:val="22"/>
          <w:szCs w:val="22"/>
        </w:rPr>
      </w:pPr>
      <w:r w:rsidRPr="00CC458C">
        <w:rPr>
          <w:rFonts w:ascii="Times New Roman" w:hAnsi="Times New Roman" w:cs="Times New Roman"/>
          <w:noProof/>
          <w:sz w:val="22"/>
          <w:szCs w:val="22"/>
        </w:rPr>
        <w:t>Mylan Ireland Limited</w:t>
      </w:r>
    </w:p>
    <w:p w14:paraId="698793FF" w14:textId="28764B33" w:rsidR="00532497" w:rsidRPr="00CC458C" w:rsidRDefault="004509B6" w:rsidP="00532497">
      <w:pPr>
        <w:tabs>
          <w:tab w:val="left" w:pos="2198"/>
        </w:tabs>
        <w:rPr>
          <w:rFonts w:ascii="Times New Roman" w:hAnsi="Times New Roman" w:cs="Times New Roman"/>
          <w:noProof/>
          <w:sz w:val="22"/>
          <w:szCs w:val="22"/>
        </w:rPr>
      </w:pPr>
      <w:r w:rsidRPr="00CC458C">
        <w:rPr>
          <w:rFonts w:ascii="Times New Roman" w:hAnsi="Times New Roman" w:cs="Times New Roman"/>
          <w:noProof/>
          <w:sz w:val="22"/>
          <w:szCs w:val="22"/>
        </w:rPr>
        <w:t xml:space="preserve">Unit </w:t>
      </w:r>
      <w:r w:rsidR="00532497" w:rsidRPr="00CC458C">
        <w:rPr>
          <w:rFonts w:ascii="Times New Roman" w:hAnsi="Times New Roman" w:cs="Times New Roman"/>
          <w:noProof/>
          <w:sz w:val="22"/>
          <w:szCs w:val="22"/>
        </w:rPr>
        <w:t>35/36 Grange Parade</w:t>
      </w:r>
    </w:p>
    <w:p w14:paraId="114597FF" w14:textId="77777777" w:rsidR="00532497" w:rsidRPr="00CC458C" w:rsidRDefault="00532497" w:rsidP="00532497">
      <w:pPr>
        <w:tabs>
          <w:tab w:val="left" w:pos="2198"/>
        </w:tabs>
        <w:rPr>
          <w:rFonts w:ascii="Times New Roman" w:hAnsi="Times New Roman" w:cs="Times New Roman"/>
          <w:noProof/>
          <w:sz w:val="22"/>
          <w:szCs w:val="22"/>
        </w:rPr>
      </w:pPr>
      <w:r w:rsidRPr="00CC458C">
        <w:rPr>
          <w:rFonts w:ascii="Times New Roman" w:hAnsi="Times New Roman" w:cs="Times New Roman"/>
          <w:noProof/>
          <w:sz w:val="22"/>
          <w:szCs w:val="22"/>
        </w:rPr>
        <w:t>Baldoyle Industrial Estate</w:t>
      </w:r>
    </w:p>
    <w:p w14:paraId="35E4DCDE" w14:textId="77777777" w:rsidR="00532497" w:rsidRPr="00CC458C" w:rsidRDefault="00532497" w:rsidP="00532497">
      <w:pPr>
        <w:pStyle w:val="BodytextAgency"/>
        <w:spacing w:after="0"/>
        <w:rPr>
          <w:rFonts w:ascii="Times New Roman" w:hAnsi="Times New Roman"/>
          <w:sz w:val="22"/>
          <w:szCs w:val="22"/>
        </w:rPr>
      </w:pPr>
      <w:r w:rsidRPr="00CC458C">
        <w:rPr>
          <w:rFonts w:ascii="Times New Roman" w:hAnsi="Times New Roman"/>
          <w:noProof/>
          <w:sz w:val="22"/>
          <w:szCs w:val="22"/>
        </w:rPr>
        <w:t>Dublin 13, Írsko</w:t>
      </w:r>
    </w:p>
    <w:p w14:paraId="403E9632" w14:textId="77777777" w:rsidR="00B967F6" w:rsidRPr="00CC458C" w:rsidRDefault="00B967F6" w:rsidP="00A562EF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3C14C90B" w14:textId="77777777" w:rsidR="00B967F6" w:rsidRPr="00CC458C" w:rsidRDefault="00B967F6" w:rsidP="00A562EF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04716C6A" w14:textId="218A22A7" w:rsidR="00B967F6" w:rsidRPr="00CC458C" w:rsidRDefault="00B967F6" w:rsidP="00CC458C">
      <w:pPr>
        <w:keepNext/>
        <w:tabs>
          <w:tab w:val="left" w:pos="567"/>
        </w:tabs>
        <w:outlineLvl w:val="3"/>
        <w:rPr>
          <w:rFonts w:ascii="Times New Roman" w:hAnsi="Times New Roman" w:cs="Times New Roman"/>
          <w:b/>
          <w:bCs w:val="0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b/>
          <w:bCs w:val="0"/>
          <w:sz w:val="22"/>
          <w:szCs w:val="22"/>
          <w:lang w:val="sk-SK"/>
        </w:rPr>
        <w:t>8.</w:t>
      </w:r>
      <w:r w:rsidRPr="00CC458C">
        <w:rPr>
          <w:rFonts w:ascii="Times New Roman" w:hAnsi="Times New Roman" w:cs="Times New Roman"/>
          <w:b/>
          <w:bCs w:val="0"/>
          <w:sz w:val="22"/>
          <w:szCs w:val="22"/>
          <w:lang w:val="sk-SK"/>
        </w:rPr>
        <w:tab/>
        <w:t xml:space="preserve">REGISTRAČNÉ </w:t>
      </w:r>
      <w:r w:rsidR="00EE65BE" w:rsidRPr="00CC458C">
        <w:rPr>
          <w:rFonts w:ascii="Times New Roman" w:hAnsi="Times New Roman" w:cs="Times New Roman"/>
          <w:b/>
          <w:bCs w:val="0"/>
          <w:sz w:val="22"/>
          <w:szCs w:val="22"/>
          <w:lang w:val="sk-SK"/>
        </w:rPr>
        <w:t>ČÍSL</w:t>
      </w:r>
      <w:r w:rsidR="002250E5" w:rsidRPr="00CC458C">
        <w:rPr>
          <w:rFonts w:ascii="Times New Roman" w:hAnsi="Times New Roman" w:cs="Times New Roman"/>
          <w:b/>
          <w:bCs w:val="0"/>
          <w:sz w:val="22"/>
          <w:szCs w:val="22"/>
          <w:lang w:val="sk-SK"/>
        </w:rPr>
        <w:t>O</w:t>
      </w:r>
    </w:p>
    <w:p w14:paraId="0E58C194" w14:textId="77777777" w:rsidR="00B967F6" w:rsidRPr="00CC458C" w:rsidRDefault="00B967F6" w:rsidP="009E09D0">
      <w:pPr>
        <w:keepNext/>
        <w:rPr>
          <w:rFonts w:ascii="Times New Roman" w:hAnsi="Times New Roman" w:cs="Times New Roman"/>
          <w:sz w:val="22"/>
          <w:szCs w:val="22"/>
          <w:lang w:val="cs-CZ"/>
        </w:rPr>
      </w:pPr>
    </w:p>
    <w:p w14:paraId="6D5FE1AD" w14:textId="4261650D" w:rsidR="00B967F6" w:rsidRPr="00CC458C" w:rsidRDefault="00B967F6" w:rsidP="00A562EF">
      <w:pPr>
        <w:rPr>
          <w:rFonts w:ascii="Times New Roman" w:hAnsi="Times New Roman" w:cs="Times New Roman"/>
          <w:sz w:val="22"/>
          <w:szCs w:val="22"/>
          <w:lang w:val="cs-CZ"/>
        </w:rPr>
      </w:pPr>
      <w:r w:rsidRPr="00CC458C">
        <w:rPr>
          <w:rFonts w:ascii="Times New Roman" w:hAnsi="Times New Roman" w:cs="Times New Roman"/>
          <w:sz w:val="22"/>
          <w:szCs w:val="22"/>
          <w:lang w:val="cs-CZ"/>
        </w:rPr>
        <w:t>29/0398/05-S</w:t>
      </w:r>
    </w:p>
    <w:p w14:paraId="12619945" w14:textId="77777777" w:rsidR="00B967F6" w:rsidRPr="00CC458C" w:rsidRDefault="00B967F6" w:rsidP="00A562EF">
      <w:pPr>
        <w:rPr>
          <w:rFonts w:ascii="Times New Roman" w:hAnsi="Times New Roman" w:cs="Times New Roman"/>
          <w:sz w:val="22"/>
          <w:szCs w:val="22"/>
          <w:lang w:val="cs-CZ"/>
        </w:rPr>
      </w:pPr>
    </w:p>
    <w:p w14:paraId="4541A370" w14:textId="77777777" w:rsidR="00B967F6" w:rsidRPr="00CC458C" w:rsidRDefault="00B967F6" w:rsidP="00A562EF">
      <w:pPr>
        <w:rPr>
          <w:rFonts w:ascii="Times New Roman" w:hAnsi="Times New Roman" w:cs="Times New Roman"/>
          <w:sz w:val="22"/>
          <w:szCs w:val="22"/>
          <w:lang w:val="cs-CZ"/>
        </w:rPr>
      </w:pPr>
    </w:p>
    <w:p w14:paraId="0227E272" w14:textId="77777777" w:rsidR="00B967F6" w:rsidRPr="00CC458C" w:rsidRDefault="00B967F6" w:rsidP="00CC458C">
      <w:pPr>
        <w:keepNext/>
        <w:tabs>
          <w:tab w:val="left" w:pos="567"/>
        </w:tabs>
        <w:outlineLvl w:val="3"/>
        <w:rPr>
          <w:rFonts w:ascii="Times New Roman" w:hAnsi="Times New Roman" w:cs="Times New Roman"/>
          <w:b/>
          <w:bCs w:val="0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b/>
          <w:bCs w:val="0"/>
          <w:sz w:val="22"/>
          <w:szCs w:val="22"/>
          <w:lang w:val="sk-SK"/>
        </w:rPr>
        <w:t>9.</w:t>
      </w:r>
      <w:r w:rsidRPr="00CC458C">
        <w:rPr>
          <w:rFonts w:ascii="Times New Roman" w:hAnsi="Times New Roman" w:cs="Times New Roman"/>
          <w:b/>
          <w:bCs w:val="0"/>
          <w:sz w:val="22"/>
          <w:szCs w:val="22"/>
          <w:lang w:val="sk-SK"/>
        </w:rPr>
        <w:tab/>
        <w:t>DÁTUM PRVEJ REGISTRÁCIE/PREDĹŽENIA REGISTRÁCIE</w:t>
      </w:r>
    </w:p>
    <w:p w14:paraId="4F26F253" w14:textId="77777777" w:rsidR="00B967F6" w:rsidRPr="00CC458C" w:rsidRDefault="00B967F6" w:rsidP="009E09D0">
      <w:pPr>
        <w:keepNext/>
        <w:rPr>
          <w:rFonts w:ascii="Times New Roman" w:hAnsi="Times New Roman" w:cs="Times New Roman"/>
          <w:sz w:val="22"/>
          <w:szCs w:val="22"/>
          <w:lang w:val="sk-SK"/>
        </w:rPr>
      </w:pPr>
    </w:p>
    <w:p w14:paraId="242B3BDD" w14:textId="77777777" w:rsidR="001B7FB8" w:rsidRPr="00CC458C" w:rsidRDefault="001B7FB8" w:rsidP="00A562EF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lang w:val="sk-SK"/>
        </w:rPr>
        <w:t>Dátum prvej registrácie:</w:t>
      </w:r>
      <w:r w:rsidR="00C56675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9.</w:t>
      </w:r>
      <w:r w:rsidR="00EE65BE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C56675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novembra 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2005</w:t>
      </w:r>
    </w:p>
    <w:p w14:paraId="29A4525F" w14:textId="77777777" w:rsidR="00B967F6" w:rsidRPr="00CC458C" w:rsidRDefault="001B7FB8" w:rsidP="00A562EF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Dátum </w:t>
      </w:r>
      <w:r w:rsidR="00C56675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posledného 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predĺženia registrácie:</w:t>
      </w:r>
      <w:r w:rsidR="00C56675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23.</w:t>
      </w:r>
      <w:r w:rsidR="00EE65BE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C56675" w:rsidRPr="00CC458C">
        <w:rPr>
          <w:rFonts w:ascii="Times New Roman" w:hAnsi="Times New Roman" w:cs="Times New Roman"/>
          <w:sz w:val="22"/>
          <w:szCs w:val="22"/>
          <w:lang w:val="sk-SK"/>
        </w:rPr>
        <w:t xml:space="preserve">októbra </w:t>
      </w:r>
      <w:r w:rsidRPr="00CC458C">
        <w:rPr>
          <w:rFonts w:ascii="Times New Roman" w:hAnsi="Times New Roman" w:cs="Times New Roman"/>
          <w:sz w:val="22"/>
          <w:szCs w:val="22"/>
          <w:lang w:val="sk-SK"/>
        </w:rPr>
        <w:t>2009</w:t>
      </w:r>
    </w:p>
    <w:p w14:paraId="1FF8CC1F" w14:textId="77777777" w:rsidR="00B967F6" w:rsidRPr="00CC458C" w:rsidRDefault="00B967F6" w:rsidP="00A562EF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26BB9149" w14:textId="77777777" w:rsidR="00B967F6" w:rsidRPr="00CC458C" w:rsidRDefault="00B967F6" w:rsidP="00A562EF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04C17710" w14:textId="77777777" w:rsidR="00B967F6" w:rsidRPr="00CC458C" w:rsidRDefault="00B967F6" w:rsidP="00CC458C">
      <w:pPr>
        <w:keepNext/>
        <w:tabs>
          <w:tab w:val="left" w:pos="567"/>
        </w:tabs>
        <w:outlineLvl w:val="3"/>
        <w:rPr>
          <w:rFonts w:ascii="Times New Roman" w:hAnsi="Times New Roman" w:cs="Times New Roman"/>
          <w:b/>
          <w:bCs w:val="0"/>
          <w:sz w:val="22"/>
          <w:szCs w:val="22"/>
        </w:rPr>
      </w:pPr>
      <w:r w:rsidRPr="00CC458C">
        <w:rPr>
          <w:rFonts w:ascii="Times New Roman" w:hAnsi="Times New Roman" w:cs="Times New Roman"/>
          <w:b/>
          <w:bCs w:val="0"/>
          <w:sz w:val="22"/>
          <w:szCs w:val="22"/>
        </w:rPr>
        <w:t>10.</w:t>
      </w:r>
      <w:r w:rsidRPr="00CC458C">
        <w:rPr>
          <w:rFonts w:ascii="Times New Roman" w:hAnsi="Times New Roman" w:cs="Times New Roman"/>
          <w:b/>
          <w:bCs w:val="0"/>
          <w:sz w:val="22"/>
          <w:szCs w:val="22"/>
        </w:rPr>
        <w:tab/>
        <w:t>DÁTUM REVÍZIE TEXTU</w:t>
      </w:r>
    </w:p>
    <w:p w14:paraId="0D01569D" w14:textId="77777777" w:rsidR="00B967F6" w:rsidRPr="00CC458C" w:rsidRDefault="00B967F6" w:rsidP="009E09D0">
      <w:pPr>
        <w:keepNext/>
        <w:rPr>
          <w:rFonts w:ascii="Times New Roman" w:hAnsi="Times New Roman" w:cs="Times New Roman"/>
          <w:b/>
          <w:sz w:val="22"/>
          <w:szCs w:val="22"/>
          <w:lang w:val="sk-SK"/>
        </w:rPr>
      </w:pPr>
    </w:p>
    <w:p w14:paraId="0764888D" w14:textId="139D868C" w:rsidR="00B967F6" w:rsidRPr="00CC458C" w:rsidRDefault="00116767" w:rsidP="00A562EF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CC458C">
        <w:rPr>
          <w:rFonts w:ascii="Times New Roman" w:hAnsi="Times New Roman" w:cs="Times New Roman"/>
          <w:sz w:val="22"/>
          <w:szCs w:val="22"/>
          <w:lang w:val="sk-SK"/>
        </w:rPr>
        <w:t>10</w:t>
      </w:r>
      <w:r w:rsidR="00532497" w:rsidRPr="00CC458C">
        <w:rPr>
          <w:rFonts w:ascii="Times New Roman" w:hAnsi="Times New Roman" w:cs="Times New Roman"/>
          <w:sz w:val="22"/>
          <w:szCs w:val="22"/>
          <w:lang w:val="sk-SK"/>
        </w:rPr>
        <w:t>/2018</w:t>
      </w:r>
    </w:p>
    <w:sectPr w:rsidR="00B967F6" w:rsidRPr="00CC458C" w:rsidSect="009E09D0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91C1771" w15:done="0"/>
  <w15:commentEx w15:paraId="0B949A36" w15:done="0"/>
  <w15:commentEx w15:paraId="2EEE197C" w15:done="0"/>
  <w15:commentEx w15:paraId="62E16B9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466C16" w14:textId="77777777" w:rsidR="00D80577" w:rsidRDefault="00D80577">
      <w:r>
        <w:separator/>
      </w:r>
    </w:p>
  </w:endnote>
  <w:endnote w:type="continuationSeparator" w:id="0">
    <w:p w14:paraId="130582CB" w14:textId="77777777" w:rsidR="00D80577" w:rsidRDefault="00D80577">
      <w:r>
        <w:continuationSeparator/>
      </w:r>
    </w:p>
  </w:endnote>
  <w:endnote w:type="continuationNotice" w:id="1">
    <w:p w14:paraId="5DA6E864" w14:textId="77777777" w:rsidR="00D80577" w:rsidRDefault="00D805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6B6801" w14:textId="77777777" w:rsidR="00D80577" w:rsidRDefault="00D80577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681B1E0" w14:textId="77777777" w:rsidR="00D80577" w:rsidRDefault="00D80577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5DDE4A" w14:textId="1FA20654" w:rsidR="00D80577" w:rsidRPr="00DB72C9" w:rsidRDefault="00D80577">
    <w:pPr>
      <w:pStyle w:val="Pta"/>
      <w:framePr w:w="1198" w:h="321" w:hRule="exact" w:wrap="around" w:vAnchor="text" w:hAnchor="page" w:x="5621" w:y="-189"/>
      <w:rPr>
        <w:rStyle w:val="slostrany"/>
        <w:rFonts w:ascii="Times New Roman" w:hAnsi="Times New Roman" w:cs="Times New Roman"/>
        <w:sz w:val="18"/>
      </w:rPr>
    </w:pPr>
    <w:r w:rsidRPr="00DB72C9">
      <w:rPr>
        <w:rStyle w:val="slostrany"/>
        <w:rFonts w:ascii="Times New Roman" w:hAnsi="Times New Roman" w:cs="Times New Roman"/>
        <w:sz w:val="18"/>
      </w:rPr>
      <w:fldChar w:fldCharType="begin"/>
    </w:r>
    <w:r w:rsidRPr="00DB72C9">
      <w:rPr>
        <w:rStyle w:val="slostrany"/>
        <w:rFonts w:ascii="Times New Roman" w:hAnsi="Times New Roman" w:cs="Times New Roman"/>
        <w:sz w:val="18"/>
      </w:rPr>
      <w:instrText xml:space="preserve">PAGE  </w:instrText>
    </w:r>
    <w:r w:rsidRPr="00DB72C9">
      <w:rPr>
        <w:rStyle w:val="slostrany"/>
        <w:rFonts w:ascii="Times New Roman" w:hAnsi="Times New Roman" w:cs="Times New Roman"/>
        <w:sz w:val="18"/>
      </w:rPr>
      <w:fldChar w:fldCharType="separate"/>
    </w:r>
    <w:r w:rsidR="00CC458C">
      <w:rPr>
        <w:rStyle w:val="slostrany"/>
        <w:rFonts w:ascii="Times New Roman" w:hAnsi="Times New Roman" w:cs="Times New Roman"/>
        <w:noProof/>
        <w:sz w:val="18"/>
      </w:rPr>
      <w:t>13</w:t>
    </w:r>
    <w:r w:rsidRPr="00DB72C9">
      <w:rPr>
        <w:rStyle w:val="slostrany"/>
        <w:rFonts w:ascii="Times New Roman" w:hAnsi="Times New Roman" w:cs="Times New Roman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527780" w14:textId="77777777" w:rsidR="00D80577" w:rsidRPr="00DB72C9" w:rsidRDefault="00D80577">
    <w:pPr>
      <w:pStyle w:val="Pta"/>
      <w:jc w:val="center"/>
      <w:rPr>
        <w:rFonts w:ascii="Times New Roman" w:hAnsi="Times New Roman" w:cs="Times New Roman"/>
        <w:sz w:val="18"/>
        <w:szCs w:val="18"/>
      </w:rPr>
    </w:pPr>
    <w:r w:rsidRPr="00DB72C9">
      <w:rPr>
        <w:rFonts w:ascii="Times New Roman" w:hAnsi="Times New Roman" w:cs="Times New Roman"/>
        <w:bCs w:val="0"/>
        <w:sz w:val="18"/>
        <w:szCs w:val="18"/>
      </w:rPr>
      <w:fldChar w:fldCharType="begin"/>
    </w:r>
    <w:r w:rsidRPr="00DB72C9">
      <w:rPr>
        <w:rFonts w:ascii="Times New Roman" w:hAnsi="Times New Roman" w:cs="Times New Roman"/>
        <w:sz w:val="18"/>
        <w:szCs w:val="18"/>
      </w:rPr>
      <w:instrText>PAGE</w:instrText>
    </w:r>
    <w:r w:rsidRPr="00DB72C9">
      <w:rPr>
        <w:rFonts w:ascii="Times New Roman" w:hAnsi="Times New Roman" w:cs="Times New Roman"/>
        <w:bCs w:val="0"/>
        <w:sz w:val="18"/>
        <w:szCs w:val="18"/>
      </w:rPr>
      <w:fldChar w:fldCharType="separate"/>
    </w:r>
    <w:r>
      <w:rPr>
        <w:rFonts w:ascii="Times New Roman" w:hAnsi="Times New Roman" w:cs="Times New Roman"/>
        <w:noProof/>
        <w:sz w:val="18"/>
        <w:szCs w:val="18"/>
      </w:rPr>
      <w:t>1</w:t>
    </w:r>
    <w:r w:rsidRPr="00DB72C9">
      <w:rPr>
        <w:rFonts w:ascii="Times New Roman" w:hAnsi="Times New Roman" w:cs="Times New Roman"/>
        <w:bCs w:val="0"/>
        <w:sz w:val="18"/>
        <w:szCs w:val="18"/>
      </w:rPr>
      <w:fldChar w:fldCharType="end"/>
    </w:r>
  </w:p>
  <w:p w14:paraId="43BF31F5" w14:textId="77777777" w:rsidR="00D80577" w:rsidRDefault="00D8057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9AA6A3" w14:textId="77777777" w:rsidR="00D80577" w:rsidRDefault="00D80577">
      <w:r>
        <w:separator/>
      </w:r>
    </w:p>
  </w:footnote>
  <w:footnote w:type="continuationSeparator" w:id="0">
    <w:p w14:paraId="528B1B55" w14:textId="77777777" w:rsidR="00D80577" w:rsidRDefault="00D80577">
      <w:r>
        <w:continuationSeparator/>
      </w:r>
    </w:p>
  </w:footnote>
  <w:footnote w:type="continuationNotice" w:id="1">
    <w:p w14:paraId="68DBDE9F" w14:textId="77777777" w:rsidR="00D80577" w:rsidRDefault="00D8057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E4E51A" w14:textId="1D3F5213" w:rsidR="00D80577" w:rsidRPr="001D65D3" w:rsidRDefault="00D80577" w:rsidP="00243021">
    <w:pPr>
      <w:pStyle w:val="Hlavika"/>
      <w:rPr>
        <w:rFonts w:ascii="Times New Roman" w:hAnsi="Times New Roman"/>
        <w:sz w:val="18"/>
        <w:lang w:val="sk-SK"/>
      </w:rPr>
    </w:pPr>
    <w:r>
      <w:rPr>
        <w:rFonts w:ascii="Times New Roman" w:hAnsi="Times New Roman" w:cs="Times New Roman"/>
        <w:sz w:val="18"/>
        <w:szCs w:val="18"/>
        <w:lang w:val="sk-SK"/>
      </w:rPr>
      <w:t xml:space="preserve">Príloha č. 1 k notifikácii o zmene, ev. č.: </w:t>
    </w:r>
    <w:r w:rsidRPr="00C46F75">
      <w:rPr>
        <w:rFonts w:ascii="Times New Roman" w:hAnsi="Times New Roman" w:cs="Times New Roman"/>
        <w:sz w:val="18"/>
        <w:lang w:val="sk-SK"/>
      </w:rPr>
      <w:t>2017/03501-ZIB</w:t>
    </w:r>
  </w:p>
  <w:p w14:paraId="5AA27CA4" w14:textId="77777777" w:rsidR="00D80577" w:rsidRPr="009E09D0" w:rsidRDefault="00D80577">
    <w:pPr>
      <w:pStyle w:val="Hlavika"/>
      <w:rPr>
        <w:rFonts w:ascii="Times New Roman" w:hAnsi="Times New Roman"/>
        <w:sz w:val="18"/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81DBD"/>
    <w:multiLevelType w:val="hybridMultilevel"/>
    <w:tmpl w:val="D628608A"/>
    <w:lvl w:ilvl="0" w:tplc="551C654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EBE93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7D8D4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E2DB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00CD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D6422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94E2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6EE1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EA809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6F1ED0"/>
    <w:multiLevelType w:val="hybridMultilevel"/>
    <w:tmpl w:val="43105136"/>
    <w:lvl w:ilvl="0" w:tplc="C86A191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EC3AF4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4B089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F4BE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DCBB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3925C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2E87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2481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6B6B6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0F335E"/>
    <w:multiLevelType w:val="hybridMultilevel"/>
    <w:tmpl w:val="C166FD4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6F2291"/>
    <w:multiLevelType w:val="hybridMultilevel"/>
    <w:tmpl w:val="D256B134"/>
    <w:lvl w:ilvl="0" w:tplc="20BAEEDA">
      <w:start w:val="4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C122B6"/>
    <w:multiLevelType w:val="multilevel"/>
    <w:tmpl w:val="40BE3E08"/>
    <w:lvl w:ilvl="0">
      <w:start w:val="1"/>
      <w:numFmt w:val="decimal"/>
      <w:pStyle w:val="Nadpis1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1BE603FD"/>
    <w:multiLevelType w:val="hybridMultilevel"/>
    <w:tmpl w:val="84367FEC"/>
    <w:lvl w:ilvl="0" w:tplc="32542A28">
      <w:start w:val="1"/>
      <w:numFmt w:val="bullet"/>
      <w:lvlText w:val=""/>
      <w:lvlJc w:val="left"/>
      <w:pPr>
        <w:tabs>
          <w:tab w:val="num" w:pos="360"/>
        </w:tabs>
        <w:ind w:left="341" w:hanging="341"/>
      </w:pPr>
      <w:rPr>
        <w:rFonts w:ascii="Symbol" w:hAnsi="Symbol" w:hint="default"/>
      </w:rPr>
    </w:lvl>
    <w:lvl w:ilvl="1" w:tplc="CA8049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EAAA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DAC2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12BB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BDE91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96AA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622B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EDEC0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DCE04F0"/>
    <w:multiLevelType w:val="hybridMultilevel"/>
    <w:tmpl w:val="259664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4B6D91"/>
    <w:multiLevelType w:val="multilevel"/>
    <w:tmpl w:val="5FA0E9F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3CB52BB6"/>
    <w:multiLevelType w:val="hybridMultilevel"/>
    <w:tmpl w:val="254EAA16"/>
    <w:lvl w:ilvl="0" w:tplc="92F401D0">
      <w:start w:val="1"/>
      <w:numFmt w:val="bullet"/>
      <w:lvlText w:val=""/>
      <w:lvlJc w:val="left"/>
      <w:pPr>
        <w:tabs>
          <w:tab w:val="num" w:pos="360"/>
        </w:tabs>
        <w:ind w:left="341" w:hanging="341"/>
      </w:pPr>
      <w:rPr>
        <w:rFonts w:ascii="Symbol" w:hAnsi="Symbol" w:hint="default"/>
        <w:sz w:val="20"/>
      </w:rPr>
    </w:lvl>
    <w:lvl w:ilvl="1" w:tplc="E2A0C3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5404F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4E00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BA29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FF6A0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DEA5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BC07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5902D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E247736"/>
    <w:multiLevelType w:val="hybridMultilevel"/>
    <w:tmpl w:val="2910A9F4"/>
    <w:lvl w:ilvl="0" w:tplc="BDC0F486">
      <w:start w:val="1"/>
      <w:numFmt w:val="bullet"/>
      <w:lvlText w:val=""/>
      <w:lvlJc w:val="left"/>
      <w:pPr>
        <w:tabs>
          <w:tab w:val="num" w:pos="360"/>
        </w:tabs>
        <w:ind w:left="341" w:hanging="341"/>
      </w:pPr>
      <w:rPr>
        <w:rFonts w:ascii="Symbol" w:hAnsi="Symbol" w:hint="default"/>
        <w:sz w:val="20"/>
      </w:rPr>
    </w:lvl>
    <w:lvl w:ilvl="1" w:tplc="4AF878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F927E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788E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0AD7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CA39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C482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221A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4A4FF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8235BA0"/>
    <w:multiLevelType w:val="hybridMultilevel"/>
    <w:tmpl w:val="83362F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B5D2223"/>
    <w:multiLevelType w:val="hybridMultilevel"/>
    <w:tmpl w:val="AE2661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9"/>
  </w:num>
  <w:num w:numId="5">
    <w:abstractNumId w:val="8"/>
  </w:num>
  <w:num w:numId="6">
    <w:abstractNumId w:val="5"/>
  </w:num>
  <w:num w:numId="7">
    <w:abstractNumId w:val="7"/>
  </w:num>
  <w:num w:numId="8">
    <w:abstractNumId w:val="2"/>
  </w:num>
  <w:num w:numId="9">
    <w:abstractNumId w:val="3"/>
  </w:num>
  <w:num w:numId="10">
    <w:abstractNumId w:val="10"/>
  </w:num>
  <w:num w:numId="11">
    <w:abstractNumId w:val="11"/>
  </w:num>
  <w:num w:numId="12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va Sulejova">
    <w15:presenceInfo w15:providerId="AD" w15:userId="S-1-5-21-1074136629-4081378027-2755238289-3243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1678"/>
    <w:rsid w:val="00005AEF"/>
    <w:rsid w:val="00005F6E"/>
    <w:rsid w:val="00012BC1"/>
    <w:rsid w:val="00017389"/>
    <w:rsid w:val="000336E2"/>
    <w:rsid w:val="0003419E"/>
    <w:rsid w:val="00034A82"/>
    <w:rsid w:val="0004421E"/>
    <w:rsid w:val="000515F3"/>
    <w:rsid w:val="00060AD8"/>
    <w:rsid w:val="000640EB"/>
    <w:rsid w:val="000653C2"/>
    <w:rsid w:val="00083727"/>
    <w:rsid w:val="000901E4"/>
    <w:rsid w:val="000A51BF"/>
    <w:rsid w:val="000C632D"/>
    <w:rsid w:val="000E3C0A"/>
    <w:rsid w:val="000E3CF2"/>
    <w:rsid w:val="000E4141"/>
    <w:rsid w:val="000F247F"/>
    <w:rsid w:val="000F3B5C"/>
    <w:rsid w:val="000F4610"/>
    <w:rsid w:val="000F649D"/>
    <w:rsid w:val="000F65D3"/>
    <w:rsid w:val="000F733F"/>
    <w:rsid w:val="00111C0F"/>
    <w:rsid w:val="00114C77"/>
    <w:rsid w:val="00115997"/>
    <w:rsid w:val="00116767"/>
    <w:rsid w:val="00122317"/>
    <w:rsid w:val="001321C5"/>
    <w:rsid w:val="00136BBF"/>
    <w:rsid w:val="00143B20"/>
    <w:rsid w:val="00143C5C"/>
    <w:rsid w:val="00154464"/>
    <w:rsid w:val="00163CE1"/>
    <w:rsid w:val="00167941"/>
    <w:rsid w:val="00171FDC"/>
    <w:rsid w:val="001740AB"/>
    <w:rsid w:val="0017574F"/>
    <w:rsid w:val="00180329"/>
    <w:rsid w:val="001840EA"/>
    <w:rsid w:val="00197DC7"/>
    <w:rsid w:val="001A3F65"/>
    <w:rsid w:val="001A4C86"/>
    <w:rsid w:val="001A5C9D"/>
    <w:rsid w:val="001B2772"/>
    <w:rsid w:val="001B4DC5"/>
    <w:rsid w:val="001B7FB8"/>
    <w:rsid w:val="001C6C6D"/>
    <w:rsid w:val="001D1A1F"/>
    <w:rsid w:val="001D28A9"/>
    <w:rsid w:val="001D4314"/>
    <w:rsid w:val="001E61E9"/>
    <w:rsid w:val="001F3E18"/>
    <w:rsid w:val="001F4A52"/>
    <w:rsid w:val="00203910"/>
    <w:rsid w:val="002250E5"/>
    <w:rsid w:val="0023025C"/>
    <w:rsid w:val="00236D19"/>
    <w:rsid w:val="00241E08"/>
    <w:rsid w:val="00243021"/>
    <w:rsid w:val="002456AA"/>
    <w:rsid w:val="0024633C"/>
    <w:rsid w:val="00253EA8"/>
    <w:rsid w:val="00254DCB"/>
    <w:rsid w:val="00254E5B"/>
    <w:rsid w:val="002946E0"/>
    <w:rsid w:val="002950CC"/>
    <w:rsid w:val="002A3711"/>
    <w:rsid w:val="002A4B9E"/>
    <w:rsid w:val="002B5991"/>
    <w:rsid w:val="002B69EF"/>
    <w:rsid w:val="002C53BE"/>
    <w:rsid w:val="002C7F67"/>
    <w:rsid w:val="002D2DE3"/>
    <w:rsid w:val="002D5335"/>
    <w:rsid w:val="002E118B"/>
    <w:rsid w:val="002F3599"/>
    <w:rsid w:val="002F71D3"/>
    <w:rsid w:val="00300CC2"/>
    <w:rsid w:val="003070F4"/>
    <w:rsid w:val="00307B7F"/>
    <w:rsid w:val="003228D2"/>
    <w:rsid w:val="00333901"/>
    <w:rsid w:val="00334E5E"/>
    <w:rsid w:val="00351099"/>
    <w:rsid w:val="00360FB5"/>
    <w:rsid w:val="00367830"/>
    <w:rsid w:val="003742CF"/>
    <w:rsid w:val="00386E3F"/>
    <w:rsid w:val="00387432"/>
    <w:rsid w:val="003A05DF"/>
    <w:rsid w:val="003A0EC2"/>
    <w:rsid w:val="003A5137"/>
    <w:rsid w:val="003A5EAC"/>
    <w:rsid w:val="003B634F"/>
    <w:rsid w:val="003B6633"/>
    <w:rsid w:val="003D03EE"/>
    <w:rsid w:val="003D1F5D"/>
    <w:rsid w:val="003E229D"/>
    <w:rsid w:val="003E22FD"/>
    <w:rsid w:val="003F1BFA"/>
    <w:rsid w:val="003F3E6D"/>
    <w:rsid w:val="003F7F5E"/>
    <w:rsid w:val="0040611E"/>
    <w:rsid w:val="004103F0"/>
    <w:rsid w:val="004138EB"/>
    <w:rsid w:val="00413FA5"/>
    <w:rsid w:val="00424B65"/>
    <w:rsid w:val="004422A6"/>
    <w:rsid w:val="004509B6"/>
    <w:rsid w:val="00455301"/>
    <w:rsid w:val="00456DE3"/>
    <w:rsid w:val="00464882"/>
    <w:rsid w:val="004653F7"/>
    <w:rsid w:val="00470750"/>
    <w:rsid w:val="00474DF6"/>
    <w:rsid w:val="0048217F"/>
    <w:rsid w:val="00497D80"/>
    <w:rsid w:val="004A21E0"/>
    <w:rsid w:val="004A464A"/>
    <w:rsid w:val="004B3483"/>
    <w:rsid w:val="004B40FF"/>
    <w:rsid w:val="004D1F19"/>
    <w:rsid w:val="004F16BE"/>
    <w:rsid w:val="004F5E7D"/>
    <w:rsid w:val="004F74C0"/>
    <w:rsid w:val="00501D3F"/>
    <w:rsid w:val="005034AF"/>
    <w:rsid w:val="005240A4"/>
    <w:rsid w:val="0053195B"/>
    <w:rsid w:val="00532497"/>
    <w:rsid w:val="00533222"/>
    <w:rsid w:val="005425D4"/>
    <w:rsid w:val="00546B83"/>
    <w:rsid w:val="00551364"/>
    <w:rsid w:val="0056174B"/>
    <w:rsid w:val="00576138"/>
    <w:rsid w:val="005767A2"/>
    <w:rsid w:val="00577A74"/>
    <w:rsid w:val="00585606"/>
    <w:rsid w:val="005C0F8E"/>
    <w:rsid w:val="005C507D"/>
    <w:rsid w:val="005D171C"/>
    <w:rsid w:val="005F0654"/>
    <w:rsid w:val="005F1005"/>
    <w:rsid w:val="005F222F"/>
    <w:rsid w:val="005F51E6"/>
    <w:rsid w:val="00604813"/>
    <w:rsid w:val="006117F7"/>
    <w:rsid w:val="00611A80"/>
    <w:rsid w:val="00611E7E"/>
    <w:rsid w:val="00627DAF"/>
    <w:rsid w:val="00645B2A"/>
    <w:rsid w:val="006468BA"/>
    <w:rsid w:val="0066454B"/>
    <w:rsid w:val="00665C65"/>
    <w:rsid w:val="00674EB6"/>
    <w:rsid w:val="00687D33"/>
    <w:rsid w:val="006B6C42"/>
    <w:rsid w:val="006C6DAC"/>
    <w:rsid w:val="006C78A4"/>
    <w:rsid w:val="006E189C"/>
    <w:rsid w:val="006F6E8F"/>
    <w:rsid w:val="00703BAD"/>
    <w:rsid w:val="00707F34"/>
    <w:rsid w:val="00713450"/>
    <w:rsid w:val="0072107E"/>
    <w:rsid w:val="0072160F"/>
    <w:rsid w:val="007321A3"/>
    <w:rsid w:val="00734EC0"/>
    <w:rsid w:val="00734EF3"/>
    <w:rsid w:val="00745C34"/>
    <w:rsid w:val="00781889"/>
    <w:rsid w:val="00785503"/>
    <w:rsid w:val="007906C3"/>
    <w:rsid w:val="00792260"/>
    <w:rsid w:val="007929E4"/>
    <w:rsid w:val="007A01FD"/>
    <w:rsid w:val="007A4914"/>
    <w:rsid w:val="007A56AA"/>
    <w:rsid w:val="007B1C8F"/>
    <w:rsid w:val="007B7108"/>
    <w:rsid w:val="007C02BE"/>
    <w:rsid w:val="007C7366"/>
    <w:rsid w:val="007D430F"/>
    <w:rsid w:val="007D4D78"/>
    <w:rsid w:val="007E31D8"/>
    <w:rsid w:val="007E45A1"/>
    <w:rsid w:val="007F0D49"/>
    <w:rsid w:val="007F10CA"/>
    <w:rsid w:val="007F2318"/>
    <w:rsid w:val="007F3723"/>
    <w:rsid w:val="008051B9"/>
    <w:rsid w:val="00814E13"/>
    <w:rsid w:val="008304DC"/>
    <w:rsid w:val="00830946"/>
    <w:rsid w:val="0083373C"/>
    <w:rsid w:val="00841F3F"/>
    <w:rsid w:val="008703FA"/>
    <w:rsid w:val="00874E4F"/>
    <w:rsid w:val="00880F85"/>
    <w:rsid w:val="0088134A"/>
    <w:rsid w:val="008872AF"/>
    <w:rsid w:val="008960A4"/>
    <w:rsid w:val="008A1064"/>
    <w:rsid w:val="008C1C63"/>
    <w:rsid w:val="008C2B74"/>
    <w:rsid w:val="008C4E88"/>
    <w:rsid w:val="008D1EA2"/>
    <w:rsid w:val="008D5C77"/>
    <w:rsid w:val="008E3D87"/>
    <w:rsid w:val="008E4828"/>
    <w:rsid w:val="008E56FD"/>
    <w:rsid w:val="008E7426"/>
    <w:rsid w:val="008F03CD"/>
    <w:rsid w:val="008F0593"/>
    <w:rsid w:val="008F3D6C"/>
    <w:rsid w:val="00911971"/>
    <w:rsid w:val="009203FF"/>
    <w:rsid w:val="0092216E"/>
    <w:rsid w:val="009269F6"/>
    <w:rsid w:val="00951FC6"/>
    <w:rsid w:val="0096762B"/>
    <w:rsid w:val="0097109D"/>
    <w:rsid w:val="00990DFA"/>
    <w:rsid w:val="00990E18"/>
    <w:rsid w:val="00990F97"/>
    <w:rsid w:val="00995801"/>
    <w:rsid w:val="00997776"/>
    <w:rsid w:val="009A47A6"/>
    <w:rsid w:val="009A47D1"/>
    <w:rsid w:val="009B02B3"/>
    <w:rsid w:val="009B7965"/>
    <w:rsid w:val="009C63B9"/>
    <w:rsid w:val="009D62B8"/>
    <w:rsid w:val="009E09D0"/>
    <w:rsid w:val="009E55EA"/>
    <w:rsid w:val="009F5B85"/>
    <w:rsid w:val="009F6591"/>
    <w:rsid w:val="009F7E78"/>
    <w:rsid w:val="00A04651"/>
    <w:rsid w:val="00A0561B"/>
    <w:rsid w:val="00A106CC"/>
    <w:rsid w:val="00A12248"/>
    <w:rsid w:val="00A12B65"/>
    <w:rsid w:val="00A16E7B"/>
    <w:rsid w:val="00A212AD"/>
    <w:rsid w:val="00A2170C"/>
    <w:rsid w:val="00A26C45"/>
    <w:rsid w:val="00A26C9B"/>
    <w:rsid w:val="00A30D57"/>
    <w:rsid w:val="00A40359"/>
    <w:rsid w:val="00A47CC0"/>
    <w:rsid w:val="00A51A6B"/>
    <w:rsid w:val="00A562EF"/>
    <w:rsid w:val="00A61AA8"/>
    <w:rsid w:val="00A63DD0"/>
    <w:rsid w:val="00A66335"/>
    <w:rsid w:val="00A71A14"/>
    <w:rsid w:val="00A73726"/>
    <w:rsid w:val="00A81678"/>
    <w:rsid w:val="00A83010"/>
    <w:rsid w:val="00A9606E"/>
    <w:rsid w:val="00A97BB1"/>
    <w:rsid w:val="00AA2BB9"/>
    <w:rsid w:val="00AB7B9D"/>
    <w:rsid w:val="00AD28A0"/>
    <w:rsid w:val="00AD4FC3"/>
    <w:rsid w:val="00AD56C2"/>
    <w:rsid w:val="00AD5D43"/>
    <w:rsid w:val="00AE7C7C"/>
    <w:rsid w:val="00AF5F42"/>
    <w:rsid w:val="00AF6E86"/>
    <w:rsid w:val="00B0305A"/>
    <w:rsid w:val="00B04033"/>
    <w:rsid w:val="00B14A98"/>
    <w:rsid w:val="00B358A6"/>
    <w:rsid w:val="00B36351"/>
    <w:rsid w:val="00B42B2E"/>
    <w:rsid w:val="00B4346C"/>
    <w:rsid w:val="00B50C42"/>
    <w:rsid w:val="00B66B99"/>
    <w:rsid w:val="00B738A8"/>
    <w:rsid w:val="00B8636F"/>
    <w:rsid w:val="00B928AA"/>
    <w:rsid w:val="00B950B7"/>
    <w:rsid w:val="00B967F6"/>
    <w:rsid w:val="00B97EAD"/>
    <w:rsid w:val="00BA534F"/>
    <w:rsid w:val="00BA763C"/>
    <w:rsid w:val="00BA7852"/>
    <w:rsid w:val="00BC7BF5"/>
    <w:rsid w:val="00BD3DFF"/>
    <w:rsid w:val="00BF7424"/>
    <w:rsid w:val="00C045B7"/>
    <w:rsid w:val="00C13670"/>
    <w:rsid w:val="00C172FC"/>
    <w:rsid w:val="00C25E4B"/>
    <w:rsid w:val="00C26A86"/>
    <w:rsid w:val="00C35D39"/>
    <w:rsid w:val="00C35FC7"/>
    <w:rsid w:val="00C37B59"/>
    <w:rsid w:val="00C432C6"/>
    <w:rsid w:val="00C55FFD"/>
    <w:rsid w:val="00C56675"/>
    <w:rsid w:val="00C72FB1"/>
    <w:rsid w:val="00C8595F"/>
    <w:rsid w:val="00C93514"/>
    <w:rsid w:val="00C964D8"/>
    <w:rsid w:val="00CA1D96"/>
    <w:rsid w:val="00CA20D5"/>
    <w:rsid w:val="00CB26B6"/>
    <w:rsid w:val="00CB6545"/>
    <w:rsid w:val="00CB7419"/>
    <w:rsid w:val="00CC2517"/>
    <w:rsid w:val="00CC2E34"/>
    <w:rsid w:val="00CC3903"/>
    <w:rsid w:val="00CC458C"/>
    <w:rsid w:val="00CC46CC"/>
    <w:rsid w:val="00CF3714"/>
    <w:rsid w:val="00CF62B3"/>
    <w:rsid w:val="00D063AB"/>
    <w:rsid w:val="00D0770C"/>
    <w:rsid w:val="00D12653"/>
    <w:rsid w:val="00D12A1B"/>
    <w:rsid w:val="00D34DAF"/>
    <w:rsid w:val="00D36C1A"/>
    <w:rsid w:val="00D47944"/>
    <w:rsid w:val="00D54303"/>
    <w:rsid w:val="00D54AE5"/>
    <w:rsid w:val="00D564B3"/>
    <w:rsid w:val="00D57975"/>
    <w:rsid w:val="00D57D05"/>
    <w:rsid w:val="00D66320"/>
    <w:rsid w:val="00D70A3D"/>
    <w:rsid w:val="00D70A6A"/>
    <w:rsid w:val="00D714BE"/>
    <w:rsid w:val="00D7249B"/>
    <w:rsid w:val="00D80577"/>
    <w:rsid w:val="00D81CD9"/>
    <w:rsid w:val="00D87263"/>
    <w:rsid w:val="00D906B8"/>
    <w:rsid w:val="00D91346"/>
    <w:rsid w:val="00D9187E"/>
    <w:rsid w:val="00DA4A66"/>
    <w:rsid w:val="00DA6054"/>
    <w:rsid w:val="00DB0FC5"/>
    <w:rsid w:val="00DB1673"/>
    <w:rsid w:val="00DB72C9"/>
    <w:rsid w:val="00DC4C85"/>
    <w:rsid w:val="00DD08D8"/>
    <w:rsid w:val="00DD4DC1"/>
    <w:rsid w:val="00DE213E"/>
    <w:rsid w:val="00DE5214"/>
    <w:rsid w:val="00DF519C"/>
    <w:rsid w:val="00DF531B"/>
    <w:rsid w:val="00DF7EBC"/>
    <w:rsid w:val="00E20662"/>
    <w:rsid w:val="00E21ADD"/>
    <w:rsid w:val="00E23FEF"/>
    <w:rsid w:val="00E4554B"/>
    <w:rsid w:val="00E5457F"/>
    <w:rsid w:val="00E712A0"/>
    <w:rsid w:val="00E80A96"/>
    <w:rsid w:val="00E813EC"/>
    <w:rsid w:val="00E8530E"/>
    <w:rsid w:val="00E91C5B"/>
    <w:rsid w:val="00E95DDC"/>
    <w:rsid w:val="00EA5711"/>
    <w:rsid w:val="00EC11C6"/>
    <w:rsid w:val="00EE65BE"/>
    <w:rsid w:val="00EF09DD"/>
    <w:rsid w:val="00EF335A"/>
    <w:rsid w:val="00F036C9"/>
    <w:rsid w:val="00F10219"/>
    <w:rsid w:val="00F26132"/>
    <w:rsid w:val="00F303DA"/>
    <w:rsid w:val="00F3136B"/>
    <w:rsid w:val="00F34BC3"/>
    <w:rsid w:val="00F46D6B"/>
    <w:rsid w:val="00F60B19"/>
    <w:rsid w:val="00F61EB0"/>
    <w:rsid w:val="00F645D8"/>
    <w:rsid w:val="00F73CE4"/>
    <w:rsid w:val="00F7617D"/>
    <w:rsid w:val="00F83DCA"/>
    <w:rsid w:val="00F85C06"/>
    <w:rsid w:val="00F94592"/>
    <w:rsid w:val="00F95675"/>
    <w:rsid w:val="00FA0CE7"/>
    <w:rsid w:val="00FC0C6F"/>
    <w:rsid w:val="00FC341E"/>
    <w:rsid w:val="00FD501C"/>
    <w:rsid w:val="00FD73A5"/>
    <w:rsid w:val="00FF01E1"/>
    <w:rsid w:val="00FF2F3A"/>
    <w:rsid w:val="00FF5308"/>
    <w:rsid w:val="00FF56A1"/>
    <w:rsid w:val="00FF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41"/>
    <o:shapelayout v:ext="edit">
      <o:idmap v:ext="edit" data="1"/>
    </o:shapelayout>
  </w:shapeDefaults>
  <w:decimalSymbol w:val=","/>
  <w:listSeparator w:val=";"/>
  <w14:docId w14:val="1FE685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Default Paragraph Font" w:uiPriority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rFonts w:ascii="Arial" w:hAnsi="Arial" w:cs="Arial"/>
      <w:bCs/>
      <w:sz w:val="24"/>
      <w:szCs w:val="24"/>
      <w:lang w:val="en-US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spacing w:before="320" w:after="100"/>
      <w:jc w:val="both"/>
      <w:outlineLvl w:val="0"/>
    </w:pPr>
    <w:rPr>
      <w:rFonts w:cs="Times New Roman"/>
      <w:b/>
      <w:caps/>
      <w:lang w:val="sk-SK" w:eastAsia="cs-CZ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spacing w:before="200" w:after="60"/>
      <w:jc w:val="both"/>
      <w:outlineLvl w:val="1"/>
    </w:pPr>
    <w:rPr>
      <w:rFonts w:cs="Times New Roman"/>
      <w:b/>
      <w:bCs w:val="0"/>
      <w:smallCaps/>
      <w:lang w:val="sk-SK" w:eastAsia="cs-CZ"/>
    </w:rPr>
  </w:style>
  <w:style w:type="paragraph" w:styleId="Nadpis3">
    <w:name w:val="heading 3"/>
    <w:basedOn w:val="Normlny"/>
    <w:next w:val="Normlny"/>
    <w:qFormat/>
    <w:pPr>
      <w:keepNext/>
      <w:numPr>
        <w:ilvl w:val="2"/>
        <w:numId w:val="1"/>
      </w:numPr>
      <w:spacing w:before="160" w:after="40"/>
      <w:outlineLvl w:val="2"/>
    </w:pPr>
    <w:rPr>
      <w:b/>
      <w:i/>
      <w:szCs w:val="26"/>
      <w:lang w:val="sk-SK" w:eastAsia="en-US"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spacing w:before="200" w:after="200"/>
      <w:jc w:val="both"/>
      <w:outlineLvl w:val="3"/>
    </w:pPr>
    <w:rPr>
      <w:b/>
      <w:lang w:val="sk-SK" w:eastAsia="cs-CZ"/>
    </w:rPr>
  </w:style>
  <w:style w:type="paragraph" w:styleId="Nadpis5">
    <w:name w:val="heading 5"/>
    <w:basedOn w:val="Normlny"/>
    <w:next w:val="Normlny"/>
    <w:qFormat/>
    <w:pPr>
      <w:keepNext/>
      <w:outlineLvl w:val="4"/>
    </w:pPr>
    <w:rPr>
      <w:rFonts w:cs="Times New Roman"/>
      <w:bCs w:val="0"/>
      <w:i/>
      <w:iCs/>
      <w:lang w:val="sk-SK" w:eastAsia="cs-CZ"/>
    </w:rPr>
  </w:style>
  <w:style w:type="paragraph" w:styleId="Nadpis6">
    <w:name w:val="heading 6"/>
    <w:basedOn w:val="Normlny"/>
    <w:next w:val="Normlny"/>
    <w:qFormat/>
    <w:pPr>
      <w:keepNext/>
      <w:outlineLvl w:val="5"/>
    </w:pPr>
    <w:rPr>
      <w:u w:val="single"/>
      <w:lang w:val="cs-CZ"/>
    </w:rPr>
  </w:style>
  <w:style w:type="paragraph" w:styleId="Nadpis7">
    <w:name w:val="heading 7"/>
    <w:basedOn w:val="Normlny"/>
    <w:next w:val="Normlny"/>
    <w:qFormat/>
    <w:pPr>
      <w:keepNext/>
      <w:tabs>
        <w:tab w:val="left" w:pos="540"/>
      </w:tabs>
      <w:outlineLvl w:val="6"/>
    </w:pPr>
    <w:rPr>
      <w:b/>
      <w:bCs w:val="0"/>
      <w:sz w:val="22"/>
      <w:lang w:val="sk-SK"/>
    </w:rPr>
  </w:style>
  <w:style w:type="paragraph" w:styleId="Nadpis8">
    <w:name w:val="heading 8"/>
    <w:basedOn w:val="Normlny"/>
    <w:next w:val="Normlny"/>
    <w:link w:val="Nadpis8Char"/>
    <w:qFormat/>
    <w:pPr>
      <w:keepNext/>
      <w:outlineLvl w:val="7"/>
    </w:pPr>
    <w:rPr>
      <w:rFonts w:ascii="Times New Roman" w:hAnsi="Times New Roman" w:cs="Times New Roman"/>
      <w:b/>
      <w:bCs w:val="0"/>
      <w:i/>
      <w:iCs/>
      <w:sz w:val="22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rFonts w:ascii="Times New Roman" w:hAnsi="Times New Roman" w:cs="Times New Roman"/>
      <w:i/>
      <w:iCs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540"/>
      </w:tabs>
    </w:pPr>
    <w:rPr>
      <w:sz w:val="22"/>
      <w:lang w:val="sk-SK"/>
    </w:rPr>
  </w:style>
  <w:style w:type="paragraph" w:styleId="Zkladntext2">
    <w:name w:val="Body Text 2"/>
    <w:basedOn w:val="Normlny"/>
    <w:pPr>
      <w:spacing w:after="120"/>
    </w:pPr>
    <w:rPr>
      <w:b/>
      <w:bCs w:val="0"/>
      <w:lang w:val="sk-SK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Nzov">
    <w:name w:val="Title"/>
    <w:basedOn w:val="Normlny"/>
    <w:qFormat/>
    <w:pPr>
      <w:spacing w:after="120"/>
      <w:jc w:val="center"/>
    </w:pPr>
    <w:rPr>
      <w:b/>
      <w:bCs w:val="0"/>
      <w:caps/>
      <w:sz w:val="28"/>
      <w:lang w:val="sk-SK"/>
    </w:rPr>
  </w:style>
  <w:style w:type="paragraph" w:styleId="Zkladntext3">
    <w:name w:val="Body Text 3"/>
    <w:basedOn w:val="Normlny"/>
    <w:rPr>
      <w:rFonts w:ascii="Times New Roman" w:hAnsi="Times New Roman" w:cs="Times New Roman"/>
      <w:b/>
      <w:bCs w:val="0"/>
      <w:sz w:val="22"/>
    </w:rPr>
  </w:style>
  <w:style w:type="paragraph" w:styleId="Zarkazkladnhotextu">
    <w:name w:val="Body Text Indent"/>
    <w:basedOn w:val="Normlny"/>
    <w:pPr>
      <w:ind w:left="360"/>
    </w:pPr>
    <w:rPr>
      <w:rFonts w:ascii="Times New Roman" w:hAnsi="Times New Roman" w:cs="Times New Roman"/>
      <w:sz w:val="22"/>
      <w:lang w:val="sk-SK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Odkaznakomentr">
    <w:name w:val="annotation reference"/>
    <w:rPr>
      <w:sz w:val="16"/>
      <w:szCs w:val="16"/>
    </w:rPr>
  </w:style>
  <w:style w:type="paragraph" w:styleId="Textkomentra">
    <w:name w:val="annotation text"/>
    <w:basedOn w:val="Normlny"/>
    <w:link w:val="TextkomentraChar"/>
    <w:rPr>
      <w:sz w:val="20"/>
      <w:szCs w:val="20"/>
    </w:rPr>
  </w:style>
  <w:style w:type="paragraph" w:styleId="Zarkazkladnhotextu2">
    <w:name w:val="Body Text Indent 2"/>
    <w:basedOn w:val="Normlny"/>
    <w:pPr>
      <w:tabs>
        <w:tab w:val="left" w:pos="480"/>
      </w:tabs>
      <w:ind w:left="480" w:hanging="480"/>
    </w:pPr>
    <w:rPr>
      <w:rFonts w:ascii="Times New Roman" w:hAnsi="Times New Roman" w:cs="Times New Roman"/>
      <w:sz w:val="22"/>
      <w:lang w:val="sk-SK"/>
    </w:rPr>
  </w:style>
  <w:style w:type="paragraph" w:styleId="Predmetkomentra">
    <w:name w:val="annotation subject"/>
    <w:basedOn w:val="Textkomentra"/>
    <w:next w:val="Textkomentra"/>
    <w:semiHidden/>
    <w:rsid w:val="00611E7E"/>
    <w:rPr>
      <w:b/>
    </w:rPr>
  </w:style>
  <w:style w:type="character" w:customStyle="1" w:styleId="PtaChar">
    <w:name w:val="Päta Char"/>
    <w:link w:val="Pta"/>
    <w:uiPriority w:val="99"/>
    <w:rsid w:val="00143B20"/>
    <w:rPr>
      <w:rFonts w:ascii="Arial" w:hAnsi="Arial" w:cs="Arial"/>
      <w:bCs/>
      <w:sz w:val="24"/>
      <w:szCs w:val="24"/>
      <w:lang w:val="en-US"/>
    </w:rPr>
  </w:style>
  <w:style w:type="paragraph" w:customStyle="1" w:styleId="MGGTextLeft">
    <w:name w:val="MGG Text Left"/>
    <w:basedOn w:val="Zkladntext"/>
    <w:rsid w:val="00814E13"/>
    <w:pPr>
      <w:tabs>
        <w:tab w:val="clear" w:pos="540"/>
      </w:tabs>
    </w:pPr>
    <w:rPr>
      <w:rFonts w:ascii="Times New Roman" w:hAnsi="Times New Roman" w:cs="Times New Roman"/>
      <w:bCs w:val="0"/>
      <w:lang w:val="en-GB" w:eastAsia="en-US"/>
    </w:rPr>
  </w:style>
  <w:style w:type="character" w:customStyle="1" w:styleId="TextkomentraChar">
    <w:name w:val="Text komentára Char"/>
    <w:link w:val="Textkomentra"/>
    <w:rsid w:val="00814E13"/>
    <w:rPr>
      <w:rFonts w:ascii="Arial" w:hAnsi="Arial" w:cs="Arial"/>
      <w:bCs/>
      <w:lang w:eastAsia="sk-SK"/>
    </w:rPr>
  </w:style>
  <w:style w:type="table" w:styleId="Mriekatabuky">
    <w:name w:val="Table Grid"/>
    <w:basedOn w:val="Normlnatabuka"/>
    <w:rsid w:val="00814E13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8Char">
    <w:name w:val="Nadpis 8 Char"/>
    <w:link w:val="Nadpis8"/>
    <w:rsid w:val="00D12A1B"/>
    <w:rPr>
      <w:b/>
      <w:i/>
      <w:iCs/>
      <w:sz w:val="22"/>
      <w:szCs w:val="24"/>
      <w:lang w:eastAsia="sk-SK"/>
    </w:rPr>
  </w:style>
  <w:style w:type="paragraph" w:customStyle="1" w:styleId="BodytextAgency">
    <w:name w:val="Body text (Agency)"/>
    <w:basedOn w:val="Normlny"/>
    <w:link w:val="BodytextAgencyChar"/>
    <w:qFormat/>
    <w:rsid w:val="00532497"/>
    <w:pPr>
      <w:spacing w:after="140" w:line="280" w:lineRule="atLeast"/>
    </w:pPr>
    <w:rPr>
      <w:rFonts w:ascii="Verdana" w:eastAsia="Verdana" w:hAnsi="Verdana" w:cs="Times New Roman"/>
      <w:bCs w:val="0"/>
      <w:sz w:val="18"/>
      <w:szCs w:val="18"/>
      <w:lang w:val="en-GB" w:eastAsia="en-GB"/>
    </w:rPr>
  </w:style>
  <w:style w:type="character" w:customStyle="1" w:styleId="BodytextAgencyChar">
    <w:name w:val="Body text (Agency) Char"/>
    <w:link w:val="BodytextAgency"/>
    <w:rsid w:val="00532497"/>
    <w:rPr>
      <w:rFonts w:ascii="Verdana" w:eastAsia="Verdana" w:hAnsi="Verdana"/>
      <w:sz w:val="18"/>
      <w:szCs w:val="18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Default Paragraph Font" w:uiPriority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rFonts w:ascii="Arial" w:hAnsi="Arial" w:cs="Arial"/>
      <w:bCs/>
      <w:sz w:val="24"/>
      <w:szCs w:val="24"/>
      <w:lang w:val="en-US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spacing w:before="320" w:after="100"/>
      <w:jc w:val="both"/>
      <w:outlineLvl w:val="0"/>
    </w:pPr>
    <w:rPr>
      <w:rFonts w:cs="Times New Roman"/>
      <w:b/>
      <w:caps/>
      <w:lang w:val="sk-SK" w:eastAsia="cs-CZ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spacing w:before="200" w:after="60"/>
      <w:jc w:val="both"/>
      <w:outlineLvl w:val="1"/>
    </w:pPr>
    <w:rPr>
      <w:rFonts w:cs="Times New Roman"/>
      <w:b/>
      <w:bCs w:val="0"/>
      <w:smallCaps/>
      <w:lang w:val="sk-SK" w:eastAsia="cs-CZ"/>
    </w:rPr>
  </w:style>
  <w:style w:type="paragraph" w:styleId="Nadpis3">
    <w:name w:val="heading 3"/>
    <w:basedOn w:val="Normlny"/>
    <w:next w:val="Normlny"/>
    <w:qFormat/>
    <w:pPr>
      <w:keepNext/>
      <w:numPr>
        <w:ilvl w:val="2"/>
        <w:numId w:val="1"/>
      </w:numPr>
      <w:spacing w:before="160" w:after="40"/>
      <w:outlineLvl w:val="2"/>
    </w:pPr>
    <w:rPr>
      <w:b/>
      <w:i/>
      <w:szCs w:val="26"/>
      <w:lang w:val="sk-SK" w:eastAsia="en-US"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spacing w:before="200" w:after="200"/>
      <w:jc w:val="both"/>
      <w:outlineLvl w:val="3"/>
    </w:pPr>
    <w:rPr>
      <w:b/>
      <w:lang w:val="sk-SK" w:eastAsia="cs-CZ"/>
    </w:rPr>
  </w:style>
  <w:style w:type="paragraph" w:styleId="Nadpis5">
    <w:name w:val="heading 5"/>
    <w:basedOn w:val="Normlny"/>
    <w:next w:val="Normlny"/>
    <w:qFormat/>
    <w:pPr>
      <w:keepNext/>
      <w:outlineLvl w:val="4"/>
    </w:pPr>
    <w:rPr>
      <w:rFonts w:cs="Times New Roman"/>
      <w:bCs w:val="0"/>
      <w:i/>
      <w:iCs/>
      <w:lang w:val="sk-SK" w:eastAsia="cs-CZ"/>
    </w:rPr>
  </w:style>
  <w:style w:type="paragraph" w:styleId="Nadpis6">
    <w:name w:val="heading 6"/>
    <w:basedOn w:val="Normlny"/>
    <w:next w:val="Normlny"/>
    <w:qFormat/>
    <w:pPr>
      <w:keepNext/>
      <w:outlineLvl w:val="5"/>
    </w:pPr>
    <w:rPr>
      <w:u w:val="single"/>
      <w:lang w:val="cs-CZ"/>
    </w:rPr>
  </w:style>
  <w:style w:type="paragraph" w:styleId="Nadpis7">
    <w:name w:val="heading 7"/>
    <w:basedOn w:val="Normlny"/>
    <w:next w:val="Normlny"/>
    <w:qFormat/>
    <w:pPr>
      <w:keepNext/>
      <w:tabs>
        <w:tab w:val="left" w:pos="540"/>
      </w:tabs>
      <w:outlineLvl w:val="6"/>
    </w:pPr>
    <w:rPr>
      <w:b/>
      <w:bCs w:val="0"/>
      <w:sz w:val="22"/>
      <w:lang w:val="sk-SK"/>
    </w:rPr>
  </w:style>
  <w:style w:type="paragraph" w:styleId="Nadpis8">
    <w:name w:val="heading 8"/>
    <w:basedOn w:val="Normlny"/>
    <w:next w:val="Normlny"/>
    <w:link w:val="Nadpis8Char"/>
    <w:qFormat/>
    <w:pPr>
      <w:keepNext/>
      <w:outlineLvl w:val="7"/>
    </w:pPr>
    <w:rPr>
      <w:rFonts w:ascii="Times New Roman" w:hAnsi="Times New Roman" w:cs="Times New Roman"/>
      <w:b/>
      <w:bCs w:val="0"/>
      <w:i/>
      <w:iCs/>
      <w:sz w:val="22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rFonts w:ascii="Times New Roman" w:hAnsi="Times New Roman" w:cs="Times New Roman"/>
      <w:i/>
      <w:iCs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540"/>
      </w:tabs>
    </w:pPr>
    <w:rPr>
      <w:sz w:val="22"/>
      <w:lang w:val="sk-SK"/>
    </w:rPr>
  </w:style>
  <w:style w:type="paragraph" w:styleId="Zkladntext2">
    <w:name w:val="Body Text 2"/>
    <w:basedOn w:val="Normlny"/>
    <w:pPr>
      <w:spacing w:after="120"/>
    </w:pPr>
    <w:rPr>
      <w:b/>
      <w:bCs w:val="0"/>
      <w:lang w:val="sk-SK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Nzov">
    <w:name w:val="Title"/>
    <w:basedOn w:val="Normlny"/>
    <w:qFormat/>
    <w:pPr>
      <w:spacing w:after="120"/>
      <w:jc w:val="center"/>
    </w:pPr>
    <w:rPr>
      <w:b/>
      <w:bCs w:val="0"/>
      <w:caps/>
      <w:sz w:val="28"/>
      <w:lang w:val="sk-SK"/>
    </w:rPr>
  </w:style>
  <w:style w:type="paragraph" w:styleId="Zkladntext3">
    <w:name w:val="Body Text 3"/>
    <w:basedOn w:val="Normlny"/>
    <w:rPr>
      <w:rFonts w:ascii="Times New Roman" w:hAnsi="Times New Roman" w:cs="Times New Roman"/>
      <w:b/>
      <w:bCs w:val="0"/>
      <w:sz w:val="22"/>
    </w:rPr>
  </w:style>
  <w:style w:type="paragraph" w:styleId="Zarkazkladnhotextu">
    <w:name w:val="Body Text Indent"/>
    <w:basedOn w:val="Normlny"/>
    <w:pPr>
      <w:ind w:left="360"/>
    </w:pPr>
    <w:rPr>
      <w:rFonts w:ascii="Times New Roman" w:hAnsi="Times New Roman" w:cs="Times New Roman"/>
      <w:sz w:val="22"/>
      <w:lang w:val="sk-SK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Odkaznakomentr">
    <w:name w:val="annotation reference"/>
    <w:rPr>
      <w:sz w:val="16"/>
      <w:szCs w:val="16"/>
    </w:rPr>
  </w:style>
  <w:style w:type="paragraph" w:styleId="Textkomentra">
    <w:name w:val="annotation text"/>
    <w:basedOn w:val="Normlny"/>
    <w:link w:val="TextkomentraChar"/>
    <w:rPr>
      <w:sz w:val="20"/>
      <w:szCs w:val="20"/>
    </w:rPr>
  </w:style>
  <w:style w:type="paragraph" w:styleId="Zarkazkladnhotextu2">
    <w:name w:val="Body Text Indent 2"/>
    <w:basedOn w:val="Normlny"/>
    <w:pPr>
      <w:tabs>
        <w:tab w:val="left" w:pos="480"/>
      </w:tabs>
      <w:ind w:left="480" w:hanging="480"/>
    </w:pPr>
    <w:rPr>
      <w:rFonts w:ascii="Times New Roman" w:hAnsi="Times New Roman" w:cs="Times New Roman"/>
      <w:sz w:val="22"/>
      <w:lang w:val="sk-SK"/>
    </w:rPr>
  </w:style>
  <w:style w:type="paragraph" w:styleId="Predmetkomentra">
    <w:name w:val="annotation subject"/>
    <w:basedOn w:val="Textkomentra"/>
    <w:next w:val="Textkomentra"/>
    <w:semiHidden/>
    <w:rsid w:val="00611E7E"/>
    <w:rPr>
      <w:b/>
    </w:rPr>
  </w:style>
  <w:style w:type="character" w:customStyle="1" w:styleId="PtaChar">
    <w:name w:val="Päta Char"/>
    <w:link w:val="Pta"/>
    <w:uiPriority w:val="99"/>
    <w:rsid w:val="00143B20"/>
    <w:rPr>
      <w:rFonts w:ascii="Arial" w:hAnsi="Arial" w:cs="Arial"/>
      <w:bCs/>
      <w:sz w:val="24"/>
      <w:szCs w:val="24"/>
      <w:lang w:val="en-US"/>
    </w:rPr>
  </w:style>
  <w:style w:type="paragraph" w:customStyle="1" w:styleId="MGGTextLeft">
    <w:name w:val="MGG Text Left"/>
    <w:basedOn w:val="Zkladntext"/>
    <w:rsid w:val="00814E13"/>
    <w:pPr>
      <w:tabs>
        <w:tab w:val="clear" w:pos="540"/>
      </w:tabs>
    </w:pPr>
    <w:rPr>
      <w:rFonts w:ascii="Times New Roman" w:hAnsi="Times New Roman" w:cs="Times New Roman"/>
      <w:bCs w:val="0"/>
      <w:lang w:val="en-GB" w:eastAsia="en-US"/>
    </w:rPr>
  </w:style>
  <w:style w:type="character" w:customStyle="1" w:styleId="TextkomentraChar">
    <w:name w:val="Text komentára Char"/>
    <w:link w:val="Textkomentra"/>
    <w:rsid w:val="00814E13"/>
    <w:rPr>
      <w:rFonts w:ascii="Arial" w:hAnsi="Arial" w:cs="Arial"/>
      <w:bCs/>
      <w:lang w:eastAsia="sk-SK"/>
    </w:rPr>
  </w:style>
  <w:style w:type="table" w:styleId="Mriekatabuky">
    <w:name w:val="Table Grid"/>
    <w:basedOn w:val="Normlnatabuka"/>
    <w:rsid w:val="00814E13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8Char">
    <w:name w:val="Nadpis 8 Char"/>
    <w:link w:val="Nadpis8"/>
    <w:rsid w:val="00D12A1B"/>
    <w:rPr>
      <w:b/>
      <w:i/>
      <w:iCs/>
      <w:sz w:val="22"/>
      <w:szCs w:val="24"/>
      <w:lang w:eastAsia="sk-SK"/>
    </w:rPr>
  </w:style>
  <w:style w:type="paragraph" w:customStyle="1" w:styleId="BodytextAgency">
    <w:name w:val="Body text (Agency)"/>
    <w:basedOn w:val="Normlny"/>
    <w:link w:val="BodytextAgencyChar"/>
    <w:qFormat/>
    <w:rsid w:val="00532497"/>
    <w:pPr>
      <w:spacing w:after="140" w:line="280" w:lineRule="atLeast"/>
    </w:pPr>
    <w:rPr>
      <w:rFonts w:ascii="Verdana" w:eastAsia="Verdana" w:hAnsi="Verdana" w:cs="Times New Roman"/>
      <w:bCs w:val="0"/>
      <w:sz w:val="18"/>
      <w:szCs w:val="18"/>
      <w:lang w:val="en-GB" w:eastAsia="en-GB"/>
    </w:rPr>
  </w:style>
  <w:style w:type="character" w:customStyle="1" w:styleId="BodytextAgencyChar">
    <w:name w:val="Body text (Agency) Char"/>
    <w:link w:val="BodytextAgency"/>
    <w:rsid w:val="00532497"/>
    <w:rPr>
      <w:rFonts w:ascii="Verdana" w:eastAsia="Verdana" w:hAnsi="Verdana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5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5305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4595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dotted" w:sz="6" w:space="0" w:color="808080"/>
                <w:right w:val="dotted" w:sz="6" w:space="0" w:color="808080"/>
              </w:divBdr>
              <w:divsChild>
                <w:div w:id="188386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dotted" w:sz="6" w:space="0" w:color="808080"/>
                  </w:divBdr>
                </w:div>
              </w:divsChild>
            </w:div>
          </w:divsChild>
        </w:div>
      </w:divsChild>
    </w:div>
    <w:div w:id="19529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8224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27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431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dotted" w:sz="6" w:space="0" w:color="808080"/>
                <w:right w:val="dotted" w:sz="6" w:space="0" w:color="808080"/>
              </w:divBdr>
              <w:divsChild>
                <w:div w:id="207234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dotted" w:sz="6" w:space="0" w:color="808080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352;abl&#243;ny\SPC%20-%20SJ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SPC - SJ.dot</Template>
  <TotalTime>0</TotalTime>
  <Pages>13</Pages>
  <Words>5400</Words>
  <Characters>30785</Characters>
  <Application>Microsoft Office Word</Application>
  <DocSecurity>4</DocSecurity>
  <Lines>256</Lines>
  <Paragraphs>72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SÚHRN CHARAKTERISTICKÝCH VLASTNOSTÍ LIEKU</vt:lpstr>
      <vt:lpstr>SÚHRN CHARAKTERISTICKÝCH VLASTNOSTÍ LIEKU</vt:lpstr>
    </vt:vector>
  </TitlesOfParts>
  <Company>MYLAN</Company>
  <LinksUpToDate>false</LinksUpToDate>
  <CharactersWithSpaces>36113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subject>Meloxicam Mylan</dc:subject>
  <dc:creator>Jana Bosanska</dc:creator>
  <cp:lastModifiedBy>Natalia </cp:lastModifiedBy>
  <cp:revision>2</cp:revision>
  <cp:lastPrinted>2018-06-29T09:31:00Z</cp:lastPrinted>
  <dcterms:created xsi:type="dcterms:W3CDTF">2018-10-23T14:26:00Z</dcterms:created>
  <dcterms:modified xsi:type="dcterms:W3CDTF">2018-10-23T14:26:00Z</dcterms:modified>
</cp:coreProperties>
</file>