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78" w:rsidRPr="000A2C53" w:rsidRDefault="00A86378" w:rsidP="002F2DDB">
      <w:pPr>
        <w:spacing w:after="0" w:line="240" w:lineRule="auto"/>
        <w:ind w:left="567" w:hanging="567"/>
        <w:jc w:val="center"/>
        <w:rPr>
          <w:rFonts w:ascii="Times New Roman" w:hAnsi="Times New Roman"/>
          <w:b/>
          <w:bCs/>
          <w:lang w:eastAsia="sk-SK"/>
        </w:rPr>
      </w:pPr>
      <w:bookmarkStart w:id="0" w:name="_GoBack"/>
      <w:bookmarkEnd w:id="0"/>
    </w:p>
    <w:p w:rsidR="00A86378" w:rsidRPr="000A2C53" w:rsidRDefault="00A86378" w:rsidP="002F2DDB">
      <w:pPr>
        <w:spacing w:after="0" w:line="240" w:lineRule="auto"/>
        <w:ind w:left="567" w:hanging="567"/>
        <w:jc w:val="center"/>
        <w:rPr>
          <w:rFonts w:ascii="Times New Roman" w:hAnsi="Times New Roman"/>
          <w:b/>
          <w:bCs/>
          <w:lang w:eastAsia="sk-SK"/>
        </w:rPr>
      </w:pPr>
      <w:r w:rsidRPr="000A2C53">
        <w:rPr>
          <w:rFonts w:ascii="Times New Roman" w:hAnsi="Times New Roman"/>
          <w:b/>
          <w:bCs/>
          <w:lang w:eastAsia="sk-SK"/>
        </w:rPr>
        <w:t>SÚHRN CHARAKTERISTICKÝCH VLASTNOSTÍ LIEKU</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b/>
          <w:bCs/>
          <w:lang w:eastAsia="sk-SK"/>
        </w:rPr>
        <w:t>1.</w:t>
      </w:r>
      <w:r w:rsidRPr="000A2C53">
        <w:rPr>
          <w:rFonts w:ascii="Times New Roman" w:hAnsi="Times New Roman"/>
          <w:b/>
          <w:bCs/>
          <w:lang w:eastAsia="sk-SK"/>
        </w:rPr>
        <w:tab/>
        <w:t>NÁZOV LIEKU</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numPr>
          <w:ilvl w:val="12"/>
          <w:numId w:val="0"/>
        </w:numPr>
        <w:spacing w:after="0" w:line="240" w:lineRule="auto"/>
        <w:rPr>
          <w:rFonts w:ascii="Times New Roman" w:hAnsi="Times New Roman"/>
          <w:lang w:eastAsia="sk-SK"/>
        </w:rPr>
      </w:pPr>
      <w:r w:rsidRPr="000A2C53">
        <w:rPr>
          <w:rFonts w:ascii="Times New Roman" w:hAnsi="Times New Roman"/>
          <w:lang w:eastAsia="sk-SK"/>
        </w:rPr>
        <w:t>Gentilion 0,075 mg/0,030 mg</w:t>
      </w:r>
    </w:p>
    <w:p w:rsidR="00A86378" w:rsidRPr="000A2C53" w:rsidRDefault="00A86378" w:rsidP="002F2DDB">
      <w:pPr>
        <w:numPr>
          <w:ilvl w:val="12"/>
          <w:numId w:val="0"/>
        </w:numPr>
        <w:spacing w:after="0" w:line="240" w:lineRule="auto"/>
        <w:rPr>
          <w:rFonts w:ascii="Times New Roman" w:hAnsi="Times New Roman"/>
          <w:lang w:eastAsia="sk-SK"/>
        </w:rPr>
      </w:pPr>
      <w:r w:rsidRPr="000A2C53">
        <w:rPr>
          <w:rFonts w:ascii="Times New Roman" w:hAnsi="Times New Roman"/>
          <w:lang w:eastAsia="sk-SK"/>
        </w:rPr>
        <w:t>tablety</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b/>
          <w:bCs/>
          <w:lang w:eastAsia="sk-SK"/>
        </w:rPr>
        <w:t>2.</w:t>
      </w:r>
      <w:r w:rsidRPr="000A2C53">
        <w:rPr>
          <w:rFonts w:ascii="Times New Roman" w:hAnsi="Times New Roman"/>
          <w:b/>
          <w:bCs/>
          <w:lang w:eastAsia="sk-SK"/>
        </w:rPr>
        <w:tab/>
        <w:t>KVALITATÍVNE A KVANTITATÍVNE ZLOŽENIE</w:t>
      </w:r>
    </w:p>
    <w:p w:rsidR="00A86378" w:rsidRPr="000A2C53" w:rsidRDefault="00A86378" w:rsidP="002F2DDB">
      <w:pPr>
        <w:autoSpaceDE w:val="0"/>
        <w:autoSpaceDN w:val="0"/>
        <w:adjustRightInd w:val="0"/>
        <w:spacing w:after="0" w:line="240" w:lineRule="auto"/>
        <w:rPr>
          <w:rFonts w:ascii="Times New Roman" w:hAnsi="Times New Roman"/>
        </w:rPr>
      </w:pPr>
    </w:p>
    <w:p w:rsidR="00A86378" w:rsidRPr="000A2C53" w:rsidRDefault="00A86378" w:rsidP="002F2DDB">
      <w:pPr>
        <w:autoSpaceDE w:val="0"/>
        <w:autoSpaceDN w:val="0"/>
        <w:adjustRightInd w:val="0"/>
        <w:spacing w:after="0" w:line="240" w:lineRule="auto"/>
        <w:rPr>
          <w:rFonts w:ascii="Times New Roman" w:hAnsi="Times New Roman"/>
        </w:rPr>
      </w:pPr>
      <w:r w:rsidRPr="000A2C53">
        <w:rPr>
          <w:rFonts w:ascii="Times New Roman" w:hAnsi="Times New Roman"/>
        </w:rPr>
        <w:t>Každá biela tableta obsahuje 0,075 mg gestodénu a 0,030 mg etinylestradiolu.</w:t>
      </w:r>
    </w:p>
    <w:p w:rsidR="00A86378" w:rsidRPr="000A2C53" w:rsidRDefault="00A86378" w:rsidP="002F2DDB">
      <w:pPr>
        <w:autoSpaceDE w:val="0"/>
        <w:autoSpaceDN w:val="0"/>
        <w:adjustRightInd w:val="0"/>
        <w:spacing w:after="0" w:line="240" w:lineRule="auto"/>
        <w:rPr>
          <w:rFonts w:ascii="Times New Roman" w:hAnsi="Times New Roman"/>
        </w:rPr>
      </w:pPr>
    </w:p>
    <w:p w:rsidR="00A86378" w:rsidRPr="00F9203C" w:rsidRDefault="00A86378" w:rsidP="002F2DDB">
      <w:pPr>
        <w:autoSpaceDE w:val="0"/>
        <w:autoSpaceDN w:val="0"/>
        <w:adjustRightInd w:val="0"/>
        <w:spacing w:after="0" w:line="240" w:lineRule="auto"/>
        <w:rPr>
          <w:rFonts w:ascii="Times New Roman" w:hAnsi="Times New Roman"/>
          <w:u w:val="single"/>
        </w:rPr>
      </w:pPr>
      <w:r w:rsidRPr="00F9203C">
        <w:rPr>
          <w:rFonts w:ascii="Times New Roman" w:hAnsi="Times New Roman"/>
          <w:iCs/>
          <w:u w:val="single"/>
        </w:rPr>
        <w:t>Pomocn</w:t>
      </w:r>
      <w:r w:rsidRPr="000A2C53">
        <w:rPr>
          <w:rFonts w:ascii="Times New Roman" w:hAnsi="Times New Roman"/>
          <w:iCs/>
          <w:u w:val="single"/>
        </w:rPr>
        <w:t>á</w:t>
      </w:r>
      <w:r w:rsidRPr="00F9203C">
        <w:rPr>
          <w:rFonts w:ascii="Times New Roman" w:hAnsi="Times New Roman"/>
          <w:iCs/>
          <w:u w:val="single"/>
        </w:rPr>
        <w:t xml:space="preserve"> látk</w:t>
      </w:r>
      <w:r w:rsidRPr="000A2C53">
        <w:rPr>
          <w:rFonts w:ascii="Times New Roman" w:hAnsi="Times New Roman"/>
          <w:iCs/>
          <w:u w:val="single"/>
        </w:rPr>
        <w:t>a</w:t>
      </w:r>
      <w:r w:rsidRPr="00F9203C">
        <w:rPr>
          <w:rFonts w:ascii="Times New Roman" w:hAnsi="Times New Roman"/>
          <w:iCs/>
          <w:u w:val="single"/>
        </w:rPr>
        <w:t xml:space="preserve"> so známym účinkom</w:t>
      </w:r>
    </w:p>
    <w:p w:rsidR="00A86378" w:rsidRPr="000A2C53" w:rsidRDefault="00A86378" w:rsidP="002F2DDB">
      <w:pPr>
        <w:tabs>
          <w:tab w:val="left" w:pos="567"/>
        </w:tabs>
        <w:spacing w:after="0" w:line="240" w:lineRule="auto"/>
        <w:rPr>
          <w:rFonts w:ascii="Times New Roman" w:hAnsi="Times New Roman"/>
        </w:rPr>
      </w:pPr>
      <w:r w:rsidRPr="000A2C53">
        <w:rPr>
          <w:rFonts w:ascii="Times New Roman" w:hAnsi="Times New Roman"/>
        </w:rPr>
        <w:t>Každá tableta obsahuje 59,12 mg monohydrátu laktózy.</w:t>
      </w:r>
    </w:p>
    <w:p w:rsidR="00A86378" w:rsidRPr="000A2C53" w:rsidRDefault="00A86378" w:rsidP="002F2DDB">
      <w:pPr>
        <w:tabs>
          <w:tab w:val="left" w:pos="567"/>
        </w:tabs>
        <w:spacing w:after="0" w:line="240" w:lineRule="auto"/>
        <w:rPr>
          <w:rFonts w:ascii="Times New Roman" w:hAnsi="Times New Roman"/>
        </w:rPr>
      </w:pPr>
    </w:p>
    <w:p w:rsidR="00A86378" w:rsidRPr="000A2C53" w:rsidRDefault="00A86378" w:rsidP="002F2DDB">
      <w:pPr>
        <w:tabs>
          <w:tab w:val="left" w:pos="567"/>
        </w:tabs>
        <w:spacing w:after="0" w:line="240" w:lineRule="auto"/>
        <w:rPr>
          <w:rFonts w:ascii="Times New Roman" w:hAnsi="Times New Roman"/>
        </w:rPr>
      </w:pPr>
      <w:r w:rsidRPr="000A2C53">
        <w:rPr>
          <w:rFonts w:ascii="Times New Roman" w:hAnsi="Times New Roman"/>
        </w:rPr>
        <w:t>Úplný zoznam pomocných látok, pozri časť 6.1.</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caps/>
          <w:lang w:eastAsia="sk-SK"/>
        </w:rPr>
      </w:pPr>
      <w:r w:rsidRPr="000A2C53">
        <w:rPr>
          <w:rFonts w:ascii="Times New Roman" w:hAnsi="Times New Roman"/>
          <w:b/>
          <w:bCs/>
          <w:lang w:eastAsia="sk-SK"/>
        </w:rPr>
        <w:t>3.</w:t>
      </w:r>
      <w:r w:rsidRPr="000A2C53">
        <w:rPr>
          <w:rFonts w:ascii="Times New Roman" w:hAnsi="Times New Roman"/>
          <w:b/>
          <w:bCs/>
          <w:lang w:eastAsia="sk-SK"/>
        </w:rPr>
        <w:tab/>
        <w:t>LIEKOVÁ FORMA</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t>Tableta.</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t xml:space="preserve">Okrúhle biele tablety s priemerom približne </w:t>
      </w:r>
      <w:smartTag w:uri="urn:schemas-microsoft-com:office:smarttags" w:element="metricconverter">
        <w:smartTagPr>
          <w:attr w:name="ProductID" w:val="5,7 mm"/>
        </w:smartTagPr>
        <w:r w:rsidRPr="000A2C53">
          <w:rPr>
            <w:rFonts w:ascii="Times New Roman" w:hAnsi="Times New Roman"/>
            <w:lang w:eastAsia="sk-SK"/>
          </w:rPr>
          <w:t>5,7 mm</w:t>
        </w:r>
      </w:smartTag>
      <w:r w:rsidRPr="000A2C53">
        <w:rPr>
          <w:rFonts w:ascii="Times New Roman" w:hAnsi="Times New Roman"/>
          <w:lang w:eastAsia="sk-SK"/>
        </w:rPr>
        <w:t xml:space="preserve">. Biela tableta je označená na jednej strane „C“ </w:t>
      </w: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t>a na druhej strane „33“.</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caps/>
          <w:lang w:eastAsia="sk-SK"/>
        </w:rPr>
      </w:pPr>
      <w:r w:rsidRPr="000A2C53">
        <w:rPr>
          <w:rFonts w:ascii="Times New Roman" w:hAnsi="Times New Roman"/>
          <w:b/>
          <w:bCs/>
          <w:caps/>
          <w:lang w:eastAsia="sk-SK"/>
        </w:rPr>
        <w:t>4.</w:t>
      </w:r>
      <w:r w:rsidRPr="000A2C53">
        <w:rPr>
          <w:rFonts w:ascii="Times New Roman" w:hAnsi="Times New Roman"/>
          <w:b/>
          <w:bCs/>
          <w:caps/>
          <w:lang w:eastAsia="sk-SK"/>
        </w:rPr>
        <w:tab/>
        <w:t>KLINICKÉ ÚDAJE</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b/>
          <w:bCs/>
          <w:lang w:eastAsia="sk-SK"/>
        </w:rPr>
        <w:t>4.1</w:t>
      </w:r>
      <w:r w:rsidRPr="000A2C53">
        <w:rPr>
          <w:rFonts w:ascii="Times New Roman" w:hAnsi="Times New Roman"/>
          <w:b/>
          <w:bCs/>
          <w:lang w:eastAsia="sk-SK"/>
        </w:rPr>
        <w:tab/>
        <w:t>Terapeutické indikácie</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Perorálna antikoncepcia.</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Pri rozhodovaní o predpísaní Gentilionu sa majú zvážiť aktuálne rizikové faktory u danej ženy, najmä tie, ktoré sú spojené s venóznou </w:t>
      </w:r>
      <w:r w:rsidR="001F1823">
        <w:rPr>
          <w:rFonts w:ascii="Times New Roman" w:hAnsi="Times New Roman"/>
          <w:lang w:eastAsia="sk-SK"/>
        </w:rPr>
        <w:t>tromboem</w:t>
      </w:r>
      <w:r w:rsidRPr="000A2C53">
        <w:rPr>
          <w:rFonts w:ascii="Times New Roman" w:hAnsi="Times New Roman"/>
          <w:lang w:eastAsia="sk-SK"/>
        </w:rPr>
        <w:t>bóliou (VTE) a aké je riziko vzniku VTE pri užívaní Gentilionu v porovnaní s inou kombinovanou hormonálnou antikoncepciou (</w:t>
      </w:r>
      <w:proofErr w:type="spellStart"/>
      <w:r w:rsidRPr="000A2C53">
        <w:rPr>
          <w:rFonts w:ascii="Times New Roman" w:hAnsi="Times New Roman"/>
          <w:lang w:eastAsia="sk-SK"/>
        </w:rPr>
        <w:t>Combined</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Hormonal</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Contraceptives</w:t>
      </w:r>
      <w:proofErr w:type="spellEnd"/>
      <w:r w:rsidRPr="000A2C53">
        <w:rPr>
          <w:rFonts w:ascii="Times New Roman" w:hAnsi="Times New Roman"/>
          <w:lang w:eastAsia="sk-SK"/>
        </w:rPr>
        <w:t xml:space="preserve">, CHC) (pozri časti </w:t>
      </w:r>
      <w:smartTag w:uri="urn:schemas-microsoft-com:office:smarttags" w:element="metricconverter">
        <w:smartTagPr>
          <w:attr w:name="ProductID" w:val="4.3 a"/>
        </w:smartTagPr>
        <w:r w:rsidRPr="000A2C53">
          <w:rPr>
            <w:rFonts w:ascii="Times New Roman" w:hAnsi="Times New Roman"/>
            <w:lang w:eastAsia="sk-SK"/>
          </w:rPr>
          <w:t>4.3 a</w:t>
        </w:r>
      </w:smartTag>
      <w:r w:rsidRPr="000A2C53">
        <w:rPr>
          <w:rFonts w:ascii="Times New Roman" w:hAnsi="Times New Roman"/>
          <w:lang w:eastAsia="sk-SK"/>
        </w:rPr>
        <w:t xml:space="preserve"> 4.4).</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b/>
          <w:bCs/>
          <w:lang w:eastAsia="sk-SK"/>
        </w:rPr>
      </w:pPr>
      <w:r w:rsidRPr="000A2C53">
        <w:rPr>
          <w:rFonts w:ascii="Times New Roman" w:hAnsi="Times New Roman"/>
          <w:b/>
          <w:bCs/>
          <w:lang w:eastAsia="sk-SK"/>
        </w:rPr>
        <w:t>4.2</w:t>
      </w:r>
      <w:r w:rsidRPr="000A2C53">
        <w:rPr>
          <w:rFonts w:ascii="Times New Roman" w:hAnsi="Times New Roman"/>
          <w:b/>
          <w:bCs/>
          <w:lang w:eastAsia="sk-SK"/>
        </w:rPr>
        <w:tab/>
        <w:t>Dávkovanie a spôsob podávania</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autoSpaceDE w:val="0"/>
        <w:autoSpaceDN w:val="0"/>
        <w:adjustRightInd w:val="0"/>
        <w:spacing w:after="0" w:line="240" w:lineRule="auto"/>
        <w:rPr>
          <w:rFonts w:ascii="Times New Roman" w:hAnsi="Times New Roman"/>
          <w:bCs/>
          <w:u w:val="single"/>
          <w:lang w:eastAsia="sk-SK"/>
        </w:rPr>
      </w:pPr>
      <w:r w:rsidRPr="000A2C53">
        <w:rPr>
          <w:rFonts w:ascii="Times New Roman" w:hAnsi="Times New Roman"/>
          <w:bCs/>
          <w:u w:val="single"/>
          <w:lang w:eastAsia="sk-SK"/>
        </w:rPr>
        <w:t xml:space="preserve">Dávkovanie </w:t>
      </w:r>
    </w:p>
    <w:p w:rsidR="00A86378" w:rsidRPr="000A2C53" w:rsidRDefault="00A86378" w:rsidP="002F2DDB">
      <w:pPr>
        <w:autoSpaceDE w:val="0"/>
        <w:autoSpaceDN w:val="0"/>
        <w:adjustRightInd w:val="0"/>
        <w:spacing w:after="0" w:line="240" w:lineRule="auto"/>
        <w:rPr>
          <w:rFonts w:ascii="Times New Roman" w:hAnsi="Times New Roman"/>
          <w:bCs/>
          <w:u w:val="single"/>
          <w:lang w:eastAsia="sk-SK"/>
        </w:rPr>
      </w:pPr>
    </w:p>
    <w:p w:rsidR="00A86378" w:rsidRPr="000A2C53" w:rsidRDefault="00A86378" w:rsidP="002F2DDB">
      <w:pPr>
        <w:autoSpaceDE w:val="0"/>
        <w:autoSpaceDN w:val="0"/>
        <w:adjustRightInd w:val="0"/>
        <w:spacing w:after="0" w:line="240" w:lineRule="auto"/>
        <w:rPr>
          <w:rFonts w:ascii="Times New Roman" w:hAnsi="Times New Roman"/>
          <w:bCs/>
          <w:i/>
          <w:u w:val="single"/>
          <w:lang w:eastAsia="sk-SK"/>
        </w:rPr>
      </w:pPr>
      <w:r w:rsidRPr="000A2C53">
        <w:rPr>
          <w:rFonts w:ascii="Times New Roman" w:hAnsi="Times New Roman"/>
          <w:bCs/>
          <w:i/>
          <w:u w:val="single"/>
          <w:lang w:eastAsia="sk-SK"/>
        </w:rPr>
        <w:t>Ako užívať Gentilion</w:t>
      </w:r>
    </w:p>
    <w:p w:rsidR="00A86378" w:rsidRPr="000A2C53" w:rsidRDefault="00A86378" w:rsidP="002F2DDB">
      <w:pPr>
        <w:spacing w:after="0" w:line="240" w:lineRule="auto"/>
        <w:jc w:val="both"/>
        <w:rPr>
          <w:rFonts w:ascii="Times New Roman" w:hAnsi="Times New Roman"/>
        </w:rPr>
      </w:pPr>
      <w:r w:rsidRPr="000A2C53">
        <w:rPr>
          <w:rFonts w:ascii="Times New Roman" w:hAnsi="Times New Roman"/>
          <w:lang w:eastAsia="sk-SK"/>
        </w:rPr>
        <w:t xml:space="preserve">Tablety sa musia užívať každý deň v približne rovnaký čas, podľa potreby s malým množstvom tekutiny, v poradí vyznačenom na </w:t>
      </w:r>
      <w:proofErr w:type="spellStart"/>
      <w:r w:rsidRPr="000A2C53">
        <w:rPr>
          <w:rFonts w:ascii="Times New Roman" w:hAnsi="Times New Roman"/>
          <w:lang w:eastAsia="sk-SK"/>
        </w:rPr>
        <w:t>blistrovom</w:t>
      </w:r>
      <w:proofErr w:type="spellEnd"/>
      <w:r w:rsidRPr="000A2C53">
        <w:rPr>
          <w:rFonts w:ascii="Times New Roman" w:hAnsi="Times New Roman"/>
          <w:lang w:eastAsia="sk-SK"/>
        </w:rPr>
        <w:t xml:space="preserve"> balení.</w:t>
      </w:r>
      <w:r w:rsidRPr="000A2C53">
        <w:rPr>
          <w:rFonts w:ascii="Times New Roman" w:hAnsi="Times New Roman"/>
        </w:rPr>
        <w:t xml:space="preserve"> Počas 21 po sebe nasledujúcich dní sa užíva 1 tableta denne. Každé ďalšie balenie sa začína užívať po sedemdňovom intervale bez užívania tabliet. Počas tejto doby zvyčajne dôjde ku krvácaniu z vysadenia. Krvácanie sa zvyčajne objaví za 2-3 dni po užití poslednej tablety a nemusí skončiť pred začatím užívania z ďalšieho balenia.</w:t>
      </w:r>
    </w:p>
    <w:p w:rsidR="00A86378" w:rsidRPr="000A2C53" w:rsidRDefault="00A86378" w:rsidP="002F2DDB">
      <w:pPr>
        <w:autoSpaceDE w:val="0"/>
        <w:autoSpaceDN w:val="0"/>
        <w:adjustRightInd w:val="0"/>
        <w:spacing w:after="0" w:line="240" w:lineRule="auto"/>
        <w:rPr>
          <w:rFonts w:ascii="Times New Roman" w:hAnsi="Times New Roman"/>
          <w:lang w:eastAsia="sk-SK"/>
        </w:rPr>
      </w:pPr>
    </w:p>
    <w:p w:rsidR="00A86378" w:rsidRPr="000A2C53" w:rsidRDefault="00A86378" w:rsidP="002F2DDB">
      <w:pPr>
        <w:autoSpaceDE w:val="0"/>
        <w:autoSpaceDN w:val="0"/>
        <w:adjustRightInd w:val="0"/>
        <w:spacing w:after="0" w:line="240" w:lineRule="auto"/>
        <w:rPr>
          <w:rFonts w:ascii="Times New Roman" w:hAnsi="Times New Roman"/>
          <w:i/>
          <w:lang w:eastAsia="sk-SK"/>
        </w:rPr>
      </w:pPr>
      <w:r w:rsidRPr="000A2C53">
        <w:rPr>
          <w:rFonts w:ascii="Times New Roman" w:hAnsi="Times New Roman"/>
          <w:bCs/>
          <w:i/>
          <w:lang w:eastAsia="sk-SK"/>
        </w:rPr>
        <w:t>Ako začať s užívaním Gentilionu</w:t>
      </w:r>
    </w:p>
    <w:p w:rsidR="00A86378" w:rsidRPr="000A2C53" w:rsidRDefault="00A86378" w:rsidP="002F2DDB">
      <w:pPr>
        <w:autoSpaceDE w:val="0"/>
        <w:autoSpaceDN w:val="0"/>
        <w:adjustRightInd w:val="0"/>
        <w:spacing w:after="0" w:line="240" w:lineRule="auto"/>
        <w:rPr>
          <w:rFonts w:ascii="Times New Roman" w:hAnsi="Times New Roman"/>
          <w:lang w:eastAsia="sk-SK"/>
        </w:rPr>
      </w:pPr>
    </w:p>
    <w:p w:rsidR="00A86378" w:rsidRPr="000A2C53" w:rsidRDefault="00A86378" w:rsidP="002F2DDB">
      <w:pPr>
        <w:autoSpaceDE w:val="0"/>
        <w:autoSpaceDN w:val="0"/>
        <w:adjustRightInd w:val="0"/>
        <w:spacing w:after="0" w:line="240" w:lineRule="auto"/>
        <w:ind w:left="567" w:hanging="567"/>
        <w:rPr>
          <w:rFonts w:ascii="Times New Roman" w:hAnsi="Times New Roman"/>
          <w:i/>
          <w:lang w:eastAsia="sk-SK"/>
        </w:rPr>
      </w:pPr>
      <w:r w:rsidRPr="000A2C53">
        <w:rPr>
          <w:rFonts w:ascii="Times New Roman" w:hAnsi="Times New Roman"/>
          <w:i/>
          <w:lang w:eastAsia="sk-SK"/>
        </w:rPr>
        <w:t>Bez predchádzajúceho užívania hormonálnej antikoncepcie v predošlom mesiaci</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Užívanie tabliet sa musí začať v 1. deň prirodzeného cyklu ženy (t.j. v prvý deň jej menštruačného</w:t>
      </w: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t>krvácania). Začať možno aj na 2. - 5. deň, ale v takýchto prípadoch sa odporúča počas prvých sedem</w:t>
      </w: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lastRenderedPageBreak/>
        <w:t xml:space="preserve">dní prvého cyklu použiť </w:t>
      </w:r>
      <w:proofErr w:type="spellStart"/>
      <w:r w:rsidRPr="000A2C53">
        <w:rPr>
          <w:rFonts w:ascii="Times New Roman" w:hAnsi="Times New Roman"/>
          <w:lang w:eastAsia="sk-SK"/>
        </w:rPr>
        <w:t>naviac</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bariérovú</w:t>
      </w:r>
      <w:proofErr w:type="spellEnd"/>
      <w:r w:rsidRPr="000A2C53">
        <w:rPr>
          <w:rFonts w:ascii="Times New Roman" w:hAnsi="Times New Roman"/>
          <w:lang w:eastAsia="sk-SK"/>
        </w:rPr>
        <w:t xml:space="preserve"> metódu antikoncepcie.</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i/>
          <w:lang w:eastAsia="sk-SK"/>
        </w:rPr>
      </w:pPr>
      <w:r w:rsidRPr="000A2C53">
        <w:rPr>
          <w:rFonts w:ascii="Times New Roman" w:hAnsi="Times New Roman"/>
          <w:i/>
          <w:lang w:eastAsia="sk-SK"/>
        </w:rPr>
        <w:t>Prechod z inej kombinovanej hormonálnej antikoncepcie (kombinovanej perorálnej antikoncepcie</w:t>
      </w:r>
    </w:p>
    <w:p w:rsidR="00A86378" w:rsidRPr="000A2C53" w:rsidRDefault="00A86378" w:rsidP="002F2DDB">
      <w:pPr>
        <w:spacing w:after="0" w:line="240" w:lineRule="auto"/>
        <w:ind w:left="567" w:hanging="567"/>
        <w:rPr>
          <w:rFonts w:ascii="Times New Roman" w:hAnsi="Times New Roman"/>
          <w:i/>
          <w:lang w:eastAsia="sk-SK"/>
        </w:rPr>
      </w:pPr>
      <w:r w:rsidRPr="000A2C53">
        <w:rPr>
          <w:rFonts w:ascii="Times New Roman" w:hAnsi="Times New Roman"/>
          <w:i/>
          <w:lang w:eastAsia="sk-SK"/>
        </w:rPr>
        <w:t>(</w:t>
      </w:r>
      <w:proofErr w:type="spellStart"/>
      <w:r w:rsidRPr="000A2C53">
        <w:rPr>
          <w:rFonts w:ascii="Times New Roman" w:hAnsi="Times New Roman"/>
          <w:i/>
          <w:lang w:eastAsia="sk-SK"/>
        </w:rPr>
        <w:t>combined</w:t>
      </w:r>
      <w:proofErr w:type="spellEnd"/>
      <w:r w:rsidRPr="000A2C53">
        <w:rPr>
          <w:rFonts w:ascii="Times New Roman" w:hAnsi="Times New Roman"/>
          <w:i/>
          <w:lang w:eastAsia="sk-SK"/>
        </w:rPr>
        <w:t xml:space="preserve"> oral </w:t>
      </w:r>
      <w:proofErr w:type="spellStart"/>
      <w:r w:rsidRPr="000A2C53">
        <w:rPr>
          <w:rFonts w:ascii="Times New Roman" w:hAnsi="Times New Roman"/>
          <w:i/>
          <w:lang w:eastAsia="sk-SK"/>
        </w:rPr>
        <w:t>contraceptive</w:t>
      </w:r>
      <w:proofErr w:type="spellEnd"/>
      <w:r w:rsidRPr="000A2C53">
        <w:rPr>
          <w:rFonts w:ascii="Times New Roman" w:hAnsi="Times New Roman"/>
          <w:i/>
          <w:lang w:eastAsia="sk-SK"/>
        </w:rPr>
        <w:t xml:space="preserve">, COC), vaginálneho krúžku alebo </w:t>
      </w:r>
      <w:proofErr w:type="spellStart"/>
      <w:r w:rsidRPr="000A2C53">
        <w:rPr>
          <w:rFonts w:ascii="Times New Roman" w:hAnsi="Times New Roman"/>
          <w:i/>
          <w:lang w:eastAsia="sk-SK"/>
        </w:rPr>
        <w:t>transdermálnej</w:t>
      </w:r>
      <w:proofErr w:type="spellEnd"/>
      <w:r w:rsidRPr="000A2C53">
        <w:rPr>
          <w:rFonts w:ascii="Times New Roman" w:hAnsi="Times New Roman"/>
          <w:i/>
          <w:lang w:eastAsia="sk-SK"/>
        </w:rPr>
        <w:t xml:space="preserve"> náplasti)</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Žena má začať užívať Gentilion nasledujúci deň po užití poslednej aktívnej tablety jej predchádzajúceho balenia kontraceptíva, ale najneskôr v deň, ktorý nasleduje po zvyčajnom intervale bez užívania tabliet alebo po intervale užívania tabliet s placebom jej predchádzajúceho COC. V prípade používania vaginálneho krúžku alebo </w:t>
      </w:r>
      <w:proofErr w:type="spellStart"/>
      <w:r w:rsidRPr="000A2C53">
        <w:rPr>
          <w:rFonts w:ascii="Times New Roman" w:hAnsi="Times New Roman"/>
          <w:lang w:eastAsia="sk-SK"/>
        </w:rPr>
        <w:t>transdermálnej</w:t>
      </w:r>
      <w:proofErr w:type="spellEnd"/>
      <w:r w:rsidRPr="000A2C53">
        <w:rPr>
          <w:rFonts w:ascii="Times New Roman" w:hAnsi="Times New Roman"/>
          <w:lang w:eastAsia="sk-SK"/>
        </w:rPr>
        <w:t xml:space="preserve"> náplasti má žena začať užívať Gentilion najlepšie v deň odstránenia, ale najneskôr v deň plánovanej ďalšej aplikácie.</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i/>
          <w:lang w:eastAsia="sk-SK"/>
        </w:rPr>
      </w:pPr>
      <w:r w:rsidRPr="000A2C53">
        <w:rPr>
          <w:rFonts w:ascii="Times New Roman" w:hAnsi="Times New Roman"/>
          <w:i/>
          <w:lang w:eastAsia="sk-SK"/>
        </w:rPr>
        <w:t>Prechod z metódy obsahujúcej iba gestagén (tableta obsahujúca iba gestagén, injekcia, implantát)</w:t>
      </w:r>
    </w:p>
    <w:p w:rsidR="00A86378" w:rsidRPr="000A2C53" w:rsidRDefault="00A86378" w:rsidP="002F2DDB">
      <w:pPr>
        <w:spacing w:after="0" w:line="240" w:lineRule="auto"/>
        <w:ind w:left="567" w:hanging="567"/>
        <w:rPr>
          <w:rFonts w:ascii="Times New Roman" w:hAnsi="Times New Roman"/>
          <w:i/>
          <w:lang w:eastAsia="sk-SK"/>
        </w:rPr>
      </w:pPr>
      <w:r w:rsidRPr="000A2C53">
        <w:rPr>
          <w:rFonts w:ascii="Times New Roman" w:hAnsi="Times New Roman"/>
          <w:i/>
          <w:lang w:eastAsia="sk-SK"/>
        </w:rPr>
        <w:t xml:space="preserve">alebo vnútromaternicového telieska uvoľňujúceho </w:t>
      </w:r>
      <w:proofErr w:type="spellStart"/>
      <w:r w:rsidRPr="000A2C53">
        <w:rPr>
          <w:rFonts w:ascii="Times New Roman" w:hAnsi="Times New Roman"/>
          <w:i/>
          <w:lang w:eastAsia="sk-SK"/>
        </w:rPr>
        <w:t>gestagén</w:t>
      </w:r>
      <w:proofErr w:type="spellEnd"/>
      <w:r w:rsidRPr="000A2C53">
        <w:rPr>
          <w:rFonts w:ascii="Times New Roman" w:hAnsi="Times New Roman"/>
          <w:i/>
          <w:lang w:eastAsia="sk-SK"/>
        </w:rPr>
        <w:t xml:space="preserve"> (</w:t>
      </w:r>
      <w:proofErr w:type="spellStart"/>
      <w:r w:rsidRPr="000A2C53">
        <w:rPr>
          <w:rFonts w:ascii="Times New Roman" w:hAnsi="Times New Roman"/>
          <w:i/>
          <w:lang w:eastAsia="sk-SK"/>
        </w:rPr>
        <w:t>intrauterine</w:t>
      </w:r>
      <w:proofErr w:type="spellEnd"/>
      <w:r w:rsidRPr="000A2C53">
        <w:rPr>
          <w:rFonts w:ascii="Times New Roman" w:hAnsi="Times New Roman"/>
          <w:i/>
          <w:lang w:eastAsia="sk-SK"/>
        </w:rPr>
        <w:t xml:space="preserve"> systém, (IUS))</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Žena môže prejsť z tablety obsahujúcej iba gestagén na užívanie Gentilionu kedykoľvek. Prvá tableta sa má užiť v deň, keď žena užila akúkoľvek tabletu obsahujúcu iba gestagén. Pri prechode z implantátu sa má začať s užívaním Gentilionu v deň jeho odstránenia. Pri prechode z injekcie sa má začať s užívaním Gentilionu v deň, kedy má byť aplikovaná ďalšia injekcia. Vo všetkých týchto prípadoch má byť žena poučená o používaní </w:t>
      </w:r>
      <w:proofErr w:type="spellStart"/>
      <w:r w:rsidRPr="000A2C53">
        <w:rPr>
          <w:rFonts w:ascii="Times New Roman" w:hAnsi="Times New Roman"/>
          <w:lang w:eastAsia="sk-SK"/>
        </w:rPr>
        <w:t>bariérovej</w:t>
      </w:r>
      <w:proofErr w:type="spellEnd"/>
      <w:r w:rsidRPr="000A2C53">
        <w:rPr>
          <w:rFonts w:ascii="Times New Roman" w:hAnsi="Times New Roman"/>
          <w:lang w:eastAsia="sk-SK"/>
        </w:rPr>
        <w:t xml:space="preserve"> antikoncepcie počas prvých 7 dní užívania tabliet.</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i/>
          <w:lang w:eastAsia="sk-SK"/>
        </w:rPr>
      </w:pPr>
      <w:r w:rsidRPr="000A2C53">
        <w:rPr>
          <w:rFonts w:ascii="Times New Roman" w:hAnsi="Times New Roman"/>
          <w:i/>
          <w:lang w:eastAsia="sk-SK"/>
        </w:rPr>
        <w:t>Užívanie po potrate v prvom trimestri</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Žena môže začať užívať antikoncepčné tablety okamžite. V tomto prípade nemusí používať ďalšie antikoncepčné opatrenia.</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i/>
          <w:lang w:eastAsia="sk-SK"/>
        </w:rPr>
      </w:pPr>
      <w:r w:rsidRPr="000A2C53">
        <w:rPr>
          <w:rFonts w:ascii="Times New Roman" w:hAnsi="Times New Roman"/>
          <w:i/>
          <w:lang w:eastAsia="sk-SK"/>
        </w:rPr>
        <w:t>Užívanie po pôrode alebo po potrate v druhom trimestri</w:t>
      </w: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t>Dojčiace ženy, pozri časť 4.6.</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Ženu treba poučiť, aby začala užívať tablety medzi 21. až 28. dňom po pôrode, ak nedojčí alebo po potrate v druhom trimestri. Ak začne neskôr, má byť poučená, aby používala navyše bariérovú antikoncepciu počas prvých 7 dní užívania tabliet. Ak však už predtým došlo k pohlavnému styku, musí sa pred začatím užívania tabliet vylúčiť gravidita alebo musí žena počkať na prvé menštruačné krvácanie.</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bCs/>
          <w:i/>
          <w:lang w:eastAsia="sk-SK"/>
        </w:rPr>
      </w:pPr>
      <w:r w:rsidRPr="000A2C53">
        <w:rPr>
          <w:rFonts w:ascii="Times New Roman" w:hAnsi="Times New Roman"/>
          <w:bCs/>
          <w:i/>
          <w:lang w:eastAsia="sk-SK"/>
        </w:rPr>
        <w:t>Postup pri vynechaní tabliet</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Ak sa užitie tablety oneskorí o </w:t>
      </w:r>
      <w:r w:rsidRPr="000A2C53">
        <w:rPr>
          <w:rFonts w:ascii="Times New Roman" w:hAnsi="Times New Roman"/>
          <w:bCs/>
          <w:lang w:eastAsia="sk-SK"/>
        </w:rPr>
        <w:t>menej ako 12 hodín</w:t>
      </w:r>
      <w:r w:rsidRPr="000A2C53">
        <w:rPr>
          <w:rFonts w:ascii="Times New Roman" w:hAnsi="Times New Roman"/>
          <w:lang w:eastAsia="sk-SK"/>
        </w:rPr>
        <w:t>, antikoncepčná ochrana nie je znížená. Používateľka musí užiť tabletu hneď ako si spomenie, a ďalšie tablety musí užiť vo zvyčajnom čase.</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Ak sa užitie tablety oneskorí o </w:t>
      </w:r>
      <w:r w:rsidRPr="000A2C53">
        <w:rPr>
          <w:rFonts w:ascii="Times New Roman" w:hAnsi="Times New Roman"/>
          <w:bCs/>
          <w:lang w:eastAsia="sk-SK"/>
        </w:rPr>
        <w:t>viac ako 12 hodín</w:t>
      </w:r>
      <w:r w:rsidRPr="000A2C53">
        <w:rPr>
          <w:rFonts w:ascii="Times New Roman" w:hAnsi="Times New Roman"/>
          <w:lang w:eastAsia="sk-SK"/>
        </w:rPr>
        <w:t>, antikoncepčná ochrana môže byť znížená. Postup pri vynechaní tabliet sa môže riadiť podľa nasledovných dvoch základných pravidiel:</w:t>
      </w:r>
    </w:p>
    <w:p w:rsidR="00A86378" w:rsidRPr="000A2C53" w:rsidRDefault="00A86378" w:rsidP="00F9203C">
      <w:pPr>
        <w:spacing w:after="0" w:line="240" w:lineRule="auto"/>
        <w:ind w:left="567" w:hanging="567"/>
        <w:rPr>
          <w:rFonts w:ascii="Times New Roman" w:hAnsi="Times New Roman"/>
          <w:lang w:eastAsia="sk-SK"/>
        </w:rPr>
      </w:pPr>
      <w:r w:rsidRPr="000A2C53">
        <w:rPr>
          <w:rFonts w:ascii="Times New Roman" w:hAnsi="Times New Roman"/>
          <w:lang w:eastAsia="sk-SK"/>
        </w:rPr>
        <w:t>1.</w:t>
      </w:r>
      <w:r w:rsidR="00903506">
        <w:rPr>
          <w:rFonts w:ascii="Times New Roman" w:hAnsi="Times New Roman"/>
          <w:lang w:eastAsia="sk-SK"/>
        </w:rPr>
        <w:tab/>
      </w:r>
      <w:r w:rsidRPr="000A2C53">
        <w:rPr>
          <w:rFonts w:ascii="Times New Roman" w:hAnsi="Times New Roman"/>
          <w:lang w:eastAsia="sk-SK"/>
        </w:rPr>
        <w:t>Užívanie tabliet sa nesmie nikdy prerušiť na dlhšie ako 7 dní.</w:t>
      </w:r>
    </w:p>
    <w:p w:rsidR="00A86378" w:rsidRPr="000A2C53" w:rsidRDefault="00A86378" w:rsidP="00F9203C">
      <w:pPr>
        <w:spacing w:after="0" w:line="240" w:lineRule="auto"/>
        <w:ind w:left="567" w:hanging="567"/>
        <w:rPr>
          <w:rFonts w:ascii="Times New Roman" w:hAnsi="Times New Roman"/>
          <w:lang w:eastAsia="sk-SK"/>
        </w:rPr>
      </w:pPr>
      <w:r w:rsidRPr="000A2C53">
        <w:rPr>
          <w:rFonts w:ascii="Times New Roman" w:hAnsi="Times New Roman"/>
          <w:lang w:eastAsia="sk-SK"/>
        </w:rPr>
        <w:t>2.</w:t>
      </w:r>
      <w:r w:rsidR="00903506">
        <w:rPr>
          <w:rFonts w:ascii="Times New Roman" w:hAnsi="Times New Roman"/>
          <w:lang w:eastAsia="sk-SK"/>
        </w:rPr>
        <w:tab/>
      </w:r>
      <w:r w:rsidRPr="000A2C53">
        <w:rPr>
          <w:rFonts w:ascii="Times New Roman" w:hAnsi="Times New Roman"/>
          <w:lang w:eastAsia="sk-SK"/>
        </w:rPr>
        <w:t xml:space="preserve">Na dosiahnutie zodpovedajúcej </w:t>
      </w:r>
      <w:proofErr w:type="spellStart"/>
      <w:r w:rsidRPr="000A2C53">
        <w:rPr>
          <w:rFonts w:ascii="Times New Roman" w:hAnsi="Times New Roman"/>
          <w:lang w:eastAsia="sk-SK"/>
        </w:rPr>
        <w:t>supresie</w:t>
      </w:r>
      <w:proofErr w:type="spellEnd"/>
      <w:r w:rsidRPr="000A2C53">
        <w:rPr>
          <w:rFonts w:ascii="Times New Roman" w:hAnsi="Times New Roman"/>
          <w:lang w:eastAsia="sk-SK"/>
        </w:rPr>
        <w:t xml:space="preserve"> osi </w:t>
      </w:r>
      <w:proofErr w:type="spellStart"/>
      <w:r w:rsidRPr="000A2C53">
        <w:rPr>
          <w:rFonts w:ascii="Times New Roman" w:hAnsi="Times New Roman"/>
          <w:lang w:eastAsia="sk-SK"/>
        </w:rPr>
        <w:t>hypotalamus-hypofýza-ováriá</w:t>
      </w:r>
      <w:proofErr w:type="spellEnd"/>
      <w:r w:rsidRPr="000A2C53">
        <w:rPr>
          <w:rFonts w:ascii="Times New Roman" w:hAnsi="Times New Roman"/>
          <w:lang w:eastAsia="sk-SK"/>
        </w:rPr>
        <w:t xml:space="preserve"> sa vyžaduje nepretržité sedemdňové užívanie tabliet. V súlade s tým sa v bežnej praxi môžu poskytnúť nasledovné odporúčania:</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overflowPunct w:val="0"/>
        <w:autoSpaceDE w:val="0"/>
        <w:autoSpaceDN w:val="0"/>
        <w:adjustRightInd w:val="0"/>
        <w:spacing w:after="0" w:line="240" w:lineRule="auto"/>
        <w:rPr>
          <w:rFonts w:ascii="Times New Roman" w:hAnsi="Times New Roman"/>
          <w:i/>
          <w:lang w:eastAsia="sk-SK"/>
        </w:rPr>
      </w:pPr>
      <w:r w:rsidRPr="000A2C53">
        <w:rPr>
          <w:rFonts w:ascii="Times New Roman" w:hAnsi="Times New Roman"/>
          <w:i/>
          <w:lang w:eastAsia="sk-SK"/>
        </w:rPr>
        <w:t>1.</w:t>
      </w:r>
      <w:r w:rsidR="00E155B9">
        <w:rPr>
          <w:rFonts w:ascii="Times New Roman" w:hAnsi="Times New Roman"/>
          <w:i/>
          <w:lang w:eastAsia="sk-SK"/>
        </w:rPr>
        <w:t xml:space="preserve"> </w:t>
      </w:r>
      <w:r w:rsidRPr="000A2C53">
        <w:rPr>
          <w:rFonts w:ascii="Times New Roman" w:hAnsi="Times New Roman"/>
          <w:i/>
          <w:lang w:eastAsia="sk-SK"/>
        </w:rPr>
        <w:t xml:space="preserve">Týždeň </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Používateľka musí užiť poslednú vynechanú tabletu hneď ako si spomenie, aj keby to znamenalo užitie dvoch tabliet súčasne. Potom pokračuje v užívaní tabliet vo zvyčajnom čase. </w:t>
      </w:r>
      <w:proofErr w:type="spellStart"/>
      <w:r w:rsidRPr="000A2C53">
        <w:rPr>
          <w:rFonts w:ascii="Times New Roman" w:hAnsi="Times New Roman"/>
          <w:lang w:eastAsia="sk-SK"/>
        </w:rPr>
        <w:t>Naviac</w:t>
      </w:r>
      <w:proofErr w:type="spellEnd"/>
      <w:r w:rsidRPr="000A2C53">
        <w:rPr>
          <w:rFonts w:ascii="Times New Roman" w:hAnsi="Times New Roman"/>
          <w:lang w:eastAsia="sk-SK"/>
        </w:rPr>
        <w:t xml:space="preserve"> je potrebné používať v nasledujúcich siedmich dňoch bariérovú antikoncepciu, akou je kondóm. Ak došlo v predchádzajúcich siedmich dňoch k pohlavnému styku, musí sa zvážiť možnosť gravidity. Čím viac tabliet sa vynechalo a čím viac sa vynechanie užitia blíži k fáze bez užívania tabliet, tým vyššie je riziko gravidity.</w:t>
      </w:r>
    </w:p>
    <w:p w:rsidR="00A86378" w:rsidRPr="000A2C53" w:rsidRDefault="00A86378" w:rsidP="002F2DDB">
      <w:pPr>
        <w:overflowPunct w:val="0"/>
        <w:autoSpaceDE w:val="0"/>
        <w:autoSpaceDN w:val="0"/>
        <w:adjustRightInd w:val="0"/>
        <w:spacing w:after="0" w:line="240" w:lineRule="auto"/>
        <w:rPr>
          <w:rFonts w:ascii="Times New Roman" w:hAnsi="Times New Roman"/>
          <w:lang w:eastAsia="sk-SK"/>
        </w:rPr>
      </w:pPr>
    </w:p>
    <w:p w:rsidR="00A86378" w:rsidRPr="000A2C53" w:rsidRDefault="00A86378" w:rsidP="002F2DDB">
      <w:pPr>
        <w:overflowPunct w:val="0"/>
        <w:autoSpaceDE w:val="0"/>
        <w:autoSpaceDN w:val="0"/>
        <w:adjustRightInd w:val="0"/>
        <w:spacing w:after="0" w:line="240" w:lineRule="auto"/>
        <w:rPr>
          <w:rFonts w:ascii="Times New Roman" w:hAnsi="Times New Roman"/>
          <w:i/>
          <w:lang w:eastAsia="sk-SK"/>
        </w:rPr>
      </w:pPr>
      <w:r w:rsidRPr="000A2C53">
        <w:rPr>
          <w:rFonts w:ascii="Times New Roman" w:hAnsi="Times New Roman"/>
          <w:i/>
          <w:lang w:eastAsia="sk-SK"/>
        </w:rPr>
        <w:t xml:space="preserve">2. Týždeň </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Používateľka musí užiť poslednú vynechanú tabletu hneď ako si spomenie, aj keby to znamenalo užitie dvoch tabliet súčasne. Potom pokračuje v užívaní tabliet vo zvyčajnom čase. Ak žena užívala tablety počas siedmich dní pred prvou vynechanou tabletou správne, ďalšie antikoncepčné opatrenia </w:t>
      </w:r>
      <w:r w:rsidRPr="000A2C53">
        <w:rPr>
          <w:rFonts w:ascii="Times New Roman" w:hAnsi="Times New Roman"/>
          <w:lang w:eastAsia="sk-SK"/>
        </w:rPr>
        <w:lastRenderedPageBreak/>
        <w:t>nie sú potrebné. Ak to tak nie je, alebo ak vynechala viac ako jednu tabletu, žena musí používať bariérovú metódu, napr. kondóm, počas nasledujúcich siedmich dní.</w:t>
      </w:r>
    </w:p>
    <w:p w:rsidR="00A86378" w:rsidRPr="000A2C53" w:rsidRDefault="00A86378" w:rsidP="002F2DDB">
      <w:pPr>
        <w:overflowPunct w:val="0"/>
        <w:autoSpaceDE w:val="0"/>
        <w:autoSpaceDN w:val="0"/>
        <w:adjustRightInd w:val="0"/>
        <w:spacing w:after="0" w:line="240" w:lineRule="auto"/>
        <w:rPr>
          <w:rFonts w:ascii="Times New Roman" w:hAnsi="Times New Roman"/>
          <w:lang w:eastAsia="sk-SK"/>
        </w:rPr>
      </w:pPr>
    </w:p>
    <w:p w:rsidR="00A86378" w:rsidRPr="000A2C53" w:rsidRDefault="00A86378" w:rsidP="002F2DDB">
      <w:pPr>
        <w:overflowPunct w:val="0"/>
        <w:autoSpaceDE w:val="0"/>
        <w:autoSpaceDN w:val="0"/>
        <w:adjustRightInd w:val="0"/>
        <w:spacing w:after="0" w:line="240" w:lineRule="auto"/>
        <w:rPr>
          <w:rFonts w:ascii="Times New Roman" w:hAnsi="Times New Roman"/>
          <w:i/>
          <w:lang w:eastAsia="sk-SK"/>
        </w:rPr>
      </w:pPr>
      <w:r w:rsidRPr="000A2C53">
        <w:rPr>
          <w:rFonts w:ascii="Times New Roman" w:hAnsi="Times New Roman"/>
          <w:i/>
          <w:lang w:eastAsia="sk-SK"/>
        </w:rPr>
        <w:t>3.</w:t>
      </w:r>
      <w:r w:rsidR="00E155B9">
        <w:rPr>
          <w:rFonts w:ascii="Times New Roman" w:hAnsi="Times New Roman"/>
          <w:i/>
          <w:lang w:eastAsia="sk-SK"/>
        </w:rPr>
        <w:t xml:space="preserve"> </w:t>
      </w:r>
      <w:r w:rsidRPr="000A2C53">
        <w:rPr>
          <w:rFonts w:ascii="Times New Roman" w:hAnsi="Times New Roman"/>
          <w:i/>
          <w:lang w:eastAsia="sk-SK"/>
        </w:rPr>
        <w:t xml:space="preserve">Týždeň </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Vzhľadom na nastávajúcu fázu bez užívania tabliet je riziko zníženia spoľahlivosti antikoncepcie bezprostredné. Aj tak však možno upravením schémy užívania tabliet predísť zníženiu antikoncepčnej ochrany. Pri dodržaní niektorého z dvoch nasledovných možných postupov, nie je potrebné používať ďalšie antikoncepčné opatrenia za predpokladu, že počas siedmich dní pred vynechaním prvej tablety používateľka užila všetky tablety správne. Ak to tak nie je, musí používateľka zvoliť prvú z nasledovných dvoch možností a použiť navyše ďalšie antikoncepčné opatrenia počas nasledujúcich siedmich dní.</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pStyle w:val="Odsekzoznamu"/>
        <w:numPr>
          <w:ilvl w:val="0"/>
          <w:numId w:val="14"/>
        </w:numPr>
        <w:overflowPunct w:val="0"/>
        <w:autoSpaceDE w:val="0"/>
        <w:autoSpaceDN w:val="0"/>
        <w:adjustRightInd w:val="0"/>
        <w:spacing w:after="0" w:line="240" w:lineRule="auto"/>
        <w:ind w:left="567" w:hanging="283"/>
        <w:rPr>
          <w:rFonts w:ascii="Times New Roman" w:hAnsi="Times New Roman"/>
          <w:lang w:eastAsia="sk-SK"/>
        </w:rPr>
      </w:pPr>
      <w:r w:rsidRPr="000A2C53">
        <w:rPr>
          <w:rFonts w:ascii="Times New Roman" w:hAnsi="Times New Roman"/>
          <w:lang w:eastAsia="sk-SK"/>
        </w:rPr>
        <w:t>Používateľka musí užiť poslednú vynechanú tabletu hneď, ako si spomenie, aj keby to znamenalo užitie dvoch tabliet súčasne. Potom pokračuje v užívaní tabliet vo zvyčajnom čase. Žena začne užívať tablety z nasledujúceho blistrového balenia okamžite potom, ako užila poslednú tabletu zo súčasného balenia; to znamená, že medzi baleniami nie je žiadna prestávka. Krvácanie z vysadenia sa pravdepodobne nedostaví pred doužívaním všetkých tabliet z druhého blistra, ale počas užívania tabliet môže nastať špinenie alebo medzimenštruačné krvácanie.</w:t>
      </w:r>
    </w:p>
    <w:p w:rsidR="00A86378" w:rsidRPr="000A2C53" w:rsidRDefault="00A86378" w:rsidP="003A2D46">
      <w:pPr>
        <w:spacing w:after="0" w:line="240" w:lineRule="auto"/>
        <w:ind w:left="567" w:hanging="283"/>
        <w:rPr>
          <w:rFonts w:ascii="Times New Roman" w:hAnsi="Times New Roman"/>
          <w:lang w:eastAsia="sk-SK"/>
        </w:rPr>
      </w:pPr>
    </w:p>
    <w:p w:rsidR="00A86378" w:rsidRPr="000A2C53" w:rsidRDefault="00A86378" w:rsidP="003A2D46">
      <w:pPr>
        <w:pStyle w:val="Odsekzoznamu"/>
        <w:numPr>
          <w:ilvl w:val="0"/>
          <w:numId w:val="14"/>
        </w:numPr>
        <w:overflowPunct w:val="0"/>
        <w:autoSpaceDE w:val="0"/>
        <w:autoSpaceDN w:val="0"/>
        <w:adjustRightInd w:val="0"/>
        <w:spacing w:after="0" w:line="240" w:lineRule="auto"/>
        <w:ind w:left="567" w:hanging="283"/>
        <w:rPr>
          <w:rFonts w:ascii="Times New Roman" w:hAnsi="Times New Roman"/>
        </w:rPr>
      </w:pPr>
      <w:r w:rsidRPr="000A2C53">
        <w:rPr>
          <w:rFonts w:ascii="Times New Roman" w:hAnsi="Times New Roman"/>
          <w:lang w:eastAsia="sk-SK"/>
        </w:rPr>
        <w:t xml:space="preserve">Používateľke možno tiež poradiť, aby ukončila užívanie tabliet zo súčasne používaného blistrového balenia. </w:t>
      </w:r>
      <w:r w:rsidRPr="000A2C53">
        <w:rPr>
          <w:rFonts w:ascii="Times New Roman" w:hAnsi="Times New Roman"/>
        </w:rPr>
        <w:t>Tým jej vznikne interval bez užívania tabliet, najviac však siedmich dní vrátane dní, kedy sa tablety vynechali a následne začne užívať tablety z ďalšieho blistrového balenia.</w:t>
      </w:r>
    </w:p>
    <w:p w:rsidR="00A86378" w:rsidRPr="000A2C53" w:rsidRDefault="00A86378" w:rsidP="00F9203C">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Ak používateľka zabudne užiť tablety a následne sa nedostaví krvácanie z vysadenia v prvom normálnom intervale bez užívania tabliet, musí sa zvážiť možnosť gravidity.</w:t>
      </w:r>
    </w:p>
    <w:p w:rsidR="00A86378" w:rsidRPr="000A2C53" w:rsidRDefault="00A86378" w:rsidP="002F2DDB">
      <w:pPr>
        <w:spacing w:after="0" w:line="240" w:lineRule="auto"/>
        <w:rPr>
          <w:lang w:eastAsia="de-DE"/>
        </w:rPr>
      </w:pPr>
    </w:p>
    <w:p w:rsidR="00A86378" w:rsidRPr="000A2C53" w:rsidRDefault="00A86378" w:rsidP="002F2DDB">
      <w:pPr>
        <w:spacing w:after="0" w:line="240" w:lineRule="auto"/>
        <w:rPr>
          <w:rFonts w:ascii="Times New Roman" w:hAnsi="Times New Roman"/>
          <w:bCs/>
          <w:i/>
          <w:lang w:eastAsia="sk-SK"/>
        </w:rPr>
      </w:pPr>
      <w:r w:rsidRPr="000A2C53">
        <w:rPr>
          <w:rFonts w:ascii="Times New Roman" w:hAnsi="Times New Roman"/>
          <w:bCs/>
          <w:i/>
          <w:lang w:eastAsia="sk-SK"/>
        </w:rPr>
        <w:t>Postup v prípade gastrointestinálnych ťažkostí</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V prípade závažných gastrointestinálnych ťažkostí (napr. vracania alebo hnačky) nemusí byť vstrebávanie úplné a musia sa použiť ďalšie antikoncepčné opatrenia. Ak počas 3-4 hodín po užití tablety dôjde k vracaniu, musí sa čo najskôr užiť nová (náhradná) tableta. Ak je to možné, nová tableta sa má užiť do 12 hodín od zvyčajného času užívania tablety. V prípade, že uplynulo viac ako 12 hodín, ohľadom vynechaných tabliet sa postupuje podľa pokynov, uvedených v časti 4.2 „Postup pri vynechaní tabliet“. Ak používateľka nechce meniť zvyčajnú schému užívania tabliet, musí užiť </w:t>
      </w:r>
      <w:proofErr w:type="spellStart"/>
      <w:r w:rsidRPr="000A2C53">
        <w:rPr>
          <w:rFonts w:ascii="Times New Roman" w:hAnsi="Times New Roman"/>
          <w:lang w:eastAsia="sk-SK"/>
        </w:rPr>
        <w:t>naviac</w:t>
      </w:r>
      <w:proofErr w:type="spellEnd"/>
      <w:r w:rsidRPr="000A2C53">
        <w:rPr>
          <w:rFonts w:ascii="Times New Roman" w:hAnsi="Times New Roman"/>
          <w:lang w:eastAsia="sk-SK"/>
        </w:rPr>
        <w:t xml:space="preserve"> tabletu (tablety) z ďalšieho blistrového balenia.</w:t>
      </w:r>
    </w:p>
    <w:p w:rsidR="00A86378" w:rsidRPr="000A2C53" w:rsidRDefault="00A86378" w:rsidP="002F2DDB">
      <w:pPr>
        <w:keepNext/>
        <w:keepLines/>
        <w:spacing w:after="0" w:line="240" w:lineRule="auto"/>
        <w:rPr>
          <w:rFonts w:ascii="Times New Roman" w:hAnsi="Times New Roman"/>
          <w:b/>
          <w:bCs/>
          <w:lang w:eastAsia="de-DE"/>
        </w:rPr>
      </w:pPr>
    </w:p>
    <w:p w:rsidR="00A86378" w:rsidRPr="000A2C53" w:rsidRDefault="00A86378" w:rsidP="002F2DDB">
      <w:pPr>
        <w:spacing w:after="0" w:line="240" w:lineRule="auto"/>
        <w:rPr>
          <w:rFonts w:ascii="Times New Roman" w:hAnsi="Times New Roman"/>
          <w:bCs/>
          <w:i/>
          <w:lang w:eastAsia="sk-SK"/>
        </w:rPr>
      </w:pPr>
      <w:r w:rsidRPr="000A2C53">
        <w:rPr>
          <w:rFonts w:ascii="Times New Roman" w:hAnsi="Times New Roman"/>
          <w:bCs/>
          <w:i/>
          <w:lang w:eastAsia="sk-SK"/>
        </w:rPr>
        <w:t>Ako oddialiť krvácanie z vysadenia</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Ak si používateľka praje oddialiť menštruáciu, musí pokračovať v užívaní tabliet z ďalšieho blistrového balenia Gentilionu bez prestávky. Oddialiť menštruáciu možno na tak dlhý čas, ako si žena želá, až do doužívania tabliet z druhého balenia. Počas tohto času sa u používateľky môže objaviť medzimenštruačné krvácanie alebo špinenie. Po sedemdňovom intervale bez užívania tabliet sa potom obnoví pravidelné užívanie Gentilionu. </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Ak si používateľka praje presunúť menštruáciu na iný deň v týždni, než na aký je zvyknutá v doterajšej schéme užívania, možno jej odporučiť, aby skrátila nasledujúcu fázu bez užívania tabliet o toľko dní, o koľko si praje. Čím kratší bude interval, tým väčšie je riziko, že nedôjde ku krvácaniu z vysadenia a že počas užívania z nasledujúceho blistra sa vyskytne medzimenštruačné krvácanie a špinenie (podobne ako pri oddialení menštruácie).</w:t>
      </w:r>
    </w:p>
    <w:p w:rsidR="00A86378" w:rsidRPr="000A2C53" w:rsidRDefault="00A86378" w:rsidP="002F2DDB">
      <w:pPr>
        <w:spacing w:after="0" w:line="240" w:lineRule="auto"/>
        <w:rPr>
          <w:rFonts w:ascii="Times New Roman" w:hAnsi="Times New Roman"/>
          <w:bCs/>
          <w:u w:val="single"/>
          <w:lang w:eastAsia="sk-SK"/>
        </w:rPr>
      </w:pPr>
    </w:p>
    <w:p w:rsidR="00A86378" w:rsidRPr="000A2C53" w:rsidRDefault="00A86378" w:rsidP="002F2DDB">
      <w:pPr>
        <w:spacing w:after="0" w:line="240" w:lineRule="auto"/>
        <w:rPr>
          <w:rFonts w:ascii="Times New Roman" w:hAnsi="Times New Roman"/>
          <w:bCs/>
          <w:u w:val="single"/>
          <w:lang w:eastAsia="sk-SK"/>
        </w:rPr>
      </w:pPr>
      <w:r w:rsidRPr="000A2C53">
        <w:rPr>
          <w:rFonts w:ascii="Times New Roman" w:hAnsi="Times New Roman"/>
          <w:bCs/>
          <w:u w:val="single"/>
          <w:lang w:eastAsia="sk-SK"/>
        </w:rPr>
        <w:t>Spôsob podávania</w:t>
      </w:r>
    </w:p>
    <w:p w:rsidR="00A86378" w:rsidRPr="000A2C53" w:rsidRDefault="00A86378" w:rsidP="002F2DDB">
      <w:pPr>
        <w:spacing w:after="0" w:line="240" w:lineRule="auto"/>
        <w:rPr>
          <w:rFonts w:ascii="Times New Roman" w:hAnsi="Times New Roman"/>
          <w:bCs/>
          <w:lang w:eastAsia="sk-SK"/>
        </w:rPr>
      </w:pPr>
      <w:r w:rsidRPr="000A2C53">
        <w:rPr>
          <w:rFonts w:ascii="Times New Roman" w:hAnsi="Times New Roman"/>
          <w:bCs/>
          <w:lang w:eastAsia="sk-SK"/>
        </w:rPr>
        <w:t>Na perorálne použitie.</w:t>
      </w:r>
    </w:p>
    <w:p w:rsidR="00A86378" w:rsidRPr="000A2C53" w:rsidRDefault="00A86378" w:rsidP="002F2DDB">
      <w:pPr>
        <w:spacing w:after="0" w:line="240" w:lineRule="auto"/>
        <w:rPr>
          <w:lang w:eastAsia="de-DE"/>
        </w:rPr>
      </w:pPr>
    </w:p>
    <w:p w:rsidR="00A86378" w:rsidRPr="000A2C53" w:rsidRDefault="00A86378" w:rsidP="003A2D46">
      <w:pPr>
        <w:tabs>
          <w:tab w:val="left" w:pos="567"/>
          <w:tab w:val="left" w:pos="709"/>
        </w:tabs>
        <w:spacing w:after="0" w:line="240" w:lineRule="auto"/>
        <w:rPr>
          <w:rFonts w:ascii="Times New Roman" w:hAnsi="Times New Roman"/>
          <w:b/>
          <w:bCs/>
          <w:lang w:eastAsia="sk-SK"/>
        </w:rPr>
      </w:pPr>
      <w:r w:rsidRPr="000A2C53">
        <w:rPr>
          <w:rFonts w:ascii="Times New Roman" w:hAnsi="Times New Roman"/>
          <w:b/>
          <w:bCs/>
          <w:lang w:eastAsia="sk-SK"/>
        </w:rPr>
        <w:t>4.3</w:t>
      </w:r>
      <w:r w:rsidRPr="000A2C53">
        <w:rPr>
          <w:rFonts w:ascii="Times New Roman" w:hAnsi="Times New Roman"/>
          <w:b/>
          <w:bCs/>
          <w:lang w:eastAsia="sk-SK"/>
        </w:rPr>
        <w:tab/>
        <w:t>Kontraindikácie</w:t>
      </w:r>
    </w:p>
    <w:p w:rsidR="00A86378" w:rsidRPr="000A2C53" w:rsidRDefault="00A86378" w:rsidP="002F2DDB">
      <w:pPr>
        <w:tabs>
          <w:tab w:val="left" w:pos="709"/>
        </w:tabs>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Precitlivenosť na liečivá alebo na ktorúkoľvek z pomocných látok uvedených v časti 6.1. </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Kombinovan</w:t>
      </w:r>
      <w:r w:rsidR="00CC48F2">
        <w:rPr>
          <w:rFonts w:ascii="Times New Roman" w:hAnsi="Times New Roman"/>
          <w:lang w:eastAsia="sk-SK"/>
        </w:rPr>
        <w:t>á</w:t>
      </w:r>
      <w:r w:rsidRPr="000A2C53">
        <w:rPr>
          <w:rFonts w:ascii="Times New Roman" w:hAnsi="Times New Roman"/>
          <w:lang w:eastAsia="sk-SK"/>
        </w:rPr>
        <w:t xml:space="preserve"> hormonáln</w:t>
      </w:r>
      <w:r w:rsidR="00CC48F2">
        <w:rPr>
          <w:rFonts w:ascii="Times New Roman" w:hAnsi="Times New Roman"/>
          <w:lang w:eastAsia="sk-SK"/>
        </w:rPr>
        <w:t>a</w:t>
      </w:r>
      <w:r w:rsidRPr="000A2C53">
        <w:rPr>
          <w:rFonts w:ascii="Times New Roman" w:hAnsi="Times New Roman"/>
          <w:lang w:eastAsia="sk-SK"/>
        </w:rPr>
        <w:t xml:space="preserve"> antikoncepci</w:t>
      </w:r>
      <w:r w:rsidR="00CC48F2">
        <w:rPr>
          <w:rFonts w:ascii="Times New Roman" w:hAnsi="Times New Roman"/>
          <w:lang w:eastAsia="sk-SK"/>
        </w:rPr>
        <w:t>a</w:t>
      </w:r>
      <w:r w:rsidRPr="000A2C53">
        <w:rPr>
          <w:rFonts w:ascii="Times New Roman" w:hAnsi="Times New Roman"/>
          <w:lang w:eastAsia="sk-SK"/>
        </w:rPr>
        <w:t xml:space="preserve"> (</w:t>
      </w:r>
      <w:proofErr w:type="spellStart"/>
      <w:r w:rsidRPr="000A2C53">
        <w:rPr>
          <w:rFonts w:ascii="Times New Roman" w:hAnsi="Times New Roman"/>
          <w:lang w:eastAsia="sk-SK"/>
        </w:rPr>
        <w:t>combined</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hormonal</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contraceptives</w:t>
      </w:r>
      <w:proofErr w:type="spellEnd"/>
      <w:r w:rsidRPr="000A2C53">
        <w:rPr>
          <w:rFonts w:ascii="Times New Roman" w:hAnsi="Times New Roman"/>
          <w:lang w:eastAsia="sk-SK"/>
        </w:rPr>
        <w:t xml:space="preserve">, CHC) </w:t>
      </w:r>
      <w:r w:rsidR="00CC48F2">
        <w:rPr>
          <w:rFonts w:ascii="Times New Roman" w:hAnsi="Times New Roman"/>
          <w:lang w:eastAsia="sk-SK"/>
        </w:rPr>
        <w:t>sa nemá</w:t>
      </w:r>
      <w:r w:rsidR="00CC48F2" w:rsidRPr="000A2C53">
        <w:rPr>
          <w:rFonts w:ascii="Times New Roman" w:hAnsi="Times New Roman"/>
          <w:lang w:eastAsia="sk-SK"/>
        </w:rPr>
        <w:t xml:space="preserve"> </w:t>
      </w:r>
      <w:r w:rsidRPr="000A2C53">
        <w:rPr>
          <w:rFonts w:ascii="Times New Roman" w:hAnsi="Times New Roman"/>
          <w:lang w:eastAsia="sk-SK"/>
        </w:rPr>
        <w:t>užívať v </w:t>
      </w:r>
      <w:r w:rsidR="00CC48F2">
        <w:rPr>
          <w:rFonts w:ascii="Times New Roman" w:hAnsi="Times New Roman"/>
          <w:lang w:eastAsia="sk-SK"/>
        </w:rPr>
        <w:t>nasledujúcich podmienkach</w:t>
      </w:r>
      <w:r w:rsidR="00C254A8">
        <w:rPr>
          <w:rFonts w:ascii="Times New Roman" w:hAnsi="Times New Roman"/>
          <w:lang w:eastAsia="sk-SK"/>
        </w:rPr>
        <w:t>:</w:t>
      </w:r>
      <w:r w:rsidRPr="000A2C53">
        <w:rPr>
          <w:rFonts w:ascii="Times New Roman" w:hAnsi="Times New Roman"/>
          <w:lang w:eastAsia="sk-SK"/>
        </w:rPr>
        <w:t xml:space="preserve"> </w:t>
      </w:r>
    </w:p>
    <w:p w:rsidR="00A86378" w:rsidRPr="000A2C53" w:rsidRDefault="00A86378" w:rsidP="002F2DDB">
      <w:pPr>
        <w:spacing w:after="0" w:line="240" w:lineRule="auto"/>
        <w:rPr>
          <w:rFonts w:ascii="Times New Roman" w:hAnsi="Times New Roman"/>
          <w:lang w:eastAsia="sk-SK"/>
        </w:rPr>
      </w:pPr>
    </w:p>
    <w:p w:rsidR="00A86378" w:rsidRPr="00F9203C" w:rsidRDefault="00A86378" w:rsidP="00F9203C">
      <w:pPr>
        <w:pStyle w:val="Odsekzoznamu"/>
        <w:numPr>
          <w:ilvl w:val="0"/>
          <w:numId w:val="18"/>
        </w:numPr>
        <w:autoSpaceDE w:val="0"/>
        <w:autoSpaceDN w:val="0"/>
        <w:adjustRightInd w:val="0"/>
        <w:spacing w:after="0" w:line="240" w:lineRule="auto"/>
        <w:ind w:left="567" w:hanging="567"/>
        <w:rPr>
          <w:rFonts w:ascii="Times New Roman" w:hAnsi="Times New Roman"/>
          <w:color w:val="000000"/>
          <w:lang w:eastAsia="sk-SK"/>
        </w:rPr>
      </w:pPr>
      <w:r w:rsidRPr="00F9203C">
        <w:rPr>
          <w:rFonts w:ascii="Times New Roman" w:hAnsi="Times New Roman"/>
          <w:color w:val="000000"/>
          <w:lang w:eastAsia="sk-SK"/>
        </w:rPr>
        <w:t xml:space="preserve">Prítomnosť alebo riziko vzniku venóznej </w:t>
      </w:r>
      <w:r w:rsidR="001F1823">
        <w:rPr>
          <w:rFonts w:ascii="Times New Roman" w:hAnsi="Times New Roman"/>
          <w:color w:val="000000"/>
          <w:lang w:eastAsia="sk-SK"/>
        </w:rPr>
        <w:t>tromboem</w:t>
      </w:r>
      <w:r w:rsidRPr="00F9203C">
        <w:rPr>
          <w:rFonts w:ascii="Times New Roman" w:hAnsi="Times New Roman"/>
          <w:color w:val="000000"/>
          <w:lang w:eastAsia="sk-SK"/>
        </w:rPr>
        <w:t xml:space="preserve">bólie (VTE)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Venózna </w:t>
      </w:r>
      <w:r w:rsidR="001F1823">
        <w:rPr>
          <w:rFonts w:ascii="Times New Roman" w:hAnsi="Times New Roman"/>
          <w:color w:val="000000"/>
          <w:lang w:eastAsia="sk-SK"/>
        </w:rPr>
        <w:t>tromboem</w:t>
      </w:r>
      <w:r w:rsidRPr="000A2C53">
        <w:rPr>
          <w:rFonts w:ascii="Times New Roman" w:hAnsi="Times New Roman"/>
          <w:color w:val="000000"/>
          <w:lang w:eastAsia="sk-SK"/>
        </w:rPr>
        <w:t>bólia - prítomná VTE (liečená antikoagulanciami) alebo v anamnéze (napr. trombóza hlbokých žíl [</w:t>
      </w:r>
      <w:proofErr w:type="spellStart"/>
      <w:r w:rsidRPr="000A2C53">
        <w:rPr>
          <w:rFonts w:ascii="Times New Roman" w:hAnsi="Times New Roman"/>
          <w:color w:val="000000"/>
          <w:lang w:eastAsia="sk-SK"/>
        </w:rPr>
        <w:t>deep</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venous</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thrombosis</w:t>
      </w:r>
      <w:proofErr w:type="spellEnd"/>
      <w:r w:rsidRPr="000A2C53">
        <w:rPr>
          <w:rFonts w:ascii="Times New Roman" w:hAnsi="Times New Roman"/>
          <w:color w:val="000000"/>
          <w:lang w:eastAsia="sk-SK"/>
        </w:rPr>
        <w:t>, DVT] alebo pľúcna embólia [</w:t>
      </w:r>
      <w:proofErr w:type="spellStart"/>
      <w:r w:rsidRPr="000A2C53">
        <w:rPr>
          <w:rFonts w:ascii="Times New Roman" w:hAnsi="Times New Roman"/>
          <w:color w:val="000000"/>
          <w:lang w:eastAsia="sk-SK"/>
        </w:rPr>
        <w:t>pulmonary</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embolism</w:t>
      </w:r>
      <w:proofErr w:type="spellEnd"/>
      <w:r w:rsidRPr="000A2C53">
        <w:rPr>
          <w:rFonts w:ascii="Times New Roman" w:hAnsi="Times New Roman"/>
          <w:color w:val="000000"/>
          <w:lang w:eastAsia="sk-SK"/>
        </w:rPr>
        <w:t xml:space="preserve">, PE]).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Známa dedičná alebo získaná predispozícia na vznik venóznej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bólie, ako napríklad rezistencia voči APC (vrátane faktora V </w:t>
      </w:r>
      <w:proofErr w:type="spellStart"/>
      <w:r w:rsidRPr="000A2C53">
        <w:rPr>
          <w:rFonts w:ascii="Times New Roman" w:hAnsi="Times New Roman"/>
          <w:color w:val="000000"/>
          <w:lang w:eastAsia="sk-SK"/>
        </w:rPr>
        <w:t>Leiden</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deficiencia</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antitrombínu-III</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deficiencia</w:t>
      </w:r>
      <w:proofErr w:type="spellEnd"/>
      <w:r w:rsidRPr="000A2C53">
        <w:rPr>
          <w:rFonts w:ascii="Times New Roman" w:hAnsi="Times New Roman"/>
          <w:color w:val="000000"/>
          <w:lang w:eastAsia="sk-SK"/>
        </w:rPr>
        <w:t xml:space="preserve"> proteínu C, </w:t>
      </w:r>
      <w:proofErr w:type="spellStart"/>
      <w:r w:rsidRPr="000A2C53">
        <w:rPr>
          <w:rFonts w:ascii="Times New Roman" w:hAnsi="Times New Roman"/>
          <w:color w:val="000000"/>
          <w:lang w:eastAsia="sk-SK"/>
        </w:rPr>
        <w:t>deficiencia</w:t>
      </w:r>
      <w:proofErr w:type="spellEnd"/>
      <w:r w:rsidRPr="000A2C53">
        <w:rPr>
          <w:rFonts w:ascii="Times New Roman" w:hAnsi="Times New Roman"/>
          <w:color w:val="000000"/>
          <w:lang w:eastAsia="sk-SK"/>
        </w:rPr>
        <w:t xml:space="preserve"> proteínu S.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Závažný chirurgický zákrok s dlhodobou </w:t>
      </w:r>
      <w:proofErr w:type="spellStart"/>
      <w:r w:rsidRPr="000A2C53">
        <w:rPr>
          <w:rFonts w:ascii="Times New Roman" w:hAnsi="Times New Roman"/>
          <w:color w:val="000000"/>
          <w:lang w:eastAsia="sk-SK"/>
        </w:rPr>
        <w:t>imobilizáciou</w:t>
      </w:r>
      <w:proofErr w:type="spellEnd"/>
      <w:r w:rsidRPr="000A2C53">
        <w:rPr>
          <w:rFonts w:ascii="Times New Roman" w:hAnsi="Times New Roman"/>
          <w:color w:val="000000"/>
          <w:lang w:eastAsia="sk-SK"/>
        </w:rPr>
        <w:t xml:space="preserve"> (pozri časť 4.4).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Vysoké riziko vzniku venóznej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bólie z dôvodu prítomnosti viacerých rizikových faktorov (pozri časť 4.4). </w:t>
      </w:r>
    </w:p>
    <w:p w:rsidR="00A86378" w:rsidRPr="00F9203C" w:rsidRDefault="00A86378" w:rsidP="00F9203C">
      <w:pPr>
        <w:pStyle w:val="Odsekzoznamu"/>
        <w:numPr>
          <w:ilvl w:val="0"/>
          <w:numId w:val="18"/>
        </w:numPr>
        <w:autoSpaceDE w:val="0"/>
        <w:autoSpaceDN w:val="0"/>
        <w:adjustRightInd w:val="0"/>
        <w:spacing w:after="0" w:line="240" w:lineRule="auto"/>
        <w:ind w:left="567" w:hanging="567"/>
        <w:rPr>
          <w:rFonts w:ascii="Times New Roman" w:hAnsi="Times New Roman"/>
          <w:color w:val="000000"/>
          <w:lang w:eastAsia="sk-SK"/>
        </w:rPr>
      </w:pPr>
      <w:r w:rsidRPr="00F9203C">
        <w:rPr>
          <w:rFonts w:ascii="Times New Roman" w:hAnsi="Times New Roman"/>
          <w:color w:val="000000"/>
          <w:lang w:eastAsia="sk-SK"/>
        </w:rPr>
        <w:t xml:space="preserve">Prítomnosť alebo riziko vzniku arteriálnej </w:t>
      </w:r>
      <w:r w:rsidR="001F1823">
        <w:rPr>
          <w:rFonts w:ascii="Times New Roman" w:hAnsi="Times New Roman"/>
          <w:color w:val="000000"/>
          <w:lang w:eastAsia="sk-SK"/>
        </w:rPr>
        <w:t>tromboem</w:t>
      </w:r>
      <w:r w:rsidRPr="00F9203C">
        <w:rPr>
          <w:rFonts w:ascii="Times New Roman" w:hAnsi="Times New Roman"/>
          <w:color w:val="000000"/>
          <w:lang w:eastAsia="sk-SK"/>
        </w:rPr>
        <w:t xml:space="preserve">bólie (ATE)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Arteriálna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bólia - prítomná arteriálna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bólia, arteriálna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bólia v anamnéze (napríklad infarkt myokardu) alebo stav, ktorý je jej skorým príznakom (napríklad </w:t>
      </w:r>
      <w:proofErr w:type="spellStart"/>
      <w:r w:rsidRPr="000A2C53">
        <w:rPr>
          <w:rFonts w:ascii="Times New Roman" w:hAnsi="Times New Roman"/>
          <w:color w:val="000000"/>
          <w:lang w:eastAsia="sk-SK"/>
        </w:rPr>
        <w:t>angina</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pectoris</w:t>
      </w:r>
      <w:proofErr w:type="spellEnd"/>
      <w:r w:rsidRPr="000A2C53">
        <w:rPr>
          <w:rFonts w:ascii="Times New Roman" w:hAnsi="Times New Roman"/>
          <w:color w:val="000000"/>
          <w:lang w:eastAsia="sk-SK"/>
        </w:rPr>
        <w:t xml:space="preserve">).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Cievne mozgové ochorenie - prítomná cievna mozgová príhoda, cievna mozgová príhoda v anamnéze alebo stav, ktorý je jej skorým príznakom (napríklad prechodný ischemický záchvat, TIA).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Známa vrodená alebo získaná predispozícia na vznik arteriálnej </w:t>
      </w:r>
      <w:proofErr w:type="spellStart"/>
      <w:r w:rsidR="001F1823">
        <w:rPr>
          <w:rFonts w:ascii="Times New Roman" w:hAnsi="Times New Roman"/>
          <w:color w:val="000000"/>
          <w:lang w:eastAsia="sk-SK"/>
        </w:rPr>
        <w:t>tromboem</w:t>
      </w:r>
      <w:r w:rsidRPr="000A2C53">
        <w:rPr>
          <w:rFonts w:ascii="Times New Roman" w:hAnsi="Times New Roman"/>
          <w:color w:val="000000"/>
          <w:lang w:eastAsia="sk-SK"/>
        </w:rPr>
        <w:t>bólie</w:t>
      </w:r>
      <w:proofErr w:type="spellEnd"/>
      <w:r w:rsidRPr="000A2C53">
        <w:rPr>
          <w:rFonts w:ascii="Times New Roman" w:hAnsi="Times New Roman"/>
          <w:color w:val="000000"/>
          <w:lang w:eastAsia="sk-SK"/>
        </w:rPr>
        <w:t xml:space="preserve">, ako napríklad </w:t>
      </w:r>
      <w:proofErr w:type="spellStart"/>
      <w:r w:rsidRPr="000A2C53">
        <w:rPr>
          <w:rFonts w:ascii="Times New Roman" w:hAnsi="Times New Roman"/>
          <w:color w:val="000000"/>
          <w:lang w:eastAsia="sk-SK"/>
        </w:rPr>
        <w:t>hyperhomocysteinémia</w:t>
      </w:r>
      <w:proofErr w:type="spellEnd"/>
      <w:r w:rsidRPr="000A2C53">
        <w:rPr>
          <w:rFonts w:ascii="Times New Roman" w:hAnsi="Times New Roman"/>
          <w:color w:val="000000"/>
          <w:lang w:eastAsia="sk-SK"/>
        </w:rPr>
        <w:t xml:space="preserve"> a </w:t>
      </w:r>
      <w:proofErr w:type="spellStart"/>
      <w:r w:rsidRPr="000A2C53">
        <w:rPr>
          <w:rFonts w:ascii="Times New Roman" w:hAnsi="Times New Roman"/>
          <w:color w:val="000000"/>
          <w:lang w:eastAsia="sk-SK"/>
        </w:rPr>
        <w:t>antifosfolipidové</w:t>
      </w:r>
      <w:proofErr w:type="spellEnd"/>
      <w:r w:rsidRPr="000A2C53">
        <w:rPr>
          <w:rFonts w:ascii="Times New Roman" w:hAnsi="Times New Roman"/>
          <w:color w:val="000000"/>
          <w:lang w:eastAsia="sk-SK"/>
        </w:rPr>
        <w:t xml:space="preserve"> protilátky (</w:t>
      </w:r>
      <w:proofErr w:type="spellStart"/>
      <w:r w:rsidRPr="000A2C53">
        <w:rPr>
          <w:rFonts w:ascii="Times New Roman" w:hAnsi="Times New Roman"/>
          <w:color w:val="000000"/>
          <w:lang w:eastAsia="sk-SK"/>
        </w:rPr>
        <w:t>antikardiolipínové</w:t>
      </w:r>
      <w:proofErr w:type="spellEnd"/>
      <w:r w:rsidRPr="000A2C53">
        <w:rPr>
          <w:rFonts w:ascii="Times New Roman" w:hAnsi="Times New Roman"/>
          <w:color w:val="000000"/>
          <w:lang w:eastAsia="sk-SK"/>
        </w:rPr>
        <w:t xml:space="preserve"> protilátky, </w:t>
      </w:r>
      <w:proofErr w:type="spellStart"/>
      <w:r w:rsidRPr="000A2C53">
        <w:rPr>
          <w:rFonts w:ascii="Times New Roman" w:hAnsi="Times New Roman"/>
          <w:color w:val="000000"/>
          <w:lang w:eastAsia="sk-SK"/>
        </w:rPr>
        <w:t>lupusové</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antikoagulancium</w:t>
      </w:r>
      <w:proofErr w:type="spellEnd"/>
      <w:r w:rsidRPr="000A2C53">
        <w:rPr>
          <w:rFonts w:ascii="Times New Roman" w:hAnsi="Times New Roman"/>
          <w:color w:val="000000"/>
          <w:lang w:eastAsia="sk-SK"/>
        </w:rPr>
        <w:t xml:space="preserve">).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Migréna s ložiskovými neurologickými symptómami v anamnéze. </w:t>
      </w:r>
    </w:p>
    <w:p w:rsidR="00A86378" w:rsidRDefault="00A86378" w:rsidP="00F9203C">
      <w:pPr>
        <w:autoSpaceDE w:val="0"/>
        <w:autoSpaceDN w:val="0"/>
        <w:adjustRightInd w:val="0"/>
        <w:spacing w:after="0" w:line="240" w:lineRule="auto"/>
        <w:ind w:left="1134" w:hanging="567"/>
        <w:rPr>
          <w:rFonts w:ascii="Times New Roman" w:hAnsi="Times New Roman"/>
          <w:color w:val="000000"/>
          <w:lang w:eastAsia="sk-SK"/>
        </w:rPr>
      </w:pPr>
      <w:r w:rsidRPr="000A2C53">
        <w:rPr>
          <w:rFonts w:ascii="Times New Roman" w:hAnsi="Times New Roman"/>
          <w:color w:val="000000"/>
          <w:lang w:eastAsia="sk-SK"/>
        </w:rPr>
        <w:t>○</w:t>
      </w:r>
      <w:r w:rsidRPr="000A2C53">
        <w:rPr>
          <w:rFonts w:ascii="Times New Roman" w:hAnsi="Times New Roman"/>
          <w:color w:val="000000"/>
          <w:lang w:eastAsia="sk-SK"/>
        </w:rPr>
        <w:tab/>
        <w:t xml:space="preserve">Vysoké riziko vzniku arteriálnej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bólie z dôvodu viacerých rizikových faktorov (pozri časť 4.4) alebo prítomnosti jedného závažného rizikového faktora, ako napríklad: </w:t>
      </w:r>
    </w:p>
    <w:p w:rsidR="00A86378" w:rsidRPr="000A2C53" w:rsidRDefault="00A86378" w:rsidP="002F2DDB">
      <w:pPr>
        <w:autoSpaceDE w:val="0"/>
        <w:autoSpaceDN w:val="0"/>
        <w:adjustRightInd w:val="0"/>
        <w:spacing w:after="0" w:line="240" w:lineRule="auto"/>
        <w:ind w:left="1134" w:firstLine="282"/>
        <w:rPr>
          <w:rFonts w:ascii="Times New Roman" w:hAnsi="Times New Roman"/>
          <w:color w:val="000000"/>
          <w:lang w:eastAsia="sk-SK"/>
        </w:rPr>
      </w:pPr>
      <w:r w:rsidRPr="000A2C53">
        <w:rPr>
          <w:rFonts w:ascii="Times New Roman" w:hAnsi="Times New Roman"/>
          <w:color w:val="000000"/>
          <w:lang w:eastAsia="sk-SK"/>
        </w:rPr>
        <w:t xml:space="preserve">-  diabetes </w:t>
      </w:r>
      <w:proofErr w:type="spellStart"/>
      <w:r w:rsidRPr="000A2C53">
        <w:rPr>
          <w:rFonts w:ascii="Times New Roman" w:hAnsi="Times New Roman"/>
          <w:color w:val="000000"/>
          <w:lang w:eastAsia="sk-SK"/>
        </w:rPr>
        <w:t>mellitus</w:t>
      </w:r>
      <w:proofErr w:type="spellEnd"/>
      <w:r w:rsidRPr="000A2C53">
        <w:rPr>
          <w:rFonts w:ascii="Times New Roman" w:hAnsi="Times New Roman"/>
          <w:color w:val="000000"/>
          <w:lang w:eastAsia="sk-SK"/>
        </w:rPr>
        <w:t xml:space="preserve"> s cievnymi symptómami</w:t>
      </w:r>
    </w:p>
    <w:p w:rsidR="00A86378" w:rsidRPr="000A2C53" w:rsidRDefault="00A86378" w:rsidP="002F2DDB">
      <w:pPr>
        <w:autoSpaceDE w:val="0"/>
        <w:autoSpaceDN w:val="0"/>
        <w:adjustRightInd w:val="0"/>
        <w:spacing w:after="0" w:line="240" w:lineRule="auto"/>
        <w:ind w:left="708" w:firstLine="708"/>
        <w:rPr>
          <w:rFonts w:ascii="Times New Roman" w:hAnsi="Times New Roman"/>
          <w:color w:val="000000"/>
          <w:lang w:eastAsia="sk-SK"/>
        </w:rPr>
      </w:pPr>
      <w:r w:rsidRPr="000A2C53">
        <w:rPr>
          <w:rFonts w:ascii="Times New Roman" w:hAnsi="Times New Roman"/>
          <w:color w:val="000000"/>
          <w:lang w:eastAsia="sk-SK"/>
        </w:rPr>
        <w:t>-  závažná hypertenzia</w:t>
      </w:r>
    </w:p>
    <w:p w:rsidR="00A86378" w:rsidRPr="000A2C53" w:rsidRDefault="00A86378" w:rsidP="002F2DDB">
      <w:pPr>
        <w:autoSpaceDE w:val="0"/>
        <w:autoSpaceDN w:val="0"/>
        <w:adjustRightInd w:val="0"/>
        <w:spacing w:after="0" w:line="240" w:lineRule="auto"/>
        <w:ind w:left="708" w:firstLine="708"/>
        <w:rPr>
          <w:rFonts w:ascii="Times New Roman" w:hAnsi="Times New Roman"/>
          <w:color w:val="000000"/>
          <w:lang w:eastAsia="sk-SK"/>
        </w:rPr>
      </w:pPr>
      <w:r w:rsidRPr="000A2C53">
        <w:rPr>
          <w:rFonts w:ascii="Times New Roman" w:hAnsi="Times New Roman"/>
          <w:color w:val="000000"/>
          <w:lang w:eastAsia="sk-SK"/>
        </w:rPr>
        <w:t xml:space="preserve">-  závažná </w:t>
      </w:r>
      <w:proofErr w:type="spellStart"/>
      <w:r w:rsidRPr="000A2C53">
        <w:rPr>
          <w:rFonts w:ascii="Times New Roman" w:hAnsi="Times New Roman"/>
          <w:color w:val="000000"/>
          <w:lang w:eastAsia="sk-SK"/>
        </w:rPr>
        <w:t>dyslipoproteinémia</w:t>
      </w:r>
      <w:proofErr w:type="spellEnd"/>
    </w:p>
    <w:p w:rsidR="00A86378" w:rsidRPr="00F9203C" w:rsidRDefault="00A86378" w:rsidP="00F9203C">
      <w:pPr>
        <w:pStyle w:val="Odsekzoznamu"/>
        <w:numPr>
          <w:ilvl w:val="0"/>
          <w:numId w:val="17"/>
        </w:numPr>
        <w:autoSpaceDE w:val="0"/>
        <w:autoSpaceDN w:val="0"/>
        <w:adjustRightInd w:val="0"/>
        <w:spacing w:after="0" w:line="240" w:lineRule="auto"/>
        <w:ind w:left="567" w:hanging="567"/>
        <w:rPr>
          <w:rFonts w:ascii="Times New Roman" w:hAnsi="Times New Roman"/>
          <w:color w:val="000000"/>
          <w:lang w:eastAsia="sk-SK"/>
        </w:rPr>
      </w:pPr>
      <w:proofErr w:type="spellStart"/>
      <w:r w:rsidRPr="00F9203C">
        <w:rPr>
          <w:rFonts w:ascii="Times New Roman" w:hAnsi="Times New Roman"/>
          <w:color w:val="000000"/>
          <w:lang w:eastAsia="sk-SK"/>
        </w:rPr>
        <w:t>Pankreatitída</w:t>
      </w:r>
      <w:proofErr w:type="spellEnd"/>
      <w:r w:rsidRPr="00F9203C">
        <w:rPr>
          <w:rFonts w:ascii="Times New Roman" w:hAnsi="Times New Roman"/>
          <w:color w:val="000000"/>
          <w:lang w:eastAsia="sk-SK"/>
        </w:rPr>
        <w:t xml:space="preserve"> alebo jej výskyt v</w:t>
      </w:r>
      <w:r w:rsidRPr="008219CC">
        <w:rPr>
          <w:rFonts w:ascii="Times New Roman" w:hAnsi="Times New Roman"/>
          <w:color w:val="000000"/>
          <w:lang w:eastAsia="sk-SK"/>
        </w:rPr>
        <w:t> </w:t>
      </w:r>
      <w:r w:rsidRPr="00F9203C">
        <w:rPr>
          <w:rFonts w:ascii="Times New Roman" w:hAnsi="Times New Roman"/>
          <w:color w:val="000000"/>
          <w:lang w:eastAsia="sk-SK"/>
        </w:rPr>
        <w:t>anamnéze v</w:t>
      </w:r>
      <w:r w:rsidRPr="008219CC">
        <w:rPr>
          <w:rFonts w:ascii="Times New Roman" w:hAnsi="Times New Roman"/>
          <w:color w:val="000000"/>
          <w:lang w:eastAsia="sk-SK"/>
        </w:rPr>
        <w:t> </w:t>
      </w:r>
      <w:r w:rsidRPr="00F9203C">
        <w:rPr>
          <w:rFonts w:ascii="Times New Roman" w:hAnsi="Times New Roman"/>
          <w:color w:val="000000"/>
          <w:lang w:eastAsia="sk-SK"/>
        </w:rPr>
        <w:t>spojení s</w:t>
      </w:r>
      <w:r w:rsidRPr="008219CC">
        <w:rPr>
          <w:rFonts w:ascii="Times New Roman" w:hAnsi="Times New Roman"/>
          <w:color w:val="000000"/>
          <w:lang w:eastAsia="sk-SK"/>
        </w:rPr>
        <w:t> </w:t>
      </w:r>
      <w:r w:rsidRPr="00F9203C">
        <w:rPr>
          <w:rFonts w:ascii="Times New Roman" w:hAnsi="Times New Roman"/>
          <w:color w:val="000000"/>
          <w:lang w:eastAsia="sk-SK"/>
        </w:rPr>
        <w:t xml:space="preserve">ťažkou </w:t>
      </w:r>
      <w:proofErr w:type="spellStart"/>
      <w:r w:rsidRPr="00F9203C">
        <w:rPr>
          <w:rFonts w:ascii="Times New Roman" w:hAnsi="Times New Roman"/>
          <w:color w:val="000000"/>
          <w:lang w:eastAsia="sk-SK"/>
        </w:rPr>
        <w:t>hypertriglyceridémiou</w:t>
      </w:r>
      <w:proofErr w:type="spellEnd"/>
    </w:p>
    <w:p w:rsidR="00A86378" w:rsidRDefault="00A86378" w:rsidP="00F9203C">
      <w:pPr>
        <w:numPr>
          <w:ilvl w:val="0"/>
          <w:numId w:val="16"/>
        </w:numPr>
        <w:overflowPunct w:val="0"/>
        <w:autoSpaceDE w:val="0"/>
        <w:autoSpaceDN w:val="0"/>
        <w:adjustRightInd w:val="0"/>
        <w:spacing w:after="0" w:line="240" w:lineRule="auto"/>
        <w:ind w:left="567" w:hanging="567"/>
        <w:rPr>
          <w:rFonts w:ascii="Times New Roman" w:hAnsi="Times New Roman"/>
          <w:lang w:eastAsia="sk-SK"/>
        </w:rPr>
      </w:pPr>
      <w:r w:rsidRPr="000A2C53">
        <w:rPr>
          <w:rFonts w:ascii="Times New Roman" w:hAnsi="Times New Roman"/>
          <w:lang w:eastAsia="sk-SK"/>
        </w:rPr>
        <w:t>Diagnostikované malignity závislé od pohlavných steroidov alebo podozrenie na ne (napr. pohlavných orgánov alebo prsníka)</w:t>
      </w:r>
    </w:p>
    <w:p w:rsidR="00A86378" w:rsidRDefault="00A86378" w:rsidP="00F9203C">
      <w:pPr>
        <w:numPr>
          <w:ilvl w:val="0"/>
          <w:numId w:val="16"/>
        </w:numPr>
        <w:overflowPunct w:val="0"/>
        <w:autoSpaceDE w:val="0"/>
        <w:autoSpaceDN w:val="0"/>
        <w:adjustRightInd w:val="0"/>
        <w:spacing w:after="0" w:line="240" w:lineRule="auto"/>
        <w:ind w:left="567" w:hanging="567"/>
        <w:rPr>
          <w:rFonts w:ascii="Times New Roman" w:hAnsi="Times New Roman"/>
          <w:lang w:eastAsia="sk-SK"/>
        </w:rPr>
      </w:pPr>
      <w:r w:rsidRPr="000A2C53">
        <w:rPr>
          <w:rFonts w:ascii="Times New Roman" w:hAnsi="Times New Roman"/>
          <w:lang w:eastAsia="sk-SK"/>
        </w:rPr>
        <w:t>Závažné ochorenie pečene, prítomné alebo v anamnéze, až do návratu pečeňových funkcií na normálne hodnoty</w:t>
      </w:r>
    </w:p>
    <w:p w:rsidR="00A86378" w:rsidRDefault="00A86378" w:rsidP="00F9203C">
      <w:pPr>
        <w:numPr>
          <w:ilvl w:val="0"/>
          <w:numId w:val="16"/>
        </w:numPr>
        <w:overflowPunct w:val="0"/>
        <w:autoSpaceDE w:val="0"/>
        <w:autoSpaceDN w:val="0"/>
        <w:adjustRightInd w:val="0"/>
        <w:spacing w:after="0" w:line="240" w:lineRule="auto"/>
        <w:ind w:left="567" w:hanging="567"/>
        <w:rPr>
          <w:rFonts w:ascii="Times New Roman" w:hAnsi="Times New Roman"/>
          <w:lang w:eastAsia="sk-SK"/>
        </w:rPr>
      </w:pPr>
      <w:r w:rsidRPr="000A2C53">
        <w:rPr>
          <w:rFonts w:ascii="Times New Roman" w:hAnsi="Times New Roman"/>
          <w:lang w:eastAsia="sk-SK"/>
        </w:rPr>
        <w:t>Diagnostikované alebo v anamnéze zistené benígne alebo malígne nádory pečene</w:t>
      </w:r>
    </w:p>
    <w:p w:rsidR="00D0379F" w:rsidRDefault="00A86378" w:rsidP="00D0379F">
      <w:pPr>
        <w:numPr>
          <w:ilvl w:val="0"/>
          <w:numId w:val="21"/>
        </w:numPr>
        <w:overflowPunct w:val="0"/>
        <w:autoSpaceDE w:val="0"/>
        <w:autoSpaceDN w:val="0"/>
        <w:adjustRightInd w:val="0"/>
        <w:spacing w:after="0" w:line="240" w:lineRule="auto"/>
        <w:ind w:left="567" w:hanging="567"/>
        <w:rPr>
          <w:rFonts w:ascii="Times New Roman" w:eastAsia="Times New Roman" w:hAnsi="Times New Roman"/>
          <w:lang w:eastAsia="sk-SK"/>
        </w:rPr>
      </w:pPr>
      <w:r w:rsidRPr="000A2C53">
        <w:rPr>
          <w:rFonts w:ascii="Times New Roman" w:hAnsi="Times New Roman"/>
          <w:lang w:eastAsia="sk-SK"/>
        </w:rPr>
        <w:t>Vaginálne krvácanie s nediagnostikovanou príčinou</w:t>
      </w:r>
      <w:r w:rsidR="00D0379F" w:rsidRPr="00D0379F">
        <w:rPr>
          <w:rFonts w:ascii="Times New Roman" w:eastAsia="Times New Roman" w:hAnsi="Times New Roman"/>
          <w:lang w:eastAsia="sk-SK"/>
        </w:rPr>
        <w:t xml:space="preserve"> </w:t>
      </w:r>
    </w:p>
    <w:p w:rsidR="00A86378" w:rsidRPr="00D0379F" w:rsidRDefault="00D0379F" w:rsidP="00D0379F">
      <w:pPr>
        <w:numPr>
          <w:ilvl w:val="0"/>
          <w:numId w:val="16"/>
        </w:numPr>
        <w:overflowPunct w:val="0"/>
        <w:autoSpaceDE w:val="0"/>
        <w:autoSpaceDN w:val="0"/>
        <w:adjustRightInd w:val="0"/>
        <w:spacing w:after="0" w:line="240" w:lineRule="auto"/>
        <w:ind w:left="567" w:hanging="567"/>
        <w:rPr>
          <w:rFonts w:ascii="Times New Roman" w:hAnsi="Times New Roman"/>
          <w:lang w:eastAsia="sk-SK"/>
        </w:rPr>
      </w:pPr>
      <w:r w:rsidRPr="00D0379F">
        <w:rPr>
          <w:rFonts w:ascii="Times New Roman" w:eastAsia="Times New Roman" w:hAnsi="Times New Roman"/>
          <w:lang w:eastAsia="sk-SK"/>
        </w:rPr>
        <w:t>Súbežné užívanie Gentilionu</w:t>
      </w:r>
      <w:r>
        <w:rPr>
          <w:rFonts w:ascii="Times New Roman" w:eastAsia="Times New Roman" w:hAnsi="Times New Roman"/>
          <w:lang w:eastAsia="sk-SK"/>
        </w:rPr>
        <w:t xml:space="preserve"> </w:t>
      </w:r>
      <w:r w:rsidRPr="00D0379F">
        <w:rPr>
          <w:rFonts w:ascii="Times New Roman" w:eastAsia="Times New Roman" w:hAnsi="Times New Roman"/>
          <w:lang w:eastAsia="sk-SK"/>
        </w:rPr>
        <w:t xml:space="preserve">s liekmi obsahujúcimi </w:t>
      </w:r>
      <w:proofErr w:type="spellStart"/>
      <w:r w:rsidRPr="00D0379F">
        <w:rPr>
          <w:rFonts w:ascii="Times New Roman" w:eastAsia="Times New Roman" w:hAnsi="Times New Roman"/>
          <w:lang w:eastAsia="sk-SK"/>
        </w:rPr>
        <w:t>ombitasvir</w:t>
      </w:r>
      <w:proofErr w:type="spellEnd"/>
      <w:r w:rsidRPr="00D0379F">
        <w:rPr>
          <w:rFonts w:ascii="Times New Roman" w:eastAsia="Times New Roman" w:hAnsi="Times New Roman"/>
          <w:lang w:eastAsia="sk-SK"/>
        </w:rPr>
        <w:t>/</w:t>
      </w:r>
      <w:proofErr w:type="spellStart"/>
      <w:r w:rsidRPr="00D0379F">
        <w:rPr>
          <w:rFonts w:ascii="Times New Roman" w:eastAsia="Times New Roman" w:hAnsi="Times New Roman"/>
          <w:lang w:eastAsia="sk-SK"/>
        </w:rPr>
        <w:t>paritaprevir</w:t>
      </w:r>
      <w:proofErr w:type="spellEnd"/>
      <w:r w:rsidRPr="00D0379F">
        <w:rPr>
          <w:rFonts w:ascii="Times New Roman" w:eastAsia="Times New Roman" w:hAnsi="Times New Roman"/>
          <w:lang w:eastAsia="sk-SK"/>
        </w:rPr>
        <w:t>/</w:t>
      </w:r>
      <w:proofErr w:type="spellStart"/>
      <w:r w:rsidRPr="00D0379F">
        <w:rPr>
          <w:rFonts w:ascii="Times New Roman" w:eastAsia="Times New Roman" w:hAnsi="Times New Roman"/>
          <w:lang w:eastAsia="sk-SK"/>
        </w:rPr>
        <w:t>ritonavir</w:t>
      </w:r>
      <w:proofErr w:type="spellEnd"/>
      <w:r w:rsidRPr="00D0379F">
        <w:rPr>
          <w:rFonts w:ascii="Times New Roman" w:eastAsia="Times New Roman" w:hAnsi="Times New Roman"/>
          <w:lang w:eastAsia="sk-SK"/>
        </w:rPr>
        <w:t xml:space="preserve"> a </w:t>
      </w:r>
      <w:proofErr w:type="spellStart"/>
      <w:r w:rsidRPr="00D0379F">
        <w:rPr>
          <w:rFonts w:ascii="Times New Roman" w:eastAsia="Times New Roman" w:hAnsi="Times New Roman"/>
          <w:lang w:eastAsia="sk-SK"/>
        </w:rPr>
        <w:t>dasabuvir</w:t>
      </w:r>
      <w:proofErr w:type="spellEnd"/>
      <w:r w:rsidRPr="00D0379F">
        <w:rPr>
          <w:rFonts w:ascii="Times New Roman" w:eastAsia="Times New Roman" w:hAnsi="Times New Roman"/>
          <w:lang w:eastAsia="sk-SK"/>
        </w:rPr>
        <w:t xml:space="preserve">  je kontraindikované</w:t>
      </w:r>
      <w:r w:rsidR="00233BBA">
        <w:rPr>
          <w:rFonts w:ascii="Times New Roman" w:eastAsia="Times New Roman" w:hAnsi="Times New Roman"/>
          <w:lang w:eastAsia="sk-SK"/>
        </w:rPr>
        <w:t xml:space="preserve"> </w:t>
      </w:r>
      <w:r w:rsidR="00233BBA" w:rsidRPr="00D0379F">
        <w:rPr>
          <w:rFonts w:ascii="Times New Roman" w:eastAsia="Times New Roman" w:hAnsi="Times New Roman"/>
          <w:lang w:eastAsia="sk-SK"/>
        </w:rPr>
        <w:t>(pozri časti 4.4 a 4.5)</w:t>
      </w:r>
      <w:r w:rsidRPr="00D0379F">
        <w:rPr>
          <w:rFonts w:ascii="Times New Roman" w:eastAsia="Times New Roman" w:hAnsi="Times New Roman"/>
          <w:lang w:eastAsia="sk-SK"/>
        </w:rPr>
        <w:t>.</w:t>
      </w:r>
    </w:p>
    <w:p w:rsidR="00A86378" w:rsidRPr="000A2C53" w:rsidRDefault="00A86378" w:rsidP="002F2DDB">
      <w:pPr>
        <w:tabs>
          <w:tab w:val="left" w:pos="708"/>
        </w:tabs>
        <w:spacing w:after="0" w:line="240" w:lineRule="auto"/>
        <w:rPr>
          <w:rFonts w:ascii="Times New Roman" w:hAnsi="Times New Roman"/>
          <w:lang w:eastAsia="de-DE"/>
        </w:rPr>
      </w:pPr>
    </w:p>
    <w:p w:rsidR="00A86378" w:rsidRPr="000A2C53" w:rsidRDefault="00A86378" w:rsidP="003A2D46">
      <w:pPr>
        <w:numPr>
          <w:ilvl w:val="1"/>
          <w:numId w:val="2"/>
        </w:numPr>
        <w:tabs>
          <w:tab w:val="clear" w:pos="720"/>
          <w:tab w:val="num" w:pos="567"/>
        </w:tabs>
        <w:overflowPunct w:val="0"/>
        <w:autoSpaceDE w:val="0"/>
        <w:autoSpaceDN w:val="0"/>
        <w:adjustRightInd w:val="0"/>
        <w:spacing w:after="0" w:line="240" w:lineRule="auto"/>
        <w:ind w:left="567" w:hanging="567"/>
        <w:rPr>
          <w:rFonts w:ascii="Times New Roman" w:hAnsi="Times New Roman"/>
          <w:b/>
          <w:bCs/>
          <w:lang w:eastAsia="sk-SK"/>
        </w:rPr>
      </w:pPr>
      <w:r w:rsidRPr="000A2C53">
        <w:rPr>
          <w:rFonts w:ascii="Times New Roman" w:hAnsi="Times New Roman"/>
          <w:b/>
          <w:bCs/>
          <w:lang w:eastAsia="sk-SK"/>
        </w:rPr>
        <w:t>Osobitné upozornenia a opatrenia pri používaní</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b/>
          <w:bCs/>
          <w:lang w:eastAsia="sk-SK"/>
        </w:rPr>
      </w:pPr>
      <w:r w:rsidRPr="000A2C53">
        <w:rPr>
          <w:rFonts w:ascii="Times New Roman" w:hAnsi="Times New Roman"/>
          <w:b/>
          <w:bCs/>
          <w:lang w:eastAsia="sk-SK"/>
        </w:rPr>
        <w:t>Upozornenia</w:t>
      </w:r>
    </w:p>
    <w:p w:rsidR="00A86378" w:rsidRPr="000A2C53" w:rsidRDefault="00A86378" w:rsidP="002F2DDB">
      <w:pPr>
        <w:tabs>
          <w:tab w:val="left" w:pos="709"/>
          <w:tab w:val="left" w:pos="964"/>
        </w:tabs>
        <w:spacing w:after="0" w:line="240" w:lineRule="auto"/>
        <w:rPr>
          <w:rFonts w:ascii="Times New Roman" w:hAnsi="Times New Roman"/>
          <w:lang w:eastAsia="sk-SK"/>
        </w:rPr>
      </w:pPr>
    </w:p>
    <w:p w:rsidR="00A86378" w:rsidRPr="000A2C53" w:rsidRDefault="00A86378" w:rsidP="002F2DDB">
      <w:pPr>
        <w:tabs>
          <w:tab w:val="left" w:pos="709"/>
          <w:tab w:val="left" w:pos="964"/>
        </w:tabs>
        <w:spacing w:after="0" w:line="240" w:lineRule="auto"/>
        <w:rPr>
          <w:rFonts w:ascii="Times New Roman" w:hAnsi="Times New Roman"/>
          <w:lang w:eastAsia="sk-SK"/>
        </w:rPr>
      </w:pPr>
      <w:r w:rsidRPr="000A2C53">
        <w:rPr>
          <w:rFonts w:ascii="Times New Roman" w:hAnsi="Times New Roman"/>
          <w:lang w:eastAsia="sk-SK"/>
        </w:rPr>
        <w:t>Ak je prítomný ktorýkoľvek zo stavov alebo rizikových faktorov uvedených nižšie, vhodnosť užívania Gentilionu</w:t>
      </w:r>
      <w:r>
        <w:rPr>
          <w:rFonts w:ascii="Times New Roman" w:hAnsi="Times New Roman"/>
          <w:lang w:eastAsia="sk-SK"/>
        </w:rPr>
        <w:t xml:space="preserve"> </w:t>
      </w:r>
      <w:r w:rsidRPr="000A2C53">
        <w:rPr>
          <w:rFonts w:ascii="Times New Roman" w:hAnsi="Times New Roman"/>
          <w:lang w:eastAsia="sk-SK"/>
        </w:rPr>
        <w:t>sa má s danou ženou prekonzultovať.</w:t>
      </w:r>
    </w:p>
    <w:p w:rsidR="00A86378" w:rsidRPr="000A2C53" w:rsidRDefault="00A86378" w:rsidP="002F2DDB">
      <w:pPr>
        <w:tabs>
          <w:tab w:val="left" w:pos="709"/>
          <w:tab w:val="left" w:pos="964"/>
        </w:tabs>
        <w:spacing w:after="0" w:line="240" w:lineRule="auto"/>
        <w:rPr>
          <w:rFonts w:ascii="Times New Roman" w:hAnsi="Times New Roman"/>
          <w:lang w:eastAsia="sk-SK"/>
        </w:rPr>
      </w:pPr>
    </w:p>
    <w:p w:rsidR="00A86378" w:rsidRPr="000A2C53" w:rsidRDefault="00A86378" w:rsidP="002F2DDB">
      <w:pPr>
        <w:tabs>
          <w:tab w:val="left" w:pos="709"/>
          <w:tab w:val="left" w:pos="964"/>
        </w:tabs>
        <w:spacing w:after="0" w:line="240" w:lineRule="auto"/>
        <w:rPr>
          <w:rFonts w:ascii="Times New Roman" w:hAnsi="Times New Roman"/>
          <w:lang w:eastAsia="sk-SK"/>
        </w:rPr>
      </w:pPr>
      <w:r w:rsidRPr="000A2C53">
        <w:rPr>
          <w:rFonts w:ascii="Times New Roman" w:hAnsi="Times New Roman"/>
          <w:lang w:eastAsia="sk-SK"/>
        </w:rPr>
        <w:t>Ženu treba upozorniť, že ak dôjde k zhoršeniu alebo prvému prejavu ktoréhokoľvek z týchto stavov alebo rizikových faktorov, má sa obrátiť na svojho lekára, ktorý určí, či má ukončiť používanie Gentilionu.</w:t>
      </w:r>
    </w:p>
    <w:p w:rsidR="00A86378" w:rsidRPr="000A2C53" w:rsidRDefault="00A86378" w:rsidP="002F2DDB">
      <w:pPr>
        <w:tabs>
          <w:tab w:val="left" w:pos="709"/>
          <w:tab w:val="left" w:pos="964"/>
        </w:tabs>
        <w:spacing w:after="0" w:line="240" w:lineRule="auto"/>
        <w:rPr>
          <w:rFonts w:ascii="Times New Roman" w:hAnsi="Times New Roman"/>
          <w:lang w:eastAsia="sk-SK"/>
        </w:rPr>
      </w:pPr>
    </w:p>
    <w:p w:rsidR="00A86378" w:rsidRPr="000A2C53" w:rsidRDefault="00A86378" w:rsidP="002F2DDB">
      <w:pPr>
        <w:tabs>
          <w:tab w:val="left" w:pos="709"/>
          <w:tab w:val="left" w:pos="964"/>
        </w:tabs>
        <w:spacing w:after="0" w:line="240" w:lineRule="auto"/>
        <w:rPr>
          <w:rFonts w:ascii="Times New Roman" w:hAnsi="Times New Roman"/>
          <w:lang w:eastAsia="sk-SK"/>
        </w:rPr>
      </w:pPr>
      <w:r w:rsidRPr="000A2C53">
        <w:rPr>
          <w:rFonts w:ascii="Times New Roman" w:hAnsi="Times New Roman"/>
          <w:lang w:eastAsia="sk-SK"/>
        </w:rPr>
        <w:t xml:space="preserve">V prípade </w:t>
      </w:r>
      <w:proofErr w:type="spellStart"/>
      <w:r w:rsidRPr="000A2C53">
        <w:rPr>
          <w:rFonts w:ascii="Times New Roman" w:hAnsi="Times New Roman"/>
          <w:lang w:eastAsia="sk-SK"/>
        </w:rPr>
        <w:t>suspektnej</w:t>
      </w:r>
      <w:proofErr w:type="spellEnd"/>
      <w:r w:rsidRPr="000A2C53">
        <w:rPr>
          <w:rFonts w:ascii="Times New Roman" w:hAnsi="Times New Roman"/>
          <w:lang w:eastAsia="sk-SK"/>
        </w:rPr>
        <w:t xml:space="preserve"> alebo potvrdenej VTE alebo ATE, užívanie kombinovanej hormonálnej antikoncepcie sa má ukončiť. Ak sa začne s </w:t>
      </w:r>
      <w:proofErr w:type="spellStart"/>
      <w:r w:rsidRPr="000A2C53">
        <w:rPr>
          <w:rFonts w:ascii="Times New Roman" w:hAnsi="Times New Roman"/>
          <w:lang w:eastAsia="sk-SK"/>
        </w:rPr>
        <w:t>antikoagulačnou</w:t>
      </w:r>
      <w:proofErr w:type="spellEnd"/>
      <w:r w:rsidRPr="000A2C53">
        <w:rPr>
          <w:rFonts w:ascii="Times New Roman" w:hAnsi="Times New Roman"/>
          <w:lang w:eastAsia="sk-SK"/>
        </w:rPr>
        <w:t xml:space="preserve"> liečbou, má sa začať s adekvátnou alternatívnou antikoncepciou kvôli </w:t>
      </w:r>
      <w:proofErr w:type="spellStart"/>
      <w:r w:rsidRPr="000A2C53">
        <w:rPr>
          <w:rFonts w:ascii="Times New Roman" w:hAnsi="Times New Roman"/>
          <w:lang w:eastAsia="sk-SK"/>
        </w:rPr>
        <w:t>teratogenite</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antikoagulačnej</w:t>
      </w:r>
      <w:proofErr w:type="spellEnd"/>
      <w:r w:rsidRPr="000A2C53">
        <w:rPr>
          <w:rFonts w:ascii="Times New Roman" w:hAnsi="Times New Roman"/>
          <w:lang w:eastAsia="sk-SK"/>
        </w:rPr>
        <w:t xml:space="preserve"> liečby (</w:t>
      </w:r>
      <w:proofErr w:type="spellStart"/>
      <w:r w:rsidRPr="000A2C53">
        <w:rPr>
          <w:rFonts w:ascii="Times New Roman" w:hAnsi="Times New Roman"/>
          <w:lang w:eastAsia="sk-SK"/>
        </w:rPr>
        <w:t>kumaríny</w:t>
      </w:r>
      <w:proofErr w:type="spellEnd"/>
      <w:r w:rsidRPr="000A2C53">
        <w:rPr>
          <w:rFonts w:ascii="Times New Roman" w:hAnsi="Times New Roman"/>
          <w:lang w:eastAsia="sk-SK"/>
        </w:rPr>
        <w:t>).</w:t>
      </w:r>
    </w:p>
    <w:p w:rsidR="00A86378" w:rsidRPr="000A2C53" w:rsidRDefault="00A86378" w:rsidP="002F2DDB">
      <w:pPr>
        <w:tabs>
          <w:tab w:val="left" w:pos="709"/>
          <w:tab w:val="left" w:pos="964"/>
        </w:tabs>
        <w:spacing w:after="0" w:line="240" w:lineRule="auto"/>
        <w:rPr>
          <w:rFonts w:ascii="Times New Roman" w:hAnsi="Times New Roman"/>
          <w:b/>
          <w:bCs/>
          <w:lang w:eastAsia="sk-SK"/>
        </w:rPr>
      </w:pPr>
    </w:p>
    <w:p w:rsidR="00A86378" w:rsidRPr="000A2C53" w:rsidRDefault="00A86378" w:rsidP="002F2DDB">
      <w:pPr>
        <w:tabs>
          <w:tab w:val="left" w:pos="709"/>
          <w:tab w:val="left" w:pos="964"/>
        </w:tabs>
        <w:spacing w:after="0" w:line="240" w:lineRule="auto"/>
        <w:rPr>
          <w:rFonts w:ascii="Times New Roman" w:hAnsi="Times New Roman"/>
          <w:b/>
          <w:bCs/>
          <w:lang w:eastAsia="sk-SK"/>
        </w:rPr>
      </w:pPr>
      <w:r w:rsidRPr="000A2C53">
        <w:rPr>
          <w:rFonts w:ascii="Times New Roman" w:hAnsi="Times New Roman"/>
          <w:b/>
          <w:bCs/>
          <w:lang w:eastAsia="sk-SK"/>
        </w:rPr>
        <w:t xml:space="preserve">Riziko vzniku venóznej </w:t>
      </w:r>
      <w:r w:rsidR="001F1823">
        <w:rPr>
          <w:rFonts w:ascii="Times New Roman" w:hAnsi="Times New Roman"/>
          <w:b/>
          <w:bCs/>
          <w:lang w:eastAsia="sk-SK"/>
        </w:rPr>
        <w:t>tromboem</w:t>
      </w:r>
      <w:r w:rsidRPr="000A2C53">
        <w:rPr>
          <w:rFonts w:ascii="Times New Roman" w:hAnsi="Times New Roman"/>
          <w:b/>
          <w:bCs/>
          <w:lang w:eastAsia="sk-SK"/>
        </w:rPr>
        <w:t>bólie (VTE)</w:t>
      </w:r>
    </w:p>
    <w:p w:rsidR="00A86378" w:rsidRPr="000A2C53" w:rsidRDefault="00A86378" w:rsidP="002F2DDB">
      <w:pPr>
        <w:tabs>
          <w:tab w:val="left" w:pos="709"/>
          <w:tab w:val="left" w:pos="964"/>
        </w:tabs>
        <w:spacing w:after="0" w:line="240" w:lineRule="auto"/>
        <w:rPr>
          <w:rFonts w:ascii="Times New Roman" w:hAnsi="Times New Roman"/>
          <w:b/>
          <w:bCs/>
          <w:lang w:eastAsia="sk-SK"/>
        </w:rPr>
      </w:pPr>
    </w:p>
    <w:p w:rsidR="00A86378" w:rsidRPr="000A2C53" w:rsidRDefault="00A86378" w:rsidP="002F2DDB">
      <w:pPr>
        <w:tabs>
          <w:tab w:val="left" w:pos="709"/>
          <w:tab w:val="left" w:pos="964"/>
        </w:tabs>
        <w:spacing w:after="0" w:line="240" w:lineRule="auto"/>
        <w:rPr>
          <w:rFonts w:ascii="Times New Roman" w:hAnsi="Times New Roman"/>
          <w:b/>
          <w:bCs/>
          <w:lang w:eastAsia="sk-SK"/>
        </w:rPr>
      </w:pPr>
      <w:r w:rsidRPr="000A2C53">
        <w:rPr>
          <w:rFonts w:ascii="Times New Roman" w:hAnsi="Times New Roman"/>
          <w:lang w:eastAsia="sk-SK"/>
        </w:rPr>
        <w:t xml:space="preserve">Používanie ktorejkoľvek kombinovanej hormonálnej antikoncepcie (CHC) zvyšuje riziko vzniku venóznej </w:t>
      </w:r>
      <w:r w:rsidR="001F1823">
        <w:rPr>
          <w:rFonts w:ascii="Times New Roman" w:hAnsi="Times New Roman"/>
          <w:lang w:eastAsia="sk-SK"/>
        </w:rPr>
        <w:t>tromboem</w:t>
      </w:r>
      <w:r w:rsidRPr="000A2C53">
        <w:rPr>
          <w:rFonts w:ascii="Times New Roman" w:hAnsi="Times New Roman"/>
          <w:lang w:eastAsia="sk-SK"/>
        </w:rPr>
        <w:t xml:space="preserve">bólie (VTE) v porovnaní s jej nepoužívaním. </w:t>
      </w:r>
      <w:r w:rsidRPr="000A2C53">
        <w:rPr>
          <w:rFonts w:ascii="Times New Roman" w:hAnsi="Times New Roman"/>
          <w:b/>
          <w:bCs/>
          <w:lang w:eastAsia="sk-SK"/>
        </w:rPr>
        <w:t xml:space="preserve">Lieky, ktoré obsahujú </w:t>
      </w:r>
      <w:proofErr w:type="spellStart"/>
      <w:r w:rsidRPr="000A2C53">
        <w:rPr>
          <w:rFonts w:ascii="Times New Roman" w:hAnsi="Times New Roman"/>
          <w:b/>
          <w:bCs/>
          <w:lang w:eastAsia="sk-SK"/>
        </w:rPr>
        <w:t>levonorgestrel</w:t>
      </w:r>
      <w:proofErr w:type="spellEnd"/>
      <w:r w:rsidRPr="000A2C53">
        <w:rPr>
          <w:rFonts w:ascii="Times New Roman" w:hAnsi="Times New Roman"/>
          <w:b/>
          <w:bCs/>
          <w:lang w:eastAsia="sk-SK"/>
        </w:rPr>
        <w:t xml:space="preserve">, </w:t>
      </w:r>
      <w:proofErr w:type="spellStart"/>
      <w:r w:rsidRPr="000A2C53">
        <w:rPr>
          <w:rFonts w:ascii="Times New Roman" w:hAnsi="Times New Roman"/>
          <w:b/>
          <w:bCs/>
          <w:lang w:eastAsia="sk-SK"/>
        </w:rPr>
        <w:t>norgestimát</w:t>
      </w:r>
      <w:proofErr w:type="spellEnd"/>
      <w:r w:rsidRPr="000A2C53">
        <w:rPr>
          <w:rFonts w:ascii="Times New Roman" w:hAnsi="Times New Roman"/>
          <w:b/>
          <w:bCs/>
          <w:lang w:eastAsia="sk-SK"/>
        </w:rPr>
        <w:t xml:space="preserve"> alebo </w:t>
      </w:r>
      <w:proofErr w:type="spellStart"/>
      <w:r w:rsidRPr="000A2C53">
        <w:rPr>
          <w:rFonts w:ascii="Times New Roman" w:hAnsi="Times New Roman"/>
          <w:b/>
          <w:bCs/>
          <w:lang w:eastAsia="sk-SK"/>
        </w:rPr>
        <w:t>noretisterón</w:t>
      </w:r>
      <w:proofErr w:type="spellEnd"/>
      <w:r w:rsidRPr="000A2C53">
        <w:rPr>
          <w:rFonts w:ascii="Times New Roman" w:hAnsi="Times New Roman"/>
          <w:b/>
          <w:bCs/>
          <w:lang w:eastAsia="sk-SK"/>
        </w:rPr>
        <w:t>, sú spojené s najnižším rizikom vzniku VTE. Iné lieky, ako je Gentilion, môžu mať toto riziko až dvojnásobne vyššie. Rozhodnutie používať ktorýkoľvek iný liek, ako liek s najnižším rizikom vzniku VTE, sa má urobiť len po konzultácii s danou ženou, aby sa zaručilo, že rozumie riziku vzniku VTE pri používaní Gentilionu, tomu, ako jej aktuálne rizikové faktory ovplyvňujú toto riziko, a že riziko vzniku VTE je najvyššie vždy v prvom roku používania. Sú taktiež aj určité dôkazy o tom, že sa toto riziko zvyšuje pri opätovnom začatí používania kombinovanej hormonálnej antikoncepcie po prerušení používania trvajúcom 4 týždne alebo dlhšie.</w:t>
      </w:r>
    </w:p>
    <w:p w:rsidR="00A86378" w:rsidRPr="000A2C53" w:rsidRDefault="00A86378" w:rsidP="002F2DDB">
      <w:pPr>
        <w:tabs>
          <w:tab w:val="left" w:pos="709"/>
          <w:tab w:val="left" w:pos="964"/>
        </w:tabs>
        <w:spacing w:after="0" w:line="240" w:lineRule="auto"/>
        <w:rPr>
          <w:rFonts w:ascii="Times New Roman" w:hAnsi="Times New Roman"/>
          <w:b/>
          <w:bCs/>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U približne 2 z 10 000 žien, ktoré nepoužívajú kombinovanú hormonálnu antikoncepciu a nie sú gravidné, vznikne VTE v priebehu jedného roka. Avšak u každej jednej ženy môže byť toto riziko oveľa vyššie v závislosti od prítomných rizikových faktorov (pozri nižšie).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Odhaduje sa</w:t>
      </w:r>
      <w:r w:rsidRPr="000A2C53">
        <w:rPr>
          <w:rFonts w:ascii="Times New Roman" w:hAnsi="Times New Roman"/>
          <w:color w:val="000000"/>
          <w:vertAlign w:val="superscript"/>
          <w:lang w:eastAsia="sk-SK"/>
        </w:rPr>
        <w:t>1</w:t>
      </w:r>
      <w:r w:rsidRPr="000A2C53">
        <w:rPr>
          <w:rFonts w:ascii="Times New Roman" w:hAnsi="Times New Roman"/>
          <w:color w:val="000000"/>
          <w:lang w:eastAsia="sk-SK"/>
        </w:rPr>
        <w:t xml:space="preserve">, že VTE sa vyskytne v priebehu jedného roka u 9 až 12 žien z 10 000 žien, ktoré používajú kombinovanú hormonálnu antikoncepciu obsahujúcu gestodén, v porovnaní s približne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6</w:t>
      </w:r>
      <w:r w:rsidRPr="000A2C53">
        <w:rPr>
          <w:rFonts w:ascii="Times New Roman" w:hAnsi="Times New Roman"/>
          <w:color w:val="000000"/>
          <w:vertAlign w:val="superscript"/>
          <w:lang w:eastAsia="sk-SK"/>
        </w:rPr>
        <w:t>2</w:t>
      </w:r>
      <w:r w:rsidRPr="000A2C53">
        <w:rPr>
          <w:rFonts w:ascii="Times New Roman" w:hAnsi="Times New Roman"/>
          <w:color w:val="000000"/>
          <w:lang w:eastAsia="sk-SK"/>
        </w:rPr>
        <w:t xml:space="preserve"> ženami, ktoré užívajú kombinovanú hormonálnu antikoncepciu obsahujúcu levonorgestrel.</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V oboch prípadoch je počet výskytov VTE za rok nižší ako počet očakávaný u žien počas gravidity alebo v období po pôrode.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tabs>
          <w:tab w:val="left" w:pos="709"/>
          <w:tab w:val="left" w:pos="964"/>
        </w:tabs>
        <w:spacing w:after="0" w:line="240" w:lineRule="auto"/>
        <w:rPr>
          <w:rFonts w:ascii="Times New Roman" w:hAnsi="Times New Roman"/>
          <w:color w:val="000000"/>
          <w:lang w:eastAsia="sk-SK"/>
        </w:rPr>
      </w:pPr>
      <w:r w:rsidRPr="000A2C53">
        <w:rPr>
          <w:rFonts w:ascii="Times New Roman" w:hAnsi="Times New Roman"/>
          <w:color w:val="000000"/>
          <w:lang w:eastAsia="sk-SK"/>
        </w:rPr>
        <w:t>VTE sa môže v 1 až 2 % prípadov skončiť smrťou.</w:t>
      </w:r>
    </w:p>
    <w:p w:rsidR="00A86378" w:rsidRPr="000A2C53" w:rsidRDefault="00A86378" w:rsidP="002F2DDB">
      <w:pPr>
        <w:tabs>
          <w:tab w:val="left" w:pos="709"/>
          <w:tab w:val="left" w:pos="964"/>
        </w:tabs>
        <w:spacing w:after="0" w:line="240" w:lineRule="auto"/>
        <w:rPr>
          <w:rFonts w:ascii="Times New Roman" w:hAnsi="Times New Roman"/>
          <w:b/>
          <w:bCs/>
          <w:lang w:eastAsia="sk-SK"/>
        </w:rPr>
      </w:pPr>
    </w:p>
    <w:p w:rsidR="00A86378" w:rsidRPr="000A2C53" w:rsidRDefault="00A86378" w:rsidP="002F2DDB">
      <w:pPr>
        <w:tabs>
          <w:tab w:val="left" w:pos="709"/>
          <w:tab w:val="left" w:pos="964"/>
        </w:tabs>
        <w:spacing w:after="0" w:line="240" w:lineRule="auto"/>
        <w:rPr>
          <w:rFonts w:ascii="Times New Roman" w:hAnsi="Times New Roman"/>
          <w:b/>
          <w:iCs/>
          <w:lang w:eastAsia="sk-SK"/>
        </w:rPr>
      </w:pPr>
      <w:r w:rsidRPr="000A2C53">
        <w:rPr>
          <w:rFonts w:ascii="Times New Roman" w:hAnsi="Times New Roman"/>
          <w:b/>
          <w:iCs/>
          <w:lang w:eastAsia="sk-SK"/>
        </w:rPr>
        <w:t>Počet prípadov VTE na 10 000 žien v priebehu jedného roka</w:t>
      </w:r>
    </w:p>
    <w:p w:rsidR="00A86378" w:rsidRPr="000A2C53" w:rsidRDefault="00A86378" w:rsidP="002F2DDB">
      <w:pPr>
        <w:tabs>
          <w:tab w:val="left" w:pos="709"/>
          <w:tab w:val="left" w:pos="964"/>
        </w:tabs>
        <w:spacing w:after="0" w:line="240" w:lineRule="auto"/>
        <w:rPr>
          <w:rFonts w:ascii="Times New Roman" w:hAnsi="Times New Roman"/>
          <w:color w:val="000000"/>
          <w:lang w:eastAsia="sk-SK"/>
        </w:rPr>
      </w:pPr>
    </w:p>
    <w:p w:rsidR="00A86378" w:rsidRPr="000A2C53" w:rsidRDefault="00E155B9" w:rsidP="002F2DDB">
      <w:pPr>
        <w:spacing w:after="0" w:line="240" w:lineRule="auto"/>
        <w:ind w:left="567" w:hanging="567"/>
        <w:rPr>
          <w:rFonts w:ascii="Times New Roman" w:hAnsi="Times New Roman"/>
          <w:lang w:eastAsia="sk-SK"/>
        </w:rPr>
      </w:pPr>
      <w:r>
        <w:rPr>
          <w:rFonts w:ascii="Times New Roman" w:hAnsi="Times New Roman"/>
          <w:noProof/>
          <w:lang w:eastAsia="sk-SK"/>
        </w:rPr>
        <w:drawing>
          <wp:inline distT="0" distB="0" distL="0" distR="0" wp14:anchorId="7047AB9F" wp14:editId="088FF6A4">
            <wp:extent cx="5589905" cy="3769995"/>
            <wp:effectExtent l="0" t="0" r="0" b="1905"/>
            <wp:docPr id="1" name="Picture 2" descr="gesto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stod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9905" cy="3769995"/>
                    </a:xfrm>
                    <a:prstGeom prst="rect">
                      <a:avLst/>
                    </a:prstGeom>
                    <a:noFill/>
                    <a:ln>
                      <a:noFill/>
                    </a:ln>
                  </pic:spPr>
                </pic:pic>
              </a:graphicData>
            </a:graphic>
          </wp:inline>
        </w:drawing>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2F2DDB">
      <w:pPr>
        <w:autoSpaceDE w:val="0"/>
        <w:autoSpaceDN w:val="0"/>
        <w:adjustRightInd w:val="0"/>
        <w:spacing w:after="0" w:line="240" w:lineRule="auto"/>
        <w:rPr>
          <w:rFonts w:ascii="Times New Roman" w:hAnsi="Times New Roman"/>
          <w:lang w:eastAsia="sk-SK"/>
        </w:rPr>
      </w:pPr>
      <w:r w:rsidRPr="000A2C53">
        <w:rPr>
          <w:rFonts w:ascii="Times New Roman" w:hAnsi="Times New Roman"/>
          <w:lang w:eastAsia="sk-SK"/>
        </w:rPr>
        <w:lastRenderedPageBreak/>
        <w:t xml:space="preserve">U používateliek kombinovanej hormonálnej antikoncepcie bol mimoriadne zriedkavo hlásený výskyt trombózy v iných krvných cievach, napr. v pečeňových, </w:t>
      </w:r>
      <w:proofErr w:type="spellStart"/>
      <w:r w:rsidRPr="000A2C53">
        <w:rPr>
          <w:rFonts w:ascii="Times New Roman" w:hAnsi="Times New Roman"/>
          <w:lang w:eastAsia="sk-SK"/>
        </w:rPr>
        <w:t>mezenterických</w:t>
      </w:r>
      <w:proofErr w:type="spellEnd"/>
      <w:r w:rsidRPr="000A2C53">
        <w:rPr>
          <w:rFonts w:ascii="Times New Roman" w:hAnsi="Times New Roman"/>
          <w:lang w:eastAsia="sk-SK"/>
        </w:rPr>
        <w:t>, obličkových alebo sietnicových žilách a tepnách.</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tabs>
          <w:tab w:val="left" w:pos="709"/>
          <w:tab w:val="left" w:pos="964"/>
        </w:tabs>
        <w:spacing w:after="0" w:line="240" w:lineRule="auto"/>
        <w:rPr>
          <w:rFonts w:ascii="Times New Roman" w:hAnsi="Times New Roman"/>
          <w:lang w:eastAsia="sk-SK"/>
        </w:rPr>
      </w:pPr>
      <w:r w:rsidRPr="000A2C53">
        <w:rPr>
          <w:rFonts w:ascii="Times New Roman" w:hAnsi="Times New Roman"/>
          <w:vertAlign w:val="superscript"/>
          <w:lang w:eastAsia="sk-SK"/>
        </w:rPr>
        <w:t>1</w:t>
      </w:r>
      <w:r w:rsidRPr="000A2C53">
        <w:rPr>
          <w:rFonts w:ascii="Times New Roman" w:hAnsi="Times New Roman"/>
          <w:lang w:eastAsia="sk-SK"/>
        </w:rPr>
        <w:t xml:space="preserve"> Tieto incidencie boli odhadnuté zo všetkých dát z epidemiologických štúdií, použitím relatívnych rizík pre rôzne lieky v porovnaní s kombinovanou hormonálnou antikoncepciou obsahujúcou levonorgestrel. </w:t>
      </w:r>
    </w:p>
    <w:p w:rsidR="00A86378" w:rsidRPr="000A2C53" w:rsidRDefault="00A86378" w:rsidP="002F2DDB">
      <w:pPr>
        <w:tabs>
          <w:tab w:val="left" w:pos="709"/>
          <w:tab w:val="left" w:pos="964"/>
        </w:tabs>
        <w:spacing w:after="0" w:line="240" w:lineRule="auto"/>
        <w:rPr>
          <w:rFonts w:ascii="Times New Roman" w:hAnsi="Times New Roman"/>
          <w:lang w:eastAsia="sk-SK"/>
        </w:rPr>
      </w:pPr>
      <w:r w:rsidRPr="000A2C53">
        <w:rPr>
          <w:rFonts w:ascii="Times New Roman" w:hAnsi="Times New Roman"/>
          <w:vertAlign w:val="superscript"/>
          <w:lang w:eastAsia="sk-SK"/>
        </w:rPr>
        <w:t>2</w:t>
      </w:r>
      <w:r w:rsidRPr="000A2C53">
        <w:rPr>
          <w:rFonts w:ascii="Times New Roman" w:hAnsi="Times New Roman"/>
          <w:lang w:eastAsia="sk-SK"/>
        </w:rPr>
        <w:t xml:space="preserve"> Stredný bod rozpätia 5-7 (prípadov) na 10 000 ženských rokov (ŽR), založený na relatívnom riziku</w:t>
      </w:r>
    </w:p>
    <w:p w:rsidR="00A86378" w:rsidRPr="000A2C53" w:rsidRDefault="00A86378" w:rsidP="002F2DDB">
      <w:pPr>
        <w:tabs>
          <w:tab w:val="left" w:pos="709"/>
          <w:tab w:val="left" w:pos="964"/>
        </w:tabs>
        <w:spacing w:after="0" w:line="240" w:lineRule="auto"/>
        <w:rPr>
          <w:rFonts w:ascii="Times New Roman" w:hAnsi="Times New Roman"/>
          <w:lang w:eastAsia="sk-SK"/>
        </w:rPr>
      </w:pPr>
      <w:r w:rsidRPr="000A2C53">
        <w:rPr>
          <w:rFonts w:ascii="Times New Roman" w:hAnsi="Times New Roman"/>
          <w:lang w:eastAsia="sk-SK"/>
        </w:rPr>
        <w:t xml:space="preserve">kombinovanej hormonálnej antikoncepcie obsahujúcej levonorgestrel oproti 2,3 až 3,6 u </w:t>
      </w:r>
      <w:proofErr w:type="spellStart"/>
      <w:r w:rsidRPr="000A2C53">
        <w:rPr>
          <w:rFonts w:ascii="Times New Roman" w:hAnsi="Times New Roman"/>
          <w:lang w:eastAsia="sk-SK"/>
        </w:rPr>
        <w:t>nepoužívateliek</w:t>
      </w:r>
      <w:proofErr w:type="spellEnd"/>
      <w:r w:rsidRPr="000A2C53">
        <w:rPr>
          <w:rFonts w:ascii="Times New Roman" w:hAnsi="Times New Roman"/>
          <w:lang w:eastAsia="sk-SK"/>
        </w:rPr>
        <w:t>.</w:t>
      </w:r>
    </w:p>
    <w:p w:rsidR="00A86378" w:rsidRPr="000A2C53" w:rsidRDefault="00A86378" w:rsidP="002F2DDB">
      <w:pPr>
        <w:autoSpaceDE w:val="0"/>
        <w:autoSpaceDN w:val="0"/>
        <w:adjustRightInd w:val="0"/>
        <w:spacing w:after="0" w:line="240" w:lineRule="auto"/>
        <w:rPr>
          <w:rFonts w:ascii="Times New Roman" w:hAnsi="Times New Roman"/>
          <w:b/>
          <w:bCs/>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b/>
          <w:bCs/>
          <w:color w:val="000000"/>
          <w:u w:val="single"/>
          <w:lang w:eastAsia="sk-SK"/>
        </w:rPr>
      </w:pPr>
      <w:r w:rsidRPr="000A2C53">
        <w:rPr>
          <w:rFonts w:ascii="Times New Roman" w:hAnsi="Times New Roman"/>
          <w:b/>
          <w:bCs/>
          <w:color w:val="000000"/>
          <w:u w:val="single"/>
          <w:lang w:eastAsia="sk-SK"/>
        </w:rPr>
        <w:t xml:space="preserve">Rizikové faktory vzniku VTE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Riziko vzniku </w:t>
      </w:r>
      <w:proofErr w:type="spellStart"/>
      <w:r w:rsidRPr="000A2C53">
        <w:rPr>
          <w:rFonts w:ascii="Times New Roman" w:hAnsi="Times New Roman"/>
          <w:color w:val="000000"/>
          <w:lang w:eastAsia="sk-SK"/>
        </w:rPr>
        <w:t>venóznych</w:t>
      </w:r>
      <w:proofErr w:type="spellEnd"/>
      <w:r w:rsidRPr="000A2C53">
        <w:rPr>
          <w:rFonts w:ascii="Times New Roman" w:hAnsi="Times New Roman"/>
          <w:color w:val="000000"/>
          <w:lang w:eastAsia="sk-SK"/>
        </w:rPr>
        <w:t xml:space="preserve"> </w:t>
      </w:r>
      <w:proofErr w:type="spellStart"/>
      <w:r w:rsidR="001F1823">
        <w:rPr>
          <w:rFonts w:ascii="Times New Roman" w:hAnsi="Times New Roman"/>
          <w:color w:val="000000"/>
          <w:lang w:eastAsia="sk-SK"/>
        </w:rPr>
        <w:t>tromboem</w:t>
      </w:r>
      <w:r w:rsidRPr="000A2C53">
        <w:rPr>
          <w:rFonts w:ascii="Times New Roman" w:hAnsi="Times New Roman"/>
          <w:color w:val="000000"/>
          <w:lang w:eastAsia="sk-SK"/>
        </w:rPr>
        <w:t>bolických</w:t>
      </w:r>
      <w:proofErr w:type="spellEnd"/>
      <w:r w:rsidRPr="000A2C53">
        <w:rPr>
          <w:rFonts w:ascii="Times New Roman" w:hAnsi="Times New Roman"/>
          <w:color w:val="000000"/>
          <w:lang w:eastAsia="sk-SK"/>
        </w:rPr>
        <w:t xml:space="preserve"> komplikácií u používateliek kombinovanej hormonálnej antikoncepcie sa môže značne zvýšiť v prípade ženy s ďalšími rizikovými faktormi, najmä ak má viacero rizikových faktorov (pozri tabuľku).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spacing w:after="0" w:line="240" w:lineRule="auto"/>
        <w:rPr>
          <w:rFonts w:ascii="Times New Roman" w:hAnsi="Times New Roman"/>
          <w:color w:val="000000"/>
          <w:lang w:eastAsia="sk-SK"/>
        </w:rPr>
      </w:pPr>
      <w:r w:rsidRPr="000A2C53">
        <w:rPr>
          <w:rFonts w:ascii="Times New Roman" w:hAnsi="Times New Roman"/>
          <w:color w:val="000000"/>
          <w:lang w:eastAsia="sk-SK"/>
        </w:rPr>
        <w:t>Gentilion</w:t>
      </w:r>
      <w:r>
        <w:rPr>
          <w:rFonts w:ascii="Times New Roman" w:hAnsi="Times New Roman"/>
          <w:color w:val="000000"/>
          <w:lang w:eastAsia="sk-SK"/>
        </w:rPr>
        <w:t xml:space="preserve"> </w:t>
      </w:r>
      <w:r w:rsidRPr="000A2C53">
        <w:rPr>
          <w:rFonts w:ascii="Times New Roman" w:hAnsi="Times New Roman"/>
          <w:color w:val="000000"/>
          <w:lang w:eastAsia="sk-SK"/>
        </w:rPr>
        <w:t>je kontraindikovaný, ak má žena viacero rizikových faktorov, ktoré ju vystavujú vysokému riziku vzniku venóznej trombózy (pozri časť 4.3). Ak má žena viac ako jeden rizikový faktor, zvýšenie rizika môže byť väčšie ako je súčet jednotlivých faktorov - v takomto prípade sa má zvážiť jej celkové riziko výskytu VTE. Ak sa pomer prínosov a rizík považuje za negatívny, kombinovaná hormonálna antikoncepcia sa nemá predpisovať (pozri časť 4.3).</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b/>
          <w:iCs/>
          <w:lang w:eastAsia="sk-SK"/>
        </w:rPr>
      </w:pPr>
      <w:r w:rsidRPr="000A2C53">
        <w:rPr>
          <w:rFonts w:ascii="Times New Roman" w:hAnsi="Times New Roman"/>
          <w:b/>
          <w:iCs/>
          <w:lang w:eastAsia="sk-SK"/>
        </w:rPr>
        <w:t>Tabuľka: Rizikové faktory pre vznik VTE</w:t>
      </w:r>
    </w:p>
    <w:p w:rsidR="00A86378" w:rsidRPr="000A2C53" w:rsidRDefault="00A86378" w:rsidP="002F2DDB">
      <w:pPr>
        <w:spacing w:after="0" w:line="240" w:lineRule="auto"/>
        <w:rPr>
          <w:rFonts w:ascii="Times New Roman" w:hAnsi="Times New Roman"/>
          <w:i/>
          <w:iCs/>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5244"/>
      </w:tblGrid>
      <w:tr w:rsidR="00A86378" w:rsidRPr="00E83302" w:rsidTr="002F2DDB">
        <w:trPr>
          <w:trHeight w:val="123"/>
        </w:trPr>
        <w:tc>
          <w:tcPr>
            <w:tcW w:w="3936"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b/>
                <w:bCs/>
                <w:color w:val="000000"/>
                <w:lang w:eastAsia="sk-SK"/>
              </w:rPr>
              <w:t xml:space="preserve">Rizikový faktor </w:t>
            </w:r>
          </w:p>
        </w:tc>
        <w:tc>
          <w:tcPr>
            <w:tcW w:w="5244"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b/>
                <w:bCs/>
                <w:color w:val="000000"/>
                <w:lang w:eastAsia="sk-SK"/>
              </w:rPr>
              <w:t xml:space="preserve">Komentár </w:t>
            </w:r>
          </w:p>
        </w:tc>
      </w:tr>
      <w:tr w:rsidR="00A86378" w:rsidRPr="00E83302" w:rsidTr="002F2DDB">
        <w:trPr>
          <w:trHeight w:val="341"/>
        </w:trPr>
        <w:tc>
          <w:tcPr>
            <w:tcW w:w="3936"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Obezita (index telesnej hmotnosti nad 30 kg/m²) </w:t>
            </w:r>
          </w:p>
        </w:tc>
        <w:tc>
          <w:tcPr>
            <w:tcW w:w="5244"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Riziko sa výrazne zvyšuje so zvyšovaním BMI.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Obzvlášť dôležité je to zvážiť, ak sú prítomné aj ďalšie rizikové faktory. </w:t>
            </w:r>
          </w:p>
        </w:tc>
      </w:tr>
      <w:tr w:rsidR="00A86378" w:rsidRPr="00E83302" w:rsidTr="002F2DDB">
        <w:trPr>
          <w:trHeight w:val="449"/>
        </w:trPr>
        <w:tc>
          <w:tcPr>
            <w:tcW w:w="3936"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Dlhodobá </w:t>
            </w:r>
            <w:proofErr w:type="spellStart"/>
            <w:r w:rsidRPr="000A2C53">
              <w:rPr>
                <w:rFonts w:ascii="Times New Roman" w:hAnsi="Times New Roman"/>
                <w:color w:val="000000"/>
                <w:lang w:eastAsia="sk-SK"/>
              </w:rPr>
              <w:t>imobilizácia</w:t>
            </w:r>
            <w:proofErr w:type="spellEnd"/>
            <w:r w:rsidRPr="000A2C53">
              <w:rPr>
                <w:rFonts w:ascii="Times New Roman" w:hAnsi="Times New Roman"/>
                <w:color w:val="000000"/>
                <w:lang w:eastAsia="sk-SK"/>
              </w:rPr>
              <w:t xml:space="preserve">, závažný chirurgický zákrok, akýkoľvek chirurgický zákrok na nohách alebo panve, neurochirurgický zákrok alebo závažný úraz. </w:t>
            </w:r>
          </w:p>
          <w:p w:rsidR="00A86378" w:rsidRPr="000A2C53" w:rsidRDefault="00A86378" w:rsidP="002F2DDB">
            <w:pPr>
              <w:autoSpaceDE w:val="0"/>
              <w:autoSpaceDN w:val="0"/>
              <w:adjustRightInd w:val="0"/>
              <w:spacing w:after="0" w:line="240" w:lineRule="auto"/>
              <w:rPr>
                <w:rFonts w:ascii="Times New Roman" w:hAnsi="Times New Roman"/>
                <w:b/>
                <w:bCs/>
                <w:color w:val="000000"/>
                <w:kern w:val="28"/>
              </w:rPr>
            </w:pPr>
          </w:p>
          <w:p w:rsidR="00A86378" w:rsidRPr="000A2C53" w:rsidRDefault="00A86378" w:rsidP="002F2DDB">
            <w:pPr>
              <w:autoSpaceDE w:val="0"/>
              <w:autoSpaceDN w:val="0"/>
              <w:adjustRightInd w:val="0"/>
              <w:spacing w:after="0" w:line="240" w:lineRule="auto"/>
              <w:rPr>
                <w:rFonts w:ascii="Times New Roman" w:hAnsi="Times New Roman"/>
                <w:b/>
                <w:bCs/>
                <w:color w:val="000000"/>
                <w:kern w:val="28"/>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Poznámka: dočasná </w:t>
            </w:r>
            <w:proofErr w:type="spellStart"/>
            <w:r w:rsidRPr="000A2C53">
              <w:rPr>
                <w:rFonts w:ascii="Times New Roman" w:hAnsi="Times New Roman"/>
                <w:color w:val="000000"/>
                <w:lang w:eastAsia="sk-SK"/>
              </w:rPr>
              <w:t>imobilizácia</w:t>
            </w:r>
            <w:proofErr w:type="spellEnd"/>
            <w:r w:rsidRPr="000A2C53">
              <w:rPr>
                <w:rFonts w:ascii="Times New Roman" w:hAnsi="Times New Roman"/>
                <w:color w:val="000000"/>
                <w:lang w:eastAsia="sk-SK"/>
              </w:rPr>
              <w:t xml:space="preserve"> vrátane cestovania leteckou dopravou trvajúcou &gt;4 hodiny môže byť tiež rizikovým faktorom pre vznik VTE, najmä u žien s ďalšími rizikovými faktormi. </w:t>
            </w:r>
          </w:p>
        </w:tc>
        <w:tc>
          <w:tcPr>
            <w:tcW w:w="5244"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V týchto prípadoch sa odporúča ukončiť používanie náplasti/tablety/krúžku (v prípade plánovaného chirurgického zákroku najmenej štyri týždne pred zákrokom) a opätovne začať najskôr dva týždne po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úplnom obnovení pohyblivosti. Má sa používať iný spôsob antikoncepcie, aby sa zabránilo neželanej gravidite.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Ak sa používanie Gentilionu neukončí včas, má sa zvážiť </w:t>
            </w:r>
            <w:proofErr w:type="spellStart"/>
            <w:r w:rsidRPr="000A2C53">
              <w:rPr>
                <w:rFonts w:ascii="Times New Roman" w:hAnsi="Times New Roman"/>
                <w:color w:val="000000"/>
                <w:lang w:eastAsia="sk-SK"/>
              </w:rPr>
              <w:t>antitrombotická</w:t>
            </w:r>
            <w:proofErr w:type="spellEnd"/>
            <w:r w:rsidRPr="000A2C53">
              <w:rPr>
                <w:rFonts w:ascii="Times New Roman" w:hAnsi="Times New Roman"/>
                <w:color w:val="000000"/>
                <w:lang w:eastAsia="sk-SK"/>
              </w:rPr>
              <w:t xml:space="preserve"> liečba. </w:t>
            </w:r>
          </w:p>
          <w:p w:rsidR="00A86378" w:rsidRPr="000A2C53" w:rsidRDefault="00A86378" w:rsidP="002F2DDB">
            <w:pPr>
              <w:autoSpaceDE w:val="0"/>
              <w:autoSpaceDN w:val="0"/>
              <w:adjustRightInd w:val="0"/>
              <w:spacing w:after="0" w:line="240" w:lineRule="auto"/>
              <w:rPr>
                <w:rFonts w:ascii="Times New Roman" w:hAnsi="Times New Roman"/>
                <w:b/>
                <w:bCs/>
                <w:color w:val="000000"/>
                <w:kern w:val="28"/>
              </w:rPr>
            </w:pPr>
          </w:p>
        </w:tc>
      </w:tr>
      <w:tr w:rsidR="00A86378" w:rsidRPr="00E83302" w:rsidTr="002F2DDB">
        <w:trPr>
          <w:trHeight w:val="449"/>
        </w:trPr>
        <w:tc>
          <w:tcPr>
            <w:tcW w:w="3936"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Pozitívna rodinná anamnéza (akýkoľvek výskyt venóznej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bólie u súrodenca alebo rodiča, najmä v relatívne skorom veku, napr. do 50 rokov). </w:t>
            </w:r>
          </w:p>
        </w:tc>
        <w:tc>
          <w:tcPr>
            <w:tcW w:w="5244"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Ak existuje podozrenie na dedičnú </w:t>
            </w:r>
            <w:proofErr w:type="spellStart"/>
            <w:r w:rsidRPr="000A2C53">
              <w:rPr>
                <w:rFonts w:ascii="Times New Roman" w:hAnsi="Times New Roman"/>
                <w:color w:val="000000"/>
                <w:lang w:eastAsia="sk-SK"/>
              </w:rPr>
              <w:t>predispozíciu</w:t>
            </w:r>
            <w:proofErr w:type="spellEnd"/>
            <w:r w:rsidRPr="000A2C53">
              <w:rPr>
                <w:rFonts w:ascii="Times New Roman" w:hAnsi="Times New Roman"/>
                <w:color w:val="000000"/>
                <w:lang w:eastAsia="sk-SK"/>
              </w:rPr>
              <w:t xml:space="preserve">, ženu musí pred rozhodnutím o používaní ktorejkoľvek kombinovanej hormonálnej antikoncepcie vyšetriť odborný lekár. </w:t>
            </w:r>
          </w:p>
        </w:tc>
      </w:tr>
      <w:tr w:rsidR="00A86378" w:rsidRPr="00E83302" w:rsidTr="002F2DDB">
        <w:trPr>
          <w:trHeight w:val="449"/>
        </w:trPr>
        <w:tc>
          <w:tcPr>
            <w:tcW w:w="3936"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Iné zdravotné stavy spojené s VTE </w:t>
            </w:r>
          </w:p>
          <w:p w:rsidR="00A86378" w:rsidRPr="000A2C53" w:rsidRDefault="00A86378" w:rsidP="002F2DDB">
            <w:pPr>
              <w:autoSpaceDE w:val="0"/>
              <w:autoSpaceDN w:val="0"/>
              <w:adjustRightInd w:val="0"/>
              <w:spacing w:after="0" w:line="240" w:lineRule="auto"/>
              <w:rPr>
                <w:rFonts w:ascii="Times New Roman" w:hAnsi="Times New Roman"/>
                <w:b/>
                <w:bCs/>
                <w:color w:val="000000"/>
                <w:kern w:val="28"/>
              </w:rPr>
            </w:pPr>
          </w:p>
        </w:tc>
        <w:tc>
          <w:tcPr>
            <w:tcW w:w="5244"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Rakovina, systémový </w:t>
            </w:r>
            <w:proofErr w:type="spellStart"/>
            <w:r w:rsidRPr="000A2C53">
              <w:rPr>
                <w:rFonts w:ascii="Times New Roman" w:hAnsi="Times New Roman"/>
                <w:i/>
                <w:color w:val="000000"/>
                <w:lang w:eastAsia="sk-SK"/>
              </w:rPr>
              <w:t>lupus</w:t>
            </w:r>
            <w:proofErr w:type="spellEnd"/>
            <w:r w:rsidRPr="000A2C53">
              <w:rPr>
                <w:rFonts w:ascii="Times New Roman" w:hAnsi="Times New Roman"/>
                <w:i/>
                <w:color w:val="000000"/>
                <w:lang w:eastAsia="sk-SK"/>
              </w:rPr>
              <w:t xml:space="preserve"> </w:t>
            </w:r>
            <w:proofErr w:type="spellStart"/>
            <w:r w:rsidRPr="000A2C53">
              <w:rPr>
                <w:rFonts w:ascii="Times New Roman" w:hAnsi="Times New Roman"/>
                <w:i/>
                <w:color w:val="000000"/>
                <w:lang w:eastAsia="sk-SK"/>
              </w:rPr>
              <w:t>erythematosus</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hemolyticko-uremický</w:t>
            </w:r>
            <w:proofErr w:type="spellEnd"/>
            <w:r w:rsidRPr="000A2C53">
              <w:rPr>
                <w:rFonts w:ascii="Times New Roman" w:hAnsi="Times New Roman"/>
                <w:color w:val="000000"/>
                <w:lang w:eastAsia="sk-SK"/>
              </w:rPr>
              <w:t xml:space="preserve"> syndróm, chronické zápalové ochorenie čriev (</w:t>
            </w:r>
            <w:proofErr w:type="spellStart"/>
            <w:r w:rsidRPr="000A2C53">
              <w:rPr>
                <w:rFonts w:ascii="Times New Roman" w:hAnsi="Times New Roman"/>
                <w:color w:val="000000"/>
                <w:lang w:eastAsia="sk-SK"/>
              </w:rPr>
              <w:t>Crohnova</w:t>
            </w:r>
            <w:proofErr w:type="spellEnd"/>
            <w:r w:rsidRPr="000A2C53">
              <w:rPr>
                <w:rFonts w:ascii="Times New Roman" w:hAnsi="Times New Roman"/>
                <w:color w:val="000000"/>
                <w:lang w:eastAsia="sk-SK"/>
              </w:rPr>
              <w:t xml:space="preserve"> choroba alebo </w:t>
            </w:r>
            <w:proofErr w:type="spellStart"/>
            <w:r w:rsidRPr="000A2C53">
              <w:rPr>
                <w:rFonts w:ascii="Times New Roman" w:hAnsi="Times New Roman"/>
                <w:color w:val="000000"/>
                <w:lang w:eastAsia="sk-SK"/>
              </w:rPr>
              <w:t>ulcerózna</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kolitída</w:t>
            </w:r>
            <w:proofErr w:type="spellEnd"/>
            <w:r w:rsidRPr="000A2C53">
              <w:rPr>
                <w:rFonts w:ascii="Times New Roman" w:hAnsi="Times New Roman"/>
                <w:color w:val="000000"/>
                <w:lang w:eastAsia="sk-SK"/>
              </w:rPr>
              <w:t xml:space="preserve">) a </w:t>
            </w:r>
            <w:proofErr w:type="spellStart"/>
            <w:r w:rsidRPr="000A2C53">
              <w:rPr>
                <w:rFonts w:ascii="Times New Roman" w:hAnsi="Times New Roman"/>
                <w:color w:val="000000"/>
                <w:lang w:eastAsia="sk-SK"/>
              </w:rPr>
              <w:t>kosáčikovitá</w:t>
            </w:r>
            <w:proofErr w:type="spellEnd"/>
            <w:r w:rsidRPr="000A2C53">
              <w:rPr>
                <w:rFonts w:ascii="Times New Roman" w:hAnsi="Times New Roman"/>
                <w:color w:val="000000"/>
                <w:lang w:eastAsia="sk-SK"/>
              </w:rPr>
              <w:t xml:space="preserve"> anémia </w:t>
            </w:r>
          </w:p>
        </w:tc>
      </w:tr>
      <w:tr w:rsidR="00A86378" w:rsidRPr="00E83302" w:rsidTr="002F2DDB">
        <w:trPr>
          <w:trHeight w:val="249"/>
        </w:trPr>
        <w:tc>
          <w:tcPr>
            <w:tcW w:w="3936"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Zvyšujúci sa vek </w:t>
            </w:r>
          </w:p>
        </w:tc>
        <w:tc>
          <w:tcPr>
            <w:tcW w:w="5244"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Najmä nad 35 rokov </w:t>
            </w:r>
          </w:p>
        </w:tc>
      </w:tr>
    </w:tbl>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Neexistuje žiadna zhoda ohľadom možnej úlohy kŕčových žíl a povrchovej tromboflebitídy pri vzniku alebo progresii venóznej trombózy.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lastRenderedPageBreak/>
        <w:t xml:space="preserve">Musí sa zvážiť zvýšené riziko vzniku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bólie počas gravidity a najmä počas 6-týždňového obdobia šestonedelia (informácie o „Gravidite a laktácii“, pozri časť 4.6). </w:t>
      </w:r>
    </w:p>
    <w:p w:rsidR="00A86378" w:rsidRPr="000A2C53" w:rsidRDefault="00A86378" w:rsidP="002F2DDB">
      <w:pPr>
        <w:autoSpaceDE w:val="0"/>
        <w:autoSpaceDN w:val="0"/>
        <w:adjustRightInd w:val="0"/>
        <w:spacing w:after="0" w:line="240" w:lineRule="auto"/>
        <w:rPr>
          <w:rFonts w:ascii="Times New Roman" w:hAnsi="Times New Roman"/>
          <w:b/>
          <w:bCs/>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u w:val="single"/>
          <w:lang w:eastAsia="sk-SK"/>
        </w:rPr>
      </w:pPr>
      <w:r w:rsidRPr="000A2C53">
        <w:rPr>
          <w:rFonts w:ascii="Times New Roman" w:hAnsi="Times New Roman"/>
          <w:b/>
          <w:bCs/>
          <w:color w:val="000000"/>
          <w:u w:val="single"/>
          <w:lang w:eastAsia="sk-SK"/>
        </w:rPr>
        <w:t xml:space="preserve">Príznaky VTE (trombóza hlbokých žíl a pľúcna embólia)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Žena má byť poučená, aby v prípade príznakov vyhľadala okamžitú lekársku pomoc a informovala zdravotníckeho pracovníka, že užíva kombinovanú hormonálnu antikoncepciu.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Príznaky trombózy hlbokých žíl (DVT) môžu zahŕňať: </w:t>
      </w:r>
    </w:p>
    <w:p w:rsidR="00A86378" w:rsidRPr="000A2C53" w:rsidRDefault="00A86378" w:rsidP="00D0379F">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jednostranný opuch nohy a/alebo chodidla alebo pozdĺž žily v nohe,</w:t>
      </w:r>
    </w:p>
    <w:p w:rsidR="00A86378" w:rsidRPr="000A2C53" w:rsidRDefault="00A86378" w:rsidP="00D0379F">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bolesť alebo citlivosť v nohe, ktorú možno pociťovať iba v stoji alebo pri chôdzi,</w:t>
      </w:r>
    </w:p>
    <w:p w:rsidR="00A86378" w:rsidRPr="000A2C53" w:rsidRDefault="00A86378" w:rsidP="00D0379F">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xml:space="preserve">– zvýšené teplo v postihnutej nohe, sčervenanie alebo zmena sfarbenia pokožky na nohe.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Príznaky pľúcnej embólie (PE) môžu zahŕňať:</w:t>
      </w:r>
    </w:p>
    <w:p w:rsidR="00A86378" w:rsidRPr="000A2C53" w:rsidRDefault="00A86378" w:rsidP="00D0379F">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xml:space="preserve">– náhly nástup nevysvetliteľnej dýchavičnosti alebo rýchleho dýchania, </w:t>
      </w:r>
    </w:p>
    <w:p w:rsidR="00A86378" w:rsidRPr="000A2C53" w:rsidRDefault="00A86378" w:rsidP="00D0379F">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xml:space="preserve">– náhly kašeľ, ktorý môže byť spojený s </w:t>
      </w:r>
      <w:proofErr w:type="spellStart"/>
      <w:r w:rsidRPr="000A2C53">
        <w:rPr>
          <w:rFonts w:ascii="Times New Roman" w:hAnsi="Times New Roman"/>
          <w:color w:val="000000"/>
          <w:lang w:eastAsia="sk-SK"/>
        </w:rPr>
        <w:t>hemoptýzou</w:t>
      </w:r>
      <w:proofErr w:type="spellEnd"/>
      <w:r w:rsidRPr="000A2C53">
        <w:rPr>
          <w:rFonts w:ascii="Times New Roman" w:hAnsi="Times New Roman"/>
          <w:color w:val="000000"/>
          <w:lang w:eastAsia="sk-SK"/>
        </w:rPr>
        <w:t>,</w:t>
      </w:r>
    </w:p>
    <w:p w:rsidR="00A86378" w:rsidRPr="000A2C53" w:rsidRDefault="00A86378" w:rsidP="00D0379F">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xml:space="preserve">– ostrú bolesť v hrudníku, </w:t>
      </w:r>
    </w:p>
    <w:p w:rsidR="00A86378" w:rsidRPr="000A2C53" w:rsidRDefault="00A86378" w:rsidP="00D0379F">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závažný pocit točenia hlavy na odpadnutie alebo závrat,</w:t>
      </w:r>
    </w:p>
    <w:p w:rsidR="00A86378" w:rsidRPr="000A2C53" w:rsidRDefault="00A86378" w:rsidP="00D0379F">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xml:space="preserve">– rýchly alebo nepravidelný srdcový rytmus.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Niektoré z týchto príznakov (napríklad „dýchavičnosť“, „kašeľ“) sú nešpecifické a môžu byť nesprávne interpretované ako častejšie alebo menej závažné udalosti (napríklad infekcie dýchacích ciest).</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color w:val="000000"/>
          <w:lang w:eastAsia="sk-SK"/>
        </w:rPr>
        <w:t xml:space="preserve">Medzi ďalšie prejavy </w:t>
      </w:r>
      <w:proofErr w:type="spellStart"/>
      <w:r w:rsidRPr="000A2C53">
        <w:rPr>
          <w:rFonts w:ascii="Times New Roman" w:hAnsi="Times New Roman"/>
          <w:color w:val="000000"/>
          <w:lang w:eastAsia="sk-SK"/>
        </w:rPr>
        <w:t>vaskulárnej</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oklúzie</w:t>
      </w:r>
      <w:proofErr w:type="spellEnd"/>
      <w:r w:rsidRPr="000A2C53">
        <w:rPr>
          <w:rFonts w:ascii="Times New Roman" w:hAnsi="Times New Roman"/>
          <w:color w:val="000000"/>
          <w:lang w:eastAsia="sk-SK"/>
        </w:rPr>
        <w:t xml:space="preserve"> môžu patriť: náhla bolesť, opuch a mierne zmodranie niektorej končatiny.</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Ak dôjde k </w:t>
      </w:r>
      <w:proofErr w:type="spellStart"/>
      <w:r w:rsidRPr="000A2C53">
        <w:rPr>
          <w:rFonts w:ascii="Times New Roman" w:hAnsi="Times New Roman"/>
          <w:color w:val="000000"/>
          <w:lang w:eastAsia="sk-SK"/>
        </w:rPr>
        <w:t>oklúzii</w:t>
      </w:r>
      <w:proofErr w:type="spellEnd"/>
      <w:r w:rsidRPr="000A2C53">
        <w:rPr>
          <w:rFonts w:ascii="Times New Roman" w:hAnsi="Times New Roman"/>
          <w:color w:val="000000"/>
          <w:lang w:eastAsia="sk-SK"/>
        </w:rPr>
        <w:t xml:space="preserve"> v oku, medzi symptómy môžu patriť bezbolestné rozmazané videnie, ktoré môže postupne prechádzať až do straty zraku. Niekedy môže dôjsť k strate zraku takmer okamžite. </w:t>
      </w:r>
    </w:p>
    <w:p w:rsidR="00A86378" w:rsidRPr="000A2C53" w:rsidRDefault="00A86378" w:rsidP="002F2DDB">
      <w:pPr>
        <w:autoSpaceDE w:val="0"/>
        <w:autoSpaceDN w:val="0"/>
        <w:adjustRightInd w:val="0"/>
        <w:spacing w:after="0" w:line="240" w:lineRule="auto"/>
        <w:rPr>
          <w:rFonts w:ascii="Times New Roman" w:hAnsi="Times New Roman"/>
          <w:b/>
          <w:bCs/>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b/>
          <w:bCs/>
          <w:color w:val="000000"/>
          <w:lang w:eastAsia="sk-SK"/>
        </w:rPr>
        <w:t xml:space="preserve">Riziko vzniku arteriálnej </w:t>
      </w:r>
      <w:r w:rsidR="001F1823">
        <w:rPr>
          <w:rFonts w:ascii="Times New Roman" w:hAnsi="Times New Roman"/>
          <w:b/>
          <w:bCs/>
          <w:color w:val="000000"/>
          <w:lang w:eastAsia="sk-SK"/>
        </w:rPr>
        <w:t>tromboem</w:t>
      </w:r>
      <w:r w:rsidRPr="000A2C53">
        <w:rPr>
          <w:rFonts w:ascii="Times New Roman" w:hAnsi="Times New Roman"/>
          <w:b/>
          <w:bCs/>
          <w:color w:val="000000"/>
          <w:lang w:eastAsia="sk-SK"/>
        </w:rPr>
        <w:t xml:space="preserve">bólie (ATE)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Epidemiologické štúdie spájajú používanie kombinovanej hormonálnej antikoncepcie (CHC) so zvýšeným rizikom vzniku arteriálnej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bólie (infarkt myokardu) alebo cievnej mozgovej udalosti (napr. prechodný ischemický záchvat, cievna mozgová príhoda). </w:t>
      </w:r>
      <w:proofErr w:type="spellStart"/>
      <w:r w:rsidRPr="000A2C53">
        <w:rPr>
          <w:rFonts w:ascii="Times New Roman" w:hAnsi="Times New Roman"/>
          <w:color w:val="000000"/>
          <w:lang w:eastAsia="sk-SK"/>
        </w:rPr>
        <w:t>Arteriálne</w:t>
      </w:r>
      <w:proofErr w:type="spellEnd"/>
      <w:r w:rsidRPr="000A2C53">
        <w:rPr>
          <w:rFonts w:ascii="Times New Roman" w:hAnsi="Times New Roman"/>
          <w:color w:val="000000"/>
          <w:lang w:eastAsia="sk-SK"/>
        </w:rPr>
        <w:t xml:space="preserve"> </w:t>
      </w:r>
      <w:proofErr w:type="spellStart"/>
      <w:r w:rsidR="001F1823">
        <w:rPr>
          <w:rFonts w:ascii="Times New Roman" w:hAnsi="Times New Roman"/>
          <w:color w:val="000000"/>
          <w:lang w:eastAsia="sk-SK"/>
        </w:rPr>
        <w:t>tromboem</w:t>
      </w:r>
      <w:r w:rsidRPr="000A2C53">
        <w:rPr>
          <w:rFonts w:ascii="Times New Roman" w:hAnsi="Times New Roman"/>
          <w:color w:val="000000"/>
          <w:lang w:eastAsia="sk-SK"/>
        </w:rPr>
        <w:t>bolické</w:t>
      </w:r>
      <w:proofErr w:type="spellEnd"/>
      <w:r w:rsidRPr="000A2C53">
        <w:rPr>
          <w:rFonts w:ascii="Times New Roman" w:hAnsi="Times New Roman"/>
          <w:color w:val="000000"/>
          <w:lang w:eastAsia="sk-SK"/>
        </w:rPr>
        <w:t xml:space="preserve"> udalosti sa môžu končiť smrťou. </w:t>
      </w:r>
    </w:p>
    <w:p w:rsidR="00A86378" w:rsidRPr="000A2C53" w:rsidRDefault="00A86378" w:rsidP="002F2DDB">
      <w:pPr>
        <w:autoSpaceDE w:val="0"/>
        <w:autoSpaceDN w:val="0"/>
        <w:adjustRightInd w:val="0"/>
        <w:spacing w:after="0" w:line="240" w:lineRule="auto"/>
        <w:rPr>
          <w:rFonts w:ascii="Times New Roman" w:hAnsi="Times New Roman"/>
          <w:b/>
          <w:bCs/>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u w:val="single"/>
          <w:lang w:eastAsia="sk-SK"/>
        </w:rPr>
      </w:pPr>
      <w:r w:rsidRPr="000A2C53">
        <w:rPr>
          <w:rFonts w:ascii="Times New Roman" w:hAnsi="Times New Roman"/>
          <w:b/>
          <w:bCs/>
          <w:color w:val="000000"/>
          <w:u w:val="single"/>
          <w:lang w:eastAsia="sk-SK"/>
        </w:rPr>
        <w:t xml:space="preserve">Rizikové faktory pre vznik ATE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Riziko vzniku </w:t>
      </w:r>
      <w:proofErr w:type="spellStart"/>
      <w:r w:rsidRPr="000A2C53">
        <w:rPr>
          <w:rFonts w:ascii="Times New Roman" w:hAnsi="Times New Roman"/>
          <w:color w:val="000000"/>
          <w:lang w:eastAsia="sk-SK"/>
        </w:rPr>
        <w:t>arteriálnych</w:t>
      </w:r>
      <w:proofErr w:type="spellEnd"/>
      <w:r w:rsidRPr="000A2C53">
        <w:rPr>
          <w:rFonts w:ascii="Times New Roman" w:hAnsi="Times New Roman"/>
          <w:color w:val="000000"/>
          <w:lang w:eastAsia="sk-SK"/>
        </w:rPr>
        <w:t xml:space="preserve"> </w:t>
      </w:r>
      <w:proofErr w:type="spellStart"/>
      <w:r w:rsidR="001F1823">
        <w:rPr>
          <w:rFonts w:ascii="Times New Roman" w:hAnsi="Times New Roman"/>
          <w:color w:val="000000"/>
          <w:lang w:eastAsia="sk-SK"/>
        </w:rPr>
        <w:t>tromboem</w:t>
      </w:r>
      <w:r w:rsidRPr="000A2C53">
        <w:rPr>
          <w:rFonts w:ascii="Times New Roman" w:hAnsi="Times New Roman"/>
          <w:color w:val="000000"/>
          <w:lang w:eastAsia="sk-SK"/>
        </w:rPr>
        <w:t>bolických</w:t>
      </w:r>
      <w:proofErr w:type="spellEnd"/>
      <w:r w:rsidRPr="000A2C53">
        <w:rPr>
          <w:rFonts w:ascii="Times New Roman" w:hAnsi="Times New Roman"/>
          <w:color w:val="000000"/>
          <w:lang w:eastAsia="sk-SK"/>
        </w:rPr>
        <w:t xml:space="preserve"> komplikácií alebo </w:t>
      </w:r>
      <w:proofErr w:type="spellStart"/>
      <w:r w:rsidRPr="000A2C53">
        <w:rPr>
          <w:rFonts w:ascii="Times New Roman" w:hAnsi="Times New Roman"/>
          <w:color w:val="000000"/>
          <w:lang w:eastAsia="sk-SK"/>
        </w:rPr>
        <w:t>cerebrovaskulárnej</w:t>
      </w:r>
      <w:proofErr w:type="spellEnd"/>
      <w:r w:rsidRPr="000A2C53">
        <w:rPr>
          <w:rFonts w:ascii="Times New Roman" w:hAnsi="Times New Roman"/>
          <w:color w:val="000000"/>
          <w:lang w:eastAsia="sk-SK"/>
        </w:rPr>
        <w:t xml:space="preserve"> udalosti u používateliek kombinovanej hormonálnej antikoncepcie sa zvyšuje u žien s rizikovými faktormi (pozri tabuľku). Gentilion</w:t>
      </w:r>
      <w:r>
        <w:rPr>
          <w:rFonts w:ascii="Times New Roman" w:hAnsi="Times New Roman"/>
          <w:color w:val="000000"/>
          <w:lang w:eastAsia="sk-SK"/>
        </w:rPr>
        <w:t xml:space="preserve"> </w:t>
      </w:r>
      <w:r w:rsidRPr="000A2C53">
        <w:rPr>
          <w:rFonts w:ascii="Times New Roman" w:hAnsi="Times New Roman"/>
          <w:color w:val="000000"/>
          <w:lang w:eastAsia="sk-SK"/>
        </w:rPr>
        <w:t xml:space="preserve">je kontraindikovaný, ak má žena jeden závažný alebo viacero rizikových faktorov vzniku ATE, ktoré ju vystavujú vysokému riziku vzniku arteriálnej trombózy (pozri časť 4.3). Ak má žena viac ako jeden rizikový faktor, zvýšenie rizika môže byť väčšie ako je súčet jednotlivých faktorov - v takomto prípade sa má zvážiť jej celkové riziko. Ak sa pomer prínosov a rizík považuje za negatívny, kombinovaná hormonálna antikoncepcia sa nemá predpisovať (pozri časť 4.3). </w:t>
      </w:r>
    </w:p>
    <w:p w:rsidR="00A86378" w:rsidRPr="000A2C53" w:rsidRDefault="00A86378" w:rsidP="002F2DDB">
      <w:pPr>
        <w:spacing w:after="0" w:line="240" w:lineRule="auto"/>
        <w:rPr>
          <w:rFonts w:ascii="Times New Roman" w:hAnsi="Times New Roman"/>
          <w:b/>
          <w:bCs/>
          <w:color w:val="000000"/>
          <w:lang w:eastAsia="sk-SK"/>
        </w:rPr>
      </w:pPr>
    </w:p>
    <w:p w:rsidR="00A86378" w:rsidRPr="000A2C53" w:rsidRDefault="00A86378" w:rsidP="002F2DDB">
      <w:pPr>
        <w:spacing w:after="0" w:line="240" w:lineRule="auto"/>
        <w:ind w:left="567" w:hanging="567"/>
        <w:rPr>
          <w:rFonts w:ascii="Times New Roman" w:hAnsi="Times New Roman"/>
          <w:b/>
          <w:color w:val="000000"/>
          <w:lang w:eastAsia="sk-SK"/>
        </w:rPr>
      </w:pPr>
      <w:r w:rsidRPr="000A2C53">
        <w:rPr>
          <w:rFonts w:ascii="Times New Roman" w:hAnsi="Times New Roman"/>
          <w:b/>
          <w:color w:val="000000"/>
          <w:lang w:eastAsia="sk-SK"/>
        </w:rPr>
        <w:t>Tabuľka: Rizikové faktory vzniku ATE</w:t>
      </w:r>
    </w:p>
    <w:p w:rsidR="00A86378" w:rsidRPr="000A2C53" w:rsidRDefault="00A86378" w:rsidP="002F2DDB">
      <w:pPr>
        <w:spacing w:after="0" w:line="240" w:lineRule="auto"/>
        <w:ind w:left="567" w:hanging="567"/>
        <w:rPr>
          <w:rFonts w:ascii="Times New Roman" w:hAnsi="Times New Roman"/>
          <w:color w:val="000000"/>
          <w:u w:val="single"/>
          <w:lang w:eastAsia="sk-SK"/>
        </w:rPr>
      </w:pPr>
    </w:p>
    <w:tbl>
      <w:tblPr>
        <w:tblW w:w="9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0"/>
        <w:gridCol w:w="4965"/>
      </w:tblGrid>
      <w:tr w:rsidR="00A86378" w:rsidRPr="00E83302" w:rsidTr="002F2DDB">
        <w:trPr>
          <w:trHeight w:val="123"/>
        </w:trPr>
        <w:tc>
          <w:tcPr>
            <w:tcW w:w="4077" w:type="dxa"/>
          </w:tcPr>
          <w:p w:rsidR="00A86378" w:rsidRPr="000A2C53" w:rsidRDefault="00A86378" w:rsidP="002F2DDB">
            <w:pPr>
              <w:autoSpaceDE w:val="0"/>
              <w:autoSpaceDN w:val="0"/>
              <w:adjustRightInd w:val="0"/>
              <w:spacing w:after="0" w:line="240" w:lineRule="auto"/>
              <w:ind w:left="567" w:hanging="567"/>
              <w:rPr>
                <w:rFonts w:ascii="Times New Roman" w:hAnsi="Times New Roman"/>
                <w:color w:val="000000"/>
                <w:lang w:eastAsia="sk-SK"/>
              </w:rPr>
            </w:pPr>
            <w:r w:rsidRPr="000A2C53">
              <w:rPr>
                <w:rFonts w:ascii="Times New Roman" w:hAnsi="Times New Roman"/>
                <w:b/>
                <w:bCs/>
                <w:color w:val="000000"/>
                <w:lang w:eastAsia="sk-SK"/>
              </w:rPr>
              <w:t xml:space="preserve">Rizikový faktor </w:t>
            </w:r>
          </w:p>
        </w:tc>
        <w:tc>
          <w:tcPr>
            <w:tcW w:w="4962" w:type="dxa"/>
          </w:tcPr>
          <w:p w:rsidR="00A86378" w:rsidRPr="000A2C53" w:rsidRDefault="00A86378" w:rsidP="002F2DDB">
            <w:pPr>
              <w:autoSpaceDE w:val="0"/>
              <w:autoSpaceDN w:val="0"/>
              <w:adjustRightInd w:val="0"/>
              <w:spacing w:after="0" w:line="240" w:lineRule="auto"/>
              <w:ind w:left="567" w:hanging="567"/>
              <w:rPr>
                <w:rFonts w:ascii="Times New Roman" w:hAnsi="Times New Roman"/>
                <w:color w:val="000000"/>
                <w:lang w:eastAsia="sk-SK"/>
              </w:rPr>
            </w:pPr>
            <w:r w:rsidRPr="000A2C53">
              <w:rPr>
                <w:rFonts w:ascii="Times New Roman" w:hAnsi="Times New Roman"/>
                <w:b/>
                <w:bCs/>
                <w:color w:val="000000"/>
                <w:lang w:eastAsia="sk-SK"/>
              </w:rPr>
              <w:t xml:space="preserve">Komentár </w:t>
            </w:r>
          </w:p>
        </w:tc>
      </w:tr>
      <w:tr w:rsidR="00A86378" w:rsidRPr="00E83302" w:rsidTr="002F2DDB">
        <w:trPr>
          <w:trHeight w:val="121"/>
        </w:trPr>
        <w:tc>
          <w:tcPr>
            <w:tcW w:w="4077" w:type="dxa"/>
          </w:tcPr>
          <w:p w:rsidR="00A86378" w:rsidRPr="000A2C53" w:rsidRDefault="00A86378" w:rsidP="002F2DDB">
            <w:pPr>
              <w:autoSpaceDE w:val="0"/>
              <w:autoSpaceDN w:val="0"/>
              <w:adjustRightInd w:val="0"/>
              <w:spacing w:after="0" w:line="240" w:lineRule="auto"/>
              <w:ind w:left="567" w:hanging="567"/>
              <w:rPr>
                <w:rFonts w:ascii="Times New Roman" w:hAnsi="Times New Roman"/>
                <w:color w:val="000000"/>
                <w:lang w:eastAsia="sk-SK"/>
              </w:rPr>
            </w:pPr>
            <w:r w:rsidRPr="000A2C53">
              <w:rPr>
                <w:rFonts w:ascii="Times New Roman" w:hAnsi="Times New Roman"/>
                <w:color w:val="000000"/>
                <w:lang w:eastAsia="sk-SK"/>
              </w:rPr>
              <w:t xml:space="preserve">Zvyšujúci sa vek </w:t>
            </w:r>
          </w:p>
        </w:tc>
        <w:tc>
          <w:tcPr>
            <w:tcW w:w="4962" w:type="dxa"/>
          </w:tcPr>
          <w:p w:rsidR="00A86378" w:rsidRPr="000A2C53" w:rsidRDefault="00A86378" w:rsidP="002F2DDB">
            <w:pPr>
              <w:autoSpaceDE w:val="0"/>
              <w:autoSpaceDN w:val="0"/>
              <w:adjustRightInd w:val="0"/>
              <w:spacing w:after="0" w:line="240" w:lineRule="auto"/>
              <w:ind w:left="567" w:hanging="567"/>
              <w:rPr>
                <w:rFonts w:ascii="Times New Roman" w:hAnsi="Times New Roman"/>
                <w:color w:val="000000"/>
                <w:lang w:eastAsia="sk-SK"/>
              </w:rPr>
            </w:pPr>
            <w:r w:rsidRPr="000A2C53">
              <w:rPr>
                <w:rFonts w:ascii="Times New Roman" w:hAnsi="Times New Roman"/>
                <w:color w:val="000000"/>
                <w:lang w:eastAsia="sk-SK"/>
              </w:rPr>
              <w:t xml:space="preserve">Najmä nad 35 rokov </w:t>
            </w:r>
          </w:p>
        </w:tc>
      </w:tr>
      <w:tr w:rsidR="00A86378" w:rsidRPr="00E83302" w:rsidTr="002F2DDB">
        <w:trPr>
          <w:trHeight w:val="449"/>
        </w:trPr>
        <w:tc>
          <w:tcPr>
            <w:tcW w:w="4077" w:type="dxa"/>
          </w:tcPr>
          <w:p w:rsidR="00A86378" w:rsidRPr="000A2C53" w:rsidRDefault="00A86378" w:rsidP="002F2DDB">
            <w:pPr>
              <w:autoSpaceDE w:val="0"/>
              <w:autoSpaceDN w:val="0"/>
              <w:adjustRightInd w:val="0"/>
              <w:spacing w:after="0" w:line="240" w:lineRule="auto"/>
              <w:ind w:left="567" w:hanging="567"/>
              <w:rPr>
                <w:rFonts w:ascii="Times New Roman" w:hAnsi="Times New Roman"/>
                <w:b/>
                <w:bCs/>
                <w:color w:val="000000"/>
                <w:kern w:val="28"/>
              </w:rPr>
            </w:pPr>
          </w:p>
          <w:p w:rsidR="00A86378" w:rsidRPr="000A2C53" w:rsidRDefault="00A86378" w:rsidP="002F2DDB">
            <w:pPr>
              <w:autoSpaceDE w:val="0"/>
              <w:autoSpaceDN w:val="0"/>
              <w:adjustRightInd w:val="0"/>
              <w:spacing w:after="0" w:line="240" w:lineRule="auto"/>
              <w:ind w:left="567" w:hanging="567"/>
              <w:rPr>
                <w:rFonts w:ascii="Times New Roman" w:hAnsi="Times New Roman"/>
                <w:color w:val="000000"/>
                <w:lang w:eastAsia="sk-SK"/>
              </w:rPr>
            </w:pPr>
            <w:r w:rsidRPr="000A2C53">
              <w:rPr>
                <w:rFonts w:ascii="Times New Roman" w:hAnsi="Times New Roman"/>
                <w:color w:val="000000"/>
                <w:lang w:eastAsia="sk-SK"/>
              </w:rPr>
              <w:t xml:space="preserve">Fajčenie </w:t>
            </w:r>
          </w:p>
        </w:tc>
        <w:tc>
          <w:tcPr>
            <w:tcW w:w="4962"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Ženám sa má odporučiť, aby nefajčili, ak chcú používať kombinovanú hormonálnu antikoncepciu. Ženám vo veku nad 35 rokov, ktoré pokračujú vo fajčení, sa má dôrazne odporučiť, aby používali iný </w:t>
            </w:r>
            <w:r w:rsidRPr="000A2C53">
              <w:rPr>
                <w:rFonts w:ascii="Times New Roman" w:hAnsi="Times New Roman"/>
                <w:color w:val="000000"/>
                <w:lang w:eastAsia="sk-SK"/>
              </w:rPr>
              <w:lastRenderedPageBreak/>
              <w:t xml:space="preserve">spôsob antikoncepcie. </w:t>
            </w:r>
          </w:p>
        </w:tc>
      </w:tr>
      <w:tr w:rsidR="00A86378" w:rsidRPr="00E83302" w:rsidTr="002F2DDB">
        <w:trPr>
          <w:trHeight w:val="221"/>
        </w:trPr>
        <w:tc>
          <w:tcPr>
            <w:tcW w:w="4077" w:type="dxa"/>
          </w:tcPr>
          <w:p w:rsidR="00A86378" w:rsidRPr="000A2C53" w:rsidRDefault="00A86378" w:rsidP="002F2DDB">
            <w:pPr>
              <w:autoSpaceDE w:val="0"/>
              <w:autoSpaceDN w:val="0"/>
              <w:adjustRightInd w:val="0"/>
              <w:spacing w:after="0" w:line="240" w:lineRule="auto"/>
              <w:ind w:left="567" w:hanging="567"/>
              <w:rPr>
                <w:rFonts w:ascii="Times New Roman" w:hAnsi="Times New Roman"/>
                <w:color w:val="000000"/>
                <w:lang w:eastAsia="sk-SK"/>
              </w:rPr>
            </w:pPr>
            <w:r w:rsidRPr="000A2C53">
              <w:rPr>
                <w:rFonts w:ascii="Times New Roman" w:hAnsi="Times New Roman"/>
                <w:color w:val="000000"/>
                <w:lang w:eastAsia="sk-SK"/>
              </w:rPr>
              <w:lastRenderedPageBreak/>
              <w:t>Hypertenzia</w:t>
            </w:r>
          </w:p>
        </w:tc>
        <w:tc>
          <w:tcPr>
            <w:tcW w:w="4962" w:type="dxa"/>
          </w:tcPr>
          <w:p w:rsidR="00A86378" w:rsidRPr="000A2C53" w:rsidRDefault="00A86378" w:rsidP="002F2DDB">
            <w:pPr>
              <w:autoSpaceDE w:val="0"/>
              <w:autoSpaceDN w:val="0"/>
              <w:adjustRightInd w:val="0"/>
              <w:spacing w:after="0" w:line="240" w:lineRule="auto"/>
              <w:rPr>
                <w:rFonts w:ascii="Times New Roman" w:hAnsi="Times New Roman"/>
                <w:b/>
                <w:bCs/>
                <w:color w:val="000000"/>
                <w:kern w:val="28"/>
              </w:rPr>
            </w:pPr>
          </w:p>
        </w:tc>
      </w:tr>
      <w:tr w:rsidR="00A86378" w:rsidRPr="00E83302" w:rsidTr="002F2DDB">
        <w:trPr>
          <w:trHeight w:val="340"/>
        </w:trPr>
        <w:tc>
          <w:tcPr>
            <w:tcW w:w="4077"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Obezita (index telesnej hmotnosti nad 30 kg/m²). </w:t>
            </w:r>
          </w:p>
          <w:p w:rsidR="00A86378" w:rsidRPr="000A2C53" w:rsidRDefault="00A86378" w:rsidP="002F2DDB">
            <w:pPr>
              <w:autoSpaceDE w:val="0"/>
              <w:autoSpaceDN w:val="0"/>
              <w:adjustRightInd w:val="0"/>
              <w:spacing w:after="0" w:line="240" w:lineRule="auto"/>
              <w:rPr>
                <w:rFonts w:ascii="Times New Roman" w:hAnsi="Times New Roman"/>
                <w:b/>
                <w:bCs/>
                <w:color w:val="000000"/>
                <w:kern w:val="28"/>
              </w:rPr>
            </w:pPr>
          </w:p>
        </w:tc>
        <w:tc>
          <w:tcPr>
            <w:tcW w:w="4962"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Riziko sa výrazne zvyšuje so zvyšovaním BMI.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To je dôležité najmä u žien s ďalšími rizikovými faktormi. </w:t>
            </w:r>
          </w:p>
        </w:tc>
      </w:tr>
      <w:tr w:rsidR="00A86378" w:rsidRPr="00E83302" w:rsidTr="002F2DDB">
        <w:trPr>
          <w:trHeight w:val="559"/>
        </w:trPr>
        <w:tc>
          <w:tcPr>
            <w:tcW w:w="4077"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Pozitívna rodinná anamnéza (akýkoľvek výskyt arteriálnej </w:t>
            </w:r>
            <w:r w:rsidR="001F1823">
              <w:rPr>
                <w:rFonts w:ascii="Times New Roman" w:hAnsi="Times New Roman"/>
                <w:color w:val="000000"/>
                <w:lang w:eastAsia="sk-SK"/>
              </w:rPr>
              <w:t>tromboem</w:t>
            </w:r>
            <w:r w:rsidRPr="000A2C53">
              <w:rPr>
                <w:rFonts w:ascii="Times New Roman" w:hAnsi="Times New Roman"/>
                <w:color w:val="000000"/>
                <w:lang w:eastAsia="sk-SK"/>
              </w:rPr>
              <w:t xml:space="preserve">bólie u súrodenca alebo rodiča, najmä v relatívne mladom veku, napr. do 50 rokov). </w:t>
            </w:r>
          </w:p>
        </w:tc>
        <w:tc>
          <w:tcPr>
            <w:tcW w:w="4962"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Ak existuje podozrenie na dedičnú </w:t>
            </w:r>
            <w:proofErr w:type="spellStart"/>
            <w:r w:rsidRPr="000A2C53">
              <w:rPr>
                <w:rFonts w:ascii="Times New Roman" w:hAnsi="Times New Roman"/>
                <w:color w:val="000000"/>
                <w:lang w:eastAsia="sk-SK"/>
              </w:rPr>
              <w:t>predispozíciu</w:t>
            </w:r>
            <w:proofErr w:type="spellEnd"/>
            <w:r w:rsidRPr="000A2C53">
              <w:rPr>
                <w:rFonts w:ascii="Times New Roman" w:hAnsi="Times New Roman"/>
                <w:color w:val="000000"/>
                <w:lang w:eastAsia="sk-SK"/>
              </w:rPr>
              <w:t xml:space="preserve">, ženu musí pred rozhodnutím o používaní akejkoľvek kombinovanej hormonálnej antikoncepcie vyšetriť odborný lekár. </w:t>
            </w:r>
          </w:p>
        </w:tc>
      </w:tr>
      <w:tr w:rsidR="00A86378" w:rsidRPr="00E83302" w:rsidTr="002F2DDB">
        <w:trPr>
          <w:trHeight w:val="450"/>
        </w:trPr>
        <w:tc>
          <w:tcPr>
            <w:tcW w:w="4077" w:type="dxa"/>
          </w:tcPr>
          <w:p w:rsidR="00A86378" w:rsidRPr="000A2C53" w:rsidRDefault="00A86378" w:rsidP="002F2DDB">
            <w:pPr>
              <w:autoSpaceDE w:val="0"/>
              <w:autoSpaceDN w:val="0"/>
              <w:adjustRightInd w:val="0"/>
              <w:spacing w:after="0" w:line="240" w:lineRule="auto"/>
              <w:rPr>
                <w:rFonts w:ascii="Times New Roman" w:hAnsi="Times New Roman"/>
                <w:b/>
                <w:bCs/>
                <w:color w:val="000000"/>
                <w:kern w:val="28"/>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Migréna </w:t>
            </w:r>
          </w:p>
        </w:tc>
        <w:tc>
          <w:tcPr>
            <w:tcW w:w="4962"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Zvýšenie frekvencie alebo závažnosti migrény v priebehu používania kombinovanej hormonálnej antikoncepcie (čo môžu byť skoré príznaky cievnej mozgovej príhody) môže byť dôvodom na okamžité ukončenie jej používania. </w:t>
            </w:r>
          </w:p>
        </w:tc>
      </w:tr>
      <w:tr w:rsidR="00A86378" w:rsidRPr="00E83302" w:rsidTr="002F2DDB">
        <w:trPr>
          <w:trHeight w:val="340"/>
        </w:trPr>
        <w:tc>
          <w:tcPr>
            <w:tcW w:w="4077"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Ďalšie zdravotné stavy spojené s nežiaducimi </w:t>
            </w:r>
            <w:proofErr w:type="spellStart"/>
            <w:r w:rsidRPr="000A2C53">
              <w:rPr>
                <w:rFonts w:ascii="Times New Roman" w:hAnsi="Times New Roman"/>
                <w:color w:val="000000"/>
                <w:lang w:eastAsia="sk-SK"/>
              </w:rPr>
              <w:t>vaskulárnymi</w:t>
            </w:r>
            <w:proofErr w:type="spellEnd"/>
            <w:r w:rsidRPr="000A2C53">
              <w:rPr>
                <w:rFonts w:ascii="Times New Roman" w:hAnsi="Times New Roman"/>
                <w:color w:val="000000"/>
                <w:lang w:eastAsia="sk-SK"/>
              </w:rPr>
              <w:t xml:space="preserve"> udalosťami. </w:t>
            </w:r>
          </w:p>
        </w:tc>
        <w:tc>
          <w:tcPr>
            <w:tcW w:w="4962" w:type="dxa"/>
          </w:tcPr>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Diabetes </w:t>
            </w:r>
            <w:proofErr w:type="spellStart"/>
            <w:r w:rsidRPr="000A2C53">
              <w:rPr>
                <w:rFonts w:ascii="Times New Roman" w:hAnsi="Times New Roman"/>
                <w:color w:val="000000"/>
                <w:lang w:eastAsia="sk-SK"/>
              </w:rPr>
              <w:t>mellitus</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hyperhomocysteinémia</w:t>
            </w:r>
            <w:proofErr w:type="spellEnd"/>
            <w:r w:rsidRPr="000A2C53">
              <w:rPr>
                <w:rFonts w:ascii="Times New Roman" w:hAnsi="Times New Roman"/>
                <w:color w:val="000000"/>
                <w:lang w:eastAsia="sk-SK"/>
              </w:rPr>
              <w:t xml:space="preserve">, ochorenie srdcových chlopní a </w:t>
            </w:r>
            <w:proofErr w:type="spellStart"/>
            <w:r w:rsidRPr="000A2C53">
              <w:rPr>
                <w:rFonts w:ascii="Times New Roman" w:hAnsi="Times New Roman"/>
                <w:color w:val="000000"/>
                <w:lang w:eastAsia="sk-SK"/>
              </w:rPr>
              <w:t>atriálna</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fibrilácia</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dyslipoproteinémia</w:t>
            </w:r>
            <w:proofErr w:type="spellEnd"/>
            <w:r w:rsidRPr="000A2C53">
              <w:rPr>
                <w:rFonts w:ascii="Times New Roman" w:hAnsi="Times New Roman"/>
                <w:color w:val="000000"/>
                <w:lang w:eastAsia="sk-SK"/>
              </w:rPr>
              <w:t xml:space="preserve"> a systémový </w:t>
            </w:r>
            <w:proofErr w:type="spellStart"/>
            <w:r w:rsidRPr="000A2C53">
              <w:rPr>
                <w:rFonts w:ascii="Times New Roman" w:hAnsi="Times New Roman"/>
                <w:i/>
                <w:color w:val="000000"/>
                <w:lang w:eastAsia="sk-SK"/>
              </w:rPr>
              <w:t>lupus</w:t>
            </w:r>
            <w:proofErr w:type="spellEnd"/>
            <w:r w:rsidRPr="000A2C53">
              <w:rPr>
                <w:rFonts w:ascii="Times New Roman" w:hAnsi="Times New Roman"/>
                <w:i/>
                <w:color w:val="000000"/>
                <w:lang w:eastAsia="sk-SK"/>
              </w:rPr>
              <w:t xml:space="preserve"> </w:t>
            </w:r>
            <w:proofErr w:type="spellStart"/>
            <w:r w:rsidRPr="000A2C53">
              <w:rPr>
                <w:rFonts w:ascii="Times New Roman" w:hAnsi="Times New Roman"/>
                <w:i/>
                <w:color w:val="000000"/>
                <w:lang w:eastAsia="sk-SK"/>
              </w:rPr>
              <w:t>erythematosus</w:t>
            </w:r>
            <w:proofErr w:type="spellEnd"/>
            <w:r w:rsidRPr="000A2C53">
              <w:rPr>
                <w:rFonts w:ascii="Times New Roman" w:hAnsi="Times New Roman"/>
                <w:color w:val="000000"/>
                <w:lang w:eastAsia="sk-SK"/>
              </w:rPr>
              <w:t xml:space="preserve">. </w:t>
            </w:r>
          </w:p>
        </w:tc>
      </w:tr>
    </w:tbl>
    <w:p w:rsidR="00A86378" w:rsidRPr="000A2C53" w:rsidRDefault="00A86378" w:rsidP="002F2DDB">
      <w:pPr>
        <w:autoSpaceDE w:val="0"/>
        <w:autoSpaceDN w:val="0"/>
        <w:adjustRightInd w:val="0"/>
        <w:spacing w:after="0" w:line="240" w:lineRule="auto"/>
        <w:rPr>
          <w:rFonts w:ascii="Times New Roman" w:hAnsi="Times New Roman"/>
          <w:b/>
          <w:bCs/>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b/>
          <w:bCs/>
          <w:color w:val="000000"/>
          <w:u w:val="single"/>
          <w:lang w:eastAsia="sk-SK"/>
        </w:rPr>
      </w:pPr>
      <w:r w:rsidRPr="000A2C53">
        <w:rPr>
          <w:rFonts w:ascii="Times New Roman" w:hAnsi="Times New Roman"/>
          <w:b/>
          <w:bCs/>
          <w:color w:val="000000"/>
          <w:u w:val="single"/>
          <w:lang w:eastAsia="sk-SK"/>
        </w:rPr>
        <w:t xml:space="preserve">Príznaky ATE </w:t>
      </w:r>
    </w:p>
    <w:p w:rsidR="00A86378" w:rsidRPr="000A2C53" w:rsidRDefault="00A86378" w:rsidP="002F2DDB">
      <w:pPr>
        <w:autoSpaceDE w:val="0"/>
        <w:autoSpaceDN w:val="0"/>
        <w:adjustRightInd w:val="0"/>
        <w:spacing w:after="0" w:line="240" w:lineRule="auto"/>
        <w:rPr>
          <w:rFonts w:ascii="Times New Roman" w:hAnsi="Times New Roman"/>
          <w:b/>
          <w:bCs/>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Žena má byť poučená, aby v prípade príznakov vyhľadala okamžitú lekársku pomoc a informovala zdravotníckeho pracovníka, že používa kombinovanú hormonálnu antikoncepciu.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Príznaky cievnej mozgovej príhody môžu zahŕňať: </w:t>
      </w:r>
    </w:p>
    <w:p w:rsidR="00A86378" w:rsidRDefault="00A86378" w:rsidP="00F9203C">
      <w:pPr>
        <w:autoSpaceDE w:val="0"/>
        <w:autoSpaceDN w:val="0"/>
        <w:adjustRightInd w:val="0"/>
        <w:spacing w:after="0" w:line="240" w:lineRule="auto"/>
        <w:ind w:firstLine="567"/>
        <w:rPr>
          <w:rFonts w:ascii="Times New Roman" w:hAnsi="Times New Roman"/>
          <w:color w:val="000000"/>
          <w:lang w:eastAsia="sk-SK"/>
        </w:rPr>
      </w:pPr>
      <w:r w:rsidRPr="000A2C53">
        <w:rPr>
          <w:rFonts w:ascii="Times New Roman" w:hAnsi="Times New Roman"/>
          <w:color w:val="000000"/>
          <w:lang w:eastAsia="sk-SK"/>
        </w:rPr>
        <w:t>– náhla strata citlivosti alebo slabosť tváre, ruky alebo nohy, najmä na jednej strane tela,</w:t>
      </w:r>
    </w:p>
    <w:p w:rsidR="00A86378" w:rsidRDefault="00A86378" w:rsidP="00F9203C">
      <w:pPr>
        <w:autoSpaceDE w:val="0"/>
        <w:autoSpaceDN w:val="0"/>
        <w:adjustRightInd w:val="0"/>
        <w:spacing w:after="0" w:line="240" w:lineRule="auto"/>
        <w:ind w:firstLine="567"/>
        <w:rPr>
          <w:rFonts w:ascii="Times New Roman" w:hAnsi="Times New Roman"/>
          <w:color w:val="000000"/>
          <w:lang w:eastAsia="sk-SK"/>
        </w:rPr>
      </w:pPr>
      <w:r w:rsidRPr="000A2C53">
        <w:rPr>
          <w:rFonts w:ascii="Times New Roman" w:hAnsi="Times New Roman"/>
          <w:color w:val="000000"/>
          <w:lang w:eastAsia="sk-SK"/>
        </w:rPr>
        <w:t>– náhle problémy s chôdzou, závrat, strata rovnováhy alebo koordinácie,</w:t>
      </w:r>
    </w:p>
    <w:p w:rsidR="00A86378" w:rsidRDefault="00A86378" w:rsidP="00F9203C">
      <w:pPr>
        <w:autoSpaceDE w:val="0"/>
        <w:autoSpaceDN w:val="0"/>
        <w:adjustRightInd w:val="0"/>
        <w:spacing w:after="0" w:line="240" w:lineRule="auto"/>
        <w:ind w:firstLine="567"/>
        <w:rPr>
          <w:rFonts w:ascii="Times New Roman" w:hAnsi="Times New Roman"/>
          <w:color w:val="000000"/>
          <w:lang w:eastAsia="sk-SK"/>
        </w:rPr>
      </w:pPr>
      <w:r w:rsidRPr="000A2C53">
        <w:rPr>
          <w:rFonts w:ascii="Times New Roman" w:hAnsi="Times New Roman"/>
          <w:color w:val="000000"/>
          <w:lang w:eastAsia="sk-SK"/>
        </w:rPr>
        <w:t>– náhla zmätenosť, problémy s rečou alebo jej porozumením,</w:t>
      </w:r>
    </w:p>
    <w:p w:rsidR="00A86378" w:rsidRDefault="00A86378" w:rsidP="00F9203C">
      <w:pPr>
        <w:autoSpaceDE w:val="0"/>
        <w:autoSpaceDN w:val="0"/>
        <w:adjustRightInd w:val="0"/>
        <w:spacing w:after="0" w:line="240" w:lineRule="auto"/>
        <w:ind w:firstLine="567"/>
        <w:rPr>
          <w:rFonts w:ascii="Times New Roman" w:hAnsi="Times New Roman"/>
          <w:color w:val="000000"/>
          <w:lang w:eastAsia="sk-SK"/>
        </w:rPr>
      </w:pPr>
      <w:r w:rsidRPr="000A2C53">
        <w:rPr>
          <w:rFonts w:ascii="Times New Roman" w:hAnsi="Times New Roman"/>
          <w:color w:val="000000"/>
          <w:lang w:eastAsia="sk-SK"/>
        </w:rPr>
        <w:t>– náhle problémy so zrakom u jedného alebo oboch očí,</w:t>
      </w:r>
    </w:p>
    <w:p w:rsidR="00A86378" w:rsidRDefault="00A86378" w:rsidP="00F9203C">
      <w:pPr>
        <w:autoSpaceDE w:val="0"/>
        <w:autoSpaceDN w:val="0"/>
        <w:adjustRightInd w:val="0"/>
        <w:spacing w:after="0" w:line="240" w:lineRule="auto"/>
        <w:ind w:firstLine="567"/>
        <w:rPr>
          <w:rFonts w:ascii="Times New Roman" w:hAnsi="Times New Roman"/>
          <w:color w:val="000000"/>
          <w:lang w:eastAsia="sk-SK"/>
        </w:rPr>
      </w:pPr>
      <w:r w:rsidRPr="000A2C53">
        <w:rPr>
          <w:rFonts w:ascii="Times New Roman" w:hAnsi="Times New Roman"/>
          <w:color w:val="000000"/>
          <w:lang w:eastAsia="sk-SK"/>
        </w:rPr>
        <w:t xml:space="preserve">– náhla, závažná alebo dlhodobá bolesť hlavy bez známej príčiny, </w:t>
      </w:r>
    </w:p>
    <w:p w:rsidR="00A86378" w:rsidRDefault="00A86378" w:rsidP="00F9203C">
      <w:pPr>
        <w:autoSpaceDE w:val="0"/>
        <w:autoSpaceDN w:val="0"/>
        <w:adjustRightInd w:val="0"/>
        <w:spacing w:after="0" w:line="240" w:lineRule="auto"/>
        <w:ind w:firstLine="567"/>
        <w:rPr>
          <w:rFonts w:ascii="Times New Roman" w:hAnsi="Times New Roman"/>
          <w:color w:val="000000"/>
          <w:lang w:eastAsia="sk-SK"/>
        </w:rPr>
      </w:pPr>
      <w:r w:rsidRPr="000A2C53">
        <w:rPr>
          <w:rFonts w:ascii="Times New Roman" w:hAnsi="Times New Roman"/>
          <w:color w:val="000000"/>
          <w:lang w:eastAsia="sk-SK"/>
        </w:rPr>
        <w:t xml:space="preserve">– strata vedomia alebo mdloba so záchvatmi kŕčov alebo bez nich. </w:t>
      </w:r>
    </w:p>
    <w:p w:rsidR="00A86378" w:rsidRPr="000A2C53" w:rsidRDefault="00A86378" w:rsidP="00F9203C">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Dočasné príznaky naznačujú, že udalosťou je prechodný ischemický záchvat (TIA). </w:t>
      </w: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lang w:eastAsia="sk-SK"/>
        </w:rPr>
        <w:t>Príznaky infarktu myokardu (MI) môžu zahŕňať:</w:t>
      </w:r>
    </w:p>
    <w:p w:rsidR="00A86378" w:rsidRDefault="00A86378" w:rsidP="00F9203C">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xml:space="preserve">– bolesť, </w:t>
      </w:r>
      <w:proofErr w:type="spellStart"/>
      <w:r w:rsidRPr="000A2C53">
        <w:rPr>
          <w:rFonts w:ascii="Times New Roman" w:hAnsi="Times New Roman"/>
          <w:color w:val="000000"/>
          <w:lang w:eastAsia="sk-SK"/>
        </w:rPr>
        <w:t>dyskomfort</w:t>
      </w:r>
      <w:proofErr w:type="spellEnd"/>
      <w:r w:rsidRPr="000A2C53">
        <w:rPr>
          <w:rFonts w:ascii="Times New Roman" w:hAnsi="Times New Roman"/>
          <w:color w:val="000000"/>
          <w:lang w:eastAsia="sk-SK"/>
        </w:rPr>
        <w:t xml:space="preserve">, tlak, ťažoba, pocit stláčania alebo plnosti v hrudi, ruke alebo pod hrudnou kosťou, </w:t>
      </w:r>
    </w:p>
    <w:p w:rsidR="00A86378" w:rsidRDefault="00A86378" w:rsidP="00F9203C">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dyskomfort</w:t>
      </w:r>
      <w:proofErr w:type="spellEnd"/>
      <w:r w:rsidRPr="000A2C53">
        <w:rPr>
          <w:rFonts w:ascii="Times New Roman" w:hAnsi="Times New Roman"/>
          <w:color w:val="000000"/>
          <w:lang w:eastAsia="sk-SK"/>
        </w:rPr>
        <w:t xml:space="preserve"> vyžarujúci do chrbta, čeľuste, hrdla, ruky, žalúdka, </w:t>
      </w:r>
    </w:p>
    <w:p w:rsidR="00A86378" w:rsidRDefault="00A86378" w:rsidP="00F9203C">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pocit plnosti, problémy s trávením alebo dusenie sa,</w:t>
      </w:r>
    </w:p>
    <w:p w:rsidR="00A86378" w:rsidRDefault="00A86378" w:rsidP="00F9203C">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potenie, nevoľnosť, vracanie alebo závrat,</w:t>
      </w:r>
    </w:p>
    <w:p w:rsidR="00A86378" w:rsidRDefault="00A86378" w:rsidP="00F9203C">
      <w:pPr>
        <w:autoSpaceDE w:val="0"/>
        <w:autoSpaceDN w:val="0"/>
        <w:adjustRightInd w:val="0"/>
        <w:spacing w:after="0" w:line="240" w:lineRule="auto"/>
        <w:ind w:left="567"/>
        <w:rPr>
          <w:rFonts w:ascii="Times New Roman" w:hAnsi="Times New Roman"/>
          <w:color w:val="000000"/>
          <w:lang w:eastAsia="sk-SK"/>
        </w:rPr>
      </w:pPr>
      <w:r w:rsidRPr="000A2C53">
        <w:rPr>
          <w:rFonts w:ascii="Times New Roman" w:hAnsi="Times New Roman"/>
          <w:color w:val="000000"/>
          <w:lang w:eastAsia="sk-SK"/>
        </w:rPr>
        <w:t>– extrémna slabosť, úzkosť alebo dýchavičnosť,</w:t>
      </w:r>
    </w:p>
    <w:p w:rsidR="00A86378" w:rsidRDefault="00A86378" w:rsidP="00F9203C">
      <w:pPr>
        <w:spacing w:after="0" w:line="240" w:lineRule="auto"/>
        <w:ind w:left="567"/>
        <w:rPr>
          <w:rFonts w:ascii="Times New Roman" w:hAnsi="Times New Roman"/>
          <w:lang w:eastAsia="sk-SK"/>
        </w:rPr>
      </w:pPr>
      <w:r w:rsidRPr="000A2C53">
        <w:rPr>
          <w:rFonts w:ascii="Times New Roman" w:hAnsi="Times New Roman"/>
          <w:lang w:eastAsia="sk-SK"/>
        </w:rPr>
        <w:t>– rýchly alebo nepravidelný srdcový rytmus.</w:t>
      </w:r>
    </w:p>
    <w:p w:rsidR="00A86378" w:rsidRPr="000A2C53" w:rsidRDefault="00A86378" w:rsidP="002F2DDB">
      <w:pPr>
        <w:overflowPunct w:val="0"/>
        <w:autoSpaceDE w:val="0"/>
        <w:autoSpaceDN w:val="0"/>
        <w:adjustRightInd w:val="0"/>
        <w:spacing w:after="0" w:line="240" w:lineRule="auto"/>
        <w:rPr>
          <w:rFonts w:ascii="Times New Roman" w:hAnsi="Times New Roman"/>
          <w:i/>
          <w:iCs/>
          <w:lang w:eastAsia="sk-SK"/>
        </w:rPr>
      </w:pPr>
    </w:p>
    <w:p w:rsidR="00A86378" w:rsidRPr="000A2C53" w:rsidRDefault="00A86378" w:rsidP="002F2DDB">
      <w:pPr>
        <w:overflowPunct w:val="0"/>
        <w:autoSpaceDE w:val="0"/>
        <w:autoSpaceDN w:val="0"/>
        <w:adjustRightInd w:val="0"/>
        <w:spacing w:after="0" w:line="240" w:lineRule="auto"/>
        <w:rPr>
          <w:rFonts w:ascii="Times New Roman" w:hAnsi="Times New Roman"/>
          <w:b/>
          <w:bCs/>
          <w:u w:val="single"/>
          <w:lang w:eastAsia="sk-SK"/>
        </w:rPr>
      </w:pPr>
      <w:r w:rsidRPr="000A2C53">
        <w:rPr>
          <w:rFonts w:ascii="Times New Roman" w:hAnsi="Times New Roman"/>
          <w:b/>
          <w:bCs/>
          <w:u w:val="single"/>
          <w:lang w:eastAsia="sk-SK"/>
        </w:rPr>
        <w:t>Nádory</w:t>
      </w:r>
    </w:p>
    <w:p w:rsidR="00A86378" w:rsidRPr="000A2C53" w:rsidRDefault="00A86378" w:rsidP="002F2DDB">
      <w:pPr>
        <w:overflowPunct w:val="0"/>
        <w:autoSpaceDE w:val="0"/>
        <w:autoSpaceDN w:val="0"/>
        <w:adjustRightInd w:val="0"/>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i/>
          <w:iCs/>
          <w:lang w:eastAsia="sk-SK"/>
        </w:rPr>
      </w:pPr>
      <w:r w:rsidRPr="000A2C53">
        <w:rPr>
          <w:rFonts w:ascii="Times New Roman" w:hAnsi="Times New Roman"/>
          <w:i/>
          <w:iCs/>
          <w:lang w:eastAsia="sk-SK"/>
        </w:rPr>
        <w:t>Rakovina krčka maternice</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V niektorých epidemiologických štúdiách sa hlásilo zvýšené riziko rakoviny krčka maternice u dlhodobých používateliek COC, pretrváva však rozdielnosť názorov na to, do akej miery sa dajú tieto nálezy pripísať následkom sexuálneho správania a iným faktorom, ako je ľudský </w:t>
      </w:r>
      <w:proofErr w:type="spellStart"/>
      <w:r w:rsidRPr="000A2C53">
        <w:rPr>
          <w:rFonts w:ascii="Times New Roman" w:hAnsi="Times New Roman"/>
          <w:lang w:eastAsia="sk-SK"/>
        </w:rPr>
        <w:t>papiloma</w:t>
      </w:r>
      <w:proofErr w:type="spellEnd"/>
      <w:r w:rsidRPr="000A2C53">
        <w:rPr>
          <w:rFonts w:ascii="Times New Roman" w:hAnsi="Times New Roman"/>
          <w:lang w:eastAsia="sk-SK"/>
        </w:rPr>
        <w:t xml:space="preserve"> vírus (HPV).</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i/>
          <w:iCs/>
          <w:lang w:eastAsia="sk-SK"/>
        </w:rPr>
      </w:pPr>
      <w:r w:rsidRPr="000A2C53">
        <w:rPr>
          <w:rFonts w:ascii="Times New Roman" w:hAnsi="Times New Roman"/>
          <w:i/>
          <w:iCs/>
          <w:lang w:eastAsia="sk-SK"/>
        </w:rPr>
        <w:t>Rakovina prsníka</w:t>
      </w:r>
    </w:p>
    <w:p w:rsidR="00A86378" w:rsidRPr="000A2C53" w:rsidRDefault="00A86378" w:rsidP="002F2DDB">
      <w:pPr>
        <w:spacing w:after="0" w:line="240" w:lineRule="auto"/>
        <w:rPr>
          <w:rFonts w:ascii="Times New Roman" w:hAnsi="Times New Roman"/>
          <w:lang w:eastAsia="sk-SK"/>
        </w:rPr>
      </w:pPr>
      <w:proofErr w:type="spellStart"/>
      <w:r w:rsidRPr="000A2C53">
        <w:rPr>
          <w:rFonts w:ascii="Times New Roman" w:hAnsi="Times New Roman"/>
          <w:lang w:eastAsia="sk-SK"/>
        </w:rPr>
        <w:t>Metaanalýza</w:t>
      </w:r>
      <w:proofErr w:type="spellEnd"/>
      <w:r w:rsidRPr="000A2C53">
        <w:rPr>
          <w:rFonts w:ascii="Times New Roman" w:hAnsi="Times New Roman"/>
          <w:lang w:eastAsia="sk-SK"/>
        </w:rPr>
        <w:t xml:space="preserve"> 54 epidemiologických štúdií uvádza, že sa mierne zvýšilo relatívne riziko (RR = 1,24) rakoviny prsníka diagnostikovanej u žien počas užívania COC. Zvýšené riziko postupne klesá </w:t>
      </w:r>
      <w:r w:rsidRPr="000A2C53">
        <w:rPr>
          <w:rFonts w:ascii="Times New Roman" w:hAnsi="Times New Roman"/>
          <w:lang w:eastAsia="sk-SK"/>
        </w:rPr>
        <w:lastRenderedPageBreak/>
        <w:t xml:space="preserve">v priebehu 10 rokov po ukončení užívania COC. Pretože výskyt rakoviny prsníka je u žien do 40 rokov zriedkavý, zvýšený počet prípadov diagnostikovanej rakoviny prsníka u žien, ktoré užívajú alebo užívali COC je v pomere k celkovému riziku rakoviny prsníka malý. </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Kauzalitu tieto štúdie nedokazujú. Pozorované zvýšenie rizika môže byť zapríčinené skoršou diagnózou rakoviny prsníka u používateliek COC, biologickými účinkami COC alebo ich kombináciou. Rakovina prsníka diagnostikovaná u žien, ktoré niekedy COC užívali, býva klinicky menej rozvinutá ako u žien, ktoré COC neužívali nikdy.</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i/>
          <w:iCs/>
          <w:lang w:eastAsia="sk-SK"/>
        </w:rPr>
        <w:t>Nádory pečene</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U žien užívajúcich COC boli hlásené benígne a malígne nádory pečene, ktoré v ojedinelých prípadoch viedli k život ohrozujúcemu </w:t>
      </w:r>
      <w:proofErr w:type="spellStart"/>
      <w:r w:rsidRPr="000A2C53">
        <w:rPr>
          <w:rFonts w:ascii="Times New Roman" w:hAnsi="Times New Roman"/>
          <w:lang w:eastAsia="sk-SK"/>
        </w:rPr>
        <w:t>intraabdominálnemu</w:t>
      </w:r>
      <w:proofErr w:type="spellEnd"/>
      <w:r w:rsidRPr="000A2C53">
        <w:rPr>
          <w:rFonts w:ascii="Times New Roman" w:hAnsi="Times New Roman"/>
          <w:lang w:eastAsia="sk-SK"/>
        </w:rPr>
        <w:t xml:space="preserve"> krvácaniu. V prípade výskytu silných </w:t>
      </w:r>
      <w:proofErr w:type="spellStart"/>
      <w:r w:rsidRPr="000A2C53">
        <w:rPr>
          <w:rFonts w:ascii="Times New Roman" w:hAnsi="Times New Roman"/>
          <w:lang w:eastAsia="sk-SK"/>
        </w:rPr>
        <w:t>abdominálnych</w:t>
      </w:r>
      <w:proofErr w:type="spellEnd"/>
      <w:r w:rsidRPr="000A2C53">
        <w:rPr>
          <w:rFonts w:ascii="Times New Roman" w:hAnsi="Times New Roman"/>
          <w:lang w:eastAsia="sk-SK"/>
        </w:rPr>
        <w:t xml:space="preserve"> bolestí, zväčšenia pečene alebo prejavov </w:t>
      </w:r>
      <w:proofErr w:type="spellStart"/>
      <w:r w:rsidRPr="000A2C53">
        <w:rPr>
          <w:rFonts w:ascii="Times New Roman" w:hAnsi="Times New Roman"/>
          <w:lang w:eastAsia="sk-SK"/>
        </w:rPr>
        <w:t>intraabdominálneho</w:t>
      </w:r>
      <w:proofErr w:type="spellEnd"/>
      <w:r w:rsidRPr="000A2C53">
        <w:rPr>
          <w:rFonts w:ascii="Times New Roman" w:hAnsi="Times New Roman"/>
          <w:lang w:eastAsia="sk-SK"/>
        </w:rPr>
        <w:t xml:space="preserve"> krvácania u žien užívajúcich COC sa v diferenciálnej diagnóze musí uvažovať o nádore pečene.</w:t>
      </w:r>
    </w:p>
    <w:p w:rsidR="00A86378" w:rsidRPr="000A2C53" w:rsidRDefault="00A86378" w:rsidP="002F2DDB">
      <w:pPr>
        <w:spacing w:after="0" w:line="240" w:lineRule="auto"/>
        <w:rPr>
          <w:rFonts w:ascii="Times New Roman" w:hAnsi="Times New Roman"/>
          <w:b/>
          <w:bCs/>
          <w:u w:val="single"/>
          <w:lang w:eastAsia="sk-SK"/>
        </w:rPr>
      </w:pPr>
    </w:p>
    <w:p w:rsidR="00A86378" w:rsidRPr="000A2C53" w:rsidRDefault="00A86378" w:rsidP="002F2DDB">
      <w:pPr>
        <w:tabs>
          <w:tab w:val="left" w:pos="964"/>
        </w:tabs>
        <w:overflowPunct w:val="0"/>
        <w:autoSpaceDE w:val="0"/>
        <w:autoSpaceDN w:val="0"/>
        <w:adjustRightInd w:val="0"/>
        <w:spacing w:after="0" w:line="240" w:lineRule="auto"/>
        <w:rPr>
          <w:rFonts w:ascii="Times New Roman" w:hAnsi="Times New Roman"/>
          <w:b/>
          <w:bCs/>
          <w:u w:val="single"/>
          <w:lang w:eastAsia="sk-SK"/>
        </w:rPr>
      </w:pPr>
      <w:r w:rsidRPr="000A2C53">
        <w:rPr>
          <w:rFonts w:ascii="Times New Roman" w:hAnsi="Times New Roman"/>
          <w:b/>
          <w:bCs/>
          <w:u w:val="single"/>
          <w:lang w:eastAsia="sk-SK"/>
        </w:rPr>
        <w:t xml:space="preserve">Iné stavy </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U žien s </w:t>
      </w:r>
      <w:proofErr w:type="spellStart"/>
      <w:r w:rsidRPr="000A2C53">
        <w:rPr>
          <w:rFonts w:ascii="Times New Roman" w:hAnsi="Times New Roman"/>
          <w:lang w:eastAsia="sk-SK"/>
        </w:rPr>
        <w:t>hypertriglyceridémiou</w:t>
      </w:r>
      <w:proofErr w:type="spellEnd"/>
      <w:r w:rsidRPr="000A2C53">
        <w:rPr>
          <w:rFonts w:ascii="Times New Roman" w:hAnsi="Times New Roman"/>
          <w:lang w:eastAsia="sk-SK"/>
        </w:rPr>
        <w:t>, alebo ktoré majú toto ochorenie v rodinnej anamnéze, sa v priebehu užívania COC môže zvýšiť riziko pankreatitídy.</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V prípade akútnej alebo chronickej poruchy funkcie pečene sa musí ukončiť užívanie Gentilionu dovtedy, kým sa </w:t>
      </w:r>
      <w:proofErr w:type="spellStart"/>
      <w:r w:rsidRPr="000A2C53">
        <w:rPr>
          <w:rFonts w:ascii="Times New Roman" w:hAnsi="Times New Roman"/>
          <w:lang w:eastAsia="sk-SK"/>
        </w:rPr>
        <w:t>markery</w:t>
      </w:r>
      <w:proofErr w:type="spellEnd"/>
      <w:r w:rsidRPr="000A2C53">
        <w:rPr>
          <w:rFonts w:ascii="Times New Roman" w:hAnsi="Times New Roman"/>
          <w:lang w:eastAsia="sk-SK"/>
        </w:rPr>
        <w:t xml:space="preserve"> pečeňových funkcií nevrátia na referenčné hodnoty. </w:t>
      </w:r>
      <w:proofErr w:type="spellStart"/>
      <w:r w:rsidRPr="000A2C53">
        <w:rPr>
          <w:rFonts w:ascii="Times New Roman" w:hAnsi="Times New Roman"/>
          <w:lang w:eastAsia="sk-SK"/>
        </w:rPr>
        <w:t>Steroidné</w:t>
      </w:r>
      <w:proofErr w:type="spellEnd"/>
      <w:r w:rsidRPr="000A2C53">
        <w:rPr>
          <w:rFonts w:ascii="Times New Roman" w:hAnsi="Times New Roman"/>
          <w:lang w:eastAsia="sk-SK"/>
        </w:rPr>
        <w:t xml:space="preserve"> hormóny sa môžu u pacientov s poruchou funkcie pečene metabolizovať nedostatočne. </w:t>
      </w:r>
    </w:p>
    <w:p w:rsidR="00D0379F" w:rsidRPr="00D0379F" w:rsidRDefault="00D0379F" w:rsidP="00D0379F">
      <w:pPr>
        <w:tabs>
          <w:tab w:val="left" w:pos="7455"/>
        </w:tabs>
        <w:spacing w:after="0" w:line="240" w:lineRule="auto"/>
        <w:rPr>
          <w:rFonts w:ascii="Times New Roman" w:eastAsia="Times New Roman" w:hAnsi="Times New Roman"/>
          <w:lang w:eastAsia="sk-SK"/>
        </w:rPr>
      </w:pPr>
    </w:p>
    <w:p w:rsidR="00D0379F" w:rsidRPr="00D0379F" w:rsidRDefault="00D0379F" w:rsidP="00D0379F">
      <w:pPr>
        <w:spacing w:after="0" w:line="240" w:lineRule="auto"/>
        <w:rPr>
          <w:rFonts w:ascii="Times New Roman" w:eastAsia="SimSun" w:hAnsi="Times New Roman"/>
          <w:lang w:eastAsia="zh-CN"/>
        </w:rPr>
      </w:pPr>
      <w:r w:rsidRPr="00D0379F">
        <w:rPr>
          <w:rFonts w:ascii="Times New Roman" w:eastAsia="SimSun" w:hAnsi="Times New Roman"/>
          <w:lang w:eastAsia="zh-CN"/>
        </w:rPr>
        <w:t>Zvýšenie hladín ALT</w:t>
      </w:r>
    </w:p>
    <w:p w:rsidR="00D0379F" w:rsidRPr="00D0379F" w:rsidRDefault="00D0379F" w:rsidP="00D0379F">
      <w:pPr>
        <w:tabs>
          <w:tab w:val="left" w:pos="964"/>
        </w:tabs>
        <w:spacing w:after="0" w:line="240" w:lineRule="auto"/>
        <w:rPr>
          <w:rFonts w:ascii="Times New Roman" w:eastAsia="SimSun" w:hAnsi="Times New Roman"/>
          <w:lang w:eastAsia="zh-CN"/>
        </w:rPr>
      </w:pPr>
      <w:r w:rsidRPr="00D0379F">
        <w:rPr>
          <w:rFonts w:ascii="Times New Roman" w:eastAsia="SimSun" w:hAnsi="Times New Roman"/>
          <w:lang w:eastAsia="zh-CN"/>
        </w:rPr>
        <w:t>V priebehu klinických skúšaní u pacientov liečených na infekciu vírusom hepatitídy C (</w:t>
      </w:r>
      <w:proofErr w:type="spellStart"/>
      <w:r w:rsidR="00233BBA" w:rsidRPr="00233BBA">
        <w:rPr>
          <w:rFonts w:ascii="Times New Roman" w:eastAsia="Times New Roman" w:hAnsi="Times New Roman"/>
          <w:spacing w:val="-3"/>
          <w:lang w:eastAsia="sk-SK"/>
        </w:rPr>
        <w:t>hepatitis</w:t>
      </w:r>
      <w:proofErr w:type="spellEnd"/>
      <w:r w:rsidR="00233BBA" w:rsidRPr="00233BBA">
        <w:rPr>
          <w:rFonts w:ascii="Times New Roman" w:eastAsia="Times New Roman" w:hAnsi="Times New Roman"/>
          <w:spacing w:val="-3"/>
          <w:lang w:eastAsia="sk-SK"/>
        </w:rPr>
        <w:t xml:space="preserve"> C </w:t>
      </w:r>
      <w:proofErr w:type="spellStart"/>
      <w:r w:rsidR="00233BBA" w:rsidRPr="00233BBA">
        <w:rPr>
          <w:rFonts w:ascii="Times New Roman" w:eastAsia="Times New Roman" w:hAnsi="Times New Roman"/>
          <w:spacing w:val="-3"/>
          <w:lang w:eastAsia="sk-SK"/>
        </w:rPr>
        <w:t>virus</w:t>
      </w:r>
      <w:proofErr w:type="spellEnd"/>
      <w:r w:rsidR="00233BBA" w:rsidRPr="00233BBA">
        <w:rPr>
          <w:rFonts w:ascii="Times New Roman" w:eastAsia="Times New Roman" w:hAnsi="Times New Roman"/>
          <w:spacing w:val="-3"/>
          <w:lang w:eastAsia="sk-SK"/>
        </w:rPr>
        <w:t xml:space="preserve"> </w:t>
      </w:r>
      <w:proofErr w:type="spellStart"/>
      <w:r w:rsidR="00233BBA" w:rsidRPr="00233BBA">
        <w:rPr>
          <w:rFonts w:ascii="Times New Roman" w:eastAsia="Times New Roman" w:hAnsi="Times New Roman"/>
          <w:spacing w:val="-3"/>
          <w:lang w:eastAsia="sk-SK"/>
        </w:rPr>
        <w:t>infections</w:t>
      </w:r>
      <w:proofErr w:type="spellEnd"/>
      <w:r w:rsidR="00233BBA" w:rsidRPr="00233BBA">
        <w:rPr>
          <w:rFonts w:ascii="Times New Roman" w:eastAsia="Times New Roman" w:hAnsi="Times New Roman"/>
          <w:spacing w:val="-3"/>
          <w:lang w:eastAsia="sk-SK"/>
        </w:rPr>
        <w:t xml:space="preserve">, </w:t>
      </w:r>
      <w:r w:rsidRPr="00D0379F">
        <w:rPr>
          <w:rFonts w:ascii="Times New Roman" w:eastAsia="SimSun" w:hAnsi="Times New Roman"/>
          <w:lang w:eastAsia="zh-CN"/>
        </w:rPr>
        <w:t xml:space="preserve">HCV) liekmi obsahujúcimi </w:t>
      </w:r>
      <w:proofErr w:type="spellStart"/>
      <w:r w:rsidRPr="00D0379F">
        <w:rPr>
          <w:rFonts w:ascii="Times New Roman" w:eastAsia="SimSun" w:hAnsi="Times New Roman"/>
          <w:lang w:eastAsia="zh-CN"/>
        </w:rPr>
        <w:t>ombitasvir</w:t>
      </w:r>
      <w:proofErr w:type="spellEnd"/>
      <w:r w:rsidRPr="00D0379F">
        <w:rPr>
          <w:rFonts w:ascii="Times New Roman" w:eastAsia="SimSun" w:hAnsi="Times New Roman"/>
          <w:lang w:eastAsia="zh-CN"/>
        </w:rPr>
        <w:t>/</w:t>
      </w:r>
      <w:proofErr w:type="spellStart"/>
      <w:r w:rsidRPr="00D0379F">
        <w:rPr>
          <w:rFonts w:ascii="Times New Roman" w:eastAsia="SimSun" w:hAnsi="Times New Roman"/>
          <w:lang w:eastAsia="zh-CN"/>
        </w:rPr>
        <w:t>paritaprevir</w:t>
      </w:r>
      <w:proofErr w:type="spellEnd"/>
      <w:r w:rsidRPr="00D0379F">
        <w:rPr>
          <w:rFonts w:ascii="Times New Roman" w:eastAsia="SimSun" w:hAnsi="Times New Roman"/>
          <w:lang w:eastAsia="zh-CN"/>
        </w:rPr>
        <w:t>/</w:t>
      </w:r>
      <w:proofErr w:type="spellStart"/>
      <w:r w:rsidRPr="00D0379F">
        <w:rPr>
          <w:rFonts w:ascii="Times New Roman" w:eastAsia="SimSun" w:hAnsi="Times New Roman"/>
          <w:lang w:eastAsia="zh-CN"/>
        </w:rPr>
        <w:t>ritonavir</w:t>
      </w:r>
      <w:proofErr w:type="spellEnd"/>
      <w:r w:rsidRPr="00D0379F">
        <w:rPr>
          <w:rFonts w:ascii="Times New Roman" w:eastAsia="SimSun" w:hAnsi="Times New Roman"/>
          <w:lang w:eastAsia="zh-CN"/>
        </w:rPr>
        <w:t xml:space="preserve"> a </w:t>
      </w:r>
      <w:proofErr w:type="spellStart"/>
      <w:r w:rsidRPr="00D0379F">
        <w:rPr>
          <w:rFonts w:ascii="Times New Roman" w:eastAsia="SimSun" w:hAnsi="Times New Roman"/>
          <w:lang w:eastAsia="zh-CN"/>
        </w:rPr>
        <w:t>dasabuvir</w:t>
      </w:r>
      <w:proofErr w:type="spellEnd"/>
      <w:r w:rsidRPr="00D0379F">
        <w:rPr>
          <w:rFonts w:ascii="Times New Roman" w:eastAsia="SimSun" w:hAnsi="Times New Roman"/>
          <w:lang w:eastAsia="zh-CN"/>
        </w:rPr>
        <w:t xml:space="preserve"> s </w:t>
      </w:r>
      <w:proofErr w:type="spellStart"/>
      <w:r w:rsidRPr="00D0379F">
        <w:rPr>
          <w:rFonts w:ascii="Times New Roman" w:eastAsia="SimSun" w:hAnsi="Times New Roman"/>
          <w:lang w:eastAsia="zh-CN"/>
        </w:rPr>
        <w:t>ribavirínom</w:t>
      </w:r>
      <w:proofErr w:type="spellEnd"/>
      <w:r w:rsidRPr="00D0379F">
        <w:rPr>
          <w:rFonts w:ascii="Times New Roman" w:eastAsia="SimSun" w:hAnsi="Times New Roman"/>
          <w:lang w:eastAsia="zh-CN"/>
        </w:rPr>
        <w:t xml:space="preserve"> alebo bez neho sa vyskytli zvýšenia hladín </w:t>
      </w:r>
      <w:proofErr w:type="spellStart"/>
      <w:r w:rsidRPr="00D0379F">
        <w:rPr>
          <w:rFonts w:ascii="Times New Roman" w:eastAsia="SimSun" w:hAnsi="Times New Roman"/>
          <w:lang w:eastAsia="zh-CN"/>
        </w:rPr>
        <w:t>transaminázy</w:t>
      </w:r>
      <w:proofErr w:type="spellEnd"/>
      <w:r w:rsidRPr="00D0379F">
        <w:rPr>
          <w:rFonts w:ascii="Times New Roman" w:eastAsia="SimSun" w:hAnsi="Times New Roman"/>
          <w:lang w:eastAsia="zh-CN"/>
        </w:rPr>
        <w:t xml:space="preserve"> (ALT) na viac ako 5-násobok hornej hranice normálnych hodnôt (</w:t>
      </w:r>
      <w:proofErr w:type="spellStart"/>
      <w:r w:rsidR="00233BBA" w:rsidRPr="00233BBA">
        <w:rPr>
          <w:rFonts w:ascii="Times New Roman" w:eastAsia="Times New Roman" w:hAnsi="Times New Roman"/>
          <w:spacing w:val="-3"/>
          <w:lang w:eastAsia="sk-SK"/>
        </w:rPr>
        <w:t>upper</w:t>
      </w:r>
      <w:proofErr w:type="spellEnd"/>
      <w:r w:rsidR="00233BBA" w:rsidRPr="00233BBA">
        <w:rPr>
          <w:rFonts w:ascii="Times New Roman" w:eastAsia="Times New Roman" w:hAnsi="Times New Roman"/>
          <w:spacing w:val="-3"/>
          <w:lang w:eastAsia="sk-SK"/>
        </w:rPr>
        <w:t xml:space="preserve"> limit </w:t>
      </w:r>
      <w:proofErr w:type="spellStart"/>
      <w:r w:rsidR="00233BBA" w:rsidRPr="00233BBA">
        <w:rPr>
          <w:rFonts w:ascii="Times New Roman" w:eastAsia="Times New Roman" w:hAnsi="Times New Roman"/>
          <w:spacing w:val="-3"/>
          <w:lang w:eastAsia="sk-SK"/>
        </w:rPr>
        <w:t>of</w:t>
      </w:r>
      <w:proofErr w:type="spellEnd"/>
      <w:r w:rsidR="00233BBA" w:rsidRPr="00233BBA">
        <w:rPr>
          <w:rFonts w:ascii="Times New Roman" w:eastAsia="Times New Roman" w:hAnsi="Times New Roman"/>
          <w:spacing w:val="-3"/>
          <w:lang w:eastAsia="sk-SK"/>
        </w:rPr>
        <w:t xml:space="preserve"> </w:t>
      </w:r>
      <w:proofErr w:type="spellStart"/>
      <w:r w:rsidR="00233BBA" w:rsidRPr="00233BBA">
        <w:rPr>
          <w:rFonts w:ascii="Times New Roman" w:eastAsia="Times New Roman" w:hAnsi="Times New Roman"/>
          <w:spacing w:val="-3"/>
          <w:lang w:eastAsia="sk-SK"/>
        </w:rPr>
        <w:t>normal</w:t>
      </w:r>
      <w:proofErr w:type="spellEnd"/>
      <w:r w:rsidR="00233BBA" w:rsidRPr="00233BBA">
        <w:rPr>
          <w:rFonts w:ascii="Times New Roman" w:eastAsia="Times New Roman" w:hAnsi="Times New Roman"/>
          <w:spacing w:val="-3"/>
          <w:lang w:eastAsia="sk-SK"/>
        </w:rPr>
        <w:t xml:space="preserve">, </w:t>
      </w:r>
      <w:r w:rsidRPr="00D0379F">
        <w:rPr>
          <w:rFonts w:ascii="Times New Roman" w:eastAsia="SimSun" w:hAnsi="Times New Roman"/>
          <w:lang w:eastAsia="zh-CN"/>
        </w:rPr>
        <w:t>ULN) signifikantne častejšie u žien používajúcich lieky s obsahom etinylestradiolu ako je kombinovaná hormonálna antikoncepcia (CHC) (pozri časti 4.3 a 4.5).</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 xml:space="preserve">Aj keď sa u mnohých žien užívajúcich COC zaznamenalo malé zvýšenie krvného tlaku, klinicky významný vzostup je zriedkavý. Ak sa v priebehu užívania COC rozvinie trvalá klinicky významná hypertenzia, užívanie sa má ukončiť a má sa liečiť hypertenzia. Ak sa uzná za vhodné, užívanie COC je možné obnoviť po dosiahnutí </w:t>
      </w:r>
      <w:proofErr w:type="spellStart"/>
      <w:r w:rsidRPr="000A2C53">
        <w:rPr>
          <w:rFonts w:ascii="Times New Roman" w:hAnsi="Times New Roman"/>
          <w:lang w:eastAsia="sk-SK"/>
        </w:rPr>
        <w:t>normotenzných</w:t>
      </w:r>
      <w:proofErr w:type="spellEnd"/>
      <w:r w:rsidRPr="000A2C53">
        <w:rPr>
          <w:rFonts w:ascii="Times New Roman" w:hAnsi="Times New Roman"/>
          <w:lang w:eastAsia="sk-SK"/>
        </w:rPr>
        <w:t xml:space="preserve"> hodnôt krvného tlaku </w:t>
      </w:r>
      <w:proofErr w:type="spellStart"/>
      <w:r w:rsidRPr="000A2C53">
        <w:rPr>
          <w:rFonts w:ascii="Times New Roman" w:hAnsi="Times New Roman"/>
          <w:lang w:eastAsia="sk-SK"/>
        </w:rPr>
        <w:t>antihypertenznou</w:t>
      </w:r>
      <w:proofErr w:type="spellEnd"/>
      <w:r w:rsidRPr="000A2C53">
        <w:rPr>
          <w:rFonts w:ascii="Times New Roman" w:hAnsi="Times New Roman"/>
          <w:lang w:eastAsia="sk-SK"/>
        </w:rPr>
        <w:t xml:space="preserve"> liečbou.</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V súvislosti s graviditou a v súvislosti s užívaním COC sa vyskytli alebo zhoršili nasledovné stavy, ale potvrdenie súvislosti nie je preukázané: žltačka a/alebo svrbenie súvisiace s </w:t>
      </w:r>
      <w:proofErr w:type="spellStart"/>
      <w:r w:rsidRPr="000A2C53">
        <w:rPr>
          <w:rFonts w:ascii="Times New Roman" w:hAnsi="Times New Roman"/>
          <w:lang w:eastAsia="sk-SK"/>
        </w:rPr>
        <w:t>cholestázou</w:t>
      </w:r>
      <w:proofErr w:type="spellEnd"/>
      <w:r w:rsidRPr="000A2C53">
        <w:rPr>
          <w:rFonts w:ascii="Times New Roman" w:hAnsi="Times New Roman"/>
          <w:lang w:eastAsia="sk-SK"/>
        </w:rPr>
        <w:t xml:space="preserve">; tvorba žlčových kameňov; </w:t>
      </w:r>
      <w:proofErr w:type="spellStart"/>
      <w:r w:rsidRPr="000A2C53">
        <w:rPr>
          <w:rFonts w:ascii="Times New Roman" w:hAnsi="Times New Roman"/>
          <w:lang w:eastAsia="sk-SK"/>
        </w:rPr>
        <w:t>porfýria</w:t>
      </w:r>
      <w:proofErr w:type="spellEnd"/>
      <w:r w:rsidRPr="000A2C53">
        <w:rPr>
          <w:rFonts w:ascii="Times New Roman" w:hAnsi="Times New Roman"/>
          <w:lang w:eastAsia="sk-SK"/>
        </w:rPr>
        <w:t xml:space="preserve">; systémový </w:t>
      </w:r>
      <w:proofErr w:type="spellStart"/>
      <w:r w:rsidRPr="000A2C53">
        <w:rPr>
          <w:rFonts w:ascii="Times New Roman" w:hAnsi="Times New Roman"/>
          <w:i/>
          <w:lang w:eastAsia="sk-SK"/>
        </w:rPr>
        <w:t>lupus</w:t>
      </w:r>
      <w:proofErr w:type="spellEnd"/>
      <w:r w:rsidRPr="000A2C53">
        <w:rPr>
          <w:rFonts w:ascii="Times New Roman" w:hAnsi="Times New Roman"/>
          <w:i/>
          <w:lang w:eastAsia="sk-SK"/>
        </w:rPr>
        <w:t xml:space="preserve"> </w:t>
      </w:r>
      <w:proofErr w:type="spellStart"/>
      <w:r w:rsidRPr="000A2C53">
        <w:rPr>
          <w:rFonts w:ascii="Times New Roman" w:hAnsi="Times New Roman"/>
          <w:i/>
          <w:lang w:eastAsia="sk-SK"/>
        </w:rPr>
        <w:t>erythematosus</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hemolyticko-uremický</w:t>
      </w:r>
      <w:proofErr w:type="spellEnd"/>
      <w:r w:rsidRPr="000A2C53">
        <w:rPr>
          <w:rFonts w:ascii="Times New Roman" w:hAnsi="Times New Roman"/>
          <w:lang w:eastAsia="sk-SK"/>
        </w:rPr>
        <w:t xml:space="preserve"> syndróm; </w:t>
      </w:r>
      <w:proofErr w:type="spellStart"/>
      <w:r w:rsidRPr="000A2C53">
        <w:rPr>
          <w:rFonts w:ascii="Times New Roman" w:hAnsi="Times New Roman"/>
          <w:lang w:eastAsia="sk-SK"/>
        </w:rPr>
        <w:t>Sydenhamova</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chorea</w:t>
      </w:r>
      <w:proofErr w:type="spellEnd"/>
      <w:r w:rsidRPr="000A2C53">
        <w:rPr>
          <w:rFonts w:ascii="Times New Roman" w:hAnsi="Times New Roman"/>
          <w:lang w:eastAsia="sk-SK"/>
        </w:rPr>
        <w:t xml:space="preserve">; herpes </w:t>
      </w:r>
      <w:proofErr w:type="spellStart"/>
      <w:r w:rsidRPr="000A2C53">
        <w:rPr>
          <w:rFonts w:ascii="Times New Roman" w:hAnsi="Times New Roman"/>
          <w:lang w:eastAsia="sk-SK"/>
        </w:rPr>
        <w:t>gestationis</w:t>
      </w:r>
      <w:proofErr w:type="spellEnd"/>
      <w:r w:rsidRPr="000A2C53">
        <w:rPr>
          <w:rFonts w:ascii="Times New Roman" w:hAnsi="Times New Roman"/>
          <w:lang w:eastAsia="sk-SK"/>
        </w:rPr>
        <w:t xml:space="preserve">; strata sluchu spôsobená </w:t>
      </w:r>
      <w:proofErr w:type="spellStart"/>
      <w:r w:rsidRPr="000A2C53">
        <w:rPr>
          <w:rFonts w:ascii="Times New Roman" w:hAnsi="Times New Roman"/>
          <w:lang w:eastAsia="sk-SK"/>
        </w:rPr>
        <w:t>otosklerózou</w:t>
      </w:r>
      <w:proofErr w:type="spellEnd"/>
      <w:r w:rsidRPr="000A2C53">
        <w:rPr>
          <w:rFonts w:ascii="Times New Roman" w:hAnsi="Times New Roman"/>
          <w:lang w:eastAsia="sk-SK"/>
        </w:rPr>
        <w:t>.</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COC môžu mať účinok na periférnu inzulínovú rezistenciu a glukózovú toleranciu. Diabetičky počas užívania COC musia byť preto starostlivo sledované.</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 xml:space="preserve">Počas užívania COC sa hlásilo zhoršenie endogénnej depresie, epilepsie (pozri časť 4.5 interakcie), </w:t>
      </w:r>
      <w:proofErr w:type="spellStart"/>
      <w:r w:rsidRPr="000A2C53">
        <w:rPr>
          <w:rFonts w:ascii="Times New Roman" w:hAnsi="Times New Roman"/>
          <w:lang w:eastAsia="sk-SK"/>
        </w:rPr>
        <w:t>Crohnovej</w:t>
      </w:r>
      <w:proofErr w:type="spellEnd"/>
      <w:r w:rsidRPr="000A2C53">
        <w:rPr>
          <w:rFonts w:ascii="Times New Roman" w:hAnsi="Times New Roman"/>
          <w:lang w:eastAsia="sk-SK"/>
        </w:rPr>
        <w:t xml:space="preserve"> choroby a </w:t>
      </w:r>
      <w:proofErr w:type="spellStart"/>
      <w:r w:rsidRPr="000A2C53">
        <w:rPr>
          <w:rFonts w:ascii="Times New Roman" w:hAnsi="Times New Roman"/>
          <w:lang w:eastAsia="sk-SK"/>
        </w:rPr>
        <w:t>ulceróznej</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kolitídy</w:t>
      </w:r>
      <w:proofErr w:type="spellEnd"/>
      <w:r w:rsidRPr="000A2C53">
        <w:rPr>
          <w:rFonts w:ascii="Times New Roman" w:hAnsi="Times New Roman"/>
          <w:lang w:eastAsia="sk-SK"/>
        </w:rPr>
        <w:t>.</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 xml:space="preserve">Môže sa objaviť </w:t>
      </w:r>
      <w:proofErr w:type="spellStart"/>
      <w:r w:rsidRPr="000A2C53">
        <w:rPr>
          <w:rFonts w:ascii="Times New Roman" w:hAnsi="Times New Roman"/>
          <w:lang w:eastAsia="sk-SK"/>
        </w:rPr>
        <w:t>chloazma</w:t>
      </w:r>
      <w:proofErr w:type="spellEnd"/>
      <w:r w:rsidRPr="000A2C53">
        <w:rPr>
          <w:rFonts w:ascii="Times New Roman" w:hAnsi="Times New Roman"/>
          <w:lang w:eastAsia="sk-SK"/>
        </w:rPr>
        <w:t xml:space="preserve">, najmä u žien, ktoré majú v anamnéze </w:t>
      </w:r>
      <w:proofErr w:type="spellStart"/>
      <w:r w:rsidRPr="000A2C53">
        <w:rPr>
          <w:rFonts w:ascii="Times New Roman" w:hAnsi="Times New Roman"/>
          <w:lang w:eastAsia="sk-SK"/>
        </w:rPr>
        <w:t>chloasma</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gravidarum</w:t>
      </w:r>
      <w:proofErr w:type="spellEnd"/>
      <w:r w:rsidRPr="000A2C53">
        <w:rPr>
          <w:rFonts w:ascii="Times New Roman" w:hAnsi="Times New Roman"/>
          <w:lang w:eastAsia="sk-SK"/>
        </w:rPr>
        <w:t xml:space="preserve">. Používateľky so sklonom ku </w:t>
      </w:r>
      <w:proofErr w:type="spellStart"/>
      <w:r w:rsidRPr="000A2C53">
        <w:rPr>
          <w:rFonts w:ascii="Times New Roman" w:hAnsi="Times New Roman"/>
          <w:lang w:eastAsia="sk-SK"/>
        </w:rPr>
        <w:t>chloazme</w:t>
      </w:r>
      <w:proofErr w:type="spellEnd"/>
      <w:r w:rsidRPr="000A2C53">
        <w:rPr>
          <w:rFonts w:ascii="Times New Roman" w:hAnsi="Times New Roman"/>
          <w:lang w:eastAsia="sk-SK"/>
        </w:rPr>
        <w:t xml:space="preserve"> sa majú počas užívania COC vyhýbať expozícii slnečnému alebo ultrafialovému žiareniu.</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702183" w:rsidP="002F2DDB">
      <w:pPr>
        <w:tabs>
          <w:tab w:val="left" w:pos="964"/>
        </w:tabs>
        <w:spacing w:after="0" w:line="240" w:lineRule="auto"/>
        <w:rPr>
          <w:rFonts w:ascii="Times New Roman" w:hAnsi="Times New Roman"/>
          <w:lang w:eastAsia="sk-SK"/>
        </w:rPr>
      </w:pPr>
      <w:r>
        <w:rPr>
          <w:rFonts w:ascii="Times New Roman" w:hAnsi="Times New Roman"/>
          <w:lang w:eastAsia="sk-SK"/>
        </w:rPr>
        <w:t>Rastlinné prípravky obsahujúce ľ</w:t>
      </w:r>
      <w:r w:rsidR="00A86378" w:rsidRPr="000A2C53">
        <w:rPr>
          <w:rFonts w:ascii="Times New Roman" w:hAnsi="Times New Roman"/>
          <w:lang w:eastAsia="sk-SK"/>
        </w:rPr>
        <w:t>ubovník bodkovaný (</w:t>
      </w:r>
      <w:proofErr w:type="spellStart"/>
      <w:r w:rsidR="0039274F">
        <w:rPr>
          <w:rFonts w:ascii="Times New Roman" w:hAnsi="Times New Roman"/>
          <w:i/>
          <w:lang w:eastAsia="sk-SK"/>
        </w:rPr>
        <w:t>H</w:t>
      </w:r>
      <w:r w:rsidR="00A86378" w:rsidRPr="000A2C53">
        <w:rPr>
          <w:rFonts w:ascii="Times New Roman" w:hAnsi="Times New Roman"/>
          <w:i/>
          <w:lang w:eastAsia="sk-SK"/>
        </w:rPr>
        <w:t>ypericum</w:t>
      </w:r>
      <w:proofErr w:type="spellEnd"/>
      <w:r w:rsidR="00A86378" w:rsidRPr="000A2C53">
        <w:rPr>
          <w:rFonts w:ascii="Times New Roman" w:hAnsi="Times New Roman"/>
          <w:i/>
          <w:lang w:eastAsia="sk-SK"/>
        </w:rPr>
        <w:t xml:space="preserve"> </w:t>
      </w:r>
      <w:proofErr w:type="spellStart"/>
      <w:r w:rsidR="00A86378" w:rsidRPr="000A2C53">
        <w:rPr>
          <w:rFonts w:ascii="Times New Roman" w:hAnsi="Times New Roman"/>
          <w:i/>
          <w:lang w:eastAsia="sk-SK"/>
        </w:rPr>
        <w:t>perforatum</w:t>
      </w:r>
      <w:proofErr w:type="spellEnd"/>
      <w:r w:rsidR="00A86378" w:rsidRPr="000A2C53">
        <w:rPr>
          <w:rFonts w:ascii="Times New Roman" w:hAnsi="Times New Roman"/>
          <w:lang w:eastAsia="sk-SK"/>
        </w:rPr>
        <w:t>) sa nemajú používať súbežne s</w:t>
      </w:r>
      <w:r w:rsidR="00A86378">
        <w:rPr>
          <w:rFonts w:ascii="Times New Roman" w:hAnsi="Times New Roman"/>
          <w:lang w:eastAsia="sk-SK"/>
        </w:rPr>
        <w:t> </w:t>
      </w:r>
      <w:r w:rsidR="00A86378" w:rsidRPr="000A2C53">
        <w:rPr>
          <w:rFonts w:ascii="Times New Roman" w:hAnsi="Times New Roman"/>
          <w:lang w:eastAsia="sk-SK"/>
        </w:rPr>
        <w:t>Gentilionom</w:t>
      </w:r>
      <w:r w:rsidR="00A86378">
        <w:rPr>
          <w:rFonts w:ascii="Times New Roman" w:hAnsi="Times New Roman"/>
          <w:lang w:eastAsia="sk-SK"/>
        </w:rPr>
        <w:t xml:space="preserve"> </w:t>
      </w:r>
      <w:r w:rsidR="00A86378" w:rsidRPr="000A2C53">
        <w:rPr>
          <w:rFonts w:ascii="Times New Roman" w:hAnsi="Times New Roman"/>
          <w:lang w:eastAsia="sk-SK"/>
        </w:rPr>
        <w:t>vzhľadom na riziko zníženia plazmatickej konce</w:t>
      </w:r>
      <w:r w:rsidR="00A86378">
        <w:rPr>
          <w:rFonts w:ascii="Times New Roman" w:hAnsi="Times New Roman"/>
          <w:lang w:eastAsia="sk-SK"/>
        </w:rPr>
        <w:t>n</w:t>
      </w:r>
      <w:r w:rsidR="00A86378" w:rsidRPr="000A2C53">
        <w:rPr>
          <w:rFonts w:ascii="Times New Roman" w:hAnsi="Times New Roman"/>
          <w:lang w:eastAsia="sk-SK"/>
        </w:rPr>
        <w:t>trácie a zníženej klinickej účinnosti Gentilionu (pozri časť 4.5).</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lastRenderedPageBreak/>
        <w:t xml:space="preserve">Gentilion obsahuje laktózu. Pacientky so zriedkavými dedičnými problémami galaktózovej intolerancie, </w:t>
      </w:r>
      <w:r w:rsidR="00D0379F" w:rsidRPr="00D0379F">
        <w:rPr>
          <w:rFonts w:ascii="Times New Roman" w:eastAsia="Times New Roman" w:hAnsi="Times New Roman"/>
          <w:lang w:eastAsia="sk-SK"/>
        </w:rPr>
        <w:t xml:space="preserve">celkovým deficitom </w:t>
      </w:r>
      <w:proofErr w:type="spellStart"/>
      <w:r w:rsidRPr="000A2C53">
        <w:rPr>
          <w:rFonts w:ascii="Times New Roman" w:hAnsi="Times New Roman"/>
          <w:lang w:eastAsia="sk-SK"/>
        </w:rPr>
        <w:t>laktázy</w:t>
      </w:r>
      <w:proofErr w:type="spellEnd"/>
      <w:r w:rsidRPr="000A2C53">
        <w:rPr>
          <w:rFonts w:ascii="Times New Roman" w:hAnsi="Times New Roman"/>
          <w:lang w:eastAsia="sk-SK"/>
        </w:rPr>
        <w:t xml:space="preserve"> alebo </w:t>
      </w:r>
      <w:proofErr w:type="spellStart"/>
      <w:r w:rsidRPr="000A2C53">
        <w:rPr>
          <w:rFonts w:ascii="Times New Roman" w:hAnsi="Times New Roman"/>
          <w:lang w:eastAsia="sk-SK"/>
        </w:rPr>
        <w:t>glukózo-</w:t>
      </w:r>
      <w:r w:rsidR="00D0379F" w:rsidRPr="000A2C53">
        <w:rPr>
          <w:rFonts w:ascii="Times New Roman" w:hAnsi="Times New Roman"/>
          <w:lang w:eastAsia="sk-SK"/>
        </w:rPr>
        <w:t>galaktózov</w:t>
      </w:r>
      <w:r w:rsidR="00D0379F">
        <w:rPr>
          <w:rFonts w:ascii="Times New Roman" w:hAnsi="Times New Roman"/>
          <w:lang w:eastAsia="sk-SK"/>
        </w:rPr>
        <w:t>ou</w:t>
      </w:r>
      <w:proofErr w:type="spellEnd"/>
      <w:r w:rsidR="00D0379F" w:rsidRPr="000A2C53">
        <w:rPr>
          <w:rFonts w:ascii="Times New Roman" w:hAnsi="Times New Roman"/>
          <w:lang w:eastAsia="sk-SK"/>
        </w:rPr>
        <w:t xml:space="preserve"> </w:t>
      </w:r>
      <w:proofErr w:type="spellStart"/>
      <w:r w:rsidRPr="000A2C53">
        <w:rPr>
          <w:rFonts w:ascii="Times New Roman" w:hAnsi="Times New Roman"/>
          <w:lang w:eastAsia="sk-SK"/>
        </w:rPr>
        <w:t>malabsorpci</w:t>
      </w:r>
      <w:r w:rsidR="00D0379F">
        <w:rPr>
          <w:rFonts w:ascii="Times New Roman" w:hAnsi="Times New Roman"/>
          <w:lang w:eastAsia="sk-SK"/>
        </w:rPr>
        <w:t>ou</w:t>
      </w:r>
      <w:proofErr w:type="spellEnd"/>
      <w:r w:rsidRPr="000A2C53">
        <w:rPr>
          <w:rFonts w:ascii="Times New Roman" w:hAnsi="Times New Roman"/>
          <w:lang w:eastAsia="sk-SK"/>
        </w:rPr>
        <w:t xml:space="preserve"> nesmú užívať tento liek.</w:t>
      </w:r>
    </w:p>
    <w:p w:rsidR="00A86378" w:rsidRPr="000A2C53" w:rsidRDefault="00A86378" w:rsidP="002F2DDB">
      <w:pPr>
        <w:tabs>
          <w:tab w:val="left" w:pos="7455"/>
        </w:tabs>
        <w:spacing w:after="0" w:line="240" w:lineRule="auto"/>
        <w:rPr>
          <w:rFonts w:ascii="Times New Roman" w:hAnsi="Times New Roman"/>
          <w:b/>
          <w:bCs/>
          <w:i/>
          <w:iCs/>
          <w:lang w:eastAsia="sk-SK"/>
        </w:rPr>
      </w:pPr>
    </w:p>
    <w:p w:rsidR="00A86378" w:rsidRPr="001F1823" w:rsidRDefault="00A86378" w:rsidP="002F2DDB">
      <w:pPr>
        <w:spacing w:after="0" w:line="240" w:lineRule="auto"/>
        <w:ind w:left="567" w:hanging="567"/>
        <w:outlineLvl w:val="0"/>
        <w:rPr>
          <w:rFonts w:ascii="Times New Roman" w:hAnsi="Times New Roman"/>
          <w:b/>
          <w:bCs/>
          <w:lang w:eastAsia="sk-SK"/>
        </w:rPr>
      </w:pPr>
      <w:r w:rsidRPr="001F1823">
        <w:rPr>
          <w:rFonts w:ascii="Times New Roman" w:hAnsi="Times New Roman"/>
          <w:b/>
          <w:bCs/>
          <w:lang w:eastAsia="sk-SK"/>
        </w:rPr>
        <w:t>Lekárske vyšetrenie/konzultácia</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424A73">
      <w:pPr>
        <w:spacing w:after="0" w:line="240" w:lineRule="auto"/>
        <w:rPr>
          <w:rFonts w:ascii="Times New Roman" w:hAnsi="Times New Roman"/>
          <w:lang w:eastAsia="sk-SK"/>
        </w:rPr>
      </w:pPr>
      <w:r w:rsidRPr="000A2C53">
        <w:rPr>
          <w:rFonts w:ascii="Times New Roman" w:hAnsi="Times New Roman"/>
          <w:lang w:eastAsia="sk-SK"/>
        </w:rPr>
        <w:t>Pred začatím užívania alebo opätovným nasadením Gentilionu sa má vyšetriť kompletná</w:t>
      </w:r>
      <w:r w:rsidR="00424A73">
        <w:rPr>
          <w:rFonts w:ascii="Times New Roman" w:hAnsi="Times New Roman"/>
          <w:lang w:eastAsia="sk-SK"/>
        </w:rPr>
        <w:t xml:space="preserve"> </w:t>
      </w:r>
      <w:r w:rsidRPr="000A2C53">
        <w:rPr>
          <w:rFonts w:ascii="Times New Roman" w:hAnsi="Times New Roman"/>
          <w:lang w:eastAsia="sk-SK"/>
        </w:rPr>
        <w:t>zdravotná anamnéza (vrátane rodinnej anamnézy) a musí sa vylúčiť gravidita. Má sa zmerať krvný</w:t>
      </w:r>
      <w:r w:rsidR="00424A73">
        <w:rPr>
          <w:rFonts w:ascii="Times New Roman" w:hAnsi="Times New Roman"/>
          <w:lang w:eastAsia="sk-SK"/>
        </w:rPr>
        <w:t xml:space="preserve"> </w:t>
      </w:r>
      <w:r w:rsidRPr="000A2C53">
        <w:rPr>
          <w:rFonts w:ascii="Times New Roman" w:hAnsi="Times New Roman"/>
          <w:lang w:eastAsia="sk-SK"/>
        </w:rPr>
        <w:t>tlak a vykonať zdravotná prehliadka na základe kontraindikácií (pozri časť 4.3) a upozornení (pozri</w:t>
      </w:r>
      <w:r w:rsidR="00424A73">
        <w:rPr>
          <w:rFonts w:ascii="Times New Roman" w:hAnsi="Times New Roman"/>
          <w:lang w:eastAsia="sk-SK"/>
        </w:rPr>
        <w:t xml:space="preserve"> </w:t>
      </w:r>
      <w:r w:rsidRPr="000A2C53">
        <w:rPr>
          <w:rFonts w:ascii="Times New Roman" w:hAnsi="Times New Roman"/>
          <w:lang w:eastAsia="sk-SK"/>
        </w:rPr>
        <w:t>časť 4.4). Je dôležité ženu upozorniť na informácie o venóznej a arteriálnej trombóze vrátane rizika</w:t>
      </w:r>
      <w:r w:rsidR="00424A73">
        <w:rPr>
          <w:rFonts w:ascii="Times New Roman" w:hAnsi="Times New Roman"/>
          <w:lang w:eastAsia="sk-SK"/>
        </w:rPr>
        <w:t xml:space="preserve"> </w:t>
      </w:r>
      <w:r w:rsidRPr="000A2C53">
        <w:rPr>
          <w:rFonts w:ascii="Times New Roman" w:hAnsi="Times New Roman"/>
          <w:lang w:eastAsia="sk-SK"/>
        </w:rPr>
        <w:t>užívania Gentilionu</w:t>
      </w:r>
      <w:r>
        <w:rPr>
          <w:rFonts w:ascii="Times New Roman" w:hAnsi="Times New Roman"/>
          <w:lang w:eastAsia="sk-SK"/>
        </w:rPr>
        <w:t xml:space="preserve"> </w:t>
      </w:r>
      <w:r w:rsidRPr="000A2C53">
        <w:rPr>
          <w:rFonts w:ascii="Times New Roman" w:hAnsi="Times New Roman"/>
          <w:lang w:eastAsia="sk-SK"/>
        </w:rPr>
        <w:t>v porovnaní s inou CHC, o príznakoch VTE a ATE, o známych rizikových</w:t>
      </w:r>
      <w:r w:rsidR="00424A73">
        <w:rPr>
          <w:rFonts w:ascii="Times New Roman" w:hAnsi="Times New Roman"/>
          <w:lang w:eastAsia="sk-SK"/>
        </w:rPr>
        <w:t xml:space="preserve"> </w:t>
      </w:r>
      <w:r w:rsidRPr="000A2C53">
        <w:rPr>
          <w:rFonts w:ascii="Times New Roman" w:hAnsi="Times New Roman"/>
          <w:lang w:eastAsia="sk-SK"/>
        </w:rPr>
        <w:t>faktoroch a o tom, čo robiť v prípade podozrenia na trombózu.</w:t>
      </w:r>
    </w:p>
    <w:p w:rsidR="00A86378" w:rsidRPr="000A2C53" w:rsidRDefault="00A86378" w:rsidP="002F2DDB">
      <w:pPr>
        <w:spacing w:after="0" w:line="240" w:lineRule="auto"/>
        <w:ind w:left="567" w:hanging="567"/>
        <w:rPr>
          <w:rFonts w:ascii="Times New Roman" w:hAnsi="Times New Roman"/>
          <w:lang w:eastAsia="sk-SK"/>
        </w:rPr>
      </w:pPr>
    </w:p>
    <w:p w:rsidR="00A86378" w:rsidRPr="000A2C53" w:rsidRDefault="00A86378" w:rsidP="00424A73">
      <w:pPr>
        <w:spacing w:after="0" w:line="240" w:lineRule="auto"/>
        <w:rPr>
          <w:rFonts w:ascii="Times New Roman" w:hAnsi="Times New Roman"/>
          <w:lang w:eastAsia="sk-SK"/>
        </w:rPr>
      </w:pPr>
      <w:r w:rsidRPr="000A2C53">
        <w:rPr>
          <w:rFonts w:ascii="Times New Roman" w:hAnsi="Times New Roman"/>
          <w:lang w:eastAsia="sk-SK"/>
        </w:rPr>
        <w:t>Žena má byť poučená, aby si pozorne prečítala písomnú informáciu pre používateľku a dodržiavala odporúčania uvedené v nej. Frekvencia a druh ďalších pravidelných kontrolných vyšetrení sa majú robiť na základe stanovených postupov a majú sa prispôsobiť individuálnym potrebám ženy.</w:t>
      </w:r>
    </w:p>
    <w:p w:rsidR="00A86378" w:rsidRPr="000A2C53" w:rsidRDefault="00A86378" w:rsidP="002F2DDB">
      <w:pPr>
        <w:spacing w:after="0" w:line="240" w:lineRule="auto"/>
        <w:ind w:left="567" w:hanging="567"/>
        <w:rPr>
          <w:rFonts w:ascii="Times New Roman" w:hAnsi="Times New Roman"/>
          <w:lang w:eastAsia="sk-SK"/>
        </w:rPr>
      </w:pPr>
    </w:p>
    <w:p w:rsidR="00A86378" w:rsidRPr="00F9203C" w:rsidRDefault="00A86378" w:rsidP="002F2DDB">
      <w:pPr>
        <w:spacing w:after="0" w:line="240" w:lineRule="auto"/>
        <w:rPr>
          <w:rFonts w:ascii="Times New Roman" w:hAnsi="Times New Roman"/>
          <w:lang w:eastAsia="de-DE"/>
        </w:rPr>
      </w:pPr>
      <w:r w:rsidRPr="00F9203C">
        <w:rPr>
          <w:rFonts w:ascii="Times New Roman" w:hAnsi="Times New Roman"/>
          <w:lang w:eastAsia="de-DE"/>
        </w:rPr>
        <w:t>Ženy majú byť upozornené, že hormonálna antikoncepcia nechráni pred infekciami vírusom HIV (AIDS) ani inými ochoreniami prenášanými pohlavným stykom.</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b/>
          <w:bCs/>
          <w:lang w:eastAsia="sk-SK"/>
        </w:rPr>
      </w:pPr>
      <w:r w:rsidRPr="000A2C53">
        <w:rPr>
          <w:rFonts w:ascii="Times New Roman" w:hAnsi="Times New Roman"/>
          <w:b/>
          <w:bCs/>
          <w:lang w:eastAsia="sk-SK"/>
        </w:rPr>
        <w:t>Znížená účinnosť</w:t>
      </w:r>
    </w:p>
    <w:p w:rsidR="00A86378" w:rsidRPr="000A2C53" w:rsidRDefault="00A86378" w:rsidP="002F2DDB">
      <w:pPr>
        <w:spacing w:after="0" w:line="240" w:lineRule="auto"/>
        <w:rPr>
          <w:rFonts w:ascii="Times New Roman" w:hAnsi="Times New Roman"/>
          <w:b/>
          <w:bCs/>
          <w:i/>
          <w:iCs/>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Účinnosť COC môže byť znížená v prípade vynechania tabliet, gastrointestinálnych ťažkostí (pozri časť 4.2) alebo súbežného užívania ďalších liekov (pozri časť 4.5).</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b/>
          <w:bCs/>
          <w:lang w:eastAsia="sk-SK"/>
        </w:rPr>
      </w:pPr>
      <w:r w:rsidRPr="000A2C53">
        <w:rPr>
          <w:rFonts w:ascii="Times New Roman" w:hAnsi="Times New Roman"/>
          <w:b/>
          <w:bCs/>
          <w:lang w:eastAsia="sk-SK"/>
        </w:rPr>
        <w:t>Znížená kontrola cyklu</w:t>
      </w:r>
    </w:p>
    <w:p w:rsidR="00A86378" w:rsidRPr="000A2C53" w:rsidRDefault="00A86378" w:rsidP="002F2DDB">
      <w:pPr>
        <w:spacing w:after="0" w:line="240" w:lineRule="auto"/>
        <w:rPr>
          <w:rFonts w:ascii="Times New Roman" w:hAnsi="Times New Roman"/>
          <w:b/>
          <w:bCs/>
          <w:i/>
          <w:iCs/>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Pri užívaní ktoréhokoľvek COC sa môže objaviť nepravidelné krvácanie (špinenie alebo medzimenštruačné krvácanie), predovšetkým počas prvých mesiacov užívania. Z tohto dôvodu má posúdenie nepravidelného krvácania zmysel až po adaptačnom intervale približne troch cyklov.</w:t>
      </w: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Ak nepravidelné krvácanie pokračuje alebo sa vyskytne po období pravidelných cyklov, musí sa zvážiť možnosť nehormonálnej príčiny a indikované sú zodpovedajúce diagnostické kroky na vylúčenie malignity alebo gravidity. Môžu zahŕňať aj kyretáž.</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U niektorých žien nemusí dôjsť počas fázy bez užívania tabliet ku krvácaniu z vysadenia. Ak sa COC užívala podľa pokynov popísaných v časti 4.2, je nepravdepodobné, že je používateľka gravidná. Ak sa však COC neužívala pred prvým vynechaným krvácaním podľa týchto pokynov alebo ak nedošlo ku krvácaniu z vysadenia dvakrát, musí sa pred ďalším užívaním COC vylúčiť gravidita.</w:t>
      </w:r>
    </w:p>
    <w:p w:rsidR="00A86378" w:rsidRPr="000A2C53" w:rsidRDefault="00A86378" w:rsidP="002F2DDB">
      <w:pPr>
        <w:tabs>
          <w:tab w:val="left" w:pos="964"/>
        </w:tabs>
        <w:spacing w:after="0" w:line="240" w:lineRule="auto"/>
        <w:rPr>
          <w:rFonts w:ascii="Times New Roman" w:hAnsi="Times New Roman"/>
          <w:b/>
          <w:bCs/>
          <w:lang w:eastAsia="sk-SK"/>
        </w:rPr>
      </w:pPr>
    </w:p>
    <w:p w:rsidR="00A86378" w:rsidRPr="000A2C53" w:rsidRDefault="00A86378" w:rsidP="003A2D46">
      <w:pPr>
        <w:tabs>
          <w:tab w:val="left" w:pos="567"/>
        </w:tabs>
        <w:spacing w:after="0" w:line="240" w:lineRule="auto"/>
        <w:rPr>
          <w:rFonts w:ascii="Times New Roman" w:hAnsi="Times New Roman"/>
          <w:b/>
          <w:bCs/>
          <w:lang w:eastAsia="sk-SK"/>
        </w:rPr>
      </w:pPr>
      <w:r w:rsidRPr="000A2C53">
        <w:rPr>
          <w:rFonts w:ascii="Times New Roman" w:hAnsi="Times New Roman"/>
          <w:b/>
          <w:bCs/>
          <w:lang w:eastAsia="sk-SK"/>
        </w:rPr>
        <w:t>4.5</w:t>
      </w:r>
      <w:r w:rsidRPr="000A2C53">
        <w:rPr>
          <w:rFonts w:ascii="Times New Roman" w:hAnsi="Times New Roman"/>
          <w:b/>
          <w:bCs/>
          <w:lang w:eastAsia="sk-SK"/>
        </w:rPr>
        <w:tab/>
        <w:t>Liekové a iné interakcie</w:t>
      </w:r>
    </w:p>
    <w:p w:rsidR="00A86378" w:rsidRPr="000A2C53" w:rsidRDefault="00A86378" w:rsidP="002F2DDB">
      <w:pPr>
        <w:tabs>
          <w:tab w:val="left" w:pos="426"/>
          <w:tab w:val="left" w:pos="964"/>
        </w:tabs>
        <w:spacing w:after="0" w:line="240" w:lineRule="auto"/>
        <w:rPr>
          <w:rFonts w:ascii="Times New Roman" w:hAnsi="Times New Roman"/>
          <w:lang w:eastAsia="sk-SK"/>
        </w:rPr>
      </w:pPr>
    </w:p>
    <w:p w:rsidR="00A86378" w:rsidRPr="000A2C53" w:rsidRDefault="00A86378" w:rsidP="002F2DDB">
      <w:pPr>
        <w:tabs>
          <w:tab w:val="left" w:pos="426"/>
          <w:tab w:val="left" w:pos="964"/>
        </w:tabs>
        <w:spacing w:after="0" w:line="240" w:lineRule="auto"/>
        <w:rPr>
          <w:rFonts w:ascii="Times New Roman" w:hAnsi="Times New Roman"/>
          <w:lang w:eastAsia="sk-SK"/>
        </w:rPr>
      </w:pPr>
      <w:r w:rsidRPr="000A2C53">
        <w:rPr>
          <w:rFonts w:ascii="Times New Roman" w:hAnsi="Times New Roman"/>
          <w:lang w:eastAsia="sk-SK"/>
        </w:rPr>
        <w:t>Poznámka: Na identifikovanie potenciálnych interakcií, sa musia zohľadniť odborné informácie o súbežne užívaných liekoch.</w:t>
      </w:r>
    </w:p>
    <w:p w:rsidR="00D0379F" w:rsidRPr="00D0379F" w:rsidRDefault="00D0379F" w:rsidP="00D0379F">
      <w:pPr>
        <w:tabs>
          <w:tab w:val="left" w:pos="964"/>
        </w:tabs>
        <w:spacing w:after="0" w:line="240" w:lineRule="auto"/>
        <w:rPr>
          <w:rFonts w:ascii="Times New Roman" w:eastAsia="Times New Roman" w:hAnsi="Times New Roman"/>
          <w:lang w:eastAsia="sk-SK"/>
        </w:rPr>
      </w:pPr>
    </w:p>
    <w:p w:rsidR="00D0379F" w:rsidRPr="001F1823" w:rsidRDefault="00D0379F" w:rsidP="00D0379F">
      <w:pPr>
        <w:spacing w:after="0" w:line="240" w:lineRule="auto"/>
        <w:ind w:left="567" w:hanging="567"/>
        <w:rPr>
          <w:rFonts w:ascii="Times New Roman" w:eastAsia="Times New Roman" w:hAnsi="Times New Roman"/>
          <w:u w:val="single"/>
          <w:lang w:eastAsia="sk-SK"/>
        </w:rPr>
      </w:pPr>
      <w:r w:rsidRPr="001F1823">
        <w:rPr>
          <w:rFonts w:ascii="Times New Roman" w:eastAsia="Times New Roman" w:hAnsi="Times New Roman"/>
          <w:u w:val="single"/>
          <w:lang w:eastAsia="sk-SK"/>
        </w:rPr>
        <w:t>Farmakodynamické interakcie</w:t>
      </w:r>
    </w:p>
    <w:p w:rsidR="00D0379F" w:rsidRPr="00D0379F" w:rsidRDefault="00D0379F" w:rsidP="00D0379F">
      <w:pPr>
        <w:tabs>
          <w:tab w:val="left" w:pos="964"/>
        </w:tabs>
        <w:spacing w:after="0" w:line="240" w:lineRule="auto"/>
        <w:rPr>
          <w:rFonts w:ascii="Times New Roman" w:eastAsia="Times New Roman" w:hAnsi="Times New Roman"/>
          <w:lang w:eastAsia="sk-SK"/>
        </w:rPr>
      </w:pPr>
      <w:r w:rsidRPr="00D0379F">
        <w:rPr>
          <w:rFonts w:ascii="Times New Roman" w:eastAsia="Times New Roman" w:hAnsi="Times New Roman"/>
          <w:lang w:eastAsia="sk-SK"/>
        </w:rPr>
        <w:t xml:space="preserve">Súbežné užívanie s liekmi obsahujúcimi </w:t>
      </w:r>
      <w:proofErr w:type="spellStart"/>
      <w:r w:rsidRPr="00D0379F">
        <w:rPr>
          <w:rFonts w:ascii="Times New Roman" w:eastAsia="Times New Roman" w:hAnsi="Times New Roman"/>
          <w:lang w:eastAsia="sk-SK"/>
        </w:rPr>
        <w:t>ombitasvir</w:t>
      </w:r>
      <w:proofErr w:type="spellEnd"/>
      <w:r w:rsidRPr="00D0379F">
        <w:rPr>
          <w:rFonts w:ascii="Times New Roman" w:eastAsia="Times New Roman" w:hAnsi="Times New Roman"/>
          <w:lang w:eastAsia="sk-SK"/>
        </w:rPr>
        <w:t>/</w:t>
      </w:r>
      <w:proofErr w:type="spellStart"/>
      <w:r w:rsidRPr="00D0379F">
        <w:rPr>
          <w:rFonts w:ascii="Times New Roman" w:eastAsia="Times New Roman" w:hAnsi="Times New Roman"/>
          <w:lang w:eastAsia="sk-SK"/>
        </w:rPr>
        <w:t>paritaprevir</w:t>
      </w:r>
      <w:proofErr w:type="spellEnd"/>
      <w:r w:rsidRPr="00D0379F">
        <w:rPr>
          <w:rFonts w:ascii="Times New Roman" w:eastAsia="Times New Roman" w:hAnsi="Times New Roman"/>
          <w:lang w:eastAsia="sk-SK"/>
        </w:rPr>
        <w:t>/</w:t>
      </w:r>
      <w:proofErr w:type="spellStart"/>
      <w:r w:rsidRPr="00D0379F">
        <w:rPr>
          <w:rFonts w:ascii="Times New Roman" w:eastAsia="Times New Roman" w:hAnsi="Times New Roman"/>
          <w:lang w:eastAsia="sk-SK"/>
        </w:rPr>
        <w:t>ritonavir</w:t>
      </w:r>
      <w:proofErr w:type="spellEnd"/>
      <w:r w:rsidRPr="00D0379F">
        <w:rPr>
          <w:rFonts w:ascii="Times New Roman" w:eastAsia="Times New Roman" w:hAnsi="Times New Roman"/>
          <w:lang w:eastAsia="sk-SK"/>
        </w:rPr>
        <w:t xml:space="preserve"> a </w:t>
      </w:r>
      <w:proofErr w:type="spellStart"/>
      <w:r w:rsidRPr="00D0379F">
        <w:rPr>
          <w:rFonts w:ascii="Times New Roman" w:eastAsia="Times New Roman" w:hAnsi="Times New Roman"/>
          <w:lang w:eastAsia="sk-SK"/>
        </w:rPr>
        <w:t>dasabuvir</w:t>
      </w:r>
      <w:proofErr w:type="spellEnd"/>
      <w:r w:rsidRPr="00D0379F">
        <w:rPr>
          <w:rFonts w:ascii="Times New Roman" w:eastAsia="Times New Roman" w:hAnsi="Times New Roman"/>
          <w:lang w:eastAsia="sk-SK"/>
        </w:rPr>
        <w:t xml:space="preserve"> s </w:t>
      </w:r>
      <w:proofErr w:type="spellStart"/>
      <w:r w:rsidRPr="00D0379F">
        <w:rPr>
          <w:rFonts w:ascii="Times New Roman" w:eastAsia="Times New Roman" w:hAnsi="Times New Roman"/>
          <w:lang w:eastAsia="sk-SK"/>
        </w:rPr>
        <w:t>ribavirínom</w:t>
      </w:r>
      <w:proofErr w:type="spellEnd"/>
      <w:r w:rsidRPr="00D0379F">
        <w:rPr>
          <w:rFonts w:ascii="Times New Roman" w:eastAsia="Times New Roman" w:hAnsi="Times New Roman"/>
          <w:lang w:eastAsia="sk-SK"/>
        </w:rPr>
        <w:t xml:space="preserve"> alebo bez neho môže zvýšiť riziko zvýšenia hladín ALT (pozri časti 4.3 a 4.4).</w:t>
      </w:r>
    </w:p>
    <w:p w:rsidR="00D0379F" w:rsidRPr="00D0379F" w:rsidRDefault="00233BBA" w:rsidP="00D0379F">
      <w:pPr>
        <w:tabs>
          <w:tab w:val="left" w:pos="964"/>
        </w:tabs>
        <w:spacing w:after="0" w:line="240" w:lineRule="auto"/>
        <w:rPr>
          <w:rFonts w:ascii="Times New Roman" w:eastAsia="Times New Roman" w:hAnsi="Times New Roman"/>
          <w:lang w:eastAsia="sk-SK"/>
        </w:rPr>
      </w:pPr>
      <w:r w:rsidRPr="00233BBA">
        <w:rPr>
          <w:rFonts w:ascii="Times New Roman" w:eastAsia="Times New Roman" w:hAnsi="Times New Roman"/>
          <w:lang w:eastAsia="sk-SK"/>
        </w:rPr>
        <w:t xml:space="preserve">Preto musia </w:t>
      </w:r>
      <w:r w:rsidR="00C254A8">
        <w:rPr>
          <w:rFonts w:ascii="Times New Roman" w:eastAsia="Times New Roman" w:hAnsi="Times New Roman"/>
          <w:lang w:eastAsia="sk-SK"/>
        </w:rPr>
        <w:t>ženy</w:t>
      </w:r>
      <w:r w:rsidRPr="00233BBA">
        <w:rPr>
          <w:rFonts w:ascii="Times New Roman" w:eastAsia="Times New Roman" w:hAnsi="Times New Roman"/>
          <w:lang w:eastAsia="sk-SK"/>
        </w:rPr>
        <w:t xml:space="preserve">, ktoré užívajú Gentilion prejsť na alternatívnu metódu antikoncepcie (napríklad na antikoncepciu obsahujúcu výlučne </w:t>
      </w:r>
      <w:proofErr w:type="spellStart"/>
      <w:r w:rsidRPr="00233BBA">
        <w:rPr>
          <w:rFonts w:ascii="Times New Roman" w:eastAsia="Times New Roman" w:hAnsi="Times New Roman"/>
          <w:lang w:eastAsia="sk-SK"/>
        </w:rPr>
        <w:t>progestagén</w:t>
      </w:r>
      <w:proofErr w:type="spellEnd"/>
      <w:r w:rsidRPr="00233BBA">
        <w:rPr>
          <w:rFonts w:ascii="Times New Roman" w:eastAsia="Times New Roman" w:hAnsi="Times New Roman"/>
          <w:lang w:eastAsia="sk-SK"/>
        </w:rPr>
        <w:t xml:space="preserve"> alebo musia využívať nehormonálne metódy) ešte pred začiatkom liečby týmto kombinovaným režimom liekov. Gentilion je možné začať opäť užívať 2 týždne po ukončení liečby týmto kombinovaným režimom liekov.</w:t>
      </w:r>
    </w:p>
    <w:p w:rsidR="00A86378" w:rsidRPr="000A2C53" w:rsidRDefault="00A86378" w:rsidP="002F2DDB">
      <w:pPr>
        <w:spacing w:after="0" w:line="240" w:lineRule="auto"/>
        <w:rPr>
          <w:rFonts w:ascii="Times New Roman" w:hAnsi="Times New Roman"/>
          <w:b/>
          <w:bCs/>
          <w:lang w:eastAsia="sk-SK"/>
        </w:rPr>
      </w:pPr>
    </w:p>
    <w:p w:rsidR="00A86378" w:rsidRPr="00D0379F" w:rsidRDefault="00A86378" w:rsidP="00D0379F">
      <w:pPr>
        <w:pStyle w:val="Odsekzoznamu"/>
        <w:numPr>
          <w:ilvl w:val="0"/>
          <w:numId w:val="21"/>
        </w:numPr>
        <w:tabs>
          <w:tab w:val="left" w:pos="567"/>
        </w:tabs>
        <w:overflowPunct w:val="0"/>
        <w:autoSpaceDE w:val="0"/>
        <w:autoSpaceDN w:val="0"/>
        <w:adjustRightInd w:val="0"/>
        <w:spacing w:after="0" w:line="240" w:lineRule="auto"/>
        <w:ind w:left="567" w:hanging="283"/>
        <w:rPr>
          <w:rFonts w:ascii="Times New Roman" w:hAnsi="Times New Roman"/>
          <w:b/>
          <w:bCs/>
          <w:lang w:eastAsia="sk-SK"/>
        </w:rPr>
      </w:pPr>
      <w:r w:rsidRPr="00D0379F">
        <w:rPr>
          <w:rFonts w:ascii="Times New Roman" w:hAnsi="Times New Roman"/>
          <w:lang w:eastAsia="sk-SK"/>
        </w:rPr>
        <w:t>Vplyv ďalších liekov na užívanie Gentilionu</w:t>
      </w:r>
    </w:p>
    <w:p w:rsidR="00A86378" w:rsidRPr="000A2C53" w:rsidRDefault="00A86378" w:rsidP="002F2DDB">
      <w:pPr>
        <w:tabs>
          <w:tab w:val="left" w:pos="964"/>
        </w:tabs>
        <w:spacing w:after="0" w:line="240" w:lineRule="auto"/>
        <w:rPr>
          <w:rFonts w:ascii="Times New Roman" w:hAnsi="Times New Roman"/>
          <w:b/>
          <w:bCs/>
          <w:i/>
          <w:iCs/>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lastRenderedPageBreak/>
        <w:t>Interakcie medzi perorálnou antikoncepciou a inými liekmi môžu viesť k </w:t>
      </w:r>
      <w:proofErr w:type="spellStart"/>
      <w:r w:rsidRPr="000A2C53">
        <w:rPr>
          <w:rFonts w:ascii="Times New Roman" w:hAnsi="Times New Roman"/>
          <w:lang w:eastAsia="sk-SK"/>
        </w:rPr>
        <w:t>medzimenštruačnému</w:t>
      </w:r>
      <w:proofErr w:type="spellEnd"/>
      <w:r w:rsidRPr="000A2C53">
        <w:rPr>
          <w:rFonts w:ascii="Times New Roman" w:hAnsi="Times New Roman"/>
          <w:lang w:eastAsia="sk-SK"/>
        </w:rPr>
        <w:t xml:space="preserve"> krvácaniu a/alebo zlyhaniu antikoncepcie. V literatúre boli popísané nasledovné interakcie.</w:t>
      </w:r>
    </w:p>
    <w:p w:rsidR="00A86378" w:rsidRPr="000A2C53" w:rsidRDefault="00A86378" w:rsidP="002F2DDB">
      <w:pPr>
        <w:tabs>
          <w:tab w:val="left" w:pos="964"/>
        </w:tabs>
        <w:spacing w:after="0" w:line="240" w:lineRule="auto"/>
        <w:rPr>
          <w:rFonts w:ascii="Times New Roman" w:hAnsi="Times New Roman"/>
          <w:lang w:eastAsia="sk-SK"/>
        </w:rPr>
      </w:pPr>
    </w:p>
    <w:p w:rsidR="00A86378" w:rsidRPr="001F1823" w:rsidRDefault="00A86378" w:rsidP="002F2DDB">
      <w:pPr>
        <w:tabs>
          <w:tab w:val="left" w:pos="964"/>
        </w:tabs>
        <w:spacing w:after="0" w:line="240" w:lineRule="auto"/>
        <w:rPr>
          <w:rFonts w:ascii="Times New Roman" w:hAnsi="Times New Roman"/>
          <w:i/>
          <w:lang w:eastAsia="sk-SK"/>
        </w:rPr>
      </w:pPr>
      <w:r w:rsidRPr="001F1823">
        <w:rPr>
          <w:rFonts w:ascii="Times New Roman" w:hAnsi="Times New Roman"/>
          <w:i/>
          <w:lang w:eastAsia="sk-SK"/>
        </w:rPr>
        <w:t>Pečeňový metabolizmus</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S liekmi, ktoré indukujú pečeňové enzýmy (napr. </w:t>
      </w:r>
      <w:proofErr w:type="spellStart"/>
      <w:r w:rsidRPr="000A2C53">
        <w:rPr>
          <w:rFonts w:ascii="Times New Roman" w:hAnsi="Times New Roman"/>
          <w:lang w:eastAsia="sk-SK"/>
        </w:rPr>
        <w:t>fenytoín</w:t>
      </w:r>
      <w:proofErr w:type="spellEnd"/>
      <w:r w:rsidRPr="000A2C53">
        <w:rPr>
          <w:rFonts w:ascii="Times New Roman" w:hAnsi="Times New Roman"/>
          <w:lang w:eastAsia="sk-SK"/>
        </w:rPr>
        <w:t xml:space="preserve">, barbituráty, </w:t>
      </w:r>
      <w:proofErr w:type="spellStart"/>
      <w:r w:rsidRPr="000A2C53">
        <w:rPr>
          <w:rFonts w:ascii="Times New Roman" w:hAnsi="Times New Roman"/>
          <w:lang w:eastAsia="sk-SK"/>
        </w:rPr>
        <w:t>primidón</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karbamazepín</w:t>
      </w:r>
      <w:proofErr w:type="spellEnd"/>
      <w:r w:rsidRPr="000A2C53">
        <w:rPr>
          <w:rFonts w:ascii="Times New Roman" w:hAnsi="Times New Roman"/>
          <w:lang w:eastAsia="sk-SK"/>
        </w:rPr>
        <w:t>, </w:t>
      </w:r>
      <w:proofErr w:type="spellStart"/>
      <w:r w:rsidRPr="000A2C53">
        <w:rPr>
          <w:rFonts w:ascii="Times New Roman" w:hAnsi="Times New Roman"/>
          <w:lang w:eastAsia="sk-SK"/>
        </w:rPr>
        <w:t>rifampicín</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bosentán</w:t>
      </w:r>
      <w:proofErr w:type="spellEnd"/>
      <w:r w:rsidRPr="000A2C53">
        <w:rPr>
          <w:rFonts w:ascii="Times New Roman" w:hAnsi="Times New Roman"/>
          <w:lang w:eastAsia="sk-SK"/>
        </w:rPr>
        <w:t xml:space="preserve"> a lieky na HIV (napr. </w:t>
      </w:r>
      <w:proofErr w:type="spellStart"/>
      <w:r w:rsidRPr="000A2C53">
        <w:rPr>
          <w:rFonts w:ascii="Times New Roman" w:hAnsi="Times New Roman"/>
          <w:lang w:eastAsia="sk-SK"/>
        </w:rPr>
        <w:t>ritonavir</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nevirapín</w:t>
      </w:r>
      <w:proofErr w:type="spellEnd"/>
      <w:r w:rsidRPr="000A2C53">
        <w:rPr>
          <w:rFonts w:ascii="Times New Roman" w:hAnsi="Times New Roman"/>
          <w:lang w:eastAsia="sk-SK"/>
        </w:rPr>
        <w:t xml:space="preserve">) a možno taktiež </w:t>
      </w:r>
      <w:proofErr w:type="spellStart"/>
      <w:r w:rsidRPr="000A2C53">
        <w:rPr>
          <w:rFonts w:ascii="Times New Roman" w:hAnsi="Times New Roman"/>
          <w:lang w:eastAsia="sk-SK"/>
        </w:rPr>
        <w:t>oxkarbazepín</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topiramát</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felbamát</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grizeofulvín</w:t>
      </w:r>
      <w:proofErr w:type="spellEnd"/>
      <w:r w:rsidRPr="000A2C53">
        <w:rPr>
          <w:rFonts w:ascii="Times New Roman" w:hAnsi="Times New Roman"/>
          <w:lang w:eastAsia="sk-SK"/>
        </w:rPr>
        <w:t xml:space="preserve"> a</w:t>
      </w:r>
      <w:r w:rsidR="00702183">
        <w:rPr>
          <w:rFonts w:ascii="Times New Roman" w:hAnsi="Times New Roman"/>
          <w:lang w:eastAsia="sk-SK"/>
        </w:rPr>
        <w:t xml:space="preserve"> rastlinné prípravky s obsahom ľ</w:t>
      </w:r>
      <w:r w:rsidRPr="000A2C53">
        <w:rPr>
          <w:rFonts w:ascii="Times New Roman" w:hAnsi="Times New Roman"/>
          <w:lang w:eastAsia="sk-SK"/>
        </w:rPr>
        <w:t>ubovníka bodkovaného (</w:t>
      </w:r>
      <w:proofErr w:type="spellStart"/>
      <w:r w:rsidRPr="000A2C53">
        <w:rPr>
          <w:rFonts w:ascii="Times New Roman" w:hAnsi="Times New Roman"/>
          <w:i/>
          <w:iCs/>
          <w:lang w:eastAsia="sk-SK"/>
        </w:rPr>
        <w:t>Hypericum</w:t>
      </w:r>
      <w:proofErr w:type="spellEnd"/>
      <w:r w:rsidRPr="000A2C53">
        <w:rPr>
          <w:rFonts w:ascii="Times New Roman" w:hAnsi="Times New Roman"/>
          <w:i/>
          <w:iCs/>
          <w:lang w:eastAsia="sk-SK"/>
        </w:rPr>
        <w:t xml:space="preserve"> </w:t>
      </w:r>
      <w:proofErr w:type="spellStart"/>
      <w:r w:rsidRPr="000A2C53">
        <w:rPr>
          <w:rFonts w:ascii="Times New Roman" w:hAnsi="Times New Roman"/>
          <w:i/>
          <w:iCs/>
          <w:lang w:eastAsia="sk-SK"/>
        </w:rPr>
        <w:t>perforatum</w:t>
      </w:r>
      <w:proofErr w:type="spellEnd"/>
      <w:r w:rsidRPr="000A2C53">
        <w:rPr>
          <w:rFonts w:ascii="Times New Roman" w:hAnsi="Times New Roman"/>
          <w:lang w:eastAsia="sk-SK"/>
        </w:rPr>
        <w:t>) sa môžu vyskytnúť interakcie, ktoré môžu mať za následok zvýšený klírens pohlavných hormónov. Maximálna enzýmová indukcia sa zvyčajne prejaví v priebehu 10 dní, ale potom môže pretrvávať minimálne 4 týždne po ukončení liečby.</w:t>
      </w:r>
    </w:p>
    <w:p w:rsidR="00A86378" w:rsidRPr="000A2C53" w:rsidRDefault="00A86378" w:rsidP="002F2DDB">
      <w:pPr>
        <w:tabs>
          <w:tab w:val="left" w:pos="964"/>
        </w:tabs>
        <w:spacing w:after="0" w:line="240" w:lineRule="auto"/>
        <w:rPr>
          <w:rFonts w:ascii="Times New Roman" w:hAnsi="Times New Roman"/>
          <w:lang w:eastAsia="sk-SK"/>
        </w:rPr>
      </w:pPr>
    </w:p>
    <w:p w:rsidR="00A86378" w:rsidRPr="001F1823" w:rsidRDefault="00A86378" w:rsidP="002F2DDB">
      <w:pPr>
        <w:tabs>
          <w:tab w:val="left" w:pos="964"/>
        </w:tabs>
        <w:spacing w:after="0" w:line="240" w:lineRule="auto"/>
        <w:rPr>
          <w:rFonts w:ascii="Times New Roman" w:hAnsi="Times New Roman"/>
          <w:i/>
          <w:lang w:eastAsia="sk-SK"/>
        </w:rPr>
      </w:pPr>
      <w:r w:rsidRPr="001F1823">
        <w:rPr>
          <w:rFonts w:ascii="Times New Roman" w:hAnsi="Times New Roman"/>
          <w:i/>
          <w:lang w:eastAsia="sk-SK"/>
        </w:rPr>
        <w:t>Manažment liečby</w:t>
      </w: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 xml:space="preserve">Používateľky krátkodobo liečené niektorým liekom z vyššie uvedených skupín liečiv, alebo jednotlivými liečivami, musia dočasne t.j. v priebehu súbežného podávania lieku a nasledujúcich 7 dní po ukončení podávania, navyše k COC používať bariérovú antikoncepciu. Používateľky liečené </w:t>
      </w:r>
      <w:proofErr w:type="spellStart"/>
      <w:r w:rsidRPr="000A2C53">
        <w:rPr>
          <w:rFonts w:ascii="Times New Roman" w:hAnsi="Times New Roman"/>
          <w:lang w:eastAsia="sk-SK"/>
        </w:rPr>
        <w:t>rifampicínom</w:t>
      </w:r>
      <w:proofErr w:type="spellEnd"/>
      <w:r w:rsidRPr="000A2C53">
        <w:rPr>
          <w:rFonts w:ascii="Times New Roman" w:hAnsi="Times New Roman"/>
          <w:lang w:eastAsia="sk-SK"/>
        </w:rPr>
        <w:t xml:space="preserve"> musia počas podávania </w:t>
      </w:r>
      <w:proofErr w:type="spellStart"/>
      <w:r w:rsidRPr="000A2C53">
        <w:rPr>
          <w:rFonts w:ascii="Times New Roman" w:hAnsi="Times New Roman"/>
          <w:lang w:eastAsia="sk-SK"/>
        </w:rPr>
        <w:t>rifampicínu</w:t>
      </w:r>
      <w:proofErr w:type="spellEnd"/>
      <w:r w:rsidRPr="000A2C53">
        <w:rPr>
          <w:rFonts w:ascii="Times New Roman" w:hAnsi="Times New Roman"/>
          <w:lang w:eastAsia="sk-SK"/>
        </w:rPr>
        <w:t xml:space="preserve"> a 28 dní po jeho vysadení používať k COC </w:t>
      </w:r>
      <w:proofErr w:type="spellStart"/>
      <w:r w:rsidRPr="000A2C53">
        <w:rPr>
          <w:rFonts w:ascii="Times New Roman" w:hAnsi="Times New Roman"/>
          <w:lang w:eastAsia="sk-SK"/>
        </w:rPr>
        <w:t>naviac</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bariérovú</w:t>
      </w:r>
      <w:proofErr w:type="spellEnd"/>
      <w:r w:rsidRPr="000A2C53">
        <w:rPr>
          <w:rFonts w:ascii="Times New Roman" w:hAnsi="Times New Roman"/>
          <w:lang w:eastAsia="sk-SK"/>
        </w:rPr>
        <w:t xml:space="preserve"> antikoncepciu. Ak súbežné podávanie lieku trvá aj po doužívaní tabliet z blistrového balenia COC, žena musí začať užívať</w:t>
      </w:r>
      <w:r>
        <w:rPr>
          <w:rFonts w:ascii="Times New Roman" w:hAnsi="Times New Roman"/>
          <w:lang w:eastAsia="sk-SK"/>
        </w:rPr>
        <w:t xml:space="preserve"> </w:t>
      </w:r>
      <w:r w:rsidRPr="000A2C53">
        <w:rPr>
          <w:rFonts w:ascii="Times New Roman" w:hAnsi="Times New Roman"/>
          <w:lang w:eastAsia="sk-SK"/>
        </w:rPr>
        <w:t>ďalšie balenie s vynechaním obvyklého intervalu bez užívania tabliet.</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Používateľkám, dlhodobo liečeným liečivami indukujúcimi hepatálne enzýmy sa odporúča iná, spoľahlivá nehormonálna metóda antikoncepcie.</w:t>
      </w:r>
    </w:p>
    <w:p w:rsidR="00A86378" w:rsidRPr="000A2C53" w:rsidRDefault="00A86378" w:rsidP="002F2DDB">
      <w:pPr>
        <w:tabs>
          <w:tab w:val="left" w:pos="426"/>
        </w:tabs>
        <w:overflowPunct w:val="0"/>
        <w:autoSpaceDE w:val="0"/>
        <w:autoSpaceDN w:val="0"/>
        <w:adjustRightInd w:val="0"/>
        <w:spacing w:after="0" w:line="240" w:lineRule="auto"/>
        <w:rPr>
          <w:rFonts w:ascii="Times New Roman" w:hAnsi="Times New Roman"/>
          <w:lang w:eastAsia="sk-SK"/>
        </w:rPr>
      </w:pPr>
    </w:p>
    <w:p w:rsidR="00A86378" w:rsidRDefault="00A86378" w:rsidP="001F1823">
      <w:pPr>
        <w:pStyle w:val="Odsekzoznamu"/>
        <w:numPr>
          <w:ilvl w:val="0"/>
          <w:numId w:val="21"/>
        </w:numPr>
        <w:tabs>
          <w:tab w:val="left" w:pos="0"/>
        </w:tabs>
        <w:overflowPunct w:val="0"/>
        <w:autoSpaceDE w:val="0"/>
        <w:autoSpaceDN w:val="0"/>
        <w:adjustRightInd w:val="0"/>
        <w:spacing w:after="0" w:line="240" w:lineRule="auto"/>
        <w:ind w:left="567" w:hanging="283"/>
        <w:rPr>
          <w:rFonts w:ascii="Times New Roman" w:hAnsi="Times New Roman"/>
          <w:lang w:eastAsia="sk-SK"/>
        </w:rPr>
      </w:pPr>
      <w:r w:rsidRPr="00D0379F">
        <w:rPr>
          <w:rFonts w:ascii="Times New Roman" w:hAnsi="Times New Roman"/>
          <w:lang w:eastAsia="sk-SK"/>
        </w:rPr>
        <w:t>Vplyv Gentilionu na iné lieky</w:t>
      </w:r>
    </w:p>
    <w:p w:rsidR="00D0379F" w:rsidRPr="001F1823" w:rsidRDefault="00D0379F" w:rsidP="00D0379F">
      <w:pPr>
        <w:tabs>
          <w:tab w:val="left" w:pos="0"/>
        </w:tabs>
        <w:overflowPunct w:val="0"/>
        <w:autoSpaceDE w:val="0"/>
        <w:autoSpaceDN w:val="0"/>
        <w:adjustRightInd w:val="0"/>
        <w:spacing w:after="0" w:line="240" w:lineRule="auto"/>
        <w:rPr>
          <w:rFonts w:ascii="Times New Roman" w:hAnsi="Times New Roman"/>
          <w:lang w:eastAsia="sk-SK"/>
        </w:rPr>
      </w:pPr>
    </w:p>
    <w:p w:rsidR="00A86378" w:rsidRPr="000A2C53" w:rsidRDefault="00A86378" w:rsidP="002F2DDB">
      <w:pPr>
        <w:tabs>
          <w:tab w:val="left" w:pos="426"/>
        </w:tabs>
        <w:spacing w:after="0" w:line="240" w:lineRule="auto"/>
        <w:rPr>
          <w:rFonts w:ascii="Times New Roman" w:hAnsi="Times New Roman"/>
          <w:lang w:eastAsia="sk-SK"/>
        </w:rPr>
      </w:pPr>
      <w:r w:rsidRPr="000A2C53">
        <w:rPr>
          <w:rFonts w:ascii="Times New Roman" w:hAnsi="Times New Roman"/>
          <w:lang w:eastAsia="sk-SK"/>
        </w:rPr>
        <w:t xml:space="preserve">Vplyv COC na iné lieky: Perorálna antikoncepcia môže ovplyvňovať metabolizmus niektorých iných liečiv. Teda môžu ich koncentrácie v plazme a tkanivách buď zvyšovať (napr. cyklosporín) alebo znižovať (napr. </w:t>
      </w:r>
      <w:proofErr w:type="spellStart"/>
      <w:r w:rsidRPr="000A2C53">
        <w:rPr>
          <w:rFonts w:ascii="Times New Roman" w:hAnsi="Times New Roman"/>
          <w:lang w:eastAsia="sk-SK"/>
        </w:rPr>
        <w:t>lamotrigín</w:t>
      </w:r>
      <w:proofErr w:type="spellEnd"/>
      <w:r w:rsidRPr="000A2C53">
        <w:rPr>
          <w:rFonts w:ascii="Times New Roman" w:hAnsi="Times New Roman"/>
          <w:lang w:eastAsia="sk-SK"/>
        </w:rPr>
        <w:t>).</w:t>
      </w:r>
    </w:p>
    <w:p w:rsidR="00A86378" w:rsidRPr="000A2C53" w:rsidRDefault="00A86378" w:rsidP="002F2DDB">
      <w:pPr>
        <w:tabs>
          <w:tab w:val="left" w:pos="426"/>
          <w:tab w:val="left" w:pos="964"/>
        </w:tabs>
        <w:spacing w:after="0" w:line="240" w:lineRule="auto"/>
        <w:rPr>
          <w:rFonts w:ascii="Times New Roman" w:hAnsi="Times New Roman"/>
          <w:lang w:eastAsia="sk-SK"/>
        </w:rPr>
      </w:pPr>
    </w:p>
    <w:p w:rsidR="00A86378" w:rsidRPr="000A2C53" w:rsidRDefault="00A86378" w:rsidP="002F2DDB">
      <w:pPr>
        <w:tabs>
          <w:tab w:val="left" w:pos="426"/>
          <w:tab w:val="left" w:pos="964"/>
        </w:tabs>
        <w:overflowPunct w:val="0"/>
        <w:autoSpaceDE w:val="0"/>
        <w:autoSpaceDN w:val="0"/>
        <w:adjustRightInd w:val="0"/>
        <w:spacing w:after="0" w:line="240" w:lineRule="auto"/>
        <w:rPr>
          <w:rFonts w:ascii="Times New Roman" w:hAnsi="Times New Roman"/>
          <w:i/>
          <w:lang w:eastAsia="sk-SK"/>
        </w:rPr>
      </w:pPr>
      <w:r w:rsidRPr="000A2C53">
        <w:rPr>
          <w:rFonts w:ascii="Times New Roman" w:hAnsi="Times New Roman"/>
          <w:i/>
          <w:lang w:eastAsia="sk-SK"/>
        </w:rPr>
        <w:t>Laboratórne vyšetrenia</w:t>
      </w:r>
    </w:p>
    <w:p w:rsidR="00A86378" w:rsidRPr="000A2C53" w:rsidRDefault="00A86378" w:rsidP="002F2DDB">
      <w:pPr>
        <w:tabs>
          <w:tab w:val="left" w:pos="964"/>
        </w:tabs>
        <w:spacing w:after="0" w:line="240" w:lineRule="auto"/>
        <w:rPr>
          <w:rFonts w:ascii="Times New Roman" w:hAnsi="Times New Roman"/>
          <w:lang w:eastAsia="sk-SK"/>
        </w:rPr>
      </w:pPr>
      <w:r w:rsidRPr="000A2C53">
        <w:rPr>
          <w:rFonts w:ascii="Times New Roman" w:hAnsi="Times New Roman"/>
          <w:lang w:eastAsia="sk-SK"/>
        </w:rPr>
        <w:t xml:space="preserve">Užívanie antikoncepčných steroidov môže ovplyvniť výsledky niektorých laboratórnych testov, vrátane biochemických parametrov pečeňových, </w:t>
      </w:r>
      <w:proofErr w:type="spellStart"/>
      <w:r w:rsidRPr="000A2C53">
        <w:rPr>
          <w:rFonts w:ascii="Times New Roman" w:hAnsi="Times New Roman"/>
          <w:lang w:eastAsia="sk-SK"/>
        </w:rPr>
        <w:t>tyreoidálnych</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adrenálnych</w:t>
      </w:r>
      <w:proofErr w:type="spellEnd"/>
      <w:r w:rsidRPr="000A2C53">
        <w:rPr>
          <w:rFonts w:ascii="Times New Roman" w:hAnsi="Times New Roman"/>
          <w:lang w:eastAsia="sk-SK"/>
        </w:rPr>
        <w:t xml:space="preserve"> a </w:t>
      </w:r>
      <w:proofErr w:type="spellStart"/>
      <w:r w:rsidRPr="000A2C53">
        <w:rPr>
          <w:rFonts w:ascii="Times New Roman" w:hAnsi="Times New Roman"/>
          <w:lang w:eastAsia="sk-SK"/>
        </w:rPr>
        <w:t>renálnych</w:t>
      </w:r>
      <w:proofErr w:type="spellEnd"/>
      <w:r w:rsidRPr="000A2C53">
        <w:rPr>
          <w:rFonts w:ascii="Times New Roman" w:hAnsi="Times New Roman"/>
          <w:lang w:eastAsia="sk-SK"/>
        </w:rPr>
        <w:t xml:space="preserve"> funkcií, plazmatických koncentrácií (transportných) proteínov napr. globulínu viažuceho </w:t>
      </w:r>
      <w:proofErr w:type="spellStart"/>
      <w:r w:rsidRPr="000A2C53">
        <w:rPr>
          <w:rFonts w:ascii="Times New Roman" w:hAnsi="Times New Roman"/>
          <w:lang w:eastAsia="sk-SK"/>
        </w:rPr>
        <w:t>kortikosteroidy</w:t>
      </w:r>
      <w:proofErr w:type="spellEnd"/>
      <w:r w:rsidRPr="000A2C53">
        <w:rPr>
          <w:rFonts w:ascii="Times New Roman" w:hAnsi="Times New Roman"/>
          <w:lang w:eastAsia="sk-SK"/>
        </w:rPr>
        <w:t xml:space="preserve"> a </w:t>
      </w:r>
      <w:proofErr w:type="spellStart"/>
      <w:r w:rsidRPr="000A2C53">
        <w:rPr>
          <w:rFonts w:ascii="Times New Roman" w:hAnsi="Times New Roman"/>
          <w:lang w:eastAsia="sk-SK"/>
        </w:rPr>
        <w:t>lipid</w:t>
      </w:r>
      <w:proofErr w:type="spellEnd"/>
      <w:r w:rsidRPr="000A2C53">
        <w:rPr>
          <w:rFonts w:ascii="Times New Roman" w:hAnsi="Times New Roman"/>
          <w:lang w:eastAsia="sk-SK"/>
        </w:rPr>
        <w:t xml:space="preserve">/lipoproteínových frakcií, parametrov metabolizmu sacharidov a parametrov koagulácie a </w:t>
      </w:r>
      <w:proofErr w:type="spellStart"/>
      <w:r w:rsidRPr="000A2C53">
        <w:rPr>
          <w:rFonts w:ascii="Times New Roman" w:hAnsi="Times New Roman"/>
          <w:lang w:eastAsia="sk-SK"/>
        </w:rPr>
        <w:t>fibrinolýzy</w:t>
      </w:r>
      <w:proofErr w:type="spellEnd"/>
      <w:r w:rsidRPr="000A2C53">
        <w:rPr>
          <w:rFonts w:ascii="Times New Roman" w:hAnsi="Times New Roman"/>
          <w:lang w:eastAsia="sk-SK"/>
        </w:rPr>
        <w:t xml:space="preserve">. Zmeny však zvyčajne zostávajú v rozmedzí referenčných laboratórnych hodnôt. </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3A2D46">
      <w:pPr>
        <w:numPr>
          <w:ilvl w:val="0"/>
          <w:numId w:val="3"/>
        </w:numPr>
        <w:overflowPunct w:val="0"/>
        <w:autoSpaceDE w:val="0"/>
        <w:autoSpaceDN w:val="0"/>
        <w:adjustRightInd w:val="0"/>
        <w:spacing w:after="0" w:line="240" w:lineRule="auto"/>
        <w:ind w:left="567" w:hanging="567"/>
        <w:rPr>
          <w:rFonts w:ascii="Times New Roman" w:hAnsi="Times New Roman"/>
          <w:b/>
          <w:bCs/>
          <w:lang w:eastAsia="sk-SK"/>
        </w:rPr>
      </w:pPr>
      <w:r w:rsidRPr="000A2C53">
        <w:rPr>
          <w:rFonts w:ascii="Times New Roman" w:hAnsi="Times New Roman"/>
          <w:b/>
          <w:bCs/>
          <w:lang w:eastAsia="sk-SK"/>
        </w:rPr>
        <w:t>Fertilita, gravidita a laktácia</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bCs/>
          <w:u w:val="single"/>
          <w:lang w:eastAsia="sk-SK"/>
        </w:rPr>
      </w:pPr>
      <w:r w:rsidRPr="000A2C53">
        <w:rPr>
          <w:rFonts w:ascii="Times New Roman" w:hAnsi="Times New Roman"/>
          <w:bCs/>
          <w:u w:val="single"/>
          <w:lang w:eastAsia="sk-SK"/>
        </w:rPr>
        <w:t>Gravidita</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Gentilion nie je indikovaný počas gravidity. Ak v priebehu užívania Gentilionu dôjde ku gravidite, liek sa musí okamžite vysadiť.</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Rozsiahle epidemiologické štúdie neodhalili zvýšené riziko vrodených chýb u detí narodených ženám, ktoré užívali antikoncepčné tablety pred graviditou, ani teratogénny vplyv po neúmyselnom užití antikoncepčných tabliet v rannej gravidite. </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Pri opätovnom začatí užívania Gentilionu</w:t>
      </w:r>
      <w:r>
        <w:rPr>
          <w:rFonts w:ascii="Times New Roman" w:hAnsi="Times New Roman"/>
          <w:lang w:eastAsia="sk-SK"/>
        </w:rPr>
        <w:t xml:space="preserve"> </w:t>
      </w:r>
      <w:r w:rsidRPr="000A2C53">
        <w:rPr>
          <w:rFonts w:ascii="Times New Roman" w:hAnsi="Times New Roman"/>
          <w:lang w:eastAsia="sk-SK"/>
        </w:rPr>
        <w:t>v období po pôrode treba vziať do úvahy zvýšené riziko VTE (pozri časti 4.2 a 4.4).</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bCs/>
          <w:u w:val="single"/>
          <w:lang w:eastAsia="sk-SK"/>
        </w:rPr>
      </w:pPr>
      <w:r>
        <w:rPr>
          <w:rFonts w:ascii="Times New Roman" w:hAnsi="Times New Roman"/>
          <w:bCs/>
          <w:u w:val="single"/>
          <w:lang w:eastAsia="sk-SK"/>
        </w:rPr>
        <w:t>Dojčenie</w:t>
      </w:r>
    </w:p>
    <w:p w:rsidR="00A86378" w:rsidRPr="000A2C53" w:rsidRDefault="0039274F" w:rsidP="002F2DDB">
      <w:pPr>
        <w:spacing w:after="0" w:line="240" w:lineRule="auto"/>
        <w:rPr>
          <w:rFonts w:ascii="Times New Roman" w:hAnsi="Times New Roman"/>
          <w:lang w:eastAsia="sk-SK"/>
        </w:rPr>
      </w:pPr>
      <w:r>
        <w:rPr>
          <w:rFonts w:ascii="Times New Roman" w:hAnsi="Times New Roman"/>
          <w:lang w:eastAsia="sk-SK"/>
        </w:rPr>
        <w:t>Dojčenie</w:t>
      </w:r>
      <w:r w:rsidR="00A86378" w:rsidRPr="000A2C53">
        <w:rPr>
          <w:rFonts w:ascii="Times New Roman" w:hAnsi="Times New Roman"/>
          <w:lang w:eastAsia="sk-SK"/>
        </w:rPr>
        <w:t xml:space="preserve"> môže byť ovplyvnen</w:t>
      </w:r>
      <w:r>
        <w:rPr>
          <w:rFonts w:ascii="Times New Roman" w:hAnsi="Times New Roman"/>
          <w:lang w:eastAsia="sk-SK"/>
        </w:rPr>
        <w:t>é</w:t>
      </w:r>
      <w:r w:rsidR="00A86378" w:rsidRPr="000A2C53">
        <w:rPr>
          <w:rFonts w:ascii="Times New Roman" w:hAnsi="Times New Roman"/>
          <w:lang w:eastAsia="sk-SK"/>
        </w:rPr>
        <w:t xml:space="preserve"> používaním antikoncepčných steroidov, pretože môžu znižovať množstvo materského mlieka a meniť jeho zloženie. V materskom mlieku dojčiacich matiek boli identifikované malé množstvá antikoncepčných steroidov a/alebo ich metabolitov a bolo hlásených niekoľko nežiaducich účinkov na dieťa, vrátane žltačky a zväčšenia prsníkov. Z tohto dôvodu sa užívanie antikoncepčných steroidov vo všeobecnosti dojčiacim matkám neodporúča, až kým matka úplne neprestane dieťa dojčiť. </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numPr>
          <w:ilvl w:val="0"/>
          <w:numId w:val="4"/>
        </w:numPr>
        <w:overflowPunct w:val="0"/>
        <w:autoSpaceDE w:val="0"/>
        <w:autoSpaceDN w:val="0"/>
        <w:adjustRightInd w:val="0"/>
        <w:spacing w:after="0" w:line="240" w:lineRule="auto"/>
        <w:ind w:left="567" w:hanging="567"/>
        <w:rPr>
          <w:rFonts w:ascii="Times New Roman" w:hAnsi="Times New Roman"/>
          <w:b/>
          <w:bCs/>
          <w:lang w:eastAsia="sk-SK"/>
        </w:rPr>
      </w:pPr>
      <w:r w:rsidRPr="000A2C53">
        <w:rPr>
          <w:rFonts w:ascii="Times New Roman" w:hAnsi="Times New Roman"/>
          <w:b/>
          <w:bCs/>
          <w:lang w:eastAsia="sk-SK"/>
        </w:rPr>
        <w:t>Ovplyvnenie schopnosti viesť vozidlá a obsluhovať stroje</w:t>
      </w:r>
    </w:p>
    <w:p w:rsidR="00A86378" w:rsidRPr="000A2C53" w:rsidRDefault="00A86378" w:rsidP="002F2DDB">
      <w:pPr>
        <w:spacing w:after="0" w:line="240" w:lineRule="auto"/>
        <w:rPr>
          <w:rFonts w:ascii="Times New Roman" w:hAnsi="Times New Roman"/>
          <w:b/>
          <w:bCs/>
          <w:lang w:eastAsia="sk-SK"/>
        </w:rPr>
      </w:pPr>
    </w:p>
    <w:p w:rsidR="00A86378" w:rsidRPr="000A2C53" w:rsidRDefault="00110558" w:rsidP="002F2DDB">
      <w:pPr>
        <w:spacing w:after="0" w:line="240" w:lineRule="auto"/>
        <w:rPr>
          <w:rFonts w:ascii="Times New Roman" w:hAnsi="Times New Roman"/>
          <w:lang w:eastAsia="sk-SK"/>
        </w:rPr>
      </w:pPr>
      <w:r w:rsidRPr="00110558">
        <w:rPr>
          <w:rFonts w:ascii="Times New Roman" w:hAnsi="Times New Roman"/>
          <w:lang w:eastAsia="sk-SK"/>
        </w:rPr>
        <w:t>Gestod</w:t>
      </w:r>
      <w:r>
        <w:rPr>
          <w:rFonts w:ascii="Times New Roman" w:hAnsi="Times New Roman"/>
          <w:lang w:eastAsia="sk-SK"/>
        </w:rPr>
        <w:t>é</w:t>
      </w:r>
      <w:r w:rsidRPr="00110558">
        <w:rPr>
          <w:rFonts w:ascii="Times New Roman" w:hAnsi="Times New Roman"/>
          <w:lang w:eastAsia="sk-SK"/>
        </w:rPr>
        <w:t xml:space="preserve">n/etinylestradiol </w:t>
      </w:r>
      <w:r w:rsidR="00A86378" w:rsidRPr="000A2C53">
        <w:rPr>
          <w:rFonts w:ascii="Times New Roman" w:hAnsi="Times New Roman"/>
          <w:lang w:eastAsia="sk-SK"/>
        </w:rPr>
        <w:t>nemá žiadny alebo má zanedbateľný vplyv na schopnosť viesť vozidlá a obsluhovať stroje.</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numPr>
          <w:ilvl w:val="0"/>
          <w:numId w:val="5"/>
        </w:numPr>
        <w:tabs>
          <w:tab w:val="left" w:pos="709"/>
        </w:tabs>
        <w:overflowPunct w:val="0"/>
        <w:autoSpaceDE w:val="0"/>
        <w:autoSpaceDN w:val="0"/>
        <w:adjustRightInd w:val="0"/>
        <w:spacing w:after="0" w:line="240" w:lineRule="auto"/>
        <w:ind w:left="567" w:hanging="567"/>
        <w:rPr>
          <w:rFonts w:ascii="Times New Roman" w:hAnsi="Times New Roman"/>
          <w:b/>
          <w:bCs/>
          <w:lang w:eastAsia="sk-SK"/>
        </w:rPr>
      </w:pPr>
      <w:r w:rsidRPr="000A2C53">
        <w:rPr>
          <w:rFonts w:ascii="Times New Roman" w:hAnsi="Times New Roman"/>
          <w:b/>
          <w:bCs/>
          <w:lang w:eastAsia="sk-SK"/>
        </w:rPr>
        <w:t>Nežiaduce účinky</w:t>
      </w:r>
    </w:p>
    <w:p w:rsidR="00A86378" w:rsidRPr="000A2C53" w:rsidRDefault="00A86378" w:rsidP="002F2DDB">
      <w:pPr>
        <w:tabs>
          <w:tab w:val="left" w:pos="709"/>
        </w:tabs>
        <w:spacing w:after="0" w:line="240" w:lineRule="auto"/>
        <w:rPr>
          <w:rFonts w:ascii="Times New Roman" w:hAnsi="Times New Roman"/>
          <w:b/>
          <w:bCs/>
          <w:lang w:eastAsia="sk-SK"/>
        </w:rPr>
      </w:pPr>
    </w:p>
    <w:p w:rsidR="00A86378" w:rsidRPr="000A2C53" w:rsidRDefault="00A86378" w:rsidP="002F2DDB">
      <w:pPr>
        <w:autoSpaceDE w:val="0"/>
        <w:autoSpaceDN w:val="0"/>
        <w:adjustRightInd w:val="0"/>
        <w:spacing w:after="0" w:line="240" w:lineRule="auto"/>
        <w:rPr>
          <w:rFonts w:ascii="Times New Roman" w:hAnsi="Times New Roman"/>
          <w:color w:val="000000"/>
          <w:lang w:eastAsia="sk-SK"/>
        </w:rPr>
      </w:pPr>
      <w:r w:rsidRPr="000A2C53">
        <w:rPr>
          <w:rFonts w:ascii="Times New Roman" w:hAnsi="Times New Roman"/>
          <w:color w:val="000000"/>
          <w:u w:val="single"/>
          <w:lang w:eastAsia="sk-SK"/>
        </w:rPr>
        <w:t>Popis vybraných nežiaducich reakci</w:t>
      </w:r>
      <w:r w:rsidRPr="000A2C53">
        <w:rPr>
          <w:rFonts w:ascii="Times New Roman" w:hAnsi="Times New Roman"/>
          <w:color w:val="000000"/>
          <w:lang w:eastAsia="sk-SK"/>
        </w:rPr>
        <w:t xml:space="preserve">í </w:t>
      </w:r>
    </w:p>
    <w:p w:rsidR="00A86378" w:rsidRPr="000A2C53" w:rsidRDefault="00A86378" w:rsidP="002F2DDB">
      <w:pPr>
        <w:spacing w:after="0" w:line="240" w:lineRule="auto"/>
        <w:rPr>
          <w:rFonts w:ascii="Times New Roman" w:hAnsi="Times New Roman"/>
          <w:color w:val="000000"/>
          <w:lang w:eastAsia="sk-SK"/>
        </w:rPr>
      </w:pPr>
      <w:r w:rsidRPr="000A2C53">
        <w:rPr>
          <w:rFonts w:ascii="Times New Roman" w:hAnsi="Times New Roman"/>
          <w:color w:val="000000"/>
          <w:lang w:eastAsia="sk-SK"/>
        </w:rPr>
        <w:t xml:space="preserve">U žien používajúcich kombinovanú hormonálnu antikoncepciu sa pozorovalo zvýšené riziko vzniku </w:t>
      </w:r>
      <w:proofErr w:type="spellStart"/>
      <w:r w:rsidRPr="000A2C53">
        <w:rPr>
          <w:rFonts w:ascii="Times New Roman" w:hAnsi="Times New Roman"/>
          <w:color w:val="000000"/>
          <w:lang w:eastAsia="sk-SK"/>
        </w:rPr>
        <w:t>arteriálnych</w:t>
      </w:r>
      <w:proofErr w:type="spellEnd"/>
      <w:r w:rsidRPr="000A2C53">
        <w:rPr>
          <w:rFonts w:ascii="Times New Roman" w:hAnsi="Times New Roman"/>
          <w:color w:val="000000"/>
          <w:lang w:eastAsia="sk-SK"/>
        </w:rPr>
        <w:t xml:space="preserve"> a </w:t>
      </w:r>
      <w:proofErr w:type="spellStart"/>
      <w:r w:rsidRPr="000A2C53">
        <w:rPr>
          <w:rFonts w:ascii="Times New Roman" w:hAnsi="Times New Roman"/>
          <w:color w:val="000000"/>
          <w:lang w:eastAsia="sk-SK"/>
        </w:rPr>
        <w:t>venóznych</w:t>
      </w:r>
      <w:proofErr w:type="spellEnd"/>
      <w:r w:rsidRPr="000A2C53">
        <w:rPr>
          <w:rFonts w:ascii="Times New Roman" w:hAnsi="Times New Roman"/>
          <w:color w:val="000000"/>
          <w:lang w:eastAsia="sk-SK"/>
        </w:rPr>
        <w:t xml:space="preserve"> </w:t>
      </w:r>
      <w:proofErr w:type="spellStart"/>
      <w:r w:rsidRPr="000A2C53">
        <w:rPr>
          <w:rFonts w:ascii="Times New Roman" w:hAnsi="Times New Roman"/>
          <w:color w:val="000000"/>
          <w:lang w:eastAsia="sk-SK"/>
        </w:rPr>
        <w:t>trombotických</w:t>
      </w:r>
      <w:proofErr w:type="spellEnd"/>
      <w:r w:rsidRPr="000A2C53">
        <w:rPr>
          <w:rFonts w:ascii="Times New Roman" w:hAnsi="Times New Roman"/>
          <w:color w:val="000000"/>
          <w:lang w:eastAsia="sk-SK"/>
        </w:rPr>
        <w:t xml:space="preserve"> a </w:t>
      </w:r>
      <w:proofErr w:type="spellStart"/>
      <w:r w:rsidR="001F1823">
        <w:rPr>
          <w:rFonts w:ascii="Times New Roman" w:hAnsi="Times New Roman"/>
          <w:color w:val="000000"/>
          <w:lang w:eastAsia="sk-SK"/>
        </w:rPr>
        <w:t>tromboem</w:t>
      </w:r>
      <w:r w:rsidRPr="000A2C53">
        <w:rPr>
          <w:rFonts w:ascii="Times New Roman" w:hAnsi="Times New Roman"/>
          <w:color w:val="000000"/>
          <w:lang w:eastAsia="sk-SK"/>
        </w:rPr>
        <w:t>bolických</w:t>
      </w:r>
      <w:proofErr w:type="spellEnd"/>
      <w:r w:rsidRPr="000A2C53">
        <w:rPr>
          <w:rFonts w:ascii="Times New Roman" w:hAnsi="Times New Roman"/>
          <w:color w:val="000000"/>
          <w:lang w:eastAsia="sk-SK"/>
        </w:rPr>
        <w:t xml:space="preserve"> udalostí vrátane infarktu myokardu, cievnej mozgovej príhody, prechodných ischemických záchvatov, venóznej trombózy a pľúcnej embólie, ktoré sú podrobnejšie uvedené v časti 4.4.</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Najčastejšie hlásené nežiaduce účinky </w:t>
      </w:r>
      <w:r w:rsidRPr="000A2C53">
        <w:rPr>
          <w:rFonts w:ascii="Times New Roman" w:hAnsi="Times New Roman"/>
          <w:spacing w:val="-3"/>
          <w:lang w:eastAsia="sk-SK"/>
        </w:rPr>
        <w:t>(&gt; 1/10) sú nepravidelné krvácanie, nauzea, nárast telesnej hmotnosti, citlivosť prsníkov a</w:t>
      </w:r>
      <w:r w:rsidRPr="000A2C53">
        <w:rPr>
          <w:rFonts w:ascii="Times New Roman" w:hAnsi="Times New Roman"/>
          <w:lang w:eastAsia="sk-SK"/>
        </w:rPr>
        <w:t xml:space="preserve"> bolesť hlavy. Zvyčajne sa vyskytujú na začiatku liečby a sú prechodné.</w:t>
      </w:r>
    </w:p>
    <w:p w:rsidR="00A86378" w:rsidRPr="000A2C53" w:rsidRDefault="00A86378" w:rsidP="002F2DDB">
      <w:pPr>
        <w:spacing w:after="0" w:line="240" w:lineRule="auto"/>
        <w:rPr>
          <w:b/>
          <w:bCs/>
          <w:lang w:eastAsia="de-DE"/>
        </w:rPr>
      </w:pPr>
    </w:p>
    <w:tbl>
      <w:tblPr>
        <w:tblW w:w="51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2030"/>
        <w:gridCol w:w="1975"/>
        <w:gridCol w:w="1975"/>
        <w:gridCol w:w="1980"/>
      </w:tblGrid>
      <w:tr w:rsidR="00A86378" w:rsidRPr="00E83302" w:rsidTr="002F2DDB">
        <w:tc>
          <w:tcPr>
            <w:tcW w:w="840" w:type="pct"/>
          </w:tcPr>
          <w:p w:rsidR="00A86378" w:rsidRPr="000A2C53" w:rsidRDefault="00A86378" w:rsidP="002F2DDB">
            <w:pPr>
              <w:spacing w:after="0" w:line="240" w:lineRule="auto"/>
              <w:ind w:left="34" w:hanging="34"/>
              <w:rPr>
                <w:rFonts w:ascii="Times New Roman" w:hAnsi="Times New Roman"/>
                <w:b/>
                <w:lang w:eastAsia="sk-SK"/>
              </w:rPr>
            </w:pPr>
            <w:r w:rsidRPr="000A2C53">
              <w:rPr>
                <w:rFonts w:ascii="Times New Roman" w:hAnsi="Times New Roman"/>
                <w:b/>
                <w:lang w:eastAsia="sk-SK"/>
              </w:rPr>
              <w:t>Trieda orgánového</w:t>
            </w: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b/>
                <w:lang w:eastAsia="sk-SK"/>
              </w:rPr>
              <w:t>systému</w:t>
            </w:r>
          </w:p>
        </w:tc>
        <w:tc>
          <w:tcPr>
            <w:tcW w:w="1061" w:type="pct"/>
          </w:tcPr>
          <w:p w:rsidR="00A86378" w:rsidRPr="000A2C53" w:rsidRDefault="00A86378" w:rsidP="002F2DDB">
            <w:pPr>
              <w:spacing w:after="0" w:line="240" w:lineRule="auto"/>
              <w:ind w:left="567" w:hanging="567"/>
              <w:rPr>
                <w:rFonts w:ascii="Times New Roman" w:hAnsi="Times New Roman"/>
                <w:b/>
                <w:bCs/>
                <w:szCs w:val="24"/>
                <w:lang w:eastAsia="sk-SK"/>
              </w:rPr>
            </w:pPr>
            <w:r w:rsidRPr="000A2C53">
              <w:rPr>
                <w:rFonts w:ascii="Times New Roman" w:hAnsi="Times New Roman"/>
                <w:b/>
                <w:bCs/>
                <w:szCs w:val="24"/>
                <w:lang w:eastAsia="sk-SK"/>
              </w:rPr>
              <w:t>Časté (≥1/100</w:t>
            </w:r>
          </w:p>
          <w:p w:rsidR="00A86378" w:rsidRPr="000A2C53" w:rsidRDefault="00A86378" w:rsidP="002F2DDB">
            <w:pPr>
              <w:spacing w:after="0" w:line="240" w:lineRule="auto"/>
              <w:ind w:left="567" w:hanging="567"/>
              <w:rPr>
                <w:rFonts w:ascii="Times New Roman" w:hAnsi="Times New Roman"/>
                <w:b/>
                <w:bCs/>
                <w:szCs w:val="24"/>
                <w:lang w:eastAsia="sk-SK"/>
              </w:rPr>
            </w:pPr>
            <w:r w:rsidRPr="000A2C53">
              <w:rPr>
                <w:rFonts w:ascii="Times New Roman" w:hAnsi="Times New Roman"/>
                <w:b/>
                <w:bCs/>
                <w:szCs w:val="24"/>
                <w:lang w:eastAsia="sk-SK"/>
              </w:rPr>
              <w:t>až&lt; 1/10)</w:t>
            </w:r>
          </w:p>
        </w:tc>
        <w:tc>
          <w:tcPr>
            <w:tcW w:w="1032" w:type="pct"/>
          </w:tcPr>
          <w:p w:rsidR="00A86378" w:rsidRPr="000A2C53" w:rsidRDefault="00A86378" w:rsidP="002F2DDB">
            <w:pPr>
              <w:tabs>
                <w:tab w:val="left" w:pos="567"/>
              </w:tabs>
              <w:spacing w:after="0" w:line="260" w:lineRule="exact"/>
              <w:rPr>
                <w:rFonts w:ascii="Times New Roman" w:hAnsi="Times New Roman"/>
                <w:b/>
                <w:bCs/>
                <w:szCs w:val="24"/>
              </w:rPr>
            </w:pPr>
            <w:r w:rsidRPr="000A2C53">
              <w:rPr>
                <w:rFonts w:ascii="Times New Roman" w:hAnsi="Times New Roman"/>
                <w:b/>
                <w:bCs/>
                <w:szCs w:val="24"/>
              </w:rPr>
              <w:t>Menej časté</w:t>
            </w:r>
          </w:p>
          <w:p w:rsidR="00A86378" w:rsidRPr="000A2C53" w:rsidRDefault="00A86378" w:rsidP="002F2DDB">
            <w:pPr>
              <w:spacing w:after="0" w:line="240" w:lineRule="auto"/>
              <w:rPr>
                <w:rFonts w:ascii="Times New Roman" w:hAnsi="Times New Roman"/>
                <w:b/>
                <w:bCs/>
                <w:szCs w:val="24"/>
              </w:rPr>
            </w:pPr>
            <w:r w:rsidRPr="000A2C53">
              <w:rPr>
                <w:rFonts w:ascii="Times New Roman" w:hAnsi="Times New Roman"/>
                <w:b/>
                <w:bCs/>
                <w:szCs w:val="24"/>
              </w:rPr>
              <w:t>(≥1/1 000 až</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b/>
                <w:bCs/>
                <w:szCs w:val="24"/>
              </w:rPr>
              <w:t>&lt; 1/100)</w:t>
            </w:r>
          </w:p>
        </w:tc>
        <w:tc>
          <w:tcPr>
            <w:tcW w:w="1032" w:type="pct"/>
          </w:tcPr>
          <w:p w:rsidR="00A86378" w:rsidRPr="000A2C53" w:rsidRDefault="00A86378" w:rsidP="002F2DDB">
            <w:pPr>
              <w:tabs>
                <w:tab w:val="left" w:pos="567"/>
              </w:tabs>
              <w:spacing w:after="0" w:line="260" w:lineRule="exact"/>
              <w:rPr>
                <w:rFonts w:ascii="Times New Roman" w:hAnsi="Times New Roman"/>
                <w:b/>
                <w:bCs/>
                <w:szCs w:val="24"/>
              </w:rPr>
            </w:pPr>
            <w:r w:rsidRPr="000A2C53">
              <w:rPr>
                <w:rFonts w:ascii="Times New Roman" w:hAnsi="Times New Roman"/>
                <w:b/>
                <w:bCs/>
                <w:szCs w:val="24"/>
              </w:rPr>
              <w:t xml:space="preserve">Zriedkavé </w:t>
            </w:r>
          </w:p>
          <w:p w:rsidR="00A86378" w:rsidRPr="000A2C53" w:rsidRDefault="00A86378" w:rsidP="002F2DDB">
            <w:pPr>
              <w:spacing w:after="0" w:line="240" w:lineRule="auto"/>
              <w:rPr>
                <w:rFonts w:ascii="Times New Roman" w:hAnsi="Times New Roman"/>
                <w:b/>
                <w:bCs/>
                <w:szCs w:val="24"/>
              </w:rPr>
            </w:pPr>
            <w:r w:rsidRPr="000A2C53">
              <w:rPr>
                <w:rFonts w:ascii="Times New Roman" w:hAnsi="Times New Roman"/>
                <w:b/>
                <w:bCs/>
                <w:szCs w:val="24"/>
              </w:rPr>
              <w:t>(≥1/10 000 až</w:t>
            </w:r>
          </w:p>
          <w:p w:rsidR="00A86378" w:rsidRPr="000A2C53" w:rsidRDefault="00A86378" w:rsidP="002F2DDB">
            <w:pPr>
              <w:spacing w:after="0" w:line="240" w:lineRule="auto"/>
              <w:rPr>
                <w:rFonts w:ascii="Times New Roman" w:hAnsi="Times New Roman"/>
                <w:b/>
                <w:bCs/>
                <w:szCs w:val="24"/>
              </w:rPr>
            </w:pPr>
            <w:r w:rsidRPr="000A2C53">
              <w:rPr>
                <w:rFonts w:ascii="Times New Roman" w:hAnsi="Times New Roman"/>
                <w:b/>
                <w:bCs/>
                <w:szCs w:val="24"/>
              </w:rPr>
              <w:t>&lt; 1 000)</w:t>
            </w:r>
          </w:p>
        </w:tc>
        <w:tc>
          <w:tcPr>
            <w:tcW w:w="1035" w:type="pct"/>
          </w:tcPr>
          <w:p w:rsidR="00A86378" w:rsidRPr="000A2C53" w:rsidRDefault="00A86378" w:rsidP="002F2DDB">
            <w:pPr>
              <w:tabs>
                <w:tab w:val="left" w:pos="567"/>
              </w:tabs>
              <w:spacing w:after="0" w:line="260" w:lineRule="exact"/>
              <w:rPr>
                <w:rFonts w:ascii="Times New Roman" w:hAnsi="Times New Roman"/>
                <w:b/>
                <w:bCs/>
                <w:szCs w:val="24"/>
              </w:rPr>
            </w:pPr>
            <w:r w:rsidRPr="000A2C53">
              <w:rPr>
                <w:rFonts w:ascii="Times New Roman" w:hAnsi="Times New Roman"/>
                <w:b/>
                <w:bCs/>
                <w:szCs w:val="24"/>
              </w:rPr>
              <w:t xml:space="preserve">Veľmi zriedkavé </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b/>
                <w:bCs/>
                <w:szCs w:val="24"/>
              </w:rPr>
              <w:t>(</w:t>
            </w:r>
            <w:r w:rsidRPr="000A2C53">
              <w:rPr>
                <w:rFonts w:ascii="Times New Roman" w:hAnsi="Times New Roman"/>
                <w:b/>
                <w:bCs/>
                <w:i/>
                <w:szCs w:val="24"/>
              </w:rPr>
              <w:t>&lt;</w:t>
            </w:r>
            <w:r w:rsidRPr="000A2C53">
              <w:rPr>
                <w:rFonts w:ascii="Times New Roman" w:hAnsi="Times New Roman"/>
                <w:b/>
                <w:bCs/>
                <w:szCs w:val="24"/>
              </w:rPr>
              <w:t>1/10 000)</w:t>
            </w:r>
          </w:p>
        </w:tc>
      </w:tr>
      <w:tr w:rsidR="00D0379F" w:rsidRPr="00D0379F" w:rsidTr="00D0379F">
        <w:tc>
          <w:tcPr>
            <w:tcW w:w="840"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spacing w:after="0" w:line="240" w:lineRule="auto"/>
              <w:ind w:left="34" w:hanging="34"/>
              <w:rPr>
                <w:rFonts w:ascii="Times New Roman" w:hAnsi="Times New Roman"/>
                <w:lang w:eastAsia="sk-SK"/>
              </w:rPr>
            </w:pPr>
            <w:r w:rsidRPr="00D0379F">
              <w:rPr>
                <w:rFonts w:ascii="Times New Roman" w:hAnsi="Times New Roman"/>
                <w:lang w:eastAsia="sk-SK"/>
              </w:rPr>
              <w:t>Poruchy imunitného systému</w:t>
            </w:r>
          </w:p>
        </w:tc>
        <w:tc>
          <w:tcPr>
            <w:tcW w:w="1061"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spacing w:after="0" w:line="240" w:lineRule="auto"/>
              <w:ind w:left="567" w:hanging="567"/>
              <w:rPr>
                <w:rFonts w:ascii="Times New Roman" w:hAnsi="Times New Roman"/>
                <w:bCs/>
                <w:szCs w:val="24"/>
                <w:lang w:eastAsia="sk-SK"/>
              </w:rPr>
            </w:pPr>
          </w:p>
        </w:tc>
        <w:tc>
          <w:tcPr>
            <w:tcW w:w="1032"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szCs w:val="24"/>
              </w:rPr>
            </w:pPr>
          </w:p>
        </w:tc>
        <w:tc>
          <w:tcPr>
            <w:tcW w:w="1032"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i/>
                <w:szCs w:val="24"/>
              </w:rPr>
            </w:pPr>
            <w:proofErr w:type="spellStart"/>
            <w:r w:rsidRPr="00D0379F">
              <w:rPr>
                <w:rFonts w:ascii="Times New Roman" w:hAnsi="Times New Roman"/>
                <w:bCs/>
                <w:i/>
                <w:szCs w:val="24"/>
              </w:rPr>
              <w:t>Lupus</w:t>
            </w:r>
            <w:proofErr w:type="spellEnd"/>
            <w:r w:rsidRPr="00D0379F">
              <w:rPr>
                <w:rFonts w:ascii="Times New Roman" w:hAnsi="Times New Roman"/>
                <w:bCs/>
                <w:i/>
                <w:szCs w:val="24"/>
              </w:rPr>
              <w:t xml:space="preserve"> </w:t>
            </w:r>
            <w:proofErr w:type="spellStart"/>
            <w:r w:rsidRPr="00D0379F">
              <w:rPr>
                <w:rFonts w:ascii="Times New Roman" w:hAnsi="Times New Roman"/>
                <w:bCs/>
                <w:i/>
                <w:szCs w:val="24"/>
              </w:rPr>
              <w:t>erythematosus</w:t>
            </w:r>
            <w:proofErr w:type="spellEnd"/>
          </w:p>
        </w:tc>
        <w:tc>
          <w:tcPr>
            <w:tcW w:w="1035"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szCs w:val="24"/>
              </w:rPr>
            </w:pPr>
          </w:p>
        </w:tc>
      </w:tr>
      <w:tr w:rsidR="00D0379F" w:rsidRPr="00E83302" w:rsidTr="00D0379F">
        <w:tc>
          <w:tcPr>
            <w:tcW w:w="840" w:type="pct"/>
            <w:tcBorders>
              <w:top w:val="single" w:sz="4" w:space="0" w:color="auto"/>
              <w:left w:val="single" w:sz="4" w:space="0" w:color="auto"/>
              <w:bottom w:val="single" w:sz="4" w:space="0" w:color="auto"/>
              <w:right w:val="single" w:sz="4" w:space="0" w:color="auto"/>
            </w:tcBorders>
          </w:tcPr>
          <w:p w:rsidR="00D0379F" w:rsidRPr="000A2C53" w:rsidRDefault="00D0379F" w:rsidP="00D0379F">
            <w:pPr>
              <w:spacing w:after="0" w:line="240" w:lineRule="auto"/>
              <w:ind w:left="34" w:hanging="34"/>
              <w:rPr>
                <w:rFonts w:ascii="Times New Roman" w:hAnsi="Times New Roman"/>
                <w:lang w:eastAsia="sk-SK"/>
              </w:rPr>
            </w:pPr>
            <w:r w:rsidRPr="000A2C53">
              <w:rPr>
                <w:rFonts w:ascii="Times New Roman" w:hAnsi="Times New Roman"/>
                <w:lang w:eastAsia="sk-SK"/>
              </w:rPr>
              <w:t>Poruchy metabolizmu a výživy</w:t>
            </w:r>
          </w:p>
        </w:tc>
        <w:tc>
          <w:tcPr>
            <w:tcW w:w="1061"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spacing w:after="0" w:line="240" w:lineRule="auto"/>
              <w:ind w:left="567" w:hanging="567"/>
              <w:rPr>
                <w:rFonts w:ascii="Times New Roman" w:hAnsi="Times New Roman"/>
                <w:bCs/>
                <w:szCs w:val="24"/>
                <w:lang w:eastAsia="sk-SK"/>
              </w:rPr>
            </w:pPr>
          </w:p>
        </w:tc>
        <w:tc>
          <w:tcPr>
            <w:tcW w:w="1032"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szCs w:val="24"/>
              </w:rPr>
            </w:pPr>
            <w:r w:rsidRPr="00D0379F">
              <w:rPr>
                <w:rFonts w:ascii="Times New Roman" w:hAnsi="Times New Roman"/>
                <w:bCs/>
                <w:szCs w:val="24"/>
              </w:rPr>
              <w:t>Hyperlipidémia</w:t>
            </w:r>
          </w:p>
        </w:tc>
        <w:tc>
          <w:tcPr>
            <w:tcW w:w="1032"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i/>
                <w:szCs w:val="24"/>
              </w:rPr>
            </w:pPr>
          </w:p>
        </w:tc>
        <w:tc>
          <w:tcPr>
            <w:tcW w:w="1035"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szCs w:val="24"/>
              </w:rPr>
            </w:pPr>
          </w:p>
        </w:tc>
      </w:tr>
      <w:tr w:rsidR="00D0379F" w:rsidRPr="00E83302" w:rsidTr="00D0379F">
        <w:tc>
          <w:tcPr>
            <w:tcW w:w="840" w:type="pct"/>
            <w:tcBorders>
              <w:top w:val="single" w:sz="4" w:space="0" w:color="auto"/>
              <w:left w:val="single" w:sz="4" w:space="0" w:color="auto"/>
              <w:bottom w:val="single" w:sz="4" w:space="0" w:color="auto"/>
              <w:right w:val="single" w:sz="4" w:space="0" w:color="auto"/>
            </w:tcBorders>
          </w:tcPr>
          <w:p w:rsidR="00D0379F" w:rsidRPr="000A2C53" w:rsidRDefault="00D0379F" w:rsidP="00D0379F">
            <w:pPr>
              <w:spacing w:after="0" w:line="240" w:lineRule="auto"/>
              <w:ind w:left="34" w:hanging="34"/>
              <w:rPr>
                <w:rFonts w:ascii="Times New Roman" w:hAnsi="Times New Roman"/>
                <w:lang w:eastAsia="sk-SK"/>
              </w:rPr>
            </w:pPr>
            <w:r w:rsidRPr="000A2C53">
              <w:rPr>
                <w:rFonts w:ascii="Times New Roman" w:hAnsi="Times New Roman"/>
                <w:lang w:eastAsia="sk-SK"/>
              </w:rPr>
              <w:t>Psychické poruchy</w:t>
            </w:r>
          </w:p>
        </w:tc>
        <w:tc>
          <w:tcPr>
            <w:tcW w:w="1061"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spacing w:after="0" w:line="240" w:lineRule="auto"/>
              <w:ind w:left="567" w:hanging="567"/>
              <w:rPr>
                <w:rFonts w:ascii="Times New Roman" w:hAnsi="Times New Roman"/>
                <w:bCs/>
                <w:szCs w:val="24"/>
                <w:lang w:eastAsia="sk-SK"/>
              </w:rPr>
            </w:pPr>
            <w:r w:rsidRPr="00D0379F">
              <w:rPr>
                <w:rFonts w:ascii="Times New Roman" w:hAnsi="Times New Roman"/>
                <w:bCs/>
                <w:szCs w:val="24"/>
                <w:lang w:eastAsia="sk-SK"/>
              </w:rPr>
              <w:t>Zmeny libida</w:t>
            </w:r>
          </w:p>
          <w:p w:rsidR="00D0379F" w:rsidRPr="00D0379F" w:rsidRDefault="00D0379F" w:rsidP="00D0379F">
            <w:pPr>
              <w:spacing w:after="0" w:line="240" w:lineRule="auto"/>
              <w:ind w:left="567" w:hanging="567"/>
              <w:rPr>
                <w:rFonts w:ascii="Times New Roman" w:hAnsi="Times New Roman"/>
                <w:bCs/>
                <w:szCs w:val="24"/>
                <w:lang w:eastAsia="sk-SK"/>
              </w:rPr>
            </w:pPr>
            <w:r w:rsidRPr="00D0379F">
              <w:rPr>
                <w:rFonts w:ascii="Times New Roman" w:hAnsi="Times New Roman"/>
                <w:bCs/>
                <w:szCs w:val="24"/>
                <w:lang w:eastAsia="sk-SK"/>
              </w:rPr>
              <w:t>Depresia</w:t>
            </w:r>
          </w:p>
          <w:p w:rsidR="00D0379F" w:rsidRPr="00D0379F" w:rsidRDefault="00D0379F" w:rsidP="00D0379F">
            <w:pPr>
              <w:spacing w:after="0" w:line="240" w:lineRule="auto"/>
              <w:ind w:left="567" w:hanging="567"/>
              <w:rPr>
                <w:rFonts w:ascii="Times New Roman" w:hAnsi="Times New Roman"/>
                <w:bCs/>
                <w:szCs w:val="24"/>
                <w:lang w:eastAsia="sk-SK"/>
              </w:rPr>
            </w:pPr>
            <w:r w:rsidRPr="00D0379F">
              <w:rPr>
                <w:rFonts w:ascii="Times New Roman" w:hAnsi="Times New Roman"/>
                <w:bCs/>
                <w:szCs w:val="24"/>
                <w:lang w:eastAsia="sk-SK"/>
              </w:rPr>
              <w:t xml:space="preserve">Podráždenosť </w:t>
            </w:r>
          </w:p>
        </w:tc>
        <w:tc>
          <w:tcPr>
            <w:tcW w:w="1032"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szCs w:val="24"/>
              </w:rPr>
            </w:pPr>
          </w:p>
        </w:tc>
        <w:tc>
          <w:tcPr>
            <w:tcW w:w="1032"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i/>
                <w:szCs w:val="24"/>
              </w:rPr>
            </w:pPr>
          </w:p>
        </w:tc>
        <w:tc>
          <w:tcPr>
            <w:tcW w:w="1035" w:type="pct"/>
            <w:tcBorders>
              <w:top w:val="single" w:sz="4" w:space="0" w:color="auto"/>
              <w:left w:val="single" w:sz="4" w:space="0" w:color="auto"/>
              <w:bottom w:val="single" w:sz="4" w:space="0" w:color="auto"/>
              <w:right w:val="single" w:sz="4" w:space="0" w:color="auto"/>
            </w:tcBorders>
          </w:tcPr>
          <w:p w:rsidR="00D0379F" w:rsidRPr="00D0379F" w:rsidRDefault="00D0379F" w:rsidP="00D0379F">
            <w:pPr>
              <w:tabs>
                <w:tab w:val="left" w:pos="567"/>
              </w:tabs>
              <w:spacing w:after="0" w:line="260" w:lineRule="exact"/>
              <w:rPr>
                <w:rFonts w:ascii="Times New Roman" w:hAnsi="Times New Roman"/>
                <w:bCs/>
                <w:szCs w:val="24"/>
              </w:rPr>
            </w:pPr>
          </w:p>
        </w:tc>
      </w:tr>
      <w:tr w:rsidR="00A86378" w:rsidRPr="00E83302" w:rsidTr="002F2DDB">
        <w:tc>
          <w:tcPr>
            <w:tcW w:w="840"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Poruchy nervového systému</w:t>
            </w:r>
          </w:p>
        </w:tc>
        <w:tc>
          <w:tcPr>
            <w:tcW w:w="1061"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Bolesť hlavy</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Nervozita</w:t>
            </w:r>
          </w:p>
        </w:tc>
        <w:tc>
          <w:tcPr>
            <w:tcW w:w="1032" w:type="pct"/>
          </w:tcPr>
          <w:p w:rsidR="00A86378" w:rsidRPr="000A2C53" w:rsidRDefault="00A86378" w:rsidP="002F2DDB">
            <w:pPr>
              <w:spacing w:after="0" w:line="240" w:lineRule="auto"/>
              <w:rPr>
                <w:rFonts w:ascii="Times New Roman" w:hAnsi="Times New Roman"/>
                <w:lang w:eastAsia="sk-SK"/>
              </w:rPr>
            </w:pPr>
          </w:p>
        </w:tc>
        <w:tc>
          <w:tcPr>
            <w:tcW w:w="1032" w:type="pct"/>
          </w:tcPr>
          <w:p w:rsidR="00A86378" w:rsidRPr="000A2C53" w:rsidRDefault="00A86378" w:rsidP="002F2DDB">
            <w:pPr>
              <w:spacing w:after="0" w:line="240" w:lineRule="auto"/>
              <w:rPr>
                <w:rFonts w:ascii="Times New Roman" w:hAnsi="Times New Roman"/>
                <w:lang w:eastAsia="sk-SK"/>
              </w:rPr>
            </w:pPr>
          </w:p>
        </w:tc>
        <w:tc>
          <w:tcPr>
            <w:tcW w:w="1035" w:type="pct"/>
          </w:tcPr>
          <w:p w:rsidR="00A86378" w:rsidRPr="000A2C53" w:rsidRDefault="00A86378" w:rsidP="002F2DDB">
            <w:pPr>
              <w:spacing w:after="0" w:line="240" w:lineRule="auto"/>
              <w:rPr>
                <w:rFonts w:ascii="Times New Roman" w:hAnsi="Times New Roman"/>
                <w:lang w:eastAsia="sk-SK"/>
              </w:rPr>
            </w:pPr>
            <w:proofErr w:type="spellStart"/>
            <w:r w:rsidRPr="000A2C53">
              <w:rPr>
                <w:rFonts w:ascii="Times New Roman" w:hAnsi="Times New Roman"/>
                <w:lang w:eastAsia="sk-SK"/>
              </w:rPr>
              <w:t>Chorea</w:t>
            </w:r>
            <w:proofErr w:type="spellEnd"/>
          </w:p>
        </w:tc>
      </w:tr>
      <w:tr w:rsidR="00A86378" w:rsidRPr="00E83302" w:rsidTr="002F2DDB">
        <w:tc>
          <w:tcPr>
            <w:tcW w:w="840"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Poruchy oka</w:t>
            </w:r>
          </w:p>
        </w:tc>
        <w:tc>
          <w:tcPr>
            <w:tcW w:w="1061"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Podráždenie oka pri používaní kontaktných šošoviek</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Poruchy videnia</w:t>
            </w:r>
          </w:p>
        </w:tc>
        <w:tc>
          <w:tcPr>
            <w:tcW w:w="1032" w:type="pct"/>
          </w:tcPr>
          <w:p w:rsidR="00A86378" w:rsidRPr="000A2C53" w:rsidRDefault="00A86378" w:rsidP="002F2DDB">
            <w:pPr>
              <w:spacing w:after="0" w:line="240" w:lineRule="auto"/>
              <w:rPr>
                <w:rFonts w:ascii="Times New Roman" w:hAnsi="Times New Roman"/>
                <w:lang w:eastAsia="sk-SK"/>
              </w:rPr>
            </w:pPr>
          </w:p>
        </w:tc>
        <w:tc>
          <w:tcPr>
            <w:tcW w:w="1032" w:type="pct"/>
          </w:tcPr>
          <w:p w:rsidR="00A86378" w:rsidRPr="000A2C53" w:rsidRDefault="00A86378" w:rsidP="002F2DDB">
            <w:pPr>
              <w:spacing w:after="0" w:line="240" w:lineRule="auto"/>
              <w:rPr>
                <w:rFonts w:ascii="Times New Roman" w:hAnsi="Times New Roman"/>
                <w:lang w:eastAsia="sk-SK"/>
              </w:rPr>
            </w:pPr>
          </w:p>
        </w:tc>
        <w:tc>
          <w:tcPr>
            <w:tcW w:w="1035" w:type="pct"/>
          </w:tcPr>
          <w:p w:rsidR="00A86378" w:rsidRPr="000A2C53" w:rsidRDefault="00A86378" w:rsidP="002F2DDB">
            <w:pPr>
              <w:spacing w:after="0" w:line="240" w:lineRule="auto"/>
              <w:rPr>
                <w:rFonts w:ascii="Times New Roman" w:hAnsi="Times New Roman"/>
                <w:lang w:eastAsia="sk-SK"/>
              </w:rPr>
            </w:pPr>
          </w:p>
        </w:tc>
      </w:tr>
      <w:tr w:rsidR="00A86378" w:rsidRPr="00E83302" w:rsidTr="002F2DDB">
        <w:tc>
          <w:tcPr>
            <w:tcW w:w="840"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Poruchy ucha a labyrintu</w:t>
            </w:r>
          </w:p>
        </w:tc>
        <w:tc>
          <w:tcPr>
            <w:tcW w:w="1061" w:type="pct"/>
          </w:tcPr>
          <w:p w:rsidR="00A86378" w:rsidRPr="000A2C53" w:rsidRDefault="00A86378" w:rsidP="002F2DDB">
            <w:pPr>
              <w:spacing w:after="0" w:line="240" w:lineRule="auto"/>
              <w:rPr>
                <w:rFonts w:ascii="Times New Roman" w:hAnsi="Times New Roman"/>
                <w:lang w:eastAsia="sk-SK"/>
              </w:rPr>
            </w:pPr>
          </w:p>
        </w:tc>
        <w:tc>
          <w:tcPr>
            <w:tcW w:w="1032" w:type="pct"/>
          </w:tcPr>
          <w:p w:rsidR="00A86378" w:rsidRPr="000A2C53" w:rsidRDefault="00A86378" w:rsidP="002F2DDB">
            <w:pPr>
              <w:spacing w:after="0" w:line="240" w:lineRule="auto"/>
              <w:rPr>
                <w:rFonts w:ascii="Times New Roman" w:hAnsi="Times New Roman"/>
                <w:lang w:eastAsia="sk-SK"/>
              </w:rPr>
            </w:pPr>
          </w:p>
        </w:tc>
        <w:tc>
          <w:tcPr>
            <w:tcW w:w="1032" w:type="pct"/>
          </w:tcPr>
          <w:p w:rsidR="00A86378" w:rsidRPr="000A2C53" w:rsidRDefault="00A86378" w:rsidP="002F2DDB">
            <w:pPr>
              <w:spacing w:after="0" w:line="240" w:lineRule="auto"/>
              <w:rPr>
                <w:rFonts w:ascii="Times New Roman" w:hAnsi="Times New Roman"/>
                <w:lang w:eastAsia="sk-SK"/>
              </w:rPr>
            </w:pPr>
            <w:proofErr w:type="spellStart"/>
            <w:r w:rsidRPr="000A2C53">
              <w:rPr>
                <w:rFonts w:ascii="Times New Roman" w:hAnsi="Times New Roman"/>
                <w:lang w:eastAsia="sk-SK"/>
              </w:rPr>
              <w:t>Otoskleróza</w:t>
            </w:r>
            <w:proofErr w:type="spellEnd"/>
          </w:p>
        </w:tc>
        <w:tc>
          <w:tcPr>
            <w:tcW w:w="1035" w:type="pct"/>
          </w:tcPr>
          <w:p w:rsidR="00A86378" w:rsidRPr="000A2C53" w:rsidRDefault="00A86378" w:rsidP="002F2DDB">
            <w:pPr>
              <w:spacing w:after="0" w:line="240" w:lineRule="auto"/>
              <w:rPr>
                <w:rFonts w:ascii="Times New Roman" w:hAnsi="Times New Roman"/>
                <w:lang w:eastAsia="sk-SK"/>
              </w:rPr>
            </w:pPr>
          </w:p>
        </w:tc>
      </w:tr>
      <w:tr w:rsidR="00473661" w:rsidRPr="00E83302" w:rsidTr="00473661">
        <w:tc>
          <w:tcPr>
            <w:tcW w:w="840"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r w:rsidRPr="000A2C53">
              <w:rPr>
                <w:rFonts w:ascii="Times New Roman" w:hAnsi="Times New Roman"/>
                <w:lang w:eastAsia="sk-SK"/>
              </w:rPr>
              <w:t>Poruchy ciev</w:t>
            </w:r>
          </w:p>
        </w:tc>
        <w:tc>
          <w:tcPr>
            <w:tcW w:w="1061"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r w:rsidRPr="000A2C53">
              <w:rPr>
                <w:rFonts w:ascii="Times New Roman" w:hAnsi="Times New Roman"/>
                <w:lang w:eastAsia="sk-SK"/>
              </w:rPr>
              <w:t>Migréna</w:t>
            </w:r>
          </w:p>
        </w:tc>
        <w:tc>
          <w:tcPr>
            <w:tcW w:w="1032"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r w:rsidRPr="000A2C53">
              <w:rPr>
                <w:rFonts w:ascii="Times New Roman" w:hAnsi="Times New Roman"/>
                <w:lang w:eastAsia="sk-SK"/>
              </w:rPr>
              <w:t>Hypertenzia</w:t>
            </w:r>
          </w:p>
        </w:tc>
        <w:tc>
          <w:tcPr>
            <w:tcW w:w="1032"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r w:rsidRPr="000A2C53">
              <w:rPr>
                <w:rFonts w:ascii="Times New Roman" w:hAnsi="Times New Roman"/>
                <w:lang w:eastAsia="sk-SK"/>
              </w:rPr>
              <w:t>Venózn</w:t>
            </w:r>
            <w:r w:rsidR="00233BBA">
              <w:rPr>
                <w:rFonts w:ascii="Times New Roman" w:hAnsi="Times New Roman"/>
                <w:lang w:eastAsia="sk-SK"/>
              </w:rPr>
              <w:t>a</w:t>
            </w:r>
            <w:r w:rsidRPr="000A2C53">
              <w:rPr>
                <w:rFonts w:ascii="Times New Roman" w:hAnsi="Times New Roman"/>
                <w:lang w:eastAsia="sk-SK"/>
              </w:rPr>
              <w:t xml:space="preserve"> tromb</w:t>
            </w:r>
            <w:r w:rsidR="00121653">
              <w:rPr>
                <w:rFonts w:ascii="Times New Roman" w:hAnsi="Times New Roman"/>
                <w:lang w:eastAsia="sk-SK"/>
              </w:rPr>
              <w:t>o</w:t>
            </w:r>
            <w:r w:rsidRPr="000A2C53">
              <w:rPr>
                <w:rFonts w:ascii="Times New Roman" w:hAnsi="Times New Roman"/>
                <w:lang w:eastAsia="sk-SK"/>
              </w:rPr>
              <w:t>emb</w:t>
            </w:r>
            <w:r w:rsidR="00233BBA">
              <w:rPr>
                <w:rFonts w:ascii="Times New Roman" w:hAnsi="Times New Roman"/>
                <w:lang w:eastAsia="sk-SK"/>
              </w:rPr>
              <w:t>ó</w:t>
            </w:r>
            <w:r w:rsidRPr="000A2C53">
              <w:rPr>
                <w:rFonts w:ascii="Times New Roman" w:hAnsi="Times New Roman"/>
                <w:lang w:eastAsia="sk-SK"/>
              </w:rPr>
              <w:t>li</w:t>
            </w:r>
            <w:r w:rsidR="00233BBA">
              <w:rPr>
                <w:rFonts w:ascii="Times New Roman" w:hAnsi="Times New Roman"/>
                <w:lang w:eastAsia="sk-SK"/>
              </w:rPr>
              <w:t>a</w:t>
            </w:r>
          </w:p>
          <w:p w:rsidR="00473661" w:rsidRPr="000A2C53" w:rsidRDefault="00473661" w:rsidP="0039274F">
            <w:pPr>
              <w:spacing w:after="0" w:line="240" w:lineRule="auto"/>
              <w:rPr>
                <w:rFonts w:ascii="Times New Roman" w:hAnsi="Times New Roman"/>
                <w:lang w:eastAsia="sk-SK"/>
              </w:rPr>
            </w:pPr>
            <w:proofErr w:type="spellStart"/>
            <w:r w:rsidRPr="000A2C53">
              <w:rPr>
                <w:rFonts w:ascii="Times New Roman" w:hAnsi="Times New Roman"/>
                <w:lang w:eastAsia="sk-SK"/>
              </w:rPr>
              <w:t>Arteriálne</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tromb</w:t>
            </w:r>
            <w:r w:rsidR="00121653">
              <w:rPr>
                <w:rFonts w:ascii="Times New Roman" w:hAnsi="Times New Roman"/>
                <w:lang w:eastAsia="sk-SK"/>
              </w:rPr>
              <w:t>o</w:t>
            </w:r>
            <w:r w:rsidRPr="000A2C53">
              <w:rPr>
                <w:rFonts w:ascii="Times New Roman" w:hAnsi="Times New Roman"/>
                <w:lang w:eastAsia="sk-SK"/>
              </w:rPr>
              <w:t>embolické</w:t>
            </w:r>
            <w:proofErr w:type="spellEnd"/>
            <w:r w:rsidRPr="000A2C53">
              <w:rPr>
                <w:rFonts w:ascii="Times New Roman" w:hAnsi="Times New Roman"/>
                <w:lang w:eastAsia="sk-SK"/>
              </w:rPr>
              <w:t xml:space="preserve"> poruchy</w:t>
            </w:r>
          </w:p>
        </w:tc>
        <w:tc>
          <w:tcPr>
            <w:tcW w:w="1035"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p>
        </w:tc>
      </w:tr>
      <w:tr w:rsidR="00A86378" w:rsidRPr="00E83302" w:rsidTr="002F2DDB">
        <w:tc>
          <w:tcPr>
            <w:tcW w:w="840"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Poruchy </w:t>
            </w:r>
            <w:proofErr w:type="spellStart"/>
            <w:r w:rsidRPr="000A2C53">
              <w:rPr>
                <w:rFonts w:ascii="Times New Roman" w:hAnsi="Times New Roman"/>
                <w:lang w:eastAsia="sk-SK"/>
              </w:rPr>
              <w:t>gastrointesti-nálneho</w:t>
            </w:r>
            <w:proofErr w:type="spellEnd"/>
            <w:r w:rsidRPr="000A2C53">
              <w:rPr>
                <w:rFonts w:ascii="Times New Roman" w:hAnsi="Times New Roman"/>
                <w:lang w:eastAsia="sk-SK"/>
              </w:rPr>
              <w:t xml:space="preserve"> traktu</w:t>
            </w:r>
          </w:p>
        </w:tc>
        <w:tc>
          <w:tcPr>
            <w:tcW w:w="1061"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Nauzea</w:t>
            </w:r>
          </w:p>
        </w:tc>
        <w:tc>
          <w:tcPr>
            <w:tcW w:w="1032"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Vracanie</w:t>
            </w:r>
          </w:p>
        </w:tc>
        <w:tc>
          <w:tcPr>
            <w:tcW w:w="1032" w:type="pct"/>
          </w:tcPr>
          <w:p w:rsidR="00A86378" w:rsidRPr="000A2C53" w:rsidRDefault="00A86378" w:rsidP="002F2DDB">
            <w:pPr>
              <w:spacing w:after="0" w:line="240" w:lineRule="auto"/>
              <w:rPr>
                <w:rFonts w:ascii="Times New Roman" w:hAnsi="Times New Roman"/>
                <w:lang w:eastAsia="sk-SK"/>
              </w:rPr>
            </w:pPr>
            <w:proofErr w:type="spellStart"/>
            <w:r w:rsidRPr="000A2C53">
              <w:rPr>
                <w:rFonts w:ascii="Times New Roman" w:hAnsi="Times New Roman"/>
                <w:lang w:eastAsia="sk-SK"/>
              </w:rPr>
              <w:t>Cholelitiáza</w:t>
            </w:r>
            <w:proofErr w:type="spellEnd"/>
          </w:p>
        </w:tc>
        <w:tc>
          <w:tcPr>
            <w:tcW w:w="1035" w:type="pct"/>
          </w:tcPr>
          <w:p w:rsidR="00A86378" w:rsidRPr="000A2C53" w:rsidRDefault="00A86378" w:rsidP="002F2DDB">
            <w:pPr>
              <w:spacing w:after="0" w:line="240" w:lineRule="auto"/>
              <w:rPr>
                <w:rFonts w:ascii="Times New Roman" w:hAnsi="Times New Roman"/>
                <w:lang w:eastAsia="sk-SK"/>
              </w:rPr>
            </w:pPr>
            <w:proofErr w:type="spellStart"/>
            <w:r w:rsidRPr="000A2C53">
              <w:rPr>
                <w:rFonts w:ascii="Times New Roman" w:hAnsi="Times New Roman"/>
                <w:lang w:eastAsia="sk-SK"/>
              </w:rPr>
              <w:t>Pankreatitída</w:t>
            </w:r>
            <w:proofErr w:type="spellEnd"/>
          </w:p>
        </w:tc>
      </w:tr>
      <w:tr w:rsidR="00A86378" w:rsidRPr="00E83302" w:rsidTr="002F2DDB">
        <w:tc>
          <w:tcPr>
            <w:tcW w:w="840"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Poruchy kože a podkožného tkaniva</w:t>
            </w:r>
          </w:p>
        </w:tc>
        <w:tc>
          <w:tcPr>
            <w:tcW w:w="1061"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Akné</w:t>
            </w:r>
          </w:p>
        </w:tc>
        <w:tc>
          <w:tcPr>
            <w:tcW w:w="1032" w:type="pct"/>
          </w:tcPr>
          <w:p w:rsidR="00A86378" w:rsidRPr="000A2C53" w:rsidRDefault="00A86378" w:rsidP="002F2DDB">
            <w:pPr>
              <w:spacing w:after="0" w:line="240" w:lineRule="auto"/>
              <w:rPr>
                <w:rFonts w:ascii="Times New Roman" w:hAnsi="Times New Roman"/>
                <w:lang w:eastAsia="sk-SK"/>
              </w:rPr>
            </w:pPr>
          </w:p>
        </w:tc>
        <w:tc>
          <w:tcPr>
            <w:tcW w:w="1032" w:type="pct"/>
          </w:tcPr>
          <w:p w:rsidR="00A86378" w:rsidRPr="000A2C53" w:rsidRDefault="00A86378" w:rsidP="002F2DDB">
            <w:pPr>
              <w:spacing w:after="0" w:line="240" w:lineRule="auto"/>
              <w:rPr>
                <w:rFonts w:ascii="Times New Roman" w:hAnsi="Times New Roman"/>
                <w:lang w:eastAsia="sk-SK"/>
              </w:rPr>
            </w:pPr>
            <w:proofErr w:type="spellStart"/>
            <w:r w:rsidRPr="000A2C53">
              <w:rPr>
                <w:rFonts w:ascii="Times New Roman" w:hAnsi="Times New Roman"/>
                <w:lang w:eastAsia="sk-SK"/>
              </w:rPr>
              <w:t>Chloazma</w:t>
            </w:r>
            <w:proofErr w:type="spellEnd"/>
          </w:p>
        </w:tc>
        <w:tc>
          <w:tcPr>
            <w:tcW w:w="1035" w:type="pct"/>
          </w:tcPr>
          <w:p w:rsidR="00A86378" w:rsidRPr="000A2C53" w:rsidRDefault="00A86378" w:rsidP="002F2DDB">
            <w:pPr>
              <w:spacing w:after="0" w:line="240" w:lineRule="auto"/>
              <w:rPr>
                <w:rFonts w:ascii="Times New Roman" w:hAnsi="Times New Roman"/>
                <w:lang w:eastAsia="sk-SK"/>
              </w:rPr>
            </w:pPr>
          </w:p>
        </w:tc>
      </w:tr>
      <w:tr w:rsidR="00473661" w:rsidRPr="00E83302" w:rsidTr="00473661">
        <w:tc>
          <w:tcPr>
            <w:tcW w:w="840"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r w:rsidRPr="000A2C53">
              <w:rPr>
                <w:rFonts w:ascii="Times New Roman" w:hAnsi="Times New Roman"/>
                <w:lang w:eastAsia="sk-SK"/>
              </w:rPr>
              <w:t>Poruchy reprodukčného systému a prsníkov</w:t>
            </w:r>
          </w:p>
        </w:tc>
        <w:tc>
          <w:tcPr>
            <w:tcW w:w="1061"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r w:rsidRPr="000A2C53">
              <w:rPr>
                <w:rFonts w:ascii="Times New Roman" w:hAnsi="Times New Roman"/>
                <w:lang w:eastAsia="sk-SK"/>
              </w:rPr>
              <w:t>Nepravidelné krvácanie</w:t>
            </w:r>
          </w:p>
          <w:p w:rsidR="00473661" w:rsidRPr="000A2C53" w:rsidRDefault="00473661" w:rsidP="0039274F">
            <w:pPr>
              <w:spacing w:after="0" w:line="240" w:lineRule="auto"/>
              <w:rPr>
                <w:rFonts w:ascii="Times New Roman" w:hAnsi="Times New Roman"/>
                <w:lang w:eastAsia="sk-SK"/>
              </w:rPr>
            </w:pPr>
            <w:proofErr w:type="spellStart"/>
            <w:r w:rsidRPr="000A2C53">
              <w:rPr>
                <w:rFonts w:ascii="Times New Roman" w:hAnsi="Times New Roman"/>
                <w:lang w:eastAsia="sk-SK"/>
              </w:rPr>
              <w:t>Amenorea</w:t>
            </w:r>
            <w:proofErr w:type="spellEnd"/>
          </w:p>
          <w:p w:rsidR="00473661" w:rsidRPr="000A2C53" w:rsidRDefault="00473661" w:rsidP="0039274F">
            <w:pPr>
              <w:spacing w:after="0" w:line="240" w:lineRule="auto"/>
              <w:rPr>
                <w:rFonts w:ascii="Times New Roman" w:hAnsi="Times New Roman"/>
                <w:lang w:eastAsia="sk-SK"/>
              </w:rPr>
            </w:pPr>
            <w:proofErr w:type="spellStart"/>
            <w:r w:rsidRPr="000A2C53">
              <w:rPr>
                <w:rFonts w:ascii="Times New Roman" w:hAnsi="Times New Roman"/>
                <w:lang w:eastAsia="sk-SK"/>
              </w:rPr>
              <w:t>Hypomenorea</w:t>
            </w:r>
            <w:proofErr w:type="spellEnd"/>
          </w:p>
          <w:p w:rsidR="00473661" w:rsidRPr="000A2C53" w:rsidRDefault="00473661" w:rsidP="0039274F">
            <w:pPr>
              <w:spacing w:after="0" w:line="240" w:lineRule="auto"/>
              <w:rPr>
                <w:rFonts w:ascii="Times New Roman" w:hAnsi="Times New Roman"/>
                <w:lang w:eastAsia="sk-SK"/>
              </w:rPr>
            </w:pPr>
            <w:r w:rsidRPr="000A2C53">
              <w:rPr>
                <w:rFonts w:ascii="Times New Roman" w:hAnsi="Times New Roman"/>
                <w:lang w:eastAsia="sk-SK"/>
              </w:rPr>
              <w:lastRenderedPageBreak/>
              <w:t>Citlivosť prsníkov</w:t>
            </w:r>
          </w:p>
        </w:tc>
        <w:tc>
          <w:tcPr>
            <w:tcW w:w="1032"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p>
        </w:tc>
        <w:tc>
          <w:tcPr>
            <w:tcW w:w="1032"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r w:rsidRPr="000A2C53">
              <w:rPr>
                <w:rFonts w:ascii="Times New Roman" w:hAnsi="Times New Roman"/>
                <w:lang w:eastAsia="sk-SK"/>
              </w:rPr>
              <w:t>Zmeny vaginálnej sekrécie</w:t>
            </w:r>
          </w:p>
        </w:tc>
        <w:tc>
          <w:tcPr>
            <w:tcW w:w="1035" w:type="pct"/>
            <w:tcBorders>
              <w:top w:val="single" w:sz="4" w:space="0" w:color="auto"/>
              <w:left w:val="single" w:sz="4" w:space="0" w:color="auto"/>
              <w:bottom w:val="single" w:sz="4" w:space="0" w:color="auto"/>
              <w:right w:val="single" w:sz="4" w:space="0" w:color="auto"/>
            </w:tcBorders>
          </w:tcPr>
          <w:p w:rsidR="00473661" w:rsidRPr="000A2C53" w:rsidRDefault="00473661" w:rsidP="0039274F">
            <w:pPr>
              <w:spacing w:after="0" w:line="240" w:lineRule="auto"/>
              <w:rPr>
                <w:rFonts w:ascii="Times New Roman" w:hAnsi="Times New Roman"/>
                <w:lang w:eastAsia="sk-SK"/>
              </w:rPr>
            </w:pPr>
          </w:p>
        </w:tc>
      </w:tr>
      <w:tr w:rsidR="00A86378" w:rsidRPr="00E83302" w:rsidTr="002F2DDB">
        <w:tc>
          <w:tcPr>
            <w:tcW w:w="840"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lastRenderedPageBreak/>
              <w:t>Celkové poruchy a reakcie v mieste podania</w:t>
            </w:r>
          </w:p>
        </w:tc>
        <w:tc>
          <w:tcPr>
            <w:tcW w:w="1061" w:type="pct"/>
          </w:tcPr>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Nárast telesnej hmotnosti</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Retencia tekutín</w:t>
            </w:r>
          </w:p>
        </w:tc>
        <w:tc>
          <w:tcPr>
            <w:tcW w:w="1032" w:type="pct"/>
          </w:tcPr>
          <w:p w:rsidR="00A86378" w:rsidRPr="000A2C53" w:rsidRDefault="00A86378" w:rsidP="002F2DDB">
            <w:pPr>
              <w:spacing w:after="0" w:line="240" w:lineRule="auto"/>
              <w:rPr>
                <w:rFonts w:ascii="Times New Roman" w:hAnsi="Times New Roman"/>
                <w:lang w:eastAsia="sk-SK"/>
              </w:rPr>
            </w:pPr>
          </w:p>
        </w:tc>
        <w:tc>
          <w:tcPr>
            <w:tcW w:w="1032" w:type="pct"/>
          </w:tcPr>
          <w:p w:rsidR="00A86378" w:rsidRPr="000A2C53" w:rsidRDefault="00A86378" w:rsidP="002F2DDB">
            <w:pPr>
              <w:spacing w:after="0" w:line="240" w:lineRule="auto"/>
              <w:rPr>
                <w:rFonts w:ascii="Times New Roman" w:hAnsi="Times New Roman"/>
                <w:lang w:eastAsia="sk-SK"/>
              </w:rPr>
            </w:pPr>
          </w:p>
        </w:tc>
        <w:tc>
          <w:tcPr>
            <w:tcW w:w="1035" w:type="pct"/>
          </w:tcPr>
          <w:p w:rsidR="00A86378" w:rsidRPr="000A2C53" w:rsidRDefault="00A86378" w:rsidP="002F2DDB">
            <w:pPr>
              <w:spacing w:after="0" w:line="240" w:lineRule="auto"/>
              <w:rPr>
                <w:rFonts w:ascii="Times New Roman" w:hAnsi="Times New Roman"/>
                <w:lang w:eastAsia="sk-SK"/>
              </w:rPr>
            </w:pPr>
          </w:p>
        </w:tc>
      </w:tr>
    </w:tbl>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Nasledovné závažné nežiaduce udalosti, ktoré sa hlásili u žien užívajúcich COC, pozri časti 4.3 a 4.4.</w:t>
      </w:r>
    </w:p>
    <w:p w:rsidR="00A86378" w:rsidRPr="000A2C53" w:rsidRDefault="00A86378" w:rsidP="00F9203C">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0A2C53">
        <w:rPr>
          <w:rFonts w:ascii="Times New Roman" w:hAnsi="Times New Roman"/>
          <w:lang w:eastAsia="sk-SK"/>
        </w:rPr>
        <w:t>Venózn</w:t>
      </w:r>
      <w:r w:rsidR="00233BBA">
        <w:rPr>
          <w:rFonts w:ascii="Times New Roman" w:hAnsi="Times New Roman"/>
          <w:lang w:eastAsia="sk-SK"/>
        </w:rPr>
        <w:t>a</w:t>
      </w:r>
      <w:r w:rsidRPr="000A2C53">
        <w:rPr>
          <w:rFonts w:ascii="Times New Roman" w:hAnsi="Times New Roman"/>
          <w:lang w:eastAsia="sk-SK"/>
        </w:rPr>
        <w:t xml:space="preserve"> tromb</w:t>
      </w:r>
      <w:r w:rsidR="00121653">
        <w:rPr>
          <w:rFonts w:ascii="Times New Roman" w:hAnsi="Times New Roman"/>
          <w:lang w:eastAsia="sk-SK"/>
        </w:rPr>
        <w:t>o</w:t>
      </w:r>
      <w:r w:rsidRPr="000A2C53">
        <w:rPr>
          <w:rFonts w:ascii="Times New Roman" w:hAnsi="Times New Roman"/>
          <w:lang w:eastAsia="sk-SK"/>
        </w:rPr>
        <w:t>emb</w:t>
      </w:r>
      <w:r w:rsidR="00233BBA">
        <w:rPr>
          <w:rFonts w:ascii="Times New Roman" w:hAnsi="Times New Roman"/>
          <w:lang w:eastAsia="sk-SK"/>
        </w:rPr>
        <w:t>ó</w:t>
      </w:r>
      <w:r w:rsidRPr="000A2C53">
        <w:rPr>
          <w:rFonts w:ascii="Times New Roman" w:hAnsi="Times New Roman"/>
          <w:lang w:eastAsia="sk-SK"/>
        </w:rPr>
        <w:t>li</w:t>
      </w:r>
      <w:r w:rsidR="00233BBA">
        <w:rPr>
          <w:rFonts w:ascii="Times New Roman" w:hAnsi="Times New Roman"/>
          <w:lang w:eastAsia="sk-SK"/>
        </w:rPr>
        <w:t>a</w:t>
      </w:r>
      <w:r w:rsidRPr="000A2C53">
        <w:rPr>
          <w:rFonts w:ascii="Times New Roman" w:hAnsi="Times New Roman"/>
          <w:lang w:eastAsia="sk-SK"/>
        </w:rPr>
        <w:t>, napr. trombóza hlbokých žíl nohy alebo panvy a pľúcna embólia</w:t>
      </w:r>
    </w:p>
    <w:p w:rsidR="00A86378" w:rsidRPr="000A2C53" w:rsidRDefault="00A86378" w:rsidP="00F9203C">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proofErr w:type="spellStart"/>
      <w:r w:rsidRPr="000A2C53">
        <w:rPr>
          <w:rFonts w:ascii="Times New Roman" w:hAnsi="Times New Roman"/>
          <w:lang w:eastAsia="sk-SK"/>
        </w:rPr>
        <w:t>Arteriálne</w:t>
      </w:r>
      <w:proofErr w:type="spellEnd"/>
      <w:r w:rsidRPr="000A2C53">
        <w:rPr>
          <w:rFonts w:ascii="Times New Roman" w:hAnsi="Times New Roman"/>
          <w:lang w:eastAsia="sk-SK"/>
        </w:rPr>
        <w:t xml:space="preserve"> </w:t>
      </w:r>
      <w:proofErr w:type="spellStart"/>
      <w:r w:rsidR="001F1823">
        <w:rPr>
          <w:rFonts w:ascii="Times New Roman" w:hAnsi="Times New Roman"/>
          <w:lang w:eastAsia="sk-SK"/>
        </w:rPr>
        <w:t>tromboem</w:t>
      </w:r>
      <w:r w:rsidRPr="000A2C53">
        <w:rPr>
          <w:rFonts w:ascii="Times New Roman" w:hAnsi="Times New Roman"/>
          <w:lang w:eastAsia="sk-SK"/>
        </w:rPr>
        <w:t>bolické</w:t>
      </w:r>
      <w:proofErr w:type="spellEnd"/>
      <w:r w:rsidRPr="000A2C53">
        <w:rPr>
          <w:rFonts w:ascii="Times New Roman" w:hAnsi="Times New Roman"/>
          <w:lang w:eastAsia="sk-SK"/>
        </w:rPr>
        <w:t xml:space="preserve"> poruchy</w:t>
      </w:r>
    </w:p>
    <w:p w:rsidR="00A86378" w:rsidRPr="000A2C53" w:rsidRDefault="00A86378" w:rsidP="00F9203C">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0A2C53">
        <w:rPr>
          <w:rFonts w:ascii="Times New Roman" w:hAnsi="Times New Roman"/>
          <w:lang w:eastAsia="sk-SK"/>
        </w:rPr>
        <w:t>Nádory pečene</w:t>
      </w:r>
    </w:p>
    <w:p w:rsidR="00A86378" w:rsidRPr="000A2C53" w:rsidRDefault="00A86378" w:rsidP="00F9203C">
      <w:pPr>
        <w:numPr>
          <w:ilvl w:val="0"/>
          <w:numId w:val="6"/>
        </w:numPr>
        <w:tabs>
          <w:tab w:val="clear" w:pos="720"/>
          <w:tab w:val="num" w:pos="567"/>
        </w:tabs>
        <w:overflowPunct w:val="0"/>
        <w:autoSpaceDE w:val="0"/>
        <w:autoSpaceDN w:val="0"/>
        <w:adjustRightInd w:val="0"/>
        <w:spacing w:after="0" w:line="240" w:lineRule="auto"/>
        <w:ind w:left="567" w:hanging="567"/>
        <w:rPr>
          <w:rFonts w:ascii="Times New Roman" w:hAnsi="Times New Roman"/>
          <w:lang w:eastAsia="sk-SK"/>
        </w:rPr>
      </w:pPr>
      <w:r w:rsidRPr="000A2C53">
        <w:rPr>
          <w:rFonts w:ascii="Times New Roman" w:hAnsi="Times New Roman"/>
          <w:lang w:eastAsia="sk-SK"/>
        </w:rPr>
        <w:t xml:space="preserve">Poruchy kože a podkožného tkaniva: </w:t>
      </w:r>
      <w:proofErr w:type="spellStart"/>
      <w:r w:rsidRPr="000A2C53">
        <w:rPr>
          <w:rFonts w:ascii="Times New Roman" w:hAnsi="Times New Roman"/>
          <w:lang w:eastAsia="sk-SK"/>
        </w:rPr>
        <w:t>chloazma</w:t>
      </w:r>
      <w:proofErr w:type="spellEnd"/>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U používateliek COC je veľmi mierne zvýšená frekvencia diagnózy rakoviny prsníka. Pretože výskyt rakoviny prsníka je u žien do 40 rokov zriedkavý, zvýšený počet diagnostikovanej rakoviny prsníka je v pomere k celkovému riziku rakoviny prsníka malý. Kauzalita s užívaním COC nie je známa. Ďalšie informácie pozri v častiach 4.3 a 4.4.</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u w:val="single"/>
          <w:lang w:eastAsia="sk-SK"/>
        </w:rPr>
      </w:pPr>
      <w:r w:rsidRPr="000A2C53">
        <w:rPr>
          <w:rFonts w:ascii="Times New Roman" w:hAnsi="Times New Roman"/>
          <w:u w:val="single"/>
          <w:lang w:eastAsia="sk-SK"/>
        </w:rPr>
        <w:t>Hlásenie podozrení na nežiaduce reakcie</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A57053">
        <w:rPr>
          <w:rFonts w:ascii="Times New Roman" w:hAnsi="Times New Roman"/>
          <w:highlight w:val="lightGray"/>
          <w:lang w:eastAsia="sk-SK"/>
        </w:rPr>
        <w:t>národné centrum hlásenia uvedené v </w:t>
      </w:r>
      <w:hyperlink r:id="rId9" w:history="1">
        <w:r w:rsidRPr="00F9203C">
          <w:rPr>
            <w:rFonts w:ascii="Times New Roman" w:hAnsi="Times New Roman"/>
            <w:color w:val="0000FF"/>
            <w:highlight w:val="lightGray"/>
            <w:u w:val="single"/>
            <w:lang w:eastAsia="sk-SK"/>
          </w:rPr>
          <w:t>Prílohe V</w:t>
        </w:r>
      </w:hyperlink>
      <w:r w:rsidR="00473661">
        <w:rPr>
          <w:rFonts w:ascii="Times New Roman" w:hAnsi="Times New Roman"/>
          <w:color w:val="0000FF"/>
          <w:u w:val="single"/>
          <w:lang w:eastAsia="sk-SK"/>
        </w:rPr>
        <w:t>.</w:t>
      </w:r>
      <w:r w:rsidRPr="00F9203C">
        <w:rPr>
          <w:rFonts w:ascii="Times New Roman" w:hAnsi="Times New Roman"/>
          <w:color w:val="FFFFFF"/>
          <w:lang w:eastAsia="sk-SK"/>
        </w:rPr>
        <w:t>.</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tabs>
          <w:tab w:val="left" w:pos="567"/>
        </w:tabs>
        <w:spacing w:after="0" w:line="240" w:lineRule="auto"/>
        <w:rPr>
          <w:rFonts w:ascii="Times New Roman" w:hAnsi="Times New Roman"/>
          <w:b/>
          <w:bCs/>
          <w:lang w:eastAsia="sk-SK"/>
        </w:rPr>
      </w:pPr>
      <w:r w:rsidRPr="000A2C53">
        <w:rPr>
          <w:rFonts w:ascii="Times New Roman" w:hAnsi="Times New Roman"/>
          <w:b/>
          <w:bCs/>
          <w:lang w:eastAsia="sk-SK"/>
        </w:rPr>
        <w:t>4.9</w:t>
      </w:r>
      <w:r w:rsidRPr="000A2C53">
        <w:rPr>
          <w:rFonts w:ascii="Times New Roman" w:hAnsi="Times New Roman"/>
          <w:b/>
          <w:bCs/>
          <w:lang w:eastAsia="sk-SK"/>
        </w:rPr>
        <w:tab/>
        <w:t>Predávkovanie</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Neexistujú žiadne hlásenia o závažných škodlivých účinkoch predávkovania. Symptómy, ktoré sa pri predávkovaní môžu vyskytnúť sú: nauzea, vracanie a vaginálne krvácanie. Neexistujú žiadne antidotá a liečba má byť symptomatická.</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p>
    <w:p w:rsidR="00A86378" w:rsidRPr="000A2C53" w:rsidRDefault="00A86378" w:rsidP="00F9203C">
      <w:pPr>
        <w:numPr>
          <w:ilvl w:val="0"/>
          <w:numId w:val="7"/>
        </w:numPr>
        <w:spacing w:after="0" w:line="240" w:lineRule="auto"/>
        <w:ind w:left="567" w:hanging="567"/>
        <w:rPr>
          <w:rFonts w:ascii="Times New Roman" w:hAnsi="Times New Roman"/>
          <w:lang w:eastAsia="sk-SK"/>
        </w:rPr>
      </w:pPr>
      <w:r w:rsidRPr="000A2C53">
        <w:rPr>
          <w:rFonts w:ascii="Times New Roman" w:hAnsi="Times New Roman"/>
          <w:b/>
          <w:bCs/>
          <w:lang w:eastAsia="sk-SK"/>
        </w:rPr>
        <w:t>FARMAKOLOGICKÉ VLASTNOSTI</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3A2D46">
      <w:pPr>
        <w:numPr>
          <w:ilvl w:val="0"/>
          <w:numId w:val="8"/>
        </w:numPr>
        <w:spacing w:after="0" w:line="240" w:lineRule="auto"/>
        <w:ind w:left="567" w:hanging="567"/>
        <w:rPr>
          <w:rFonts w:ascii="Times New Roman" w:hAnsi="Times New Roman"/>
          <w:b/>
          <w:bCs/>
          <w:lang w:eastAsia="sk-SK"/>
        </w:rPr>
      </w:pPr>
      <w:r w:rsidRPr="000A2C53">
        <w:rPr>
          <w:rFonts w:ascii="Times New Roman" w:hAnsi="Times New Roman"/>
          <w:b/>
          <w:bCs/>
          <w:lang w:eastAsia="sk-SK"/>
        </w:rPr>
        <w:t>Farmakodynamické vlastnosti</w:t>
      </w:r>
    </w:p>
    <w:p w:rsidR="00A86378" w:rsidRDefault="00A86378" w:rsidP="002F2DDB">
      <w:pPr>
        <w:spacing w:after="0" w:line="240" w:lineRule="auto"/>
        <w:rPr>
          <w:rFonts w:ascii="Times New Roman" w:hAnsi="Times New Roman"/>
          <w:lang w:eastAsia="sk-SK"/>
        </w:rPr>
      </w:pPr>
    </w:p>
    <w:p w:rsidR="00A86378"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Farmakoterapeutická skupina: </w:t>
      </w:r>
      <w:r>
        <w:rPr>
          <w:rFonts w:ascii="Times New Roman" w:hAnsi="Times New Roman"/>
          <w:lang w:eastAsia="sk-SK"/>
        </w:rPr>
        <w:t xml:space="preserve">Pohlavné hormóny a modulátory genitálneho systému, </w:t>
      </w:r>
      <w:r w:rsidRPr="000A2C53">
        <w:rPr>
          <w:rFonts w:ascii="Times New Roman" w:eastAsia="SimSun" w:hAnsi="Times New Roman"/>
          <w:lang w:eastAsia="zh-CN"/>
        </w:rPr>
        <w:t>Hormonálne kontraceptíva na systémové použitie</w:t>
      </w:r>
      <w:r w:rsidRPr="000A2C53">
        <w:rPr>
          <w:rFonts w:ascii="Times New Roman" w:hAnsi="Times New Roman"/>
          <w:lang w:eastAsia="sk-SK"/>
        </w:rPr>
        <w:t>, ATC kód: G03AA10</w:t>
      </w:r>
    </w:p>
    <w:p w:rsidR="00A86378" w:rsidRPr="000A2C53" w:rsidRDefault="00A86378" w:rsidP="002F2DDB">
      <w:pPr>
        <w:spacing w:after="0" w:line="240" w:lineRule="auto"/>
        <w:rPr>
          <w:rFonts w:ascii="Times New Roman" w:hAnsi="Times New Roman"/>
          <w:lang w:eastAsia="sk-SK"/>
        </w:rPr>
      </w:pPr>
    </w:p>
    <w:p w:rsidR="00A86378" w:rsidRDefault="00A86378" w:rsidP="002F2DDB">
      <w:pPr>
        <w:spacing w:after="0" w:line="240" w:lineRule="auto"/>
        <w:rPr>
          <w:rFonts w:ascii="Times New Roman" w:hAnsi="Times New Roman"/>
          <w:lang w:eastAsia="sk-SK"/>
        </w:rPr>
      </w:pPr>
      <w:r w:rsidRPr="000A2C53">
        <w:rPr>
          <w:rFonts w:ascii="Times New Roman" w:hAnsi="Times New Roman"/>
          <w:lang w:eastAsia="sk-SK"/>
        </w:rPr>
        <w:t xml:space="preserve">Celkový </w:t>
      </w:r>
      <w:proofErr w:type="spellStart"/>
      <w:r w:rsidRPr="000A2C53">
        <w:rPr>
          <w:rFonts w:ascii="Times New Roman" w:hAnsi="Times New Roman"/>
          <w:lang w:eastAsia="sk-SK"/>
        </w:rPr>
        <w:t>Pearlov</w:t>
      </w:r>
      <w:proofErr w:type="spellEnd"/>
      <w:r w:rsidRPr="000A2C53">
        <w:rPr>
          <w:rFonts w:ascii="Times New Roman" w:hAnsi="Times New Roman"/>
          <w:lang w:eastAsia="sk-SK"/>
        </w:rPr>
        <w:t xml:space="preserve"> index (gravidity v dôsledku zlyhania metódy + gravidity v dôsledku zlyhania pacientok) pre etinylestradiol/gestodén 30/75 µg je 0,25 (95 % IS: 0,51). </w:t>
      </w:r>
      <w:proofErr w:type="spellStart"/>
      <w:r w:rsidRPr="000A2C53">
        <w:rPr>
          <w:rFonts w:ascii="Times New Roman" w:hAnsi="Times New Roman"/>
          <w:lang w:eastAsia="sk-SK"/>
        </w:rPr>
        <w:t>Pearlov</w:t>
      </w:r>
      <w:proofErr w:type="spellEnd"/>
      <w:r w:rsidRPr="000A2C53">
        <w:rPr>
          <w:rFonts w:ascii="Times New Roman" w:hAnsi="Times New Roman"/>
          <w:lang w:eastAsia="sk-SK"/>
        </w:rPr>
        <w:t xml:space="preserve"> index pre zlyhanie metódy je 0,08 (95 % IS: 0,29).</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Antikoncepčný účinok COC je založený na spolupôsobení viacerých faktorov. Najdôležitejšie z nich sú inhibícia ovulácie a zmeny endometria.</w:t>
      </w:r>
    </w:p>
    <w:p w:rsidR="00A86378" w:rsidRPr="000A2C53" w:rsidRDefault="00A86378" w:rsidP="002F2DDB">
      <w:pPr>
        <w:spacing w:after="0" w:line="240" w:lineRule="auto"/>
        <w:rPr>
          <w:lang w:eastAsia="de-DE"/>
        </w:rPr>
      </w:pPr>
    </w:p>
    <w:p w:rsidR="00A86378" w:rsidRPr="000A2C53" w:rsidRDefault="00A86378" w:rsidP="003A2D46">
      <w:pPr>
        <w:tabs>
          <w:tab w:val="left" w:pos="567"/>
        </w:tabs>
        <w:spacing w:after="0" w:line="240" w:lineRule="auto"/>
        <w:rPr>
          <w:rFonts w:ascii="Times New Roman" w:hAnsi="Times New Roman"/>
          <w:b/>
          <w:bCs/>
          <w:lang w:eastAsia="sk-SK"/>
        </w:rPr>
      </w:pPr>
      <w:r w:rsidRPr="000A2C53">
        <w:rPr>
          <w:rFonts w:ascii="Times New Roman" w:hAnsi="Times New Roman"/>
          <w:b/>
          <w:bCs/>
          <w:lang w:eastAsia="sk-SK"/>
        </w:rPr>
        <w:t>5.2</w:t>
      </w:r>
      <w:r w:rsidRPr="000A2C53">
        <w:rPr>
          <w:rFonts w:ascii="Times New Roman" w:hAnsi="Times New Roman"/>
          <w:b/>
          <w:bCs/>
          <w:lang w:eastAsia="sk-SK"/>
        </w:rPr>
        <w:tab/>
        <w:t>Farmakokinetické vlastnosti</w:t>
      </w:r>
    </w:p>
    <w:p w:rsidR="00A86378" w:rsidRPr="000A2C53" w:rsidRDefault="00A86378" w:rsidP="002F2DDB">
      <w:pPr>
        <w:numPr>
          <w:ilvl w:val="12"/>
          <w:numId w:val="0"/>
        </w:numPr>
        <w:spacing w:after="0" w:line="240" w:lineRule="auto"/>
        <w:rPr>
          <w:rFonts w:ascii="Times New Roman" w:hAnsi="Times New Roman"/>
          <w:b/>
          <w:bCs/>
          <w:lang w:eastAsia="sk-SK"/>
        </w:rPr>
      </w:pPr>
    </w:p>
    <w:p w:rsidR="00A86378" w:rsidRPr="00F9203C" w:rsidRDefault="00A86378" w:rsidP="002F2DDB">
      <w:pPr>
        <w:suppressLineNumbers/>
        <w:spacing w:after="0" w:line="240" w:lineRule="auto"/>
        <w:rPr>
          <w:rFonts w:ascii="Times New Roman" w:hAnsi="Times New Roman"/>
          <w:i/>
          <w:lang w:eastAsia="sk-SK"/>
        </w:rPr>
      </w:pPr>
      <w:r w:rsidRPr="00F9203C">
        <w:rPr>
          <w:rFonts w:ascii="Times New Roman" w:hAnsi="Times New Roman"/>
          <w:bCs/>
          <w:i/>
          <w:lang w:eastAsia="sk-SK"/>
        </w:rPr>
        <w:t>Gestodén</w:t>
      </w:r>
    </w:p>
    <w:p w:rsidR="00A86378" w:rsidRPr="000A2C53" w:rsidRDefault="00A86378" w:rsidP="002F2DDB">
      <w:pPr>
        <w:suppressLineNumbers/>
        <w:spacing w:after="0" w:line="240" w:lineRule="auto"/>
        <w:rPr>
          <w:rFonts w:ascii="Times New Roman" w:hAnsi="Times New Roman"/>
          <w:lang w:eastAsia="sk-SK"/>
        </w:rPr>
      </w:pPr>
    </w:p>
    <w:p w:rsidR="00A86378" w:rsidRPr="000A2C53" w:rsidRDefault="00A86378" w:rsidP="002F2DDB">
      <w:pPr>
        <w:numPr>
          <w:ilvl w:val="12"/>
          <w:numId w:val="0"/>
        </w:numPr>
        <w:suppressLineNumbers/>
        <w:spacing w:after="0" w:line="240" w:lineRule="auto"/>
        <w:ind w:right="-2"/>
        <w:rPr>
          <w:rFonts w:ascii="Times New Roman" w:hAnsi="Times New Roman"/>
          <w:iCs/>
          <w:u w:val="single"/>
          <w:lang w:eastAsia="sk-SK"/>
        </w:rPr>
      </w:pPr>
      <w:r w:rsidRPr="000A2C53">
        <w:rPr>
          <w:rFonts w:ascii="Times New Roman" w:hAnsi="Times New Roman"/>
          <w:iCs/>
          <w:u w:val="single"/>
          <w:lang w:eastAsia="sk-SK"/>
        </w:rPr>
        <w:t>Absorpcia</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Perorálne podaný gestodén sa rýchlo a úplne absorbuje. Maximálna plazmatická koncentrácia 4 </w:t>
      </w:r>
      <w:proofErr w:type="spellStart"/>
      <w:r w:rsidRPr="000A2C53">
        <w:rPr>
          <w:rFonts w:ascii="Times New Roman" w:hAnsi="Times New Roman"/>
          <w:lang w:eastAsia="sk-SK"/>
        </w:rPr>
        <w:t>ng</w:t>
      </w:r>
      <w:proofErr w:type="spellEnd"/>
      <w:r w:rsidRPr="000A2C53">
        <w:rPr>
          <w:rFonts w:ascii="Times New Roman" w:hAnsi="Times New Roman"/>
          <w:lang w:eastAsia="sk-SK"/>
        </w:rPr>
        <w:t>/ml sa dosiahne približne 1 hodinu po užití jednorazovej dávky.</w:t>
      </w:r>
      <w:r>
        <w:rPr>
          <w:rFonts w:ascii="Times New Roman" w:hAnsi="Times New Roman"/>
          <w:lang w:eastAsia="sk-SK"/>
        </w:rPr>
        <w:t xml:space="preserve"> </w:t>
      </w:r>
      <w:r w:rsidRPr="000A2C53">
        <w:rPr>
          <w:rFonts w:ascii="Times New Roman" w:hAnsi="Times New Roman"/>
          <w:lang w:eastAsia="sk-SK"/>
        </w:rPr>
        <w:t>Absolútna biologická dostupnosť je približne 99 %.</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numPr>
          <w:ilvl w:val="12"/>
          <w:numId w:val="0"/>
        </w:numPr>
        <w:suppressLineNumbers/>
        <w:spacing w:after="0" w:line="240" w:lineRule="auto"/>
        <w:ind w:right="-2"/>
        <w:rPr>
          <w:rFonts w:ascii="Times New Roman" w:hAnsi="Times New Roman"/>
          <w:iCs/>
          <w:u w:val="single"/>
          <w:lang w:eastAsia="sk-SK"/>
        </w:rPr>
      </w:pPr>
      <w:r w:rsidRPr="000A2C53">
        <w:rPr>
          <w:rFonts w:ascii="Times New Roman" w:hAnsi="Times New Roman"/>
          <w:iCs/>
          <w:u w:val="single"/>
          <w:lang w:eastAsia="sk-SK"/>
        </w:rPr>
        <w:t>Distribúcia</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lastRenderedPageBreak/>
        <w:t xml:space="preserve">Gestodén sa viaže na sérový albumín a na pohlavný hormón viažuci globulín (SHBG). Z celkového množstva gestodénu v sére je len 1-2 % vo forme voľného steroidu a až 50-70 % sa špecificky viaže na SHBG. Etinylestradiolom indukovaný nárast SHBG ovplyvňuje distribúciu sérových proteínov, čo má za následok vzostup frakcie naviazanej na SHBG a pokles frakcie naviazanej na albumín. Zdanlivý distribučný objem gestodénu je 0,7 l/kg. </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numPr>
          <w:ilvl w:val="12"/>
          <w:numId w:val="0"/>
        </w:numPr>
        <w:suppressLineNumbers/>
        <w:spacing w:after="0" w:line="240" w:lineRule="auto"/>
        <w:ind w:right="-2"/>
        <w:rPr>
          <w:rFonts w:ascii="Times New Roman" w:hAnsi="Times New Roman"/>
          <w:iCs/>
          <w:u w:val="single"/>
          <w:lang w:eastAsia="sk-SK"/>
        </w:rPr>
      </w:pPr>
      <w:r w:rsidRPr="000A2C53">
        <w:rPr>
          <w:rFonts w:ascii="Times New Roman" w:hAnsi="Times New Roman"/>
          <w:iCs/>
          <w:u w:val="single"/>
          <w:lang w:eastAsia="sk-SK"/>
        </w:rPr>
        <w:t>Biotransformácia</w:t>
      </w: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Gestodén sa kompletne metabolizuje známou metabolickou dráhou steroidov. Metabolický klírens je približne 0,8 ml/min/kg. Pri súbežnom podaní gestodénu s etinylestradiolom nedochádza k žiadnej interakcii.</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numPr>
          <w:ilvl w:val="12"/>
          <w:numId w:val="0"/>
        </w:numPr>
        <w:suppressLineNumbers/>
        <w:spacing w:after="0" w:line="240" w:lineRule="auto"/>
        <w:ind w:right="-2"/>
        <w:rPr>
          <w:rFonts w:ascii="Times New Roman" w:hAnsi="Times New Roman"/>
          <w:iCs/>
          <w:u w:val="single"/>
          <w:lang w:eastAsia="sk-SK"/>
        </w:rPr>
      </w:pPr>
      <w:r w:rsidRPr="000A2C53">
        <w:rPr>
          <w:rFonts w:ascii="Times New Roman" w:hAnsi="Times New Roman"/>
          <w:iCs/>
          <w:u w:val="single"/>
          <w:lang w:eastAsia="sk-SK"/>
        </w:rPr>
        <w:t>Eliminácia</w:t>
      </w:r>
    </w:p>
    <w:p w:rsidR="00A86378" w:rsidRPr="000A2C53" w:rsidRDefault="00A86378" w:rsidP="002F2DDB">
      <w:pPr>
        <w:numPr>
          <w:ilvl w:val="12"/>
          <w:numId w:val="0"/>
        </w:numPr>
        <w:suppressLineNumbers/>
        <w:spacing w:after="0" w:line="240" w:lineRule="auto"/>
        <w:ind w:right="-2"/>
        <w:rPr>
          <w:rFonts w:ascii="Times New Roman" w:hAnsi="Times New Roman"/>
          <w:iCs/>
          <w:u w:val="single"/>
          <w:lang w:eastAsia="sk-SK"/>
        </w:rPr>
      </w:pPr>
      <w:r w:rsidRPr="000A2C53">
        <w:rPr>
          <w:rFonts w:ascii="Times New Roman" w:hAnsi="Times New Roman"/>
          <w:lang w:eastAsia="sk-SK"/>
        </w:rPr>
        <w:t xml:space="preserve">Sérová koncentrácia gestodénu klesá v dvoch fázach. Konečná vylučovacia fáza je charakterizovaná polčasom eliminácie asi 12-15 hodín. </w:t>
      </w:r>
    </w:p>
    <w:p w:rsidR="00A86378" w:rsidRPr="000A2C53" w:rsidRDefault="00A86378" w:rsidP="002F2DDB">
      <w:pPr>
        <w:spacing w:after="0" w:line="240" w:lineRule="auto"/>
        <w:jc w:val="both"/>
        <w:rPr>
          <w:rFonts w:ascii="Times New Roman" w:hAnsi="Times New Roman"/>
          <w:lang w:eastAsia="sk-SK"/>
        </w:rPr>
      </w:pPr>
      <w:r w:rsidRPr="000A2C53">
        <w:rPr>
          <w:rFonts w:ascii="Times New Roman" w:hAnsi="Times New Roman"/>
          <w:lang w:eastAsia="sk-SK"/>
        </w:rPr>
        <w:t>Gestodén sa nevylučuje v nezmenenej forme. Metabolity sa vylučujú močom a žlčou v pomere asi 6:4. Eliminačný polčas metabolitov je približne 1 deň.</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iCs/>
          <w:u w:val="single"/>
          <w:lang w:eastAsia="sk-SK"/>
        </w:rPr>
      </w:pPr>
      <w:proofErr w:type="spellStart"/>
      <w:r w:rsidRPr="000A2C53">
        <w:rPr>
          <w:rFonts w:ascii="Times New Roman" w:hAnsi="Times New Roman"/>
          <w:iCs/>
          <w:u w:val="single"/>
          <w:lang w:eastAsia="sk-SK"/>
        </w:rPr>
        <w:t>Farmakokineti</w:t>
      </w:r>
      <w:r>
        <w:rPr>
          <w:rFonts w:ascii="Times New Roman" w:hAnsi="Times New Roman"/>
          <w:iCs/>
          <w:u w:val="single"/>
          <w:lang w:eastAsia="sk-SK"/>
        </w:rPr>
        <w:t>cký</w:t>
      </w:r>
      <w:proofErr w:type="spellEnd"/>
      <w:r w:rsidRPr="000A2C53">
        <w:rPr>
          <w:rFonts w:ascii="Times New Roman" w:hAnsi="Times New Roman"/>
          <w:iCs/>
          <w:u w:val="single"/>
          <w:lang w:eastAsia="sk-SK"/>
        </w:rPr>
        <w:t>/</w:t>
      </w:r>
      <w:proofErr w:type="spellStart"/>
      <w:r w:rsidRPr="000A2C53">
        <w:rPr>
          <w:rFonts w:ascii="Times New Roman" w:hAnsi="Times New Roman"/>
          <w:iCs/>
          <w:u w:val="single"/>
          <w:lang w:eastAsia="sk-SK"/>
        </w:rPr>
        <w:t>farmakodynami</w:t>
      </w:r>
      <w:r>
        <w:rPr>
          <w:rFonts w:ascii="Times New Roman" w:hAnsi="Times New Roman"/>
          <w:iCs/>
          <w:u w:val="single"/>
          <w:lang w:eastAsia="sk-SK"/>
        </w:rPr>
        <w:t>cký</w:t>
      </w:r>
      <w:proofErr w:type="spellEnd"/>
      <w:r>
        <w:rPr>
          <w:rFonts w:ascii="Times New Roman" w:hAnsi="Times New Roman"/>
          <w:iCs/>
          <w:u w:val="single"/>
          <w:lang w:eastAsia="sk-SK"/>
        </w:rPr>
        <w:t xml:space="preserve"> vzťah</w:t>
      </w:r>
    </w:p>
    <w:p w:rsidR="00A86378" w:rsidRPr="000A2C53" w:rsidRDefault="00A86378" w:rsidP="002F2DDB">
      <w:pPr>
        <w:spacing w:after="0" w:line="240" w:lineRule="auto"/>
        <w:rPr>
          <w:rFonts w:ascii="Times New Roman" w:hAnsi="Times New Roman"/>
          <w:iCs/>
          <w:u w:val="single"/>
          <w:lang w:eastAsia="sk-SK"/>
        </w:rPr>
      </w:pPr>
      <w:r w:rsidRPr="000A2C53">
        <w:rPr>
          <w:rFonts w:ascii="Times New Roman" w:hAnsi="Times New Roman"/>
          <w:lang w:eastAsia="sk-SK"/>
        </w:rPr>
        <w:t>Farmakokinetika gestodénu je ovplyvnená koncentráciou SHBG v sére, ktorá je etinylestradiolom trojnásobne zvýšená. Pri každodennom užívaní stúpne koncentrácia gestodénu v sére až na približne štvornásobnú hodnotu ako po jednorazovom podaní, pričom rovnovážny stav sa dosiahne v druhej polovici liečebného cyklu.</w:t>
      </w:r>
    </w:p>
    <w:p w:rsidR="00A86378" w:rsidRPr="000A2C53" w:rsidRDefault="00A86378" w:rsidP="002F2DDB">
      <w:pPr>
        <w:spacing w:after="0" w:line="240" w:lineRule="auto"/>
        <w:rPr>
          <w:rFonts w:ascii="Times New Roman" w:hAnsi="Times New Roman"/>
          <w:b/>
          <w:bCs/>
          <w:lang w:eastAsia="sk-SK"/>
        </w:rPr>
      </w:pPr>
    </w:p>
    <w:p w:rsidR="00A86378" w:rsidRPr="00F9203C" w:rsidRDefault="00A86378" w:rsidP="002F2DDB">
      <w:pPr>
        <w:spacing w:after="0" w:line="240" w:lineRule="auto"/>
        <w:rPr>
          <w:rFonts w:ascii="Times New Roman" w:hAnsi="Times New Roman"/>
          <w:bCs/>
          <w:i/>
          <w:lang w:eastAsia="sk-SK"/>
        </w:rPr>
      </w:pPr>
      <w:r w:rsidRPr="00F9203C">
        <w:rPr>
          <w:rFonts w:ascii="Times New Roman" w:hAnsi="Times New Roman"/>
          <w:bCs/>
          <w:i/>
          <w:lang w:eastAsia="sk-SK"/>
        </w:rPr>
        <w:t>Etinylestradiol</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iCs/>
          <w:u w:val="single"/>
          <w:lang w:eastAsia="sk-SK"/>
        </w:rPr>
      </w:pPr>
      <w:r w:rsidRPr="000A2C53">
        <w:rPr>
          <w:rFonts w:ascii="Times New Roman" w:hAnsi="Times New Roman"/>
          <w:iCs/>
          <w:u w:val="single"/>
          <w:lang w:eastAsia="sk-SK"/>
        </w:rPr>
        <w:t>Absorpcia</w:t>
      </w:r>
    </w:p>
    <w:p w:rsidR="00A86378" w:rsidRPr="000A2C53" w:rsidRDefault="00A86378" w:rsidP="002F2DDB">
      <w:pPr>
        <w:numPr>
          <w:ilvl w:val="12"/>
          <w:numId w:val="0"/>
        </w:numPr>
        <w:suppressLineNumbers/>
        <w:spacing w:after="0" w:line="240" w:lineRule="auto"/>
        <w:ind w:right="-2"/>
        <w:rPr>
          <w:rFonts w:ascii="Times New Roman" w:hAnsi="Times New Roman"/>
          <w:lang w:eastAsia="sk-SK"/>
        </w:rPr>
      </w:pPr>
      <w:r w:rsidRPr="000A2C53">
        <w:rPr>
          <w:rFonts w:ascii="Times New Roman" w:hAnsi="Times New Roman"/>
          <w:lang w:eastAsia="sk-SK"/>
        </w:rPr>
        <w:t>Perorálne podaný etinylestradiol sa absorbuje rýchlo a úplne. Maximálna koncentrácia v sére 80 </w:t>
      </w:r>
      <w:proofErr w:type="spellStart"/>
      <w:r w:rsidRPr="000A2C53">
        <w:rPr>
          <w:rFonts w:ascii="Times New Roman" w:hAnsi="Times New Roman"/>
          <w:lang w:eastAsia="sk-SK"/>
        </w:rPr>
        <w:t>pg</w:t>
      </w:r>
      <w:proofErr w:type="spellEnd"/>
      <w:r w:rsidRPr="000A2C53">
        <w:rPr>
          <w:rFonts w:ascii="Times New Roman" w:hAnsi="Times New Roman"/>
          <w:lang w:eastAsia="sk-SK"/>
        </w:rPr>
        <w:t xml:space="preserve">/ml sa dosiahne počas 1 – 2 hodiny. Maximálna biologická dostupnosť, ako výsledok </w:t>
      </w:r>
      <w:proofErr w:type="spellStart"/>
      <w:r w:rsidRPr="000A2C53">
        <w:rPr>
          <w:rFonts w:ascii="Times New Roman" w:hAnsi="Times New Roman"/>
          <w:lang w:eastAsia="sk-SK"/>
        </w:rPr>
        <w:t>presystémovej</w:t>
      </w:r>
      <w:proofErr w:type="spellEnd"/>
      <w:r w:rsidRPr="000A2C53">
        <w:rPr>
          <w:rFonts w:ascii="Times New Roman" w:hAnsi="Times New Roman"/>
          <w:lang w:eastAsia="sk-SK"/>
        </w:rPr>
        <w:t xml:space="preserve"> konjugácie a prvého priechodu pečeňou, je približne 60 %. </w:t>
      </w:r>
    </w:p>
    <w:p w:rsidR="00A86378" w:rsidRPr="000A2C53" w:rsidRDefault="00A86378" w:rsidP="002F2DDB">
      <w:pPr>
        <w:spacing w:after="0" w:line="240" w:lineRule="auto"/>
        <w:rPr>
          <w:rFonts w:ascii="Times New Roman" w:hAnsi="Times New Roman"/>
          <w:u w:val="single"/>
          <w:lang w:eastAsia="sk-SK"/>
        </w:rPr>
      </w:pPr>
    </w:p>
    <w:p w:rsidR="00A86378" w:rsidRPr="000A2C53" w:rsidRDefault="00A86378" w:rsidP="002F2DDB">
      <w:pPr>
        <w:spacing w:after="0" w:line="240" w:lineRule="auto"/>
        <w:rPr>
          <w:rFonts w:ascii="Times New Roman" w:hAnsi="Times New Roman"/>
          <w:iCs/>
          <w:u w:val="single"/>
          <w:lang w:eastAsia="sk-SK"/>
        </w:rPr>
      </w:pPr>
      <w:r w:rsidRPr="000A2C53">
        <w:rPr>
          <w:rFonts w:ascii="Times New Roman" w:hAnsi="Times New Roman"/>
          <w:iCs/>
          <w:u w:val="single"/>
          <w:lang w:eastAsia="sk-SK"/>
        </w:rPr>
        <w:t>Distribúcia</w:t>
      </w:r>
    </w:p>
    <w:p w:rsidR="00A86378" w:rsidRPr="000A2C53" w:rsidRDefault="00A86378" w:rsidP="002F2DDB">
      <w:pPr>
        <w:numPr>
          <w:ilvl w:val="12"/>
          <w:numId w:val="0"/>
        </w:numPr>
        <w:suppressLineNumbers/>
        <w:spacing w:after="0" w:line="240" w:lineRule="auto"/>
        <w:ind w:right="-2"/>
        <w:rPr>
          <w:rFonts w:ascii="Times New Roman" w:hAnsi="Times New Roman"/>
          <w:lang w:eastAsia="sk-SK"/>
        </w:rPr>
      </w:pPr>
      <w:r w:rsidRPr="000A2C53">
        <w:rPr>
          <w:rFonts w:ascii="Times New Roman" w:hAnsi="Times New Roman"/>
          <w:lang w:eastAsia="sk-SK"/>
        </w:rPr>
        <w:t>Počas laktácie prechádza do materského mlieka 0,02 % dennej dávky, ktorú užila matka.</w:t>
      </w:r>
    </w:p>
    <w:p w:rsidR="00A86378" w:rsidRPr="000A2C53" w:rsidRDefault="00A86378" w:rsidP="002F2DDB">
      <w:pPr>
        <w:numPr>
          <w:ilvl w:val="12"/>
          <w:numId w:val="0"/>
        </w:numPr>
        <w:suppressLineNumbers/>
        <w:spacing w:after="0" w:line="240" w:lineRule="auto"/>
        <w:ind w:right="-2"/>
        <w:rPr>
          <w:rFonts w:ascii="Times New Roman" w:hAnsi="Times New Roman"/>
          <w:lang w:eastAsia="sk-SK"/>
        </w:rPr>
      </w:pPr>
      <w:proofErr w:type="spellStart"/>
      <w:r w:rsidRPr="000A2C53">
        <w:rPr>
          <w:rFonts w:ascii="Times New Roman" w:hAnsi="Times New Roman"/>
          <w:lang w:eastAsia="sk-SK"/>
        </w:rPr>
        <w:t>Etinylestradiol</w:t>
      </w:r>
      <w:proofErr w:type="spellEnd"/>
      <w:r w:rsidRPr="000A2C53">
        <w:rPr>
          <w:rFonts w:ascii="Times New Roman" w:hAnsi="Times New Roman"/>
          <w:lang w:eastAsia="sk-SK"/>
        </w:rPr>
        <w:t xml:space="preserve"> sa </w:t>
      </w:r>
      <w:proofErr w:type="spellStart"/>
      <w:r w:rsidRPr="000A2C53">
        <w:rPr>
          <w:rFonts w:ascii="Times New Roman" w:hAnsi="Times New Roman"/>
          <w:lang w:eastAsia="sk-SK"/>
        </w:rPr>
        <w:t>predominantne</w:t>
      </w:r>
      <w:proofErr w:type="spellEnd"/>
      <w:r w:rsidRPr="000A2C53">
        <w:rPr>
          <w:rFonts w:ascii="Times New Roman" w:hAnsi="Times New Roman"/>
          <w:lang w:eastAsia="sk-SK"/>
        </w:rPr>
        <w:t xml:space="preserve"> viaže nešpecificky na albumín (približne 98,5), a vyvoláva vzostup koncentrácie SHBG v sére. Zdanlivý distribučný objem je približne 5 l/kg </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9F379C">
      <w:pPr>
        <w:numPr>
          <w:ilvl w:val="12"/>
          <w:numId w:val="0"/>
        </w:numPr>
        <w:suppressLineNumbers/>
        <w:spacing w:after="0" w:line="240" w:lineRule="auto"/>
        <w:ind w:right="-2"/>
        <w:rPr>
          <w:rFonts w:ascii="Times New Roman" w:hAnsi="Times New Roman"/>
          <w:u w:val="single"/>
          <w:lang w:eastAsia="sk-SK"/>
        </w:rPr>
      </w:pPr>
      <w:r w:rsidRPr="000A2C53">
        <w:rPr>
          <w:rFonts w:ascii="Times New Roman" w:hAnsi="Times New Roman"/>
          <w:iCs/>
          <w:u w:val="single"/>
          <w:lang w:eastAsia="sk-SK"/>
        </w:rPr>
        <w:t>Biotransformácia</w:t>
      </w:r>
    </w:p>
    <w:p w:rsidR="00A86378" w:rsidRPr="000A2C53" w:rsidRDefault="00A86378" w:rsidP="00F9203C">
      <w:pPr>
        <w:spacing w:after="0" w:line="240" w:lineRule="auto"/>
        <w:rPr>
          <w:rFonts w:ascii="Times New Roman" w:hAnsi="Times New Roman"/>
          <w:lang w:eastAsia="sk-SK"/>
        </w:rPr>
      </w:pPr>
      <w:proofErr w:type="spellStart"/>
      <w:r w:rsidRPr="000A2C53">
        <w:rPr>
          <w:rFonts w:ascii="Times New Roman" w:hAnsi="Times New Roman"/>
          <w:lang w:eastAsia="sk-SK"/>
        </w:rPr>
        <w:t>Etinylestradiol</w:t>
      </w:r>
      <w:proofErr w:type="spellEnd"/>
      <w:r w:rsidRPr="000A2C53">
        <w:rPr>
          <w:rFonts w:ascii="Times New Roman" w:hAnsi="Times New Roman"/>
          <w:lang w:eastAsia="sk-SK"/>
        </w:rPr>
        <w:t xml:space="preserve"> podlieha </w:t>
      </w:r>
      <w:proofErr w:type="spellStart"/>
      <w:r w:rsidRPr="000A2C53">
        <w:rPr>
          <w:rFonts w:ascii="Times New Roman" w:hAnsi="Times New Roman"/>
          <w:lang w:eastAsia="sk-SK"/>
        </w:rPr>
        <w:t>presystémovej</w:t>
      </w:r>
      <w:proofErr w:type="spellEnd"/>
      <w:r w:rsidRPr="000A2C53">
        <w:rPr>
          <w:rFonts w:ascii="Times New Roman" w:hAnsi="Times New Roman"/>
          <w:lang w:eastAsia="sk-SK"/>
        </w:rPr>
        <w:t xml:space="preserve"> konjugácii v sliznici tenkého čreva a v pečeni. Etinylestradiol sa primárne metabolizuje aromatickou </w:t>
      </w:r>
      <w:proofErr w:type="spellStart"/>
      <w:r w:rsidRPr="000A2C53">
        <w:rPr>
          <w:rFonts w:ascii="Times New Roman" w:hAnsi="Times New Roman"/>
          <w:lang w:eastAsia="sk-SK"/>
        </w:rPr>
        <w:t>hydroxyláciou</w:t>
      </w:r>
      <w:proofErr w:type="spellEnd"/>
      <w:r w:rsidRPr="000A2C53">
        <w:rPr>
          <w:rFonts w:ascii="Times New Roman" w:hAnsi="Times New Roman"/>
          <w:lang w:eastAsia="sk-SK"/>
        </w:rPr>
        <w:t xml:space="preserve">, ale vzniká široké spektrum </w:t>
      </w:r>
      <w:proofErr w:type="spellStart"/>
      <w:r w:rsidRPr="000A2C53">
        <w:rPr>
          <w:rFonts w:ascii="Times New Roman" w:hAnsi="Times New Roman"/>
          <w:lang w:eastAsia="sk-SK"/>
        </w:rPr>
        <w:t>hydroxylovaných</w:t>
      </w:r>
      <w:proofErr w:type="spellEnd"/>
      <w:r w:rsidRPr="000A2C53">
        <w:rPr>
          <w:rFonts w:ascii="Times New Roman" w:hAnsi="Times New Roman"/>
          <w:lang w:eastAsia="sk-SK"/>
        </w:rPr>
        <w:t xml:space="preserve"> a </w:t>
      </w:r>
      <w:proofErr w:type="spellStart"/>
      <w:r w:rsidRPr="000A2C53">
        <w:rPr>
          <w:rFonts w:ascii="Times New Roman" w:hAnsi="Times New Roman"/>
          <w:lang w:eastAsia="sk-SK"/>
        </w:rPr>
        <w:t>metylovaných</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metabolitov</w:t>
      </w:r>
      <w:proofErr w:type="spellEnd"/>
      <w:r w:rsidRPr="000A2C53">
        <w:rPr>
          <w:rFonts w:ascii="Times New Roman" w:hAnsi="Times New Roman"/>
          <w:lang w:eastAsia="sk-SK"/>
        </w:rPr>
        <w:t xml:space="preserve">, ktoré sú prítomné vo voľnej forme, ako aj vo forme </w:t>
      </w:r>
      <w:proofErr w:type="spellStart"/>
      <w:r w:rsidRPr="000A2C53">
        <w:rPr>
          <w:rFonts w:ascii="Times New Roman" w:hAnsi="Times New Roman"/>
          <w:lang w:eastAsia="sk-SK"/>
        </w:rPr>
        <w:t>glukuronátov</w:t>
      </w:r>
      <w:proofErr w:type="spellEnd"/>
      <w:r w:rsidRPr="000A2C53">
        <w:rPr>
          <w:rFonts w:ascii="Times New Roman" w:hAnsi="Times New Roman"/>
          <w:lang w:eastAsia="sk-SK"/>
        </w:rPr>
        <w:t xml:space="preserve"> a sulfátov. Rýchlosť metabolického klírensu je asi 5 ml/min/kg.</w:t>
      </w:r>
    </w:p>
    <w:p w:rsidR="00A86378" w:rsidRPr="000A2C53" w:rsidRDefault="00A86378" w:rsidP="009F379C">
      <w:pPr>
        <w:numPr>
          <w:ilvl w:val="12"/>
          <w:numId w:val="0"/>
        </w:numPr>
        <w:suppressLineNumbers/>
        <w:spacing w:after="0" w:line="240" w:lineRule="auto"/>
        <w:ind w:right="-2"/>
        <w:rPr>
          <w:rFonts w:ascii="Times New Roman" w:hAnsi="Times New Roman"/>
          <w:lang w:eastAsia="sk-SK"/>
        </w:rPr>
      </w:pPr>
    </w:p>
    <w:p w:rsidR="00A86378" w:rsidRPr="000A2C53" w:rsidRDefault="00A86378" w:rsidP="002F2DDB">
      <w:pPr>
        <w:numPr>
          <w:ilvl w:val="12"/>
          <w:numId w:val="0"/>
        </w:numPr>
        <w:suppressLineNumbers/>
        <w:spacing w:after="0" w:line="240" w:lineRule="auto"/>
        <w:ind w:right="-2"/>
        <w:rPr>
          <w:rFonts w:ascii="Times New Roman" w:hAnsi="Times New Roman"/>
          <w:u w:val="single"/>
          <w:lang w:eastAsia="sk-SK"/>
        </w:rPr>
      </w:pPr>
      <w:r w:rsidRPr="000A2C53">
        <w:rPr>
          <w:rFonts w:ascii="Times New Roman" w:hAnsi="Times New Roman"/>
          <w:iCs/>
          <w:u w:val="single"/>
          <w:lang w:eastAsia="sk-SK"/>
        </w:rPr>
        <w:t>Eliminácia</w:t>
      </w:r>
    </w:p>
    <w:p w:rsidR="00A86378" w:rsidRPr="000A2C53" w:rsidRDefault="00A86378" w:rsidP="002F2DDB">
      <w:pPr>
        <w:numPr>
          <w:ilvl w:val="12"/>
          <w:numId w:val="0"/>
        </w:numPr>
        <w:suppressLineNumbers/>
        <w:spacing w:after="0" w:line="240" w:lineRule="auto"/>
        <w:ind w:right="-2"/>
        <w:rPr>
          <w:rFonts w:ascii="Times New Roman" w:hAnsi="Times New Roman"/>
          <w:iCs/>
          <w:u w:val="single"/>
          <w:lang w:eastAsia="sk-SK"/>
        </w:rPr>
      </w:pPr>
      <w:r w:rsidRPr="000A2C53">
        <w:rPr>
          <w:rFonts w:ascii="Times New Roman" w:hAnsi="Times New Roman"/>
          <w:lang w:eastAsia="sk-SK"/>
        </w:rPr>
        <w:t>Koncentrácia etinylestradiolu v sére klesá v dvoch fázach, konečná vylučovacia fáza má polčas eliminácie 24 hodín. Nezmenený etinylestradiol sa nevylučuje, ale jeho metabolity sa vylučujú močom a žlčou v pomere 4:6. Eliminačný polčas metabolitov je približne 1 deň.</w:t>
      </w:r>
    </w:p>
    <w:p w:rsidR="00A86378" w:rsidRPr="000A2C53" w:rsidRDefault="00A86378" w:rsidP="002F2DDB">
      <w:pPr>
        <w:numPr>
          <w:ilvl w:val="12"/>
          <w:numId w:val="0"/>
        </w:numPr>
        <w:suppressLineNumbers/>
        <w:spacing w:after="0" w:line="240" w:lineRule="auto"/>
        <w:ind w:right="-2"/>
        <w:rPr>
          <w:rFonts w:ascii="Times New Roman" w:hAnsi="Times New Roman"/>
          <w:lang w:eastAsia="sk-SK"/>
        </w:rPr>
      </w:pPr>
    </w:p>
    <w:p w:rsidR="00A86378" w:rsidRPr="000A2C53" w:rsidRDefault="00A86378" w:rsidP="002F2DDB">
      <w:pPr>
        <w:suppressLineNumbers/>
        <w:spacing w:after="0" w:line="240" w:lineRule="auto"/>
        <w:ind w:left="567" w:hanging="567"/>
        <w:rPr>
          <w:rFonts w:ascii="Times New Roman" w:hAnsi="Times New Roman"/>
          <w:u w:val="single"/>
          <w:lang w:eastAsia="sk-SK"/>
        </w:rPr>
      </w:pPr>
      <w:proofErr w:type="spellStart"/>
      <w:r w:rsidRPr="000A2C53">
        <w:rPr>
          <w:rFonts w:ascii="Times New Roman" w:hAnsi="Times New Roman"/>
          <w:iCs/>
          <w:u w:val="single"/>
          <w:lang w:eastAsia="sk-SK"/>
        </w:rPr>
        <w:t>Farmakokineti</w:t>
      </w:r>
      <w:r>
        <w:rPr>
          <w:rFonts w:ascii="Times New Roman" w:hAnsi="Times New Roman"/>
          <w:iCs/>
          <w:u w:val="single"/>
          <w:lang w:eastAsia="sk-SK"/>
        </w:rPr>
        <w:t>cký</w:t>
      </w:r>
      <w:proofErr w:type="spellEnd"/>
      <w:r w:rsidRPr="000A2C53">
        <w:rPr>
          <w:rFonts w:ascii="Times New Roman" w:hAnsi="Times New Roman"/>
          <w:iCs/>
          <w:u w:val="single"/>
          <w:lang w:eastAsia="sk-SK"/>
        </w:rPr>
        <w:t>/</w:t>
      </w:r>
      <w:proofErr w:type="spellStart"/>
      <w:r w:rsidRPr="000A2C53">
        <w:rPr>
          <w:rFonts w:ascii="Times New Roman" w:hAnsi="Times New Roman"/>
          <w:iCs/>
          <w:u w:val="single"/>
          <w:lang w:eastAsia="sk-SK"/>
        </w:rPr>
        <w:t>farmakodynami</w:t>
      </w:r>
      <w:r>
        <w:rPr>
          <w:rFonts w:ascii="Times New Roman" w:hAnsi="Times New Roman"/>
          <w:iCs/>
          <w:u w:val="single"/>
          <w:lang w:eastAsia="sk-SK"/>
        </w:rPr>
        <w:t>cký</w:t>
      </w:r>
      <w:proofErr w:type="spellEnd"/>
      <w:r>
        <w:rPr>
          <w:rFonts w:ascii="Times New Roman" w:hAnsi="Times New Roman"/>
          <w:iCs/>
          <w:u w:val="single"/>
          <w:lang w:eastAsia="sk-SK"/>
        </w:rPr>
        <w:t xml:space="preserve"> vzťah</w:t>
      </w:r>
    </w:p>
    <w:p w:rsidR="00A86378" w:rsidRPr="000A2C53" w:rsidRDefault="00A86378" w:rsidP="002F2DDB">
      <w:pPr>
        <w:suppressLineNumbers/>
        <w:spacing w:after="0" w:line="240" w:lineRule="auto"/>
        <w:rPr>
          <w:rFonts w:ascii="Times New Roman" w:hAnsi="Times New Roman"/>
          <w:lang w:eastAsia="sk-SK"/>
        </w:rPr>
      </w:pPr>
      <w:r w:rsidRPr="000A2C53">
        <w:rPr>
          <w:rFonts w:ascii="Times New Roman" w:hAnsi="Times New Roman"/>
          <w:lang w:eastAsia="sk-SK"/>
        </w:rPr>
        <w:t xml:space="preserve">Rovnovážny stav sa dosiahne po 3-4 dňoch, koncentrácie etinylestradiolu v sére sú o 30-40 % vyššie ako pri jednorazovom podaní. </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numPr>
          <w:ilvl w:val="0"/>
          <w:numId w:val="9"/>
        </w:numPr>
        <w:spacing w:after="0" w:line="240" w:lineRule="auto"/>
        <w:ind w:left="567" w:hanging="567"/>
        <w:rPr>
          <w:rFonts w:ascii="Times New Roman" w:hAnsi="Times New Roman"/>
          <w:b/>
          <w:bCs/>
          <w:lang w:eastAsia="sk-SK"/>
        </w:rPr>
      </w:pPr>
      <w:r w:rsidRPr="000A2C53">
        <w:rPr>
          <w:rFonts w:ascii="Times New Roman" w:hAnsi="Times New Roman"/>
          <w:b/>
          <w:bCs/>
          <w:lang w:eastAsia="sk-SK"/>
        </w:rPr>
        <w:t>Predklinické údaje o bezpečnosti</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Etinylestradiol a </w:t>
      </w:r>
      <w:proofErr w:type="spellStart"/>
      <w:r w:rsidRPr="000A2C53">
        <w:rPr>
          <w:rFonts w:ascii="Times New Roman" w:hAnsi="Times New Roman"/>
          <w:lang w:eastAsia="sk-SK"/>
        </w:rPr>
        <w:t>gestodén</w:t>
      </w:r>
      <w:proofErr w:type="spellEnd"/>
      <w:r w:rsidRPr="000A2C53">
        <w:rPr>
          <w:rFonts w:ascii="Times New Roman" w:hAnsi="Times New Roman"/>
          <w:lang w:eastAsia="sk-SK"/>
        </w:rPr>
        <w:t xml:space="preserve"> nie sú </w:t>
      </w:r>
      <w:proofErr w:type="spellStart"/>
      <w:r w:rsidRPr="000A2C53">
        <w:rPr>
          <w:rFonts w:ascii="Times New Roman" w:hAnsi="Times New Roman"/>
          <w:lang w:eastAsia="sk-SK"/>
        </w:rPr>
        <w:t>genotoxické</w:t>
      </w:r>
      <w:proofErr w:type="spellEnd"/>
      <w:r w:rsidRPr="000A2C53">
        <w:rPr>
          <w:rFonts w:ascii="Times New Roman" w:hAnsi="Times New Roman"/>
          <w:lang w:eastAsia="sk-SK"/>
        </w:rPr>
        <w:t xml:space="preserve">. Štúdie karcinogenity so samotným etinylestradiolom alebo v kombinácii s rôznymi </w:t>
      </w:r>
      <w:proofErr w:type="spellStart"/>
      <w:r w:rsidRPr="000A2C53">
        <w:rPr>
          <w:rFonts w:ascii="Times New Roman" w:hAnsi="Times New Roman"/>
          <w:lang w:eastAsia="sk-SK"/>
        </w:rPr>
        <w:t>gestagénmi</w:t>
      </w:r>
      <w:proofErr w:type="spellEnd"/>
      <w:r w:rsidRPr="000A2C53">
        <w:rPr>
          <w:rFonts w:ascii="Times New Roman" w:hAnsi="Times New Roman"/>
          <w:lang w:eastAsia="sk-SK"/>
        </w:rPr>
        <w:t xml:space="preserve"> neodhalili žiadne osobitné riziko pre ženy pri indikovanom </w:t>
      </w:r>
      <w:r w:rsidRPr="000A2C53">
        <w:rPr>
          <w:rFonts w:ascii="Times New Roman" w:hAnsi="Times New Roman"/>
          <w:lang w:eastAsia="sk-SK"/>
        </w:rPr>
        <w:lastRenderedPageBreak/>
        <w:t>použití na antikoncepciu. Je však potrebné poznamenať, že pohlavné hormóny môžu urýchliť rast určitých tkanív a nádorov závislých od hormónov.</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Štúdie reprodukčnej toxicity na fertilitu, vývin plodu alebo reprodukčnú schopnosť so samotným etinylestradiolom alebo v kombinácii s </w:t>
      </w:r>
      <w:proofErr w:type="spellStart"/>
      <w:r w:rsidRPr="000A2C53">
        <w:rPr>
          <w:rFonts w:ascii="Times New Roman" w:hAnsi="Times New Roman"/>
          <w:lang w:eastAsia="sk-SK"/>
        </w:rPr>
        <w:t>gestagénmi</w:t>
      </w:r>
      <w:proofErr w:type="spellEnd"/>
      <w:r w:rsidRPr="000A2C53">
        <w:rPr>
          <w:rFonts w:ascii="Times New Roman" w:hAnsi="Times New Roman"/>
          <w:lang w:eastAsia="sk-SK"/>
        </w:rPr>
        <w:t xml:space="preserve"> neodhalili žiadne nežiaduce účinky u ľudí pri odporúčanom použití.</w:t>
      </w: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tabs>
          <w:tab w:val="left" w:pos="964"/>
        </w:tabs>
        <w:spacing w:after="0" w:line="240" w:lineRule="auto"/>
        <w:rPr>
          <w:rFonts w:ascii="Times New Roman" w:hAnsi="Times New Roman"/>
          <w:lang w:eastAsia="sk-SK"/>
        </w:rPr>
      </w:pPr>
    </w:p>
    <w:p w:rsidR="00A86378" w:rsidRPr="000A2C53" w:rsidRDefault="00A86378" w:rsidP="002F2DDB">
      <w:pPr>
        <w:spacing w:after="0" w:line="240" w:lineRule="auto"/>
        <w:ind w:left="567" w:hanging="567"/>
        <w:rPr>
          <w:rFonts w:ascii="Times New Roman" w:hAnsi="Times New Roman"/>
          <w:b/>
          <w:bCs/>
          <w:highlight w:val="yellow"/>
          <w:lang w:eastAsia="sk-SK"/>
        </w:rPr>
      </w:pPr>
      <w:r w:rsidRPr="000A2C53">
        <w:rPr>
          <w:rFonts w:ascii="Times New Roman" w:hAnsi="Times New Roman"/>
          <w:b/>
          <w:bCs/>
          <w:lang w:eastAsia="sk-SK"/>
        </w:rPr>
        <w:t>6.</w:t>
      </w:r>
      <w:r w:rsidRPr="000A2C53">
        <w:rPr>
          <w:rFonts w:ascii="Times New Roman" w:hAnsi="Times New Roman"/>
          <w:b/>
          <w:bCs/>
          <w:lang w:eastAsia="sk-SK"/>
        </w:rPr>
        <w:tab/>
        <w:t>FARMACEUTICKÉ INFORMÁCIE</w:t>
      </w:r>
    </w:p>
    <w:p w:rsidR="00A86378" w:rsidRPr="000A2C53" w:rsidRDefault="00A86378" w:rsidP="002F2DDB">
      <w:pPr>
        <w:keepLines/>
        <w:spacing w:after="0" w:line="240" w:lineRule="auto"/>
        <w:rPr>
          <w:rFonts w:ascii="Times New Roman" w:hAnsi="Times New Roman"/>
          <w:b/>
          <w:bCs/>
          <w:lang w:eastAsia="sk-SK"/>
        </w:rPr>
      </w:pPr>
    </w:p>
    <w:p w:rsidR="00A86378" w:rsidRPr="000A2C53" w:rsidRDefault="00A86378" w:rsidP="003A2D46">
      <w:pPr>
        <w:keepNext/>
        <w:numPr>
          <w:ilvl w:val="1"/>
          <w:numId w:val="10"/>
        </w:numPr>
        <w:tabs>
          <w:tab w:val="clear" w:pos="720"/>
          <w:tab w:val="num" w:pos="567"/>
        </w:tabs>
        <w:spacing w:after="0" w:line="240" w:lineRule="auto"/>
        <w:ind w:left="567" w:hanging="567"/>
        <w:outlineLvl w:val="1"/>
        <w:rPr>
          <w:rFonts w:ascii="Times New Roman" w:hAnsi="Times New Roman"/>
          <w:b/>
          <w:bCs/>
          <w:lang w:eastAsia="sk-SK"/>
        </w:rPr>
      </w:pPr>
      <w:r w:rsidRPr="000A2C53">
        <w:rPr>
          <w:rFonts w:ascii="Times New Roman" w:hAnsi="Times New Roman"/>
          <w:b/>
          <w:bCs/>
          <w:lang w:eastAsia="sk-SK"/>
        </w:rPr>
        <w:t>Zoznam pomocných látok</w:t>
      </w:r>
    </w:p>
    <w:p w:rsidR="00A86378" w:rsidRPr="000A2C53" w:rsidRDefault="00A86378" w:rsidP="002F2DDB">
      <w:pPr>
        <w:spacing w:after="0" w:line="240" w:lineRule="auto"/>
        <w:rPr>
          <w:rFonts w:ascii="Times New Roman" w:hAnsi="Times New Roman"/>
          <w:lang w:eastAsia="de-DE"/>
        </w:rPr>
      </w:pPr>
    </w:p>
    <w:p w:rsidR="00A86378" w:rsidRPr="000A2C53" w:rsidRDefault="00A86378" w:rsidP="002F2DDB">
      <w:pPr>
        <w:spacing w:after="0" w:line="240" w:lineRule="auto"/>
        <w:rPr>
          <w:rFonts w:ascii="Times New Roman" w:hAnsi="Times New Roman"/>
          <w:lang w:eastAsia="sk-SK"/>
        </w:rPr>
      </w:pPr>
      <w:r>
        <w:rPr>
          <w:rFonts w:ascii="Times New Roman" w:hAnsi="Times New Roman"/>
          <w:lang w:eastAsia="sk-SK"/>
        </w:rPr>
        <w:t>m</w:t>
      </w:r>
      <w:r w:rsidRPr="000A2C53">
        <w:rPr>
          <w:rFonts w:ascii="Times New Roman" w:hAnsi="Times New Roman"/>
          <w:lang w:eastAsia="sk-SK"/>
        </w:rPr>
        <w:t>onohydrát laktózy</w:t>
      </w:r>
    </w:p>
    <w:p w:rsidR="00A86378" w:rsidRPr="000A2C53" w:rsidRDefault="00A86378" w:rsidP="002F2DDB">
      <w:pPr>
        <w:spacing w:after="0" w:line="240" w:lineRule="auto"/>
        <w:rPr>
          <w:rFonts w:ascii="Times New Roman" w:hAnsi="Times New Roman"/>
          <w:lang w:eastAsia="sk-SK"/>
        </w:rPr>
      </w:pPr>
      <w:r>
        <w:rPr>
          <w:rFonts w:ascii="Times New Roman" w:hAnsi="Times New Roman"/>
          <w:lang w:eastAsia="sk-SK"/>
        </w:rPr>
        <w:t>m</w:t>
      </w:r>
      <w:r w:rsidRPr="000A2C53">
        <w:rPr>
          <w:rFonts w:ascii="Times New Roman" w:hAnsi="Times New Roman"/>
          <w:lang w:eastAsia="sk-SK"/>
        </w:rPr>
        <w:t>ikrokryštalická celulóza</w:t>
      </w:r>
    </w:p>
    <w:p w:rsidR="00A86378" w:rsidRPr="000A2C53" w:rsidRDefault="00A86378" w:rsidP="002F2DDB">
      <w:pPr>
        <w:spacing w:after="0" w:line="240" w:lineRule="auto"/>
        <w:rPr>
          <w:rFonts w:ascii="Times New Roman" w:hAnsi="Times New Roman"/>
          <w:lang w:eastAsia="sk-SK"/>
        </w:rPr>
      </w:pPr>
      <w:r>
        <w:rPr>
          <w:rFonts w:ascii="Times New Roman" w:hAnsi="Times New Roman"/>
          <w:lang w:eastAsia="sk-SK"/>
        </w:rPr>
        <w:t>p</w:t>
      </w:r>
      <w:r w:rsidRPr="000A2C53">
        <w:rPr>
          <w:rFonts w:ascii="Times New Roman" w:hAnsi="Times New Roman"/>
          <w:lang w:eastAsia="sk-SK"/>
        </w:rPr>
        <w:t>ovidón K-30</w:t>
      </w:r>
    </w:p>
    <w:p w:rsidR="00A86378" w:rsidRPr="000A2C53" w:rsidRDefault="00A86378" w:rsidP="002F2DDB">
      <w:pPr>
        <w:spacing w:after="0" w:line="240" w:lineRule="auto"/>
        <w:rPr>
          <w:rFonts w:ascii="Times New Roman" w:hAnsi="Times New Roman"/>
          <w:lang w:eastAsia="sk-SK"/>
        </w:rPr>
      </w:pPr>
      <w:r>
        <w:rPr>
          <w:rFonts w:ascii="Times New Roman" w:hAnsi="Times New Roman"/>
          <w:lang w:eastAsia="sk-SK"/>
        </w:rPr>
        <w:t>m</w:t>
      </w:r>
      <w:r w:rsidRPr="000A2C53">
        <w:rPr>
          <w:rFonts w:ascii="Times New Roman" w:hAnsi="Times New Roman"/>
          <w:lang w:eastAsia="sk-SK"/>
        </w:rPr>
        <w:t>agnéziumstearát</w:t>
      </w:r>
    </w:p>
    <w:p w:rsidR="00A86378" w:rsidRPr="000A2C53" w:rsidRDefault="00A86378" w:rsidP="002F2DDB">
      <w:pPr>
        <w:spacing w:after="0" w:line="240" w:lineRule="auto"/>
        <w:rPr>
          <w:rFonts w:ascii="Times New Roman" w:hAnsi="Times New Roman"/>
          <w:lang w:eastAsia="sk-SK"/>
        </w:rPr>
      </w:pPr>
      <w:r>
        <w:rPr>
          <w:rFonts w:ascii="Times New Roman" w:hAnsi="Times New Roman"/>
          <w:lang w:eastAsia="sk-SK"/>
        </w:rPr>
        <w:t>d</w:t>
      </w:r>
      <w:r w:rsidRPr="000A2C53">
        <w:rPr>
          <w:rFonts w:ascii="Times New Roman" w:hAnsi="Times New Roman"/>
          <w:lang w:eastAsia="sk-SK"/>
        </w:rPr>
        <w:t xml:space="preserve">raselná soľ </w:t>
      </w:r>
      <w:proofErr w:type="spellStart"/>
      <w:r w:rsidRPr="000A2C53">
        <w:rPr>
          <w:rFonts w:ascii="Times New Roman" w:hAnsi="Times New Roman"/>
          <w:lang w:eastAsia="sk-SK"/>
        </w:rPr>
        <w:t>polakrilínu</w:t>
      </w:r>
      <w:proofErr w:type="spellEnd"/>
    </w:p>
    <w:p w:rsidR="00A86378" w:rsidRPr="000A2C53" w:rsidRDefault="00A86378" w:rsidP="002F2DDB">
      <w:pPr>
        <w:spacing w:after="0" w:line="240" w:lineRule="auto"/>
        <w:rPr>
          <w:rFonts w:ascii="Times New Roman" w:hAnsi="Times New Roman"/>
          <w:lang w:eastAsia="de-DE"/>
        </w:rPr>
      </w:pPr>
    </w:p>
    <w:p w:rsidR="00A86378" w:rsidRPr="000A2C53" w:rsidRDefault="00A86378" w:rsidP="003A2D46">
      <w:pPr>
        <w:tabs>
          <w:tab w:val="left" w:pos="567"/>
        </w:tabs>
        <w:spacing w:after="0" w:line="240" w:lineRule="auto"/>
        <w:rPr>
          <w:rFonts w:ascii="Times New Roman" w:hAnsi="Times New Roman"/>
          <w:b/>
          <w:bCs/>
          <w:lang w:eastAsia="sk-SK"/>
        </w:rPr>
      </w:pPr>
      <w:r w:rsidRPr="000A2C53">
        <w:rPr>
          <w:rFonts w:ascii="Times New Roman" w:hAnsi="Times New Roman"/>
          <w:b/>
          <w:bCs/>
          <w:lang w:eastAsia="sk-SK"/>
        </w:rPr>
        <w:t>6.2</w:t>
      </w:r>
      <w:r w:rsidRPr="000A2C53">
        <w:rPr>
          <w:rFonts w:ascii="Times New Roman" w:hAnsi="Times New Roman"/>
          <w:b/>
          <w:bCs/>
          <w:lang w:eastAsia="sk-SK"/>
        </w:rPr>
        <w:tab/>
        <w:t>Inkompatibility</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Neaplikovateľné.</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numPr>
          <w:ilvl w:val="0"/>
          <w:numId w:val="11"/>
        </w:numPr>
        <w:spacing w:after="0" w:line="240" w:lineRule="auto"/>
        <w:ind w:left="567" w:hanging="567"/>
        <w:rPr>
          <w:rFonts w:ascii="Times New Roman" w:hAnsi="Times New Roman"/>
          <w:b/>
          <w:bCs/>
          <w:lang w:eastAsia="sk-SK"/>
        </w:rPr>
      </w:pPr>
      <w:r w:rsidRPr="000A2C53">
        <w:rPr>
          <w:rFonts w:ascii="Times New Roman" w:hAnsi="Times New Roman"/>
          <w:b/>
          <w:bCs/>
          <w:lang w:eastAsia="sk-SK"/>
        </w:rPr>
        <w:t>Čas použiteľnosti</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21 mesiacov.</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3A2D46">
      <w:pPr>
        <w:tabs>
          <w:tab w:val="left" w:pos="567"/>
        </w:tabs>
        <w:spacing w:after="0" w:line="240" w:lineRule="auto"/>
        <w:rPr>
          <w:rFonts w:ascii="Times New Roman" w:hAnsi="Times New Roman"/>
          <w:b/>
          <w:bCs/>
          <w:lang w:eastAsia="sk-SK"/>
        </w:rPr>
      </w:pPr>
      <w:r w:rsidRPr="000A2C53">
        <w:rPr>
          <w:rFonts w:ascii="Times New Roman" w:hAnsi="Times New Roman"/>
          <w:b/>
          <w:bCs/>
          <w:lang w:eastAsia="sk-SK"/>
        </w:rPr>
        <w:t>6.4</w:t>
      </w:r>
      <w:r w:rsidRPr="000A2C53">
        <w:rPr>
          <w:rFonts w:ascii="Times New Roman" w:hAnsi="Times New Roman"/>
          <w:b/>
          <w:bCs/>
          <w:lang w:eastAsia="sk-SK"/>
        </w:rPr>
        <w:tab/>
        <w:t>Špeciálne upozornenia na uchovávanie</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i/>
          <w:iCs/>
          <w:lang w:eastAsia="sk-SK"/>
        </w:rPr>
      </w:pPr>
      <w:r w:rsidRPr="000A2C53">
        <w:rPr>
          <w:rFonts w:ascii="Times New Roman" w:hAnsi="Times New Roman"/>
          <w:lang w:eastAsia="sk-SK"/>
        </w:rPr>
        <w:t xml:space="preserve">Uchovávajte pri teplote do 30 °C. </w:t>
      </w:r>
      <w:r w:rsidR="0039274F">
        <w:rPr>
          <w:rFonts w:ascii="Times New Roman" w:hAnsi="Times New Roman"/>
          <w:lang w:eastAsia="sk-SK"/>
        </w:rPr>
        <w:t>B</w:t>
      </w:r>
      <w:r w:rsidR="0039274F" w:rsidRPr="0039274F">
        <w:rPr>
          <w:rFonts w:ascii="Times New Roman" w:hAnsi="Times New Roman"/>
          <w:lang w:eastAsia="sk-SK"/>
        </w:rPr>
        <w:t xml:space="preserve">lister </w:t>
      </w:r>
      <w:r w:rsidR="0039274F">
        <w:rPr>
          <w:rFonts w:ascii="Times New Roman" w:hAnsi="Times New Roman"/>
          <w:lang w:eastAsia="sk-SK"/>
        </w:rPr>
        <w:t>u</w:t>
      </w:r>
      <w:r w:rsidRPr="000A2C53">
        <w:rPr>
          <w:rFonts w:ascii="Times New Roman" w:hAnsi="Times New Roman"/>
          <w:lang w:eastAsia="sk-SK"/>
        </w:rPr>
        <w:t>chovávajte vo vonkajšom obale na ochranu pred svetlom.</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numPr>
          <w:ilvl w:val="0"/>
          <w:numId w:val="12"/>
        </w:numPr>
        <w:spacing w:after="0" w:line="240" w:lineRule="auto"/>
        <w:ind w:left="567" w:hanging="567"/>
        <w:rPr>
          <w:rFonts w:ascii="Times New Roman" w:hAnsi="Times New Roman"/>
          <w:b/>
          <w:bCs/>
          <w:lang w:eastAsia="sk-SK"/>
        </w:rPr>
      </w:pPr>
      <w:r w:rsidRPr="000A2C53">
        <w:rPr>
          <w:rFonts w:ascii="Times New Roman" w:hAnsi="Times New Roman"/>
          <w:b/>
          <w:bCs/>
          <w:lang w:eastAsia="sk-SK"/>
        </w:rPr>
        <w:t>Druh obalu a obsah balenia</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Priehľadný až mierne nepriehľadný transparentný PVC/</w:t>
      </w:r>
      <w:proofErr w:type="spellStart"/>
      <w:r w:rsidRPr="000A2C53">
        <w:rPr>
          <w:rFonts w:ascii="Times New Roman" w:hAnsi="Times New Roman"/>
          <w:lang w:eastAsia="sk-SK"/>
        </w:rPr>
        <w:t>PV</w:t>
      </w:r>
      <w:r>
        <w:rPr>
          <w:rFonts w:ascii="Times New Roman" w:hAnsi="Times New Roman"/>
          <w:lang w:eastAsia="sk-SK"/>
        </w:rPr>
        <w:t>D</w:t>
      </w:r>
      <w:r w:rsidRPr="000A2C53">
        <w:rPr>
          <w:rFonts w:ascii="Times New Roman" w:hAnsi="Times New Roman"/>
          <w:lang w:eastAsia="sk-SK"/>
        </w:rPr>
        <w:t>C-Al</w:t>
      </w:r>
      <w:proofErr w:type="spellEnd"/>
      <w:r w:rsidRPr="000A2C53">
        <w:rPr>
          <w:rFonts w:ascii="Times New Roman" w:hAnsi="Times New Roman"/>
          <w:lang w:eastAsia="sk-SK"/>
        </w:rPr>
        <w:t xml:space="preserve"> </w:t>
      </w:r>
      <w:proofErr w:type="spellStart"/>
      <w:r w:rsidRPr="000A2C53">
        <w:rPr>
          <w:rFonts w:ascii="Times New Roman" w:hAnsi="Times New Roman"/>
          <w:lang w:eastAsia="sk-SK"/>
        </w:rPr>
        <w:t>blister</w:t>
      </w:r>
      <w:proofErr w:type="spellEnd"/>
      <w:r w:rsidRPr="000A2C53">
        <w:rPr>
          <w:rFonts w:ascii="Times New Roman" w:hAnsi="Times New Roman"/>
          <w:lang w:eastAsia="sk-SK"/>
        </w:rPr>
        <w:t>.</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Veľkosti balenia:</w:t>
      </w: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t>1 x 21 tabliet</w:t>
      </w: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t>3 x 21 tabliet</w:t>
      </w:r>
    </w:p>
    <w:p w:rsidR="00A86378" w:rsidRPr="000A2C53" w:rsidRDefault="00A86378" w:rsidP="002F2DDB">
      <w:pPr>
        <w:spacing w:after="0" w:line="240" w:lineRule="auto"/>
        <w:ind w:left="567" w:hanging="567"/>
        <w:rPr>
          <w:rFonts w:ascii="Times New Roman" w:hAnsi="Times New Roman"/>
          <w:lang w:eastAsia="sk-SK"/>
        </w:rPr>
      </w:pPr>
      <w:r w:rsidRPr="000A2C53">
        <w:rPr>
          <w:rFonts w:ascii="Times New Roman" w:hAnsi="Times New Roman"/>
          <w:lang w:eastAsia="sk-SK"/>
        </w:rPr>
        <w:t>6 x 21 tabliet</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Na trh nemusia byť uvedené všetky veľkosti balenia.</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tabs>
          <w:tab w:val="left" w:pos="567"/>
        </w:tabs>
        <w:spacing w:after="0" w:line="240" w:lineRule="auto"/>
        <w:rPr>
          <w:rFonts w:ascii="Times New Roman" w:hAnsi="Times New Roman"/>
          <w:lang w:eastAsia="sk-SK"/>
        </w:rPr>
      </w:pPr>
      <w:r w:rsidRPr="000A2C53">
        <w:rPr>
          <w:rFonts w:ascii="Times New Roman" w:hAnsi="Times New Roman"/>
          <w:b/>
          <w:bCs/>
          <w:lang w:eastAsia="sk-SK"/>
        </w:rPr>
        <w:t>6.6</w:t>
      </w:r>
      <w:r w:rsidRPr="000A2C53">
        <w:rPr>
          <w:rFonts w:ascii="Times New Roman" w:hAnsi="Times New Roman"/>
          <w:b/>
          <w:bCs/>
          <w:lang w:eastAsia="sk-SK"/>
        </w:rPr>
        <w:tab/>
        <w:t>Špeciálne opatrenia na likvidáciu a iné zaobchádzanie s liekom</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626D2A">
      <w:pPr>
        <w:spacing w:after="0" w:line="240" w:lineRule="auto"/>
        <w:rPr>
          <w:rFonts w:ascii="Times New Roman" w:hAnsi="Times New Roman"/>
          <w:lang w:eastAsia="sk-SK"/>
        </w:rPr>
      </w:pPr>
      <w:r w:rsidRPr="000A2C53">
        <w:rPr>
          <w:rFonts w:ascii="Times New Roman" w:hAnsi="Times New Roman"/>
          <w:lang w:eastAsia="sk-SK"/>
        </w:rPr>
        <w:t>Žiadne zvláštne požiadavky.</w:t>
      </w:r>
    </w:p>
    <w:p w:rsidR="00A86378" w:rsidRPr="000A2C53" w:rsidRDefault="00A86378" w:rsidP="00626D2A">
      <w:pPr>
        <w:spacing w:after="0" w:line="240" w:lineRule="auto"/>
        <w:rPr>
          <w:rFonts w:ascii="Times New Roman" w:hAnsi="Times New Roman"/>
          <w:lang w:eastAsia="sk-SK"/>
        </w:rPr>
      </w:pPr>
    </w:p>
    <w:p w:rsidR="00A86378" w:rsidRPr="000A2C53" w:rsidRDefault="00A86378" w:rsidP="00626D2A">
      <w:pPr>
        <w:spacing w:after="0" w:line="240" w:lineRule="auto"/>
        <w:rPr>
          <w:rFonts w:ascii="Times New Roman" w:hAnsi="Times New Roman"/>
          <w:lang w:eastAsia="sk-SK"/>
        </w:rPr>
      </w:pPr>
      <w:r w:rsidRPr="000A2C53">
        <w:rPr>
          <w:rFonts w:ascii="Times New Roman" w:hAnsi="Times New Roman"/>
          <w:lang w:eastAsia="sk-SK"/>
        </w:rPr>
        <w:t>Všetok nepoužitý liek alebo odpad vzniknutý z lieku sa má zlikvidovať v súlade s národnými požiadavkami.</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ind w:left="567" w:hanging="567"/>
        <w:rPr>
          <w:rFonts w:ascii="Times New Roman" w:hAnsi="Times New Roman"/>
          <w:b/>
          <w:bCs/>
          <w:lang w:eastAsia="sk-SK"/>
        </w:rPr>
      </w:pPr>
      <w:r w:rsidRPr="000A2C53">
        <w:rPr>
          <w:rFonts w:ascii="Times New Roman" w:hAnsi="Times New Roman"/>
          <w:b/>
          <w:bCs/>
          <w:lang w:eastAsia="sk-SK"/>
        </w:rPr>
        <w:t>7.</w:t>
      </w:r>
      <w:r w:rsidRPr="000A2C53">
        <w:rPr>
          <w:rFonts w:ascii="Times New Roman" w:hAnsi="Times New Roman"/>
          <w:b/>
          <w:bCs/>
          <w:lang w:eastAsia="sk-SK"/>
        </w:rPr>
        <w:tab/>
        <w:t>DRŽITEĽ ROZHODNUTIA O REGISTRÁCII</w:t>
      </w:r>
    </w:p>
    <w:p w:rsidR="00A86378" w:rsidRPr="000A2C53" w:rsidRDefault="00A86378" w:rsidP="002F2DDB">
      <w:pPr>
        <w:spacing w:after="0" w:line="240" w:lineRule="auto"/>
        <w:rPr>
          <w:rFonts w:ascii="Times New Roman" w:hAnsi="Times New Roman"/>
          <w:b/>
          <w:bCs/>
          <w:lang w:eastAsia="sk-SK"/>
        </w:rPr>
      </w:pPr>
    </w:p>
    <w:p w:rsidR="00A86378" w:rsidRPr="000A2C53" w:rsidRDefault="00473661" w:rsidP="002F2DDB">
      <w:pPr>
        <w:tabs>
          <w:tab w:val="left" w:pos="-1440"/>
          <w:tab w:val="left" w:pos="-720"/>
        </w:tabs>
        <w:spacing w:after="0" w:line="240" w:lineRule="auto"/>
        <w:ind w:left="567" w:hanging="567"/>
        <w:rPr>
          <w:rFonts w:ascii="Times New Roman" w:hAnsi="Times New Roman"/>
          <w:lang w:eastAsia="sk-SK"/>
        </w:rPr>
      </w:pPr>
      <w:r w:rsidRPr="000A2C53">
        <w:rPr>
          <w:rFonts w:ascii="Times New Roman" w:hAnsi="Times New Roman"/>
          <w:lang w:eastAsia="sk-SK"/>
        </w:rPr>
        <w:t>E</w:t>
      </w:r>
      <w:r>
        <w:rPr>
          <w:rFonts w:ascii="Times New Roman" w:hAnsi="Times New Roman"/>
          <w:lang w:eastAsia="sk-SK"/>
        </w:rPr>
        <w:t>gis</w:t>
      </w:r>
      <w:r w:rsidRPr="000A2C53">
        <w:rPr>
          <w:rFonts w:ascii="Times New Roman" w:hAnsi="Times New Roman"/>
          <w:lang w:eastAsia="sk-SK"/>
        </w:rPr>
        <w:t xml:space="preserve"> </w:t>
      </w:r>
      <w:r w:rsidR="00A86378" w:rsidRPr="000A2C53">
        <w:rPr>
          <w:rFonts w:ascii="Times New Roman" w:hAnsi="Times New Roman"/>
          <w:lang w:eastAsia="sk-SK"/>
        </w:rPr>
        <w:t>Pharmaceuticals PLC</w:t>
      </w:r>
    </w:p>
    <w:p w:rsidR="001F1823" w:rsidRDefault="00473661" w:rsidP="002F2DDB">
      <w:pPr>
        <w:tabs>
          <w:tab w:val="left" w:pos="-1440"/>
          <w:tab w:val="left" w:pos="-720"/>
        </w:tabs>
        <w:spacing w:after="0" w:line="240" w:lineRule="auto"/>
        <w:ind w:left="567" w:hanging="567"/>
        <w:rPr>
          <w:rFonts w:ascii="Times New Roman" w:hAnsi="Times New Roman"/>
          <w:lang w:eastAsia="sk-SK"/>
        </w:rPr>
      </w:pPr>
      <w:r w:rsidRPr="00473661">
        <w:rPr>
          <w:rFonts w:ascii="Times New Roman" w:hAnsi="Times New Roman"/>
          <w:lang w:eastAsia="sk-SK"/>
        </w:rPr>
        <w:t>1106 Budapešť</w:t>
      </w:r>
      <w:r>
        <w:rPr>
          <w:rFonts w:ascii="Times New Roman" w:hAnsi="Times New Roman"/>
          <w:lang w:eastAsia="sk-SK"/>
        </w:rPr>
        <w:t>,</w:t>
      </w:r>
      <w:r w:rsidRPr="00473661">
        <w:rPr>
          <w:rFonts w:ascii="Times New Roman" w:hAnsi="Times New Roman"/>
          <w:lang w:eastAsia="sk-SK"/>
        </w:rPr>
        <w:t xml:space="preserve"> </w:t>
      </w:r>
      <w:proofErr w:type="spellStart"/>
      <w:r w:rsidR="00A86378" w:rsidRPr="000A2C53">
        <w:rPr>
          <w:rFonts w:ascii="Times New Roman" w:hAnsi="Times New Roman"/>
          <w:lang w:eastAsia="sk-SK"/>
        </w:rPr>
        <w:t>Keresztúri</w:t>
      </w:r>
      <w:proofErr w:type="spellEnd"/>
      <w:r w:rsidR="00A86378" w:rsidRPr="000A2C53">
        <w:rPr>
          <w:rFonts w:ascii="Times New Roman" w:hAnsi="Times New Roman"/>
          <w:lang w:eastAsia="sk-SK"/>
        </w:rPr>
        <w:t xml:space="preserve"> </w:t>
      </w:r>
      <w:proofErr w:type="spellStart"/>
      <w:r w:rsidR="00A86378" w:rsidRPr="000A2C53">
        <w:rPr>
          <w:rFonts w:ascii="Times New Roman" w:hAnsi="Times New Roman"/>
          <w:lang w:eastAsia="sk-SK"/>
        </w:rPr>
        <w:t>út</w:t>
      </w:r>
      <w:proofErr w:type="spellEnd"/>
      <w:r w:rsidR="00A86378" w:rsidRPr="000A2C53">
        <w:rPr>
          <w:rFonts w:ascii="Times New Roman" w:hAnsi="Times New Roman"/>
          <w:lang w:eastAsia="sk-SK"/>
        </w:rPr>
        <w:t xml:space="preserve"> 30-38</w:t>
      </w:r>
      <w:r>
        <w:rPr>
          <w:rFonts w:ascii="Times New Roman" w:hAnsi="Times New Roman"/>
          <w:lang w:eastAsia="sk-SK"/>
        </w:rPr>
        <w:t>.</w:t>
      </w:r>
    </w:p>
    <w:p w:rsidR="00A86378" w:rsidRPr="000A2C53" w:rsidRDefault="00A86378" w:rsidP="002F2DDB">
      <w:pPr>
        <w:tabs>
          <w:tab w:val="left" w:pos="-1440"/>
          <w:tab w:val="left" w:pos="-720"/>
        </w:tabs>
        <w:spacing w:after="0" w:line="240" w:lineRule="auto"/>
        <w:ind w:left="567" w:hanging="567"/>
        <w:rPr>
          <w:rFonts w:ascii="Times New Roman" w:hAnsi="Times New Roman"/>
          <w:lang w:eastAsia="sk-SK"/>
        </w:rPr>
      </w:pPr>
      <w:r w:rsidRPr="000A2C53">
        <w:rPr>
          <w:rFonts w:ascii="Times New Roman" w:hAnsi="Times New Roman"/>
          <w:lang w:eastAsia="sk-SK"/>
        </w:rPr>
        <w:t>Maďarsko</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3A2D46">
      <w:pPr>
        <w:tabs>
          <w:tab w:val="left" w:pos="567"/>
        </w:tabs>
        <w:spacing w:after="0" w:line="240" w:lineRule="auto"/>
        <w:rPr>
          <w:rFonts w:ascii="Times New Roman" w:hAnsi="Times New Roman"/>
          <w:b/>
          <w:bCs/>
          <w:lang w:eastAsia="sk-SK"/>
        </w:rPr>
      </w:pPr>
      <w:r w:rsidRPr="000A2C53">
        <w:rPr>
          <w:rFonts w:ascii="Times New Roman" w:hAnsi="Times New Roman"/>
          <w:b/>
          <w:bCs/>
          <w:lang w:eastAsia="sk-SK"/>
        </w:rPr>
        <w:t>8.</w:t>
      </w:r>
      <w:r w:rsidRPr="000A2C53">
        <w:rPr>
          <w:rFonts w:ascii="Times New Roman" w:hAnsi="Times New Roman"/>
          <w:b/>
          <w:bCs/>
          <w:lang w:eastAsia="sk-SK"/>
        </w:rPr>
        <w:tab/>
        <w:t>REGISTRAČNÉ ČÍSLO</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bCs/>
          <w:lang w:eastAsia="sk-SK"/>
        </w:rPr>
      </w:pPr>
      <w:r w:rsidRPr="000A2C53">
        <w:rPr>
          <w:rFonts w:ascii="Times New Roman" w:hAnsi="Times New Roman"/>
          <w:bCs/>
          <w:lang w:eastAsia="sk-SK"/>
        </w:rPr>
        <w:t>17/0131/15-S</w:t>
      </w: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2F2DDB">
      <w:pPr>
        <w:spacing w:after="0" w:line="240" w:lineRule="auto"/>
        <w:rPr>
          <w:rFonts w:ascii="Times New Roman" w:hAnsi="Times New Roman"/>
          <w:b/>
          <w:bCs/>
          <w:lang w:eastAsia="sk-SK"/>
        </w:rPr>
      </w:pPr>
    </w:p>
    <w:p w:rsidR="00A86378" w:rsidRPr="000A2C53" w:rsidRDefault="00A86378" w:rsidP="003A2D46">
      <w:pPr>
        <w:tabs>
          <w:tab w:val="left" w:pos="567"/>
        </w:tabs>
        <w:spacing w:after="0" w:line="240" w:lineRule="auto"/>
        <w:rPr>
          <w:rFonts w:ascii="Times New Roman" w:hAnsi="Times New Roman"/>
          <w:b/>
          <w:bCs/>
          <w:lang w:eastAsia="sk-SK"/>
        </w:rPr>
      </w:pPr>
      <w:r w:rsidRPr="000A2C53">
        <w:rPr>
          <w:rFonts w:ascii="Times New Roman" w:hAnsi="Times New Roman"/>
          <w:b/>
          <w:bCs/>
          <w:lang w:eastAsia="sk-SK"/>
        </w:rPr>
        <w:t>9.</w:t>
      </w:r>
      <w:r w:rsidRPr="000A2C53">
        <w:rPr>
          <w:rFonts w:ascii="Times New Roman" w:hAnsi="Times New Roman"/>
          <w:b/>
          <w:bCs/>
          <w:lang w:eastAsia="sk-SK"/>
        </w:rPr>
        <w:tab/>
        <w:t>DÁTUM PRVEJ REGISTRÁCIE/PREDĹŽENIA REGISTRÁCIE</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r w:rsidRPr="000A2C53">
        <w:rPr>
          <w:rFonts w:ascii="Times New Roman" w:hAnsi="Times New Roman"/>
          <w:lang w:eastAsia="sk-SK"/>
        </w:rPr>
        <w:t>Dátum prvej registrácie:</w:t>
      </w:r>
      <w:r w:rsidRPr="000A2C53">
        <w:t xml:space="preserve"> </w:t>
      </w:r>
      <w:r w:rsidRPr="000A2C53">
        <w:rPr>
          <w:rFonts w:ascii="Times New Roman" w:hAnsi="Times New Roman"/>
          <w:lang w:eastAsia="sk-SK"/>
        </w:rPr>
        <w:t>23. apríla 2015</w:t>
      </w:r>
    </w:p>
    <w:p w:rsidR="00A86378" w:rsidRPr="000A2C53" w:rsidRDefault="00A86378" w:rsidP="002F2DDB">
      <w:pPr>
        <w:spacing w:after="0" w:line="240" w:lineRule="auto"/>
        <w:rPr>
          <w:rFonts w:ascii="Times New Roman" w:hAnsi="Times New Roman"/>
          <w:lang w:eastAsia="sk-SK"/>
        </w:rPr>
      </w:pPr>
    </w:p>
    <w:p w:rsidR="00A86378" w:rsidRPr="000A2C53" w:rsidRDefault="00A86378" w:rsidP="002F2DDB">
      <w:pPr>
        <w:spacing w:after="0" w:line="240" w:lineRule="auto"/>
        <w:rPr>
          <w:rFonts w:ascii="Times New Roman" w:hAnsi="Times New Roman"/>
          <w:lang w:eastAsia="sk-SK"/>
        </w:rPr>
      </w:pPr>
    </w:p>
    <w:p w:rsidR="00A86378" w:rsidRPr="000A2C53" w:rsidRDefault="00A86378" w:rsidP="003A2D46">
      <w:pPr>
        <w:numPr>
          <w:ilvl w:val="0"/>
          <w:numId w:val="13"/>
        </w:numPr>
        <w:spacing w:after="0" w:line="240" w:lineRule="auto"/>
        <w:ind w:left="567" w:hanging="567"/>
        <w:rPr>
          <w:rFonts w:ascii="Times New Roman" w:hAnsi="Times New Roman"/>
          <w:b/>
          <w:bCs/>
          <w:lang w:eastAsia="sk-SK"/>
        </w:rPr>
      </w:pPr>
      <w:r w:rsidRPr="000A2C53">
        <w:rPr>
          <w:rFonts w:ascii="Times New Roman" w:hAnsi="Times New Roman"/>
          <w:b/>
          <w:bCs/>
          <w:lang w:eastAsia="sk-SK"/>
        </w:rPr>
        <w:t>DÁTUM REVÍZIE TEXTU</w:t>
      </w:r>
    </w:p>
    <w:p w:rsidR="00A86378" w:rsidRPr="000A2C53" w:rsidRDefault="00A86378" w:rsidP="002F2DDB">
      <w:pPr>
        <w:spacing w:after="0" w:line="240" w:lineRule="auto"/>
        <w:ind w:left="567" w:hanging="567"/>
        <w:rPr>
          <w:rFonts w:ascii="Times New Roman" w:hAnsi="Times New Roman"/>
          <w:b/>
          <w:bCs/>
          <w:lang w:eastAsia="sk-SK"/>
        </w:rPr>
      </w:pPr>
    </w:p>
    <w:p w:rsidR="00A86378" w:rsidRPr="000A2C53" w:rsidRDefault="00121653" w:rsidP="00473661">
      <w:pPr>
        <w:spacing w:after="0" w:line="240" w:lineRule="auto"/>
      </w:pPr>
      <w:r>
        <w:rPr>
          <w:rFonts w:ascii="Times New Roman" w:hAnsi="Times New Roman"/>
          <w:lang w:eastAsia="sk-SK"/>
        </w:rPr>
        <w:t>10/2018</w:t>
      </w:r>
    </w:p>
    <w:sectPr w:rsidR="00A86378" w:rsidRPr="000A2C53" w:rsidSect="00D0379F">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A8" w:rsidRDefault="00C254A8" w:rsidP="002F2DDB">
      <w:pPr>
        <w:spacing w:after="0" w:line="240" w:lineRule="auto"/>
      </w:pPr>
      <w:r>
        <w:separator/>
      </w:r>
    </w:p>
  </w:endnote>
  <w:endnote w:type="continuationSeparator" w:id="0">
    <w:p w:rsidR="00C254A8" w:rsidRDefault="00C254A8" w:rsidP="002F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A8" w:rsidRPr="00F9203C" w:rsidRDefault="00C254A8">
    <w:pPr>
      <w:pStyle w:val="Pta"/>
      <w:jc w:val="center"/>
      <w:rPr>
        <w:rFonts w:ascii="Times New Roman" w:hAnsi="Times New Roman"/>
        <w:sz w:val="18"/>
        <w:szCs w:val="18"/>
      </w:rPr>
    </w:pPr>
    <w:r w:rsidRPr="00F9203C">
      <w:fldChar w:fldCharType="begin"/>
    </w:r>
    <w:r>
      <w:instrText xml:space="preserve"> PAGE   \* MERGEFORMAT </w:instrText>
    </w:r>
    <w:r w:rsidRPr="00F9203C">
      <w:fldChar w:fldCharType="separate"/>
    </w:r>
    <w:r w:rsidR="005E5DB4" w:rsidRPr="005E5DB4">
      <w:rPr>
        <w:rFonts w:ascii="Times New Roman" w:hAnsi="Times New Roman"/>
        <w:noProof/>
        <w:sz w:val="18"/>
        <w:szCs w:val="18"/>
      </w:rPr>
      <w:t>15</w:t>
    </w:r>
    <w:r w:rsidRPr="00F9203C">
      <w:rPr>
        <w:rFonts w:ascii="Times New Roman" w:hAnsi="Times New Roman"/>
        <w:noProof/>
        <w:sz w:val="18"/>
        <w:szCs w:val="18"/>
      </w:rPr>
      <w:fldChar w:fldCharType="end"/>
    </w:r>
  </w:p>
  <w:p w:rsidR="00C254A8" w:rsidRDefault="00C254A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A8" w:rsidRPr="00F9203C" w:rsidRDefault="00C254A8" w:rsidP="00F9203C">
    <w:pPr>
      <w:pStyle w:val="Pta"/>
      <w:jc w:val="center"/>
      <w:rPr>
        <w:rFonts w:ascii="Times New Roman" w:hAnsi="Times New Roman"/>
        <w:sz w:val="18"/>
        <w:szCs w:val="18"/>
      </w:rPr>
    </w:pPr>
    <w:r>
      <w:rPr>
        <w:rFonts w:ascii="Times New Roman" w:hAnsi="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A8" w:rsidRDefault="00C254A8" w:rsidP="002F2DDB">
      <w:pPr>
        <w:spacing w:after="0" w:line="240" w:lineRule="auto"/>
      </w:pPr>
      <w:r>
        <w:separator/>
      </w:r>
    </w:p>
  </w:footnote>
  <w:footnote w:type="continuationSeparator" w:id="0">
    <w:p w:rsidR="00C254A8" w:rsidRDefault="00C254A8" w:rsidP="002F2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A8" w:rsidRDefault="00C254A8">
    <w:pPr>
      <w:pStyle w:val="Hlavika"/>
    </w:pPr>
    <w:r w:rsidRPr="00F9203C">
      <w:rPr>
        <w:rFonts w:ascii="Times New Roman" w:hAnsi="Times New Roman"/>
        <w:sz w:val="18"/>
        <w:szCs w:val="18"/>
      </w:rPr>
      <w:t>Príloha č. 1 k</w:t>
    </w:r>
    <w:r w:rsidRPr="008219CC">
      <w:rPr>
        <w:rFonts w:ascii="Times New Roman" w:hAnsi="Times New Roman"/>
        <w:sz w:val="18"/>
        <w:szCs w:val="18"/>
      </w:rPr>
      <w:t> </w:t>
    </w:r>
    <w:r w:rsidRPr="00F9203C">
      <w:rPr>
        <w:rFonts w:ascii="Times New Roman" w:hAnsi="Times New Roman"/>
        <w:sz w:val="18"/>
        <w:szCs w:val="18"/>
      </w:rPr>
      <w:t>notifikácii o zmene, ev. č.:</w:t>
    </w:r>
    <w:r>
      <w:rPr>
        <w:rFonts w:ascii="Times New Roman" w:hAnsi="Times New Roman"/>
        <w:sz w:val="18"/>
        <w:szCs w:val="18"/>
      </w:rPr>
      <w:t xml:space="preserve"> </w:t>
    </w:r>
    <w:r w:rsidRPr="00233BBA">
      <w:rPr>
        <w:rFonts w:ascii="Times New Roman" w:hAnsi="Times New Roman"/>
        <w:sz w:val="18"/>
        <w:szCs w:val="18"/>
      </w:rPr>
      <w:t>2018/02347-Z1B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A8" w:rsidRPr="000A2C53" w:rsidRDefault="00C254A8">
    <w:pPr>
      <w:pStyle w:val="Hlavika"/>
    </w:pPr>
    <w:r w:rsidRPr="00F9203C">
      <w:rPr>
        <w:rFonts w:ascii="Times New Roman" w:hAnsi="Times New Roman"/>
        <w:sz w:val="18"/>
        <w:szCs w:val="18"/>
      </w:rPr>
      <w:t>2016/01787-Z1B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4A1"/>
    <w:multiLevelType w:val="multilevel"/>
    <w:tmpl w:val="195C42F6"/>
    <w:lvl w:ilvl="0">
      <w:start w:val="5"/>
      <w:numFmt w:val="decimal"/>
      <w:lvlText w:val="%1. "/>
      <w:legacy w:legacy="1" w:legacySpace="0" w:legacyIndent="360"/>
      <w:lvlJc w:val="left"/>
      <w:pPr>
        <w:ind w:left="360" w:hanging="360"/>
      </w:pPr>
      <w:rPr>
        <w:rFonts w:ascii="Times New Roman" w:hAnsi="Times New Roman" w:cs="Times New Roman" w:hint="default"/>
        <w:b/>
        <w:bCs/>
        <w:i w:val="0"/>
        <w:iCs w:val="0"/>
        <w:strike w:val="0"/>
        <w:dstrike w:val="0"/>
        <w:sz w:val="22"/>
        <w:szCs w:val="22"/>
        <w:u w:val="none"/>
        <w:effect w:val="none"/>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A447C1B"/>
    <w:multiLevelType w:val="singleLevel"/>
    <w:tmpl w:val="8C2E4520"/>
    <w:lvl w:ilvl="0">
      <w:start w:val="5"/>
      <w:numFmt w:val="decimal"/>
      <w:lvlText w:val="6.%1"/>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2">
    <w:nsid w:val="0BAE5203"/>
    <w:multiLevelType w:val="hybridMultilevel"/>
    <w:tmpl w:val="9C2CAA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582D92"/>
    <w:multiLevelType w:val="multilevel"/>
    <w:tmpl w:val="FBCC6332"/>
    <w:lvl w:ilvl="0">
      <w:start w:val="6"/>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A014632"/>
    <w:multiLevelType w:val="hybridMultilevel"/>
    <w:tmpl w:val="325EA3A4"/>
    <w:lvl w:ilvl="0" w:tplc="164EF09C">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5">
    <w:nsid w:val="221A71B0"/>
    <w:multiLevelType w:val="singleLevel"/>
    <w:tmpl w:val="A34AF148"/>
    <w:lvl w:ilvl="0">
      <w:start w:val="1"/>
      <w:numFmt w:val="decimal"/>
      <w:lvlText w:val="5.%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6">
    <w:nsid w:val="228F7D52"/>
    <w:multiLevelType w:val="singleLevel"/>
    <w:tmpl w:val="3C62F2E8"/>
    <w:lvl w:ilvl="0">
      <w:start w:val="6"/>
      <w:numFmt w:val="decimal"/>
      <w:lvlText w:val="4.%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7">
    <w:nsid w:val="249D43C4"/>
    <w:multiLevelType w:val="hybridMultilevel"/>
    <w:tmpl w:val="E1CA857A"/>
    <w:lvl w:ilvl="0" w:tplc="0548F956">
      <w:numFmt w:val="bullet"/>
      <w:lvlText w:val=""/>
      <w:lvlJc w:val="left"/>
      <w:pPr>
        <w:ind w:left="1065" w:hanging="705"/>
      </w:pPr>
      <w:rPr>
        <w:rFonts w:ascii="Symbol" w:eastAsia="Times New Roman" w:hAnsi="Symbol" w:hint="default"/>
        <w:sz w:val="3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6F52F08"/>
    <w:multiLevelType w:val="singleLevel"/>
    <w:tmpl w:val="1D385822"/>
    <w:lvl w:ilvl="0">
      <w:start w:val="8"/>
      <w:numFmt w:val="decimal"/>
      <w:lvlText w:val="4.%1"/>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9">
    <w:nsid w:val="28D40113"/>
    <w:multiLevelType w:val="hybridMultilevel"/>
    <w:tmpl w:val="DF6CD642"/>
    <w:lvl w:ilvl="0" w:tplc="0548F956">
      <w:numFmt w:val="bullet"/>
      <w:lvlText w:val=""/>
      <w:lvlJc w:val="left"/>
      <w:pPr>
        <w:ind w:left="1065" w:hanging="705"/>
      </w:pPr>
      <w:rPr>
        <w:rFonts w:ascii="Symbol" w:eastAsia="Times New Roman" w:hAnsi="Symbol" w:hint="default"/>
        <w:sz w:val="3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30CE0680"/>
    <w:multiLevelType w:val="singleLevel"/>
    <w:tmpl w:val="89A4EF34"/>
    <w:lvl w:ilvl="0">
      <w:start w:val="7"/>
      <w:numFmt w:val="decimal"/>
      <w:lvlText w:val="4.%1 "/>
      <w:lvlJc w:val="left"/>
      <w:pPr>
        <w:tabs>
          <w:tab w:val="num" w:pos="142"/>
        </w:tabs>
        <w:ind w:left="502" w:hanging="360"/>
      </w:pPr>
      <w:rPr>
        <w:rFonts w:ascii="Times New Roman" w:hAnsi="Times New Roman" w:cs="Times New Roman" w:hint="default"/>
        <w:b/>
        <w:bCs/>
        <w:i w:val="0"/>
        <w:iCs w:val="0"/>
        <w:strike w:val="0"/>
        <w:dstrike w:val="0"/>
        <w:sz w:val="22"/>
        <w:szCs w:val="22"/>
        <w:u w:val="none"/>
        <w:effect w:val="none"/>
      </w:rPr>
    </w:lvl>
  </w:abstractNum>
  <w:abstractNum w:abstractNumId="12">
    <w:nsid w:val="30F203B9"/>
    <w:multiLevelType w:val="hybridMultilevel"/>
    <w:tmpl w:val="6B308C30"/>
    <w:lvl w:ilvl="0" w:tplc="041B0003">
      <w:start w:val="1"/>
      <w:numFmt w:val="bullet"/>
      <w:lvlText w:val="o"/>
      <w:lvlJc w:val="left"/>
      <w:pPr>
        <w:ind w:left="360" w:hanging="360"/>
      </w:pPr>
      <w:rPr>
        <w:rFonts w:ascii="Courier New" w:hAnsi="Courier New" w:hint="default"/>
      </w:rPr>
    </w:lvl>
    <w:lvl w:ilvl="1" w:tplc="041B0003">
      <w:start w:val="1"/>
      <w:numFmt w:val="bullet"/>
      <w:lvlText w:val="o"/>
      <w:lvlJc w:val="left"/>
      <w:pPr>
        <w:ind w:left="1647" w:hanging="360"/>
      </w:pPr>
      <w:rPr>
        <w:rFonts w:ascii="Courier New" w:hAnsi="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hint="default"/>
      </w:rPr>
    </w:lvl>
    <w:lvl w:ilvl="8" w:tplc="041B0005">
      <w:start w:val="1"/>
      <w:numFmt w:val="bullet"/>
      <w:lvlText w:val=""/>
      <w:lvlJc w:val="left"/>
      <w:pPr>
        <w:ind w:left="6687" w:hanging="360"/>
      </w:pPr>
      <w:rPr>
        <w:rFonts w:ascii="Wingdings" w:hAnsi="Wingdings" w:hint="default"/>
      </w:rPr>
    </w:lvl>
  </w:abstractNum>
  <w:abstractNum w:abstractNumId="13">
    <w:nsid w:val="36F933CE"/>
    <w:multiLevelType w:val="multilevel"/>
    <w:tmpl w:val="B852BA9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385D79F0"/>
    <w:multiLevelType w:val="singleLevel"/>
    <w:tmpl w:val="21DE9CEC"/>
    <w:lvl w:ilvl="0">
      <w:start w:val="3"/>
      <w:numFmt w:val="decimal"/>
      <w:lvlText w:val="5.%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5">
    <w:nsid w:val="3F654B5E"/>
    <w:multiLevelType w:val="hybridMultilevel"/>
    <w:tmpl w:val="174626E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nsid w:val="4A92024A"/>
    <w:multiLevelType w:val="hybridMultilevel"/>
    <w:tmpl w:val="F844F8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AA30DD1"/>
    <w:multiLevelType w:val="singleLevel"/>
    <w:tmpl w:val="6E040B6A"/>
    <w:lvl w:ilvl="0">
      <w:start w:val="3"/>
      <w:numFmt w:val="decimal"/>
      <w:lvlText w:val="6.%1 "/>
      <w:lvlJc w:val="left"/>
      <w:pPr>
        <w:tabs>
          <w:tab w:val="num" w:pos="0"/>
        </w:tabs>
        <w:ind w:left="360" w:hanging="360"/>
      </w:pPr>
      <w:rPr>
        <w:rFonts w:ascii="Times New Roman" w:hAnsi="Times New Roman" w:cs="Times New Roman" w:hint="default"/>
        <w:b/>
        <w:bCs/>
        <w:i w:val="0"/>
        <w:iCs w:val="0"/>
        <w:strike w:val="0"/>
        <w:dstrike w:val="0"/>
        <w:sz w:val="22"/>
        <w:szCs w:val="22"/>
        <w:u w:val="none"/>
        <w:effect w:val="none"/>
      </w:rPr>
    </w:lvl>
  </w:abstractNum>
  <w:abstractNum w:abstractNumId="18">
    <w:nsid w:val="4E9E55E1"/>
    <w:multiLevelType w:val="singleLevel"/>
    <w:tmpl w:val="C40A3634"/>
    <w:lvl w:ilvl="0">
      <w:start w:val="10"/>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2"/>
        <w:szCs w:val="22"/>
        <w:u w:val="none"/>
        <w:effect w:val="none"/>
      </w:rPr>
    </w:lvl>
  </w:abstractNum>
  <w:abstractNum w:abstractNumId="19">
    <w:nsid w:val="548D6674"/>
    <w:multiLevelType w:val="hybridMultilevel"/>
    <w:tmpl w:val="64EE62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18865F8"/>
    <w:multiLevelType w:val="hybridMultilevel"/>
    <w:tmpl w:val="59BCD8B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6"/>
    </w:lvlOverride>
  </w:num>
  <w:num w:numId="4">
    <w:abstractNumId w:val="11"/>
    <w:lvlOverride w:ilvl="0">
      <w:startOverride w:val="7"/>
    </w:lvlOverride>
  </w:num>
  <w:num w:numId="5">
    <w:abstractNumId w:val="8"/>
    <w:lvlOverride w:ilvl="0">
      <w:startOverride w:val="8"/>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4"/>
    <w:lvlOverride w:ilvl="0">
      <w:startOverride w:val="3"/>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3"/>
    </w:lvlOverride>
  </w:num>
  <w:num w:numId="12">
    <w:abstractNumId w:val="1"/>
    <w:lvlOverride w:ilvl="0">
      <w:startOverride w:val="5"/>
    </w:lvlOverride>
  </w:num>
  <w:num w:numId="13">
    <w:abstractNumId w:val="18"/>
    <w:lvlOverride w:ilvl="0">
      <w:startOverride w:val="10"/>
    </w:lvlOverride>
  </w:num>
  <w:num w:numId="14">
    <w:abstractNumId w:val="4"/>
  </w:num>
  <w:num w:numId="15">
    <w:abstractNumId w:val="16"/>
  </w:num>
  <w:num w:numId="16">
    <w:abstractNumId w:val="20"/>
  </w:num>
  <w:num w:numId="17">
    <w:abstractNumId w:val="15"/>
  </w:num>
  <w:num w:numId="18">
    <w:abstractNumId w:val="19"/>
  </w:num>
  <w:num w:numId="19">
    <w:abstractNumId w:val="9"/>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DB"/>
    <w:rsid w:val="000A2C53"/>
    <w:rsid w:val="000B13D4"/>
    <w:rsid w:val="00110558"/>
    <w:rsid w:val="00121653"/>
    <w:rsid w:val="00142254"/>
    <w:rsid w:val="001F1823"/>
    <w:rsid w:val="00233BBA"/>
    <w:rsid w:val="00237FE7"/>
    <w:rsid w:val="002655D2"/>
    <w:rsid w:val="002F2DDB"/>
    <w:rsid w:val="00336863"/>
    <w:rsid w:val="0039274F"/>
    <w:rsid w:val="003A2D46"/>
    <w:rsid w:val="00424A73"/>
    <w:rsid w:val="00473661"/>
    <w:rsid w:val="00507CC8"/>
    <w:rsid w:val="005E5DB4"/>
    <w:rsid w:val="00626D2A"/>
    <w:rsid w:val="00702183"/>
    <w:rsid w:val="008219CC"/>
    <w:rsid w:val="008233EE"/>
    <w:rsid w:val="008F076D"/>
    <w:rsid w:val="00903506"/>
    <w:rsid w:val="00987A18"/>
    <w:rsid w:val="009F379C"/>
    <w:rsid w:val="009F448D"/>
    <w:rsid w:val="00A46B10"/>
    <w:rsid w:val="00A57053"/>
    <w:rsid w:val="00A86378"/>
    <w:rsid w:val="00AB6B39"/>
    <w:rsid w:val="00B64515"/>
    <w:rsid w:val="00C254A8"/>
    <w:rsid w:val="00C717CB"/>
    <w:rsid w:val="00CC48F2"/>
    <w:rsid w:val="00CF1A39"/>
    <w:rsid w:val="00D0379F"/>
    <w:rsid w:val="00DC33FA"/>
    <w:rsid w:val="00E155B9"/>
    <w:rsid w:val="00E83302"/>
    <w:rsid w:val="00E94187"/>
    <w:rsid w:val="00EE761B"/>
    <w:rsid w:val="00F8409F"/>
    <w:rsid w:val="00F920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19CC"/>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2F2DDB"/>
    <w:pPr>
      <w:tabs>
        <w:tab w:val="center" w:pos="4536"/>
        <w:tab w:val="right" w:pos="9072"/>
      </w:tabs>
      <w:spacing w:after="0" w:line="240" w:lineRule="auto"/>
    </w:pPr>
  </w:style>
  <w:style w:type="character" w:customStyle="1" w:styleId="HlavikaChar">
    <w:name w:val="Hlavička Char"/>
    <w:link w:val="Hlavika"/>
    <w:uiPriority w:val="99"/>
    <w:locked/>
    <w:rsid w:val="002F2DDB"/>
    <w:rPr>
      <w:rFonts w:cs="Times New Roman"/>
    </w:rPr>
  </w:style>
  <w:style w:type="paragraph" w:styleId="Pta">
    <w:name w:val="footer"/>
    <w:basedOn w:val="Normlny"/>
    <w:link w:val="PtaChar"/>
    <w:uiPriority w:val="99"/>
    <w:rsid w:val="002F2DDB"/>
    <w:pPr>
      <w:tabs>
        <w:tab w:val="center" w:pos="4536"/>
        <w:tab w:val="right" w:pos="9072"/>
      </w:tabs>
      <w:spacing w:after="0" w:line="240" w:lineRule="auto"/>
    </w:pPr>
  </w:style>
  <w:style w:type="character" w:customStyle="1" w:styleId="PtaChar">
    <w:name w:val="Päta Char"/>
    <w:link w:val="Pta"/>
    <w:uiPriority w:val="99"/>
    <w:locked/>
    <w:rsid w:val="002F2DDB"/>
    <w:rPr>
      <w:rFonts w:cs="Times New Roman"/>
    </w:rPr>
  </w:style>
  <w:style w:type="paragraph" w:styleId="Textbubliny">
    <w:name w:val="Balloon Text"/>
    <w:basedOn w:val="Normlny"/>
    <w:link w:val="TextbublinyChar"/>
    <w:uiPriority w:val="99"/>
    <w:semiHidden/>
    <w:rsid w:val="002F2DD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2F2DDB"/>
    <w:rPr>
      <w:rFonts w:ascii="Tahoma" w:hAnsi="Tahoma" w:cs="Tahoma"/>
      <w:sz w:val="16"/>
      <w:szCs w:val="16"/>
    </w:rPr>
  </w:style>
  <w:style w:type="character" w:styleId="Odkaznakomentr">
    <w:name w:val="annotation reference"/>
    <w:uiPriority w:val="99"/>
    <w:semiHidden/>
    <w:rsid w:val="002F2DDB"/>
    <w:rPr>
      <w:rFonts w:cs="Times New Roman"/>
      <w:sz w:val="16"/>
      <w:szCs w:val="16"/>
    </w:rPr>
  </w:style>
  <w:style w:type="paragraph" w:styleId="Textkomentra">
    <w:name w:val="annotation text"/>
    <w:basedOn w:val="Normlny"/>
    <w:link w:val="TextkomentraChar"/>
    <w:uiPriority w:val="99"/>
    <w:semiHidden/>
    <w:rsid w:val="002F2DDB"/>
    <w:pPr>
      <w:spacing w:line="240" w:lineRule="auto"/>
    </w:pPr>
    <w:rPr>
      <w:sz w:val="20"/>
      <w:szCs w:val="20"/>
    </w:rPr>
  </w:style>
  <w:style w:type="character" w:customStyle="1" w:styleId="TextkomentraChar">
    <w:name w:val="Text komentára Char"/>
    <w:link w:val="Textkomentra"/>
    <w:uiPriority w:val="99"/>
    <w:semiHidden/>
    <w:locked/>
    <w:rsid w:val="002F2DDB"/>
    <w:rPr>
      <w:rFonts w:cs="Times New Roman"/>
      <w:sz w:val="20"/>
      <w:szCs w:val="20"/>
    </w:rPr>
  </w:style>
  <w:style w:type="paragraph" w:styleId="Predmetkomentra">
    <w:name w:val="annotation subject"/>
    <w:basedOn w:val="Textkomentra"/>
    <w:next w:val="Textkomentra"/>
    <w:link w:val="PredmetkomentraChar"/>
    <w:uiPriority w:val="99"/>
    <w:semiHidden/>
    <w:rsid w:val="002F2DDB"/>
    <w:rPr>
      <w:b/>
      <w:bCs/>
    </w:rPr>
  </w:style>
  <w:style w:type="character" w:customStyle="1" w:styleId="PredmetkomentraChar">
    <w:name w:val="Predmet komentára Char"/>
    <w:link w:val="Predmetkomentra"/>
    <w:uiPriority w:val="99"/>
    <w:semiHidden/>
    <w:locked/>
    <w:rsid w:val="002F2DDB"/>
    <w:rPr>
      <w:rFonts w:cs="Times New Roman"/>
      <w:b/>
      <w:bCs/>
      <w:sz w:val="20"/>
      <w:szCs w:val="20"/>
    </w:rPr>
  </w:style>
  <w:style w:type="paragraph" w:styleId="Odsekzoznamu">
    <w:name w:val="List Paragraph"/>
    <w:basedOn w:val="Normlny"/>
    <w:uiPriority w:val="99"/>
    <w:qFormat/>
    <w:rsid w:val="003A2D46"/>
    <w:pPr>
      <w:ind w:left="720"/>
      <w:contextualSpacing/>
    </w:pPr>
  </w:style>
  <w:style w:type="paragraph" w:styleId="Revzia">
    <w:name w:val="Revision"/>
    <w:hidden/>
    <w:uiPriority w:val="99"/>
    <w:semiHidden/>
    <w:rsid w:val="0039274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19CC"/>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2F2DDB"/>
    <w:pPr>
      <w:tabs>
        <w:tab w:val="center" w:pos="4536"/>
        <w:tab w:val="right" w:pos="9072"/>
      </w:tabs>
      <w:spacing w:after="0" w:line="240" w:lineRule="auto"/>
    </w:pPr>
  </w:style>
  <w:style w:type="character" w:customStyle="1" w:styleId="HlavikaChar">
    <w:name w:val="Hlavička Char"/>
    <w:link w:val="Hlavika"/>
    <w:uiPriority w:val="99"/>
    <w:locked/>
    <w:rsid w:val="002F2DDB"/>
    <w:rPr>
      <w:rFonts w:cs="Times New Roman"/>
    </w:rPr>
  </w:style>
  <w:style w:type="paragraph" w:styleId="Pta">
    <w:name w:val="footer"/>
    <w:basedOn w:val="Normlny"/>
    <w:link w:val="PtaChar"/>
    <w:uiPriority w:val="99"/>
    <w:rsid w:val="002F2DDB"/>
    <w:pPr>
      <w:tabs>
        <w:tab w:val="center" w:pos="4536"/>
        <w:tab w:val="right" w:pos="9072"/>
      </w:tabs>
      <w:spacing w:after="0" w:line="240" w:lineRule="auto"/>
    </w:pPr>
  </w:style>
  <w:style w:type="character" w:customStyle="1" w:styleId="PtaChar">
    <w:name w:val="Päta Char"/>
    <w:link w:val="Pta"/>
    <w:uiPriority w:val="99"/>
    <w:locked/>
    <w:rsid w:val="002F2DDB"/>
    <w:rPr>
      <w:rFonts w:cs="Times New Roman"/>
    </w:rPr>
  </w:style>
  <w:style w:type="paragraph" w:styleId="Textbubliny">
    <w:name w:val="Balloon Text"/>
    <w:basedOn w:val="Normlny"/>
    <w:link w:val="TextbublinyChar"/>
    <w:uiPriority w:val="99"/>
    <w:semiHidden/>
    <w:rsid w:val="002F2DD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2F2DDB"/>
    <w:rPr>
      <w:rFonts w:ascii="Tahoma" w:hAnsi="Tahoma" w:cs="Tahoma"/>
      <w:sz w:val="16"/>
      <w:szCs w:val="16"/>
    </w:rPr>
  </w:style>
  <w:style w:type="character" w:styleId="Odkaznakomentr">
    <w:name w:val="annotation reference"/>
    <w:uiPriority w:val="99"/>
    <w:semiHidden/>
    <w:rsid w:val="002F2DDB"/>
    <w:rPr>
      <w:rFonts w:cs="Times New Roman"/>
      <w:sz w:val="16"/>
      <w:szCs w:val="16"/>
    </w:rPr>
  </w:style>
  <w:style w:type="paragraph" w:styleId="Textkomentra">
    <w:name w:val="annotation text"/>
    <w:basedOn w:val="Normlny"/>
    <w:link w:val="TextkomentraChar"/>
    <w:uiPriority w:val="99"/>
    <w:semiHidden/>
    <w:rsid w:val="002F2DDB"/>
    <w:pPr>
      <w:spacing w:line="240" w:lineRule="auto"/>
    </w:pPr>
    <w:rPr>
      <w:sz w:val="20"/>
      <w:szCs w:val="20"/>
    </w:rPr>
  </w:style>
  <w:style w:type="character" w:customStyle="1" w:styleId="TextkomentraChar">
    <w:name w:val="Text komentára Char"/>
    <w:link w:val="Textkomentra"/>
    <w:uiPriority w:val="99"/>
    <w:semiHidden/>
    <w:locked/>
    <w:rsid w:val="002F2DDB"/>
    <w:rPr>
      <w:rFonts w:cs="Times New Roman"/>
      <w:sz w:val="20"/>
      <w:szCs w:val="20"/>
    </w:rPr>
  </w:style>
  <w:style w:type="paragraph" w:styleId="Predmetkomentra">
    <w:name w:val="annotation subject"/>
    <w:basedOn w:val="Textkomentra"/>
    <w:next w:val="Textkomentra"/>
    <w:link w:val="PredmetkomentraChar"/>
    <w:uiPriority w:val="99"/>
    <w:semiHidden/>
    <w:rsid w:val="002F2DDB"/>
    <w:rPr>
      <w:b/>
      <w:bCs/>
    </w:rPr>
  </w:style>
  <w:style w:type="character" w:customStyle="1" w:styleId="PredmetkomentraChar">
    <w:name w:val="Predmet komentára Char"/>
    <w:link w:val="Predmetkomentra"/>
    <w:uiPriority w:val="99"/>
    <w:semiHidden/>
    <w:locked/>
    <w:rsid w:val="002F2DDB"/>
    <w:rPr>
      <w:rFonts w:cs="Times New Roman"/>
      <w:b/>
      <w:bCs/>
      <w:sz w:val="20"/>
      <w:szCs w:val="20"/>
    </w:rPr>
  </w:style>
  <w:style w:type="paragraph" w:styleId="Odsekzoznamu">
    <w:name w:val="List Paragraph"/>
    <w:basedOn w:val="Normlny"/>
    <w:uiPriority w:val="99"/>
    <w:qFormat/>
    <w:rsid w:val="003A2D46"/>
    <w:pPr>
      <w:ind w:left="720"/>
      <w:contextualSpacing/>
    </w:pPr>
  </w:style>
  <w:style w:type="paragraph" w:styleId="Revzia">
    <w:name w:val="Revision"/>
    <w:hidden/>
    <w:uiPriority w:val="99"/>
    <w:semiHidden/>
    <w:rsid w:val="003927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48166">
      <w:marLeft w:val="0"/>
      <w:marRight w:val="0"/>
      <w:marTop w:val="0"/>
      <w:marBottom w:val="0"/>
      <w:divBdr>
        <w:top w:val="none" w:sz="0" w:space="0" w:color="auto"/>
        <w:left w:val="none" w:sz="0" w:space="0" w:color="auto"/>
        <w:bottom w:val="none" w:sz="0" w:space="0" w:color="auto"/>
        <w:right w:val="none" w:sz="0" w:space="0" w:color="auto"/>
      </w:divBdr>
    </w:div>
    <w:div w:id="669648167">
      <w:marLeft w:val="0"/>
      <w:marRight w:val="0"/>
      <w:marTop w:val="0"/>
      <w:marBottom w:val="0"/>
      <w:divBdr>
        <w:top w:val="none" w:sz="0" w:space="0" w:color="auto"/>
        <w:left w:val="none" w:sz="0" w:space="0" w:color="auto"/>
        <w:bottom w:val="none" w:sz="0" w:space="0" w:color="auto"/>
        <w:right w:val="none" w:sz="0" w:space="0" w:color="auto"/>
      </w:divBdr>
    </w:div>
    <w:div w:id="6696481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5335</Words>
  <Characters>34486</Characters>
  <Application>Microsoft Office Word</Application>
  <DocSecurity>0</DocSecurity>
  <Lines>287</Lines>
  <Paragraphs>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Microsoft</Company>
  <LinksUpToDate>false</LinksUpToDate>
  <CharactersWithSpaces>39742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Rovna, Katarina SK</dc:creator>
  <cp:lastModifiedBy>Miroslava Slahúčková</cp:lastModifiedBy>
  <cp:revision>5</cp:revision>
  <dcterms:created xsi:type="dcterms:W3CDTF">2018-10-24T13:27:00Z</dcterms:created>
  <dcterms:modified xsi:type="dcterms:W3CDTF">2018-10-26T06:18:00Z</dcterms:modified>
</cp:coreProperties>
</file>