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74" w:rsidRPr="00F143F2" w:rsidRDefault="00DD7274" w:rsidP="00DD7274">
      <w:pPr>
        <w:rPr>
          <w:b/>
          <w:szCs w:val="22"/>
          <w:lang w:val="es-ES_tradnl"/>
        </w:rPr>
      </w:pPr>
    </w:p>
    <w:p w:rsidR="00111E92" w:rsidRPr="00F143F2" w:rsidRDefault="00111E92" w:rsidP="00111E92">
      <w:pPr>
        <w:jc w:val="center"/>
        <w:rPr>
          <w:b/>
          <w:szCs w:val="22"/>
        </w:rPr>
      </w:pPr>
      <w:proofErr w:type="spellStart"/>
      <w:r w:rsidRPr="00F143F2">
        <w:rPr>
          <w:b/>
          <w:szCs w:val="22"/>
        </w:rPr>
        <w:t>SÚHRN</w:t>
      </w:r>
      <w:proofErr w:type="spellEnd"/>
      <w:r w:rsidRPr="00F143F2">
        <w:rPr>
          <w:b/>
          <w:szCs w:val="22"/>
        </w:rPr>
        <w:t xml:space="preserve"> </w:t>
      </w:r>
      <w:proofErr w:type="spellStart"/>
      <w:r w:rsidRPr="00F143F2">
        <w:rPr>
          <w:b/>
          <w:szCs w:val="22"/>
        </w:rPr>
        <w:t>CHARAKTERISTICKÝCH</w:t>
      </w:r>
      <w:proofErr w:type="spellEnd"/>
      <w:r w:rsidRPr="00F143F2">
        <w:rPr>
          <w:b/>
          <w:szCs w:val="22"/>
        </w:rPr>
        <w:t xml:space="preserve"> </w:t>
      </w:r>
      <w:proofErr w:type="spellStart"/>
      <w:r w:rsidRPr="00F143F2">
        <w:rPr>
          <w:b/>
          <w:szCs w:val="22"/>
        </w:rPr>
        <w:t>VLASTNOSTÍ</w:t>
      </w:r>
      <w:proofErr w:type="spellEnd"/>
      <w:r w:rsidRPr="00F143F2">
        <w:rPr>
          <w:b/>
          <w:szCs w:val="22"/>
        </w:rPr>
        <w:t xml:space="preserve"> </w:t>
      </w:r>
      <w:proofErr w:type="spellStart"/>
      <w:r w:rsidRPr="00F143F2">
        <w:rPr>
          <w:b/>
          <w:szCs w:val="22"/>
        </w:rPr>
        <w:t>LIEKU</w:t>
      </w:r>
      <w:proofErr w:type="spellEnd"/>
    </w:p>
    <w:p w:rsidR="00111E92" w:rsidRPr="00F143F2" w:rsidRDefault="00111E9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eastAsia="sk-SK"/>
        </w:rPr>
      </w:pPr>
    </w:p>
    <w:p w:rsidR="00DB0CD5" w:rsidRPr="00F143F2" w:rsidRDefault="00DB0CD5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eastAsia="sk-SK"/>
        </w:rPr>
      </w:pPr>
    </w:p>
    <w:p w:rsidR="003C309A" w:rsidRPr="00F143F2" w:rsidRDefault="00111E9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F143F2">
        <w:rPr>
          <w:rFonts w:eastAsia="TimesNewRoman,Bold"/>
          <w:b/>
          <w:bCs/>
          <w:szCs w:val="22"/>
          <w:lang w:val="sk-SK" w:eastAsia="sk-SK"/>
        </w:rPr>
        <w:t>1.</w:t>
      </w:r>
      <w:r w:rsidRPr="00F143F2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F143F2">
        <w:rPr>
          <w:rFonts w:eastAsia="TimesNewRoman,Bold"/>
          <w:b/>
          <w:bCs/>
          <w:szCs w:val="22"/>
          <w:lang w:val="sk-SK" w:eastAsia="sk-SK"/>
        </w:rPr>
        <w:t>NÁZOV LIEKU</w:t>
      </w:r>
    </w:p>
    <w:p w:rsidR="00111E92" w:rsidRPr="00F143F2" w:rsidRDefault="00111E9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E83D08" w:rsidRPr="00F143F2" w:rsidRDefault="00BF0E8A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proofErr w:type="spellStart"/>
      <w:r w:rsidRPr="00F143F2">
        <w:rPr>
          <w:rFonts w:eastAsia="TimesNewRoman"/>
          <w:szCs w:val="22"/>
          <w:lang w:val="sk-SK" w:eastAsia="sk-SK"/>
        </w:rPr>
        <w:t>Bimican</w:t>
      </w:r>
      <w:proofErr w:type="spellEnd"/>
      <w:r w:rsidR="00235D3C" w:rsidRPr="00F143F2">
        <w:rPr>
          <w:rFonts w:eastAsia="TimesNewRoman"/>
          <w:szCs w:val="22"/>
          <w:lang w:val="sk-SK" w:eastAsia="sk-SK"/>
        </w:rPr>
        <w:t xml:space="preserve"> 0,3</w:t>
      </w:r>
      <w:r w:rsidR="00111E92" w:rsidRPr="00F143F2">
        <w:rPr>
          <w:rFonts w:eastAsia="TimesNewRoman"/>
          <w:szCs w:val="22"/>
          <w:lang w:val="sk-SK" w:eastAsia="sk-SK"/>
        </w:rPr>
        <w:t xml:space="preserve"> mg/ml </w:t>
      </w:r>
    </w:p>
    <w:p w:rsidR="003C309A" w:rsidRPr="00F143F2" w:rsidRDefault="00DB0CD5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F143F2">
        <w:rPr>
          <w:iCs/>
          <w:szCs w:val="22"/>
          <w:lang w:val="sk-SK"/>
        </w:rPr>
        <w:t xml:space="preserve">očná roztoková </w:t>
      </w:r>
      <w:proofErr w:type="spellStart"/>
      <w:r w:rsidRPr="00F143F2">
        <w:rPr>
          <w:iCs/>
          <w:szCs w:val="22"/>
          <w:lang w:val="sk-SK"/>
        </w:rPr>
        <w:t>instilácia</w:t>
      </w:r>
      <w:proofErr w:type="spellEnd"/>
    </w:p>
    <w:p w:rsidR="003C309A" w:rsidRPr="00F143F2" w:rsidRDefault="003C309A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DB0CD5" w:rsidRPr="00F143F2" w:rsidRDefault="00DB0CD5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F143F2" w:rsidRDefault="00111E9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F143F2">
        <w:rPr>
          <w:rFonts w:eastAsia="TimesNewRoman,Bold"/>
          <w:b/>
          <w:bCs/>
          <w:szCs w:val="22"/>
          <w:lang w:val="sk-SK" w:eastAsia="sk-SK"/>
        </w:rPr>
        <w:t>2.</w:t>
      </w:r>
      <w:r w:rsidRPr="00F143F2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F143F2">
        <w:rPr>
          <w:rFonts w:eastAsia="TimesNewRoman,Bold"/>
          <w:b/>
          <w:bCs/>
          <w:szCs w:val="22"/>
          <w:lang w:val="sk-SK" w:eastAsia="sk-SK"/>
        </w:rPr>
        <w:t>KVALITATÍVNE A KVANTITATÍVNE ZLOŽENIE</w:t>
      </w:r>
    </w:p>
    <w:p w:rsidR="00111E92" w:rsidRPr="00F143F2" w:rsidRDefault="00111E9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F143F2" w:rsidRDefault="00235D3C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F143F2">
        <w:rPr>
          <w:rFonts w:eastAsia="TimesNewRoman"/>
          <w:szCs w:val="22"/>
          <w:lang w:val="sk-SK" w:eastAsia="sk-SK"/>
        </w:rPr>
        <w:t>Jeden</w:t>
      </w:r>
      <w:r w:rsidR="003C309A" w:rsidRPr="00F143F2">
        <w:rPr>
          <w:rFonts w:eastAsia="TimesNewRoman"/>
          <w:szCs w:val="22"/>
          <w:lang w:val="sk-SK" w:eastAsia="sk-SK"/>
        </w:rPr>
        <w:t xml:space="preserve"> ml roztoku obs</w:t>
      </w:r>
      <w:r w:rsidRPr="00F143F2">
        <w:rPr>
          <w:rFonts w:eastAsia="TimesNewRoman"/>
          <w:szCs w:val="22"/>
          <w:lang w:val="sk-SK" w:eastAsia="sk-SK"/>
        </w:rPr>
        <w:t xml:space="preserve">ahuje 0,3 mg </w:t>
      </w:r>
      <w:proofErr w:type="spellStart"/>
      <w:r w:rsidRPr="00F143F2">
        <w:rPr>
          <w:rFonts w:eastAsia="TimesNewRoman"/>
          <w:szCs w:val="22"/>
          <w:lang w:val="sk-SK" w:eastAsia="sk-SK"/>
        </w:rPr>
        <w:t>bimatoprostu</w:t>
      </w:r>
      <w:proofErr w:type="spellEnd"/>
      <w:r w:rsidRPr="00F143F2">
        <w:rPr>
          <w:rFonts w:eastAsia="TimesNewRoman"/>
          <w:szCs w:val="22"/>
          <w:lang w:val="sk-SK" w:eastAsia="sk-SK"/>
        </w:rPr>
        <w:t xml:space="preserve"> </w:t>
      </w:r>
    </w:p>
    <w:p w:rsidR="00111E92" w:rsidRPr="00F143F2" w:rsidRDefault="00235D3C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F143F2">
        <w:rPr>
          <w:rFonts w:eastAsia="TimesNewRoman"/>
          <w:szCs w:val="22"/>
          <w:lang w:val="sk-SK" w:eastAsia="sk-SK"/>
        </w:rPr>
        <w:t xml:space="preserve">Jedna kvapka obsahuje 9 </w:t>
      </w:r>
      <w:proofErr w:type="spellStart"/>
      <w:r w:rsidRPr="00F143F2">
        <w:rPr>
          <w:rFonts w:eastAsia="TimesNewRoman"/>
          <w:szCs w:val="22"/>
          <w:lang w:val="sk-SK" w:eastAsia="sk-SK"/>
        </w:rPr>
        <w:t>μg</w:t>
      </w:r>
      <w:proofErr w:type="spellEnd"/>
      <w:r w:rsidRPr="00F143F2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Pr="00F143F2">
        <w:rPr>
          <w:rFonts w:eastAsia="TimesNewRoman"/>
          <w:szCs w:val="22"/>
          <w:lang w:val="sk-SK" w:eastAsia="sk-SK"/>
        </w:rPr>
        <w:t>bimatoprostu</w:t>
      </w:r>
      <w:proofErr w:type="spellEnd"/>
    </w:p>
    <w:p w:rsidR="00566048" w:rsidRPr="00F143F2" w:rsidRDefault="00566048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235D3C" w:rsidRPr="00F143F2" w:rsidRDefault="00566048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F143F2">
        <w:rPr>
          <w:rFonts w:eastAsia="TimesNewRoman"/>
          <w:szCs w:val="22"/>
          <w:u w:val="single"/>
          <w:lang w:val="sk-SK" w:eastAsia="sk-SK"/>
        </w:rPr>
        <w:t>Pomocná látka so známym účinkom</w:t>
      </w:r>
      <w:r w:rsidRPr="00F143F2">
        <w:rPr>
          <w:rFonts w:eastAsia="TimesNewRoman"/>
          <w:szCs w:val="22"/>
          <w:lang w:val="sk-SK" w:eastAsia="sk-SK"/>
        </w:rPr>
        <w:t xml:space="preserve">: </w:t>
      </w:r>
    </w:p>
    <w:p w:rsidR="003C309A" w:rsidRPr="00F143F2" w:rsidRDefault="00235D3C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F143F2">
        <w:rPr>
          <w:rFonts w:eastAsia="TimesNewRoman"/>
          <w:szCs w:val="22"/>
          <w:lang w:val="sk-SK" w:eastAsia="sk-SK"/>
        </w:rPr>
        <w:t xml:space="preserve">Jeden ml roztoku obsahuje 0,05 mg </w:t>
      </w:r>
      <w:proofErr w:type="spellStart"/>
      <w:r w:rsidR="00566048" w:rsidRPr="00F143F2">
        <w:rPr>
          <w:rFonts w:eastAsia="TimesNewRoman"/>
          <w:szCs w:val="22"/>
          <w:lang w:val="sk-SK" w:eastAsia="sk-SK"/>
        </w:rPr>
        <w:t>b</w:t>
      </w:r>
      <w:r w:rsidR="003C309A" w:rsidRPr="00F143F2">
        <w:rPr>
          <w:rFonts w:eastAsia="TimesNewRoman"/>
          <w:szCs w:val="22"/>
          <w:lang w:val="sk-SK" w:eastAsia="sk-SK"/>
        </w:rPr>
        <w:t>enzalkóniumchlorid</w:t>
      </w:r>
      <w:r w:rsidRPr="00F143F2">
        <w:rPr>
          <w:rFonts w:eastAsia="TimesNewRoman"/>
          <w:szCs w:val="22"/>
          <w:lang w:val="sk-SK" w:eastAsia="sk-SK"/>
        </w:rPr>
        <w:t>u</w:t>
      </w:r>
      <w:proofErr w:type="spellEnd"/>
      <w:r w:rsidRPr="00F143F2">
        <w:rPr>
          <w:rFonts w:eastAsia="TimesNewRoman"/>
          <w:szCs w:val="22"/>
          <w:lang w:val="sk-SK" w:eastAsia="sk-SK"/>
        </w:rPr>
        <w:t>.</w:t>
      </w:r>
    </w:p>
    <w:p w:rsidR="00111E92" w:rsidRPr="00F143F2" w:rsidRDefault="00111E9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F143F2" w:rsidRDefault="003C309A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F143F2">
        <w:rPr>
          <w:rFonts w:eastAsia="TimesNewRoman"/>
          <w:szCs w:val="22"/>
          <w:lang w:val="sk-SK" w:eastAsia="sk-SK"/>
        </w:rPr>
        <w:t>Pre úplný zoznam pomocných látok, pozri časť 6.1.</w:t>
      </w:r>
    </w:p>
    <w:p w:rsidR="0071586E" w:rsidRPr="00F143F2" w:rsidRDefault="0071586E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DB0CD5" w:rsidRPr="00F143F2" w:rsidRDefault="00DB0CD5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F143F2" w:rsidRDefault="00111E9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F143F2">
        <w:rPr>
          <w:rFonts w:eastAsia="TimesNewRoman,Bold"/>
          <w:b/>
          <w:bCs/>
          <w:szCs w:val="22"/>
          <w:lang w:val="sk-SK" w:eastAsia="sk-SK"/>
        </w:rPr>
        <w:t>3.</w:t>
      </w:r>
      <w:r w:rsidRPr="00F143F2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F143F2">
        <w:rPr>
          <w:rFonts w:eastAsia="TimesNewRoman,Bold"/>
          <w:b/>
          <w:bCs/>
          <w:szCs w:val="22"/>
          <w:lang w:val="sk-SK" w:eastAsia="sk-SK"/>
        </w:rPr>
        <w:t>LIEKOVÁ FORMA</w:t>
      </w:r>
    </w:p>
    <w:p w:rsidR="00111E92" w:rsidRPr="00F143F2" w:rsidRDefault="00111E9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F143F2" w:rsidRDefault="003C309A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F143F2">
        <w:rPr>
          <w:rFonts w:eastAsia="TimesNewRoman"/>
          <w:szCs w:val="22"/>
          <w:lang w:val="sk-SK" w:eastAsia="sk-SK"/>
        </w:rPr>
        <w:t>Očná roz</w:t>
      </w:r>
      <w:r w:rsidR="0071586E" w:rsidRPr="00F143F2">
        <w:rPr>
          <w:rFonts w:eastAsia="TimesNewRoman"/>
          <w:szCs w:val="22"/>
          <w:lang w:val="sk-SK" w:eastAsia="sk-SK"/>
        </w:rPr>
        <w:t xml:space="preserve">toková </w:t>
      </w:r>
      <w:proofErr w:type="spellStart"/>
      <w:r w:rsidR="0071586E" w:rsidRPr="00F143F2">
        <w:rPr>
          <w:rFonts w:eastAsia="TimesNewRoman"/>
          <w:szCs w:val="22"/>
          <w:lang w:val="sk-SK" w:eastAsia="sk-SK"/>
        </w:rPr>
        <w:t>instilácia</w:t>
      </w:r>
      <w:proofErr w:type="spellEnd"/>
      <w:r w:rsidR="0071586E" w:rsidRPr="00F143F2">
        <w:rPr>
          <w:rFonts w:eastAsia="TimesNewRoman"/>
          <w:szCs w:val="22"/>
          <w:lang w:val="sk-SK" w:eastAsia="sk-SK"/>
        </w:rPr>
        <w:t xml:space="preserve"> </w:t>
      </w:r>
    </w:p>
    <w:p w:rsidR="00EC6DE5" w:rsidRPr="00F143F2" w:rsidRDefault="00EC6DE5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235D3C" w:rsidRPr="00F143F2" w:rsidRDefault="00235D3C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F143F2">
        <w:rPr>
          <w:rFonts w:eastAsia="TimesNewRoman"/>
          <w:szCs w:val="22"/>
          <w:lang w:val="sk-SK" w:eastAsia="sk-SK"/>
        </w:rPr>
        <w:t>Číry, b</w:t>
      </w:r>
      <w:r w:rsidR="003C309A" w:rsidRPr="00F143F2">
        <w:rPr>
          <w:rFonts w:eastAsia="TimesNewRoman"/>
          <w:szCs w:val="22"/>
          <w:lang w:val="sk-SK" w:eastAsia="sk-SK"/>
        </w:rPr>
        <w:t>ezfarebn</w:t>
      </w:r>
      <w:r w:rsidRPr="00F143F2">
        <w:rPr>
          <w:rFonts w:eastAsia="TimesNewRoman"/>
          <w:szCs w:val="22"/>
          <w:lang w:val="sk-SK" w:eastAsia="sk-SK"/>
        </w:rPr>
        <w:t>ý, sterilný</w:t>
      </w:r>
      <w:r w:rsidR="005C3687" w:rsidRPr="00F143F2">
        <w:rPr>
          <w:rFonts w:eastAsia="TimesNewRoman"/>
          <w:szCs w:val="22"/>
          <w:lang w:val="sk-SK" w:eastAsia="sk-SK"/>
        </w:rPr>
        <w:t xml:space="preserve"> </w:t>
      </w:r>
      <w:r w:rsidR="003C309A" w:rsidRPr="00F143F2">
        <w:rPr>
          <w:rFonts w:eastAsia="TimesNewRoman"/>
          <w:szCs w:val="22"/>
          <w:lang w:val="sk-SK" w:eastAsia="sk-SK"/>
        </w:rPr>
        <w:t>roztok</w:t>
      </w:r>
      <w:r w:rsidRPr="00F143F2">
        <w:rPr>
          <w:rFonts w:eastAsia="TimesNewRoman"/>
          <w:szCs w:val="22"/>
          <w:lang w:val="sk-SK" w:eastAsia="sk-SK"/>
        </w:rPr>
        <w:t>, prakticky bez častíc,</w:t>
      </w:r>
      <w:r w:rsidR="00414033" w:rsidRPr="00F143F2">
        <w:rPr>
          <w:rFonts w:eastAsia="TimesNewRoman"/>
          <w:szCs w:val="22"/>
          <w:lang w:val="sk-SK" w:eastAsia="sk-SK"/>
        </w:rPr>
        <w:t xml:space="preserve"> </w:t>
      </w:r>
      <w:r w:rsidR="00AB4440" w:rsidRPr="00F143F2">
        <w:rPr>
          <w:rFonts w:eastAsia="TimesNewRoman"/>
          <w:szCs w:val="22"/>
          <w:lang w:val="sk-SK" w:eastAsia="sk-SK"/>
        </w:rPr>
        <w:t>pH 6,5 až 7,5;</w:t>
      </w:r>
      <w:r w:rsidRPr="00F143F2">
        <w:rPr>
          <w:rFonts w:eastAsia="TimesNewRoman"/>
          <w:szCs w:val="22"/>
          <w:lang w:val="sk-SK" w:eastAsia="sk-SK"/>
        </w:rPr>
        <w:t xml:space="preserve"> </w:t>
      </w:r>
      <w:proofErr w:type="spellStart"/>
      <w:r w:rsidRPr="00F143F2">
        <w:rPr>
          <w:rFonts w:eastAsia="TimesNewRoman"/>
          <w:szCs w:val="22"/>
          <w:lang w:val="sk-SK" w:eastAsia="sk-SK"/>
        </w:rPr>
        <w:t>osmolalita</w:t>
      </w:r>
      <w:proofErr w:type="spellEnd"/>
      <w:r w:rsidRPr="00F143F2">
        <w:rPr>
          <w:rFonts w:eastAsia="TimesNewRoman"/>
          <w:szCs w:val="22"/>
          <w:lang w:val="sk-SK" w:eastAsia="sk-SK"/>
        </w:rPr>
        <w:t xml:space="preserve"> 280 až 340 </w:t>
      </w:r>
      <w:proofErr w:type="spellStart"/>
      <w:r w:rsidRPr="00F143F2">
        <w:rPr>
          <w:rFonts w:eastAsia="TimesNewRoman"/>
          <w:szCs w:val="22"/>
          <w:lang w:val="sk-SK" w:eastAsia="sk-SK"/>
        </w:rPr>
        <w:t>mOsm</w:t>
      </w:r>
      <w:proofErr w:type="spellEnd"/>
      <w:r w:rsidRPr="00F143F2">
        <w:rPr>
          <w:rFonts w:eastAsia="TimesNewRoman"/>
          <w:szCs w:val="22"/>
          <w:lang w:val="sk-SK" w:eastAsia="sk-SK"/>
        </w:rPr>
        <w:t>/kg</w:t>
      </w:r>
    </w:p>
    <w:p w:rsidR="005C3687" w:rsidRPr="00F143F2" w:rsidRDefault="005C3687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DB0CD5" w:rsidRPr="00F143F2" w:rsidRDefault="00DB0CD5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F143F2" w:rsidRDefault="00111E9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F143F2">
        <w:rPr>
          <w:rFonts w:eastAsia="TimesNewRoman,Bold"/>
          <w:b/>
          <w:bCs/>
          <w:szCs w:val="22"/>
          <w:lang w:val="sk-SK" w:eastAsia="sk-SK"/>
        </w:rPr>
        <w:t>4.</w:t>
      </w:r>
      <w:r w:rsidRPr="00F143F2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F143F2">
        <w:rPr>
          <w:rFonts w:eastAsia="TimesNewRoman,Bold"/>
          <w:b/>
          <w:bCs/>
          <w:szCs w:val="22"/>
          <w:lang w:val="sk-SK" w:eastAsia="sk-SK"/>
        </w:rPr>
        <w:t>KLINICKÉ ÚDAJE</w:t>
      </w:r>
    </w:p>
    <w:p w:rsidR="00111E92" w:rsidRPr="00F143F2" w:rsidRDefault="00111E9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F143F2" w:rsidRDefault="003C309A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F143F2">
        <w:rPr>
          <w:rFonts w:eastAsia="TimesNewRoman,Bold"/>
          <w:b/>
          <w:bCs/>
          <w:szCs w:val="22"/>
          <w:lang w:val="sk-SK" w:eastAsia="sk-SK"/>
        </w:rPr>
        <w:t>4.1</w:t>
      </w:r>
      <w:r w:rsidR="00111E92" w:rsidRPr="00F143F2">
        <w:rPr>
          <w:rFonts w:eastAsia="TimesNewRoman,Bold"/>
          <w:b/>
          <w:bCs/>
          <w:szCs w:val="22"/>
          <w:lang w:val="sk-SK" w:eastAsia="sk-SK"/>
        </w:rPr>
        <w:tab/>
      </w:r>
      <w:r w:rsidRPr="00F143F2">
        <w:rPr>
          <w:rFonts w:eastAsia="TimesNewRoman,Bold"/>
          <w:b/>
          <w:bCs/>
          <w:szCs w:val="22"/>
          <w:lang w:val="sk-SK" w:eastAsia="sk-SK"/>
        </w:rPr>
        <w:t>Terapeutické indikácie</w:t>
      </w:r>
    </w:p>
    <w:p w:rsidR="00111E92" w:rsidRPr="00F143F2" w:rsidRDefault="00111E9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235D3C" w:rsidRPr="00F143F2" w:rsidRDefault="00235D3C" w:rsidP="00235D3C">
      <w:pPr>
        <w:pStyle w:val="Default"/>
        <w:rPr>
          <w:sz w:val="22"/>
          <w:szCs w:val="22"/>
        </w:rPr>
      </w:pPr>
      <w:r w:rsidRPr="00F143F2">
        <w:rPr>
          <w:sz w:val="22"/>
          <w:szCs w:val="22"/>
        </w:rPr>
        <w:t xml:space="preserve">Zníženie zvýšeného </w:t>
      </w:r>
      <w:proofErr w:type="spellStart"/>
      <w:r w:rsidRPr="00F143F2">
        <w:rPr>
          <w:sz w:val="22"/>
          <w:szCs w:val="22"/>
        </w:rPr>
        <w:t>vnútroočného</w:t>
      </w:r>
      <w:proofErr w:type="spellEnd"/>
      <w:r w:rsidRPr="00F143F2">
        <w:rPr>
          <w:sz w:val="22"/>
          <w:szCs w:val="22"/>
        </w:rPr>
        <w:t xml:space="preserve"> tlaku pri chronickom </w:t>
      </w:r>
      <w:proofErr w:type="spellStart"/>
      <w:r w:rsidRPr="00F143F2">
        <w:rPr>
          <w:sz w:val="22"/>
          <w:szCs w:val="22"/>
        </w:rPr>
        <w:t>glaukóme</w:t>
      </w:r>
      <w:proofErr w:type="spellEnd"/>
      <w:r w:rsidRPr="00F143F2">
        <w:rPr>
          <w:sz w:val="22"/>
          <w:szCs w:val="22"/>
        </w:rPr>
        <w:t xml:space="preserve"> s otvoreným uhlom a </w:t>
      </w:r>
      <w:proofErr w:type="spellStart"/>
      <w:r w:rsidRPr="00F143F2">
        <w:rPr>
          <w:sz w:val="22"/>
          <w:szCs w:val="22"/>
        </w:rPr>
        <w:t>vnútroočnej</w:t>
      </w:r>
      <w:proofErr w:type="spellEnd"/>
      <w:r w:rsidRPr="00F143F2">
        <w:rPr>
          <w:sz w:val="22"/>
          <w:szCs w:val="22"/>
        </w:rPr>
        <w:t xml:space="preserve"> hypertenzii u dospelých pacientov (ako monoterapia alebo ako doplnková terapia k </w:t>
      </w:r>
      <w:proofErr w:type="spellStart"/>
      <w:r w:rsidRPr="00F143F2">
        <w:rPr>
          <w:sz w:val="22"/>
          <w:szCs w:val="22"/>
        </w:rPr>
        <w:t>betablokátorom</w:t>
      </w:r>
      <w:proofErr w:type="spellEnd"/>
      <w:r w:rsidRPr="00F143F2">
        <w:rPr>
          <w:sz w:val="22"/>
          <w:szCs w:val="22"/>
        </w:rPr>
        <w:t xml:space="preserve">). </w:t>
      </w:r>
    </w:p>
    <w:p w:rsidR="00111E92" w:rsidRPr="00F143F2" w:rsidRDefault="00111E9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F143F2" w:rsidRDefault="00111E9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F143F2">
        <w:rPr>
          <w:rFonts w:eastAsia="TimesNewRoman,Bold"/>
          <w:b/>
          <w:bCs/>
          <w:szCs w:val="22"/>
          <w:lang w:val="sk-SK" w:eastAsia="sk-SK"/>
        </w:rPr>
        <w:t>4.2</w:t>
      </w:r>
      <w:r w:rsidRPr="00F143F2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F143F2">
        <w:rPr>
          <w:rFonts w:eastAsia="TimesNewRoman,Bold"/>
          <w:b/>
          <w:bCs/>
          <w:szCs w:val="22"/>
          <w:lang w:val="sk-SK" w:eastAsia="sk-SK"/>
        </w:rPr>
        <w:t>Dávkovanie a spôsob podávania</w:t>
      </w:r>
    </w:p>
    <w:p w:rsidR="00111E92" w:rsidRPr="00F143F2" w:rsidRDefault="00111E9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17B2F" w:rsidRPr="00F143F2" w:rsidRDefault="00317B2F" w:rsidP="00317B2F">
      <w:pPr>
        <w:pStyle w:val="Default"/>
        <w:rPr>
          <w:sz w:val="22"/>
          <w:szCs w:val="22"/>
        </w:rPr>
      </w:pPr>
      <w:r w:rsidRPr="00F143F2">
        <w:rPr>
          <w:sz w:val="22"/>
          <w:szCs w:val="22"/>
          <w:u w:val="single"/>
        </w:rPr>
        <w:t xml:space="preserve">Dávkovanie </w:t>
      </w:r>
    </w:p>
    <w:p w:rsidR="00317B2F" w:rsidRPr="00F143F2" w:rsidRDefault="00317B2F" w:rsidP="00317B2F">
      <w:pPr>
        <w:pStyle w:val="Default"/>
        <w:rPr>
          <w:sz w:val="22"/>
          <w:szCs w:val="22"/>
        </w:rPr>
      </w:pPr>
      <w:r w:rsidRPr="00F143F2">
        <w:rPr>
          <w:sz w:val="22"/>
          <w:szCs w:val="22"/>
        </w:rPr>
        <w:t xml:space="preserve">Odporučená dávka je jedna kvapka do postihnutého oka (očí) jedenkrát denne večer. Dávkovanie jedenkrát denne sa nemá prekročiť, pretože častejšie podávanie môže viesť k zoslabeniu účinku na znižovanie </w:t>
      </w:r>
      <w:proofErr w:type="spellStart"/>
      <w:r w:rsidRPr="00F143F2">
        <w:rPr>
          <w:sz w:val="22"/>
          <w:szCs w:val="22"/>
        </w:rPr>
        <w:t>vnútroočného</w:t>
      </w:r>
      <w:proofErr w:type="spellEnd"/>
      <w:r w:rsidRPr="00F143F2">
        <w:rPr>
          <w:sz w:val="22"/>
          <w:szCs w:val="22"/>
        </w:rPr>
        <w:t xml:space="preserve"> tlaku. </w:t>
      </w:r>
    </w:p>
    <w:p w:rsidR="00317B2F" w:rsidRPr="00F143F2" w:rsidRDefault="00317B2F" w:rsidP="00317B2F">
      <w:pPr>
        <w:pStyle w:val="Default"/>
        <w:rPr>
          <w:sz w:val="22"/>
          <w:szCs w:val="22"/>
        </w:rPr>
      </w:pPr>
    </w:p>
    <w:p w:rsidR="00317B2F" w:rsidRPr="00F143F2" w:rsidRDefault="00317B2F" w:rsidP="00317B2F">
      <w:pPr>
        <w:pStyle w:val="Default"/>
        <w:rPr>
          <w:sz w:val="22"/>
          <w:szCs w:val="22"/>
        </w:rPr>
      </w:pPr>
      <w:r w:rsidRPr="00F143F2">
        <w:rPr>
          <w:i/>
          <w:iCs/>
          <w:sz w:val="22"/>
          <w:szCs w:val="22"/>
        </w:rPr>
        <w:t>Pediatrická populácia</w:t>
      </w:r>
    </w:p>
    <w:p w:rsidR="00317B2F" w:rsidRPr="00F143F2" w:rsidRDefault="00317B2F" w:rsidP="00317B2F">
      <w:pPr>
        <w:pStyle w:val="Default"/>
        <w:rPr>
          <w:sz w:val="22"/>
          <w:szCs w:val="22"/>
        </w:rPr>
      </w:pPr>
      <w:r w:rsidRPr="00F143F2">
        <w:rPr>
          <w:sz w:val="22"/>
          <w:szCs w:val="22"/>
        </w:rPr>
        <w:t xml:space="preserve">Bezpečnosť a účinnosť </w:t>
      </w:r>
      <w:proofErr w:type="spellStart"/>
      <w:r w:rsidR="00DD7274" w:rsidRPr="00F143F2">
        <w:rPr>
          <w:sz w:val="22"/>
          <w:szCs w:val="22"/>
        </w:rPr>
        <w:t>bimatoprostu</w:t>
      </w:r>
      <w:proofErr w:type="spellEnd"/>
      <w:r w:rsidRPr="00F143F2">
        <w:rPr>
          <w:sz w:val="22"/>
          <w:szCs w:val="22"/>
        </w:rPr>
        <w:t xml:space="preserve"> u detí vo veku 0 až 18 rokov neboli doteraz stanovené. </w:t>
      </w:r>
    </w:p>
    <w:p w:rsidR="00317B2F" w:rsidRPr="00F143F2" w:rsidRDefault="00317B2F" w:rsidP="00317B2F">
      <w:pPr>
        <w:pStyle w:val="Default"/>
        <w:rPr>
          <w:sz w:val="22"/>
          <w:szCs w:val="22"/>
        </w:rPr>
      </w:pPr>
    </w:p>
    <w:p w:rsidR="00317B2F" w:rsidRPr="00F143F2" w:rsidRDefault="00DD7274" w:rsidP="00317B2F">
      <w:pPr>
        <w:pStyle w:val="Default"/>
        <w:rPr>
          <w:sz w:val="22"/>
          <w:szCs w:val="22"/>
        </w:rPr>
      </w:pPr>
      <w:r w:rsidRPr="00F143F2">
        <w:rPr>
          <w:sz w:val="22"/>
          <w:szCs w:val="22"/>
          <w:u w:val="single"/>
        </w:rPr>
        <w:t>Pacienti s</w:t>
      </w:r>
      <w:r w:rsidR="00414033" w:rsidRPr="00F143F2">
        <w:rPr>
          <w:sz w:val="22"/>
          <w:szCs w:val="22"/>
          <w:u w:val="single"/>
        </w:rPr>
        <w:t> poruchou</w:t>
      </w:r>
      <w:r w:rsidR="00317B2F" w:rsidRPr="00F143F2">
        <w:rPr>
          <w:sz w:val="22"/>
          <w:szCs w:val="22"/>
          <w:u w:val="single"/>
        </w:rPr>
        <w:t xml:space="preserve"> funkcie pečene alebo obličiek </w:t>
      </w:r>
    </w:p>
    <w:p w:rsidR="00317B2F" w:rsidRPr="00F143F2" w:rsidRDefault="00BF0E8A" w:rsidP="00317B2F">
      <w:pPr>
        <w:pStyle w:val="Default"/>
        <w:rPr>
          <w:sz w:val="22"/>
          <w:szCs w:val="22"/>
        </w:rPr>
      </w:pPr>
      <w:proofErr w:type="spellStart"/>
      <w:r w:rsidRPr="00F143F2">
        <w:rPr>
          <w:sz w:val="22"/>
          <w:szCs w:val="22"/>
        </w:rPr>
        <w:t>Bimican</w:t>
      </w:r>
      <w:proofErr w:type="spellEnd"/>
      <w:r w:rsidR="00317B2F" w:rsidRPr="00F143F2">
        <w:rPr>
          <w:sz w:val="22"/>
          <w:szCs w:val="22"/>
        </w:rPr>
        <w:t xml:space="preserve"> sa neskúšal u pacientov s poškodením funkcie </w:t>
      </w:r>
      <w:r w:rsidR="009776FC" w:rsidRPr="00F143F2">
        <w:rPr>
          <w:sz w:val="22"/>
          <w:szCs w:val="22"/>
        </w:rPr>
        <w:t xml:space="preserve">obličiek </w:t>
      </w:r>
      <w:r w:rsidR="00317B2F" w:rsidRPr="00F143F2">
        <w:rPr>
          <w:sz w:val="22"/>
          <w:szCs w:val="22"/>
        </w:rPr>
        <w:t>alebo stredným až ťažkým poškodením funkcie</w:t>
      </w:r>
      <w:r w:rsidR="009776FC" w:rsidRPr="00F143F2">
        <w:rPr>
          <w:sz w:val="22"/>
          <w:szCs w:val="22"/>
        </w:rPr>
        <w:t xml:space="preserve"> pečene</w:t>
      </w:r>
      <w:r w:rsidR="00317B2F" w:rsidRPr="00F143F2">
        <w:rPr>
          <w:sz w:val="22"/>
          <w:szCs w:val="22"/>
        </w:rPr>
        <w:t xml:space="preserve">, preto sa má u týchto pacientov používať so zvýšenou opatrnosťou. U pacientov, ktorí v minulosti prekonali </w:t>
      </w:r>
      <w:r w:rsidR="00E83D08" w:rsidRPr="00F143F2">
        <w:rPr>
          <w:sz w:val="22"/>
          <w:szCs w:val="22"/>
        </w:rPr>
        <w:t xml:space="preserve">mierne závažné </w:t>
      </w:r>
      <w:r w:rsidR="00317B2F" w:rsidRPr="00F143F2">
        <w:rPr>
          <w:sz w:val="22"/>
          <w:szCs w:val="22"/>
        </w:rPr>
        <w:t xml:space="preserve">ochorenie funkcie pečene alebo mali abnormálnu hladinu </w:t>
      </w:r>
      <w:proofErr w:type="spellStart"/>
      <w:r w:rsidR="00317B2F" w:rsidRPr="00F143F2">
        <w:rPr>
          <w:sz w:val="22"/>
          <w:szCs w:val="22"/>
        </w:rPr>
        <w:t>alanínaminotransferázy</w:t>
      </w:r>
      <w:proofErr w:type="spellEnd"/>
      <w:r w:rsidR="00317B2F" w:rsidRPr="00F143F2">
        <w:rPr>
          <w:sz w:val="22"/>
          <w:szCs w:val="22"/>
        </w:rPr>
        <w:t xml:space="preserve"> (ALT), </w:t>
      </w:r>
      <w:proofErr w:type="spellStart"/>
      <w:r w:rsidR="00317B2F" w:rsidRPr="00F143F2">
        <w:rPr>
          <w:sz w:val="22"/>
          <w:szCs w:val="22"/>
        </w:rPr>
        <w:t>aspartátaminotransferázy</w:t>
      </w:r>
      <w:proofErr w:type="spellEnd"/>
      <w:r w:rsidR="00317B2F" w:rsidRPr="00F143F2">
        <w:rPr>
          <w:sz w:val="22"/>
          <w:szCs w:val="22"/>
        </w:rPr>
        <w:t xml:space="preserve"> (</w:t>
      </w:r>
      <w:proofErr w:type="spellStart"/>
      <w:r w:rsidR="00317B2F" w:rsidRPr="00F143F2">
        <w:rPr>
          <w:sz w:val="22"/>
          <w:szCs w:val="22"/>
        </w:rPr>
        <w:t>AST</w:t>
      </w:r>
      <w:proofErr w:type="spellEnd"/>
      <w:r w:rsidR="00317B2F" w:rsidRPr="00F143F2">
        <w:rPr>
          <w:sz w:val="22"/>
          <w:szCs w:val="22"/>
        </w:rPr>
        <w:t xml:space="preserve">) a/alebo základnú hodnotu </w:t>
      </w:r>
      <w:proofErr w:type="spellStart"/>
      <w:r w:rsidR="00317B2F" w:rsidRPr="00F143F2">
        <w:rPr>
          <w:sz w:val="22"/>
          <w:szCs w:val="22"/>
        </w:rPr>
        <w:t>bilirubínu</w:t>
      </w:r>
      <w:proofErr w:type="spellEnd"/>
      <w:r w:rsidR="00317B2F" w:rsidRPr="00F143F2">
        <w:rPr>
          <w:sz w:val="22"/>
          <w:szCs w:val="22"/>
        </w:rPr>
        <w:t xml:space="preserve">, nemal </w:t>
      </w:r>
      <w:proofErr w:type="spellStart"/>
      <w:r w:rsidR="00317B2F" w:rsidRPr="00F143F2">
        <w:rPr>
          <w:sz w:val="22"/>
          <w:szCs w:val="22"/>
        </w:rPr>
        <w:t>bimatoprost</w:t>
      </w:r>
      <w:proofErr w:type="spellEnd"/>
      <w:r w:rsidR="00317B2F" w:rsidRPr="00F143F2">
        <w:rPr>
          <w:sz w:val="22"/>
          <w:szCs w:val="22"/>
        </w:rPr>
        <w:t xml:space="preserve"> 0,3 mg/ml, očná roztoková </w:t>
      </w:r>
      <w:proofErr w:type="spellStart"/>
      <w:r w:rsidR="00317B2F" w:rsidRPr="00F143F2">
        <w:rPr>
          <w:sz w:val="22"/>
          <w:szCs w:val="22"/>
        </w:rPr>
        <w:t>instilácia</w:t>
      </w:r>
      <w:proofErr w:type="spellEnd"/>
      <w:r w:rsidR="00317B2F" w:rsidRPr="00F143F2">
        <w:rPr>
          <w:sz w:val="22"/>
          <w:szCs w:val="22"/>
        </w:rPr>
        <w:t xml:space="preserve">, žiadne škodlivé účinky na funkciu pečene vyše 24 mesiacov. </w:t>
      </w:r>
    </w:p>
    <w:p w:rsidR="00317B2F" w:rsidRPr="00F143F2" w:rsidRDefault="00317B2F" w:rsidP="00317B2F">
      <w:pPr>
        <w:pStyle w:val="Default"/>
        <w:rPr>
          <w:sz w:val="22"/>
          <w:szCs w:val="22"/>
        </w:rPr>
      </w:pPr>
    </w:p>
    <w:p w:rsidR="00317B2F" w:rsidRPr="00F143F2" w:rsidRDefault="00317B2F" w:rsidP="004F5B39">
      <w:pPr>
        <w:pStyle w:val="Default"/>
        <w:keepNext/>
        <w:rPr>
          <w:sz w:val="22"/>
          <w:szCs w:val="22"/>
        </w:rPr>
      </w:pPr>
      <w:r w:rsidRPr="00F143F2">
        <w:rPr>
          <w:sz w:val="22"/>
          <w:szCs w:val="22"/>
          <w:u w:val="single"/>
        </w:rPr>
        <w:t xml:space="preserve">Spôsob podávania </w:t>
      </w:r>
    </w:p>
    <w:p w:rsidR="00317B2F" w:rsidRPr="00F143F2" w:rsidRDefault="00317B2F" w:rsidP="004F5B39">
      <w:pPr>
        <w:pStyle w:val="Default"/>
        <w:keepNext/>
        <w:rPr>
          <w:sz w:val="22"/>
          <w:szCs w:val="22"/>
        </w:rPr>
      </w:pPr>
      <w:r w:rsidRPr="00F143F2">
        <w:rPr>
          <w:sz w:val="22"/>
          <w:szCs w:val="22"/>
        </w:rPr>
        <w:t>Na použitie do oka.</w:t>
      </w:r>
    </w:p>
    <w:p w:rsidR="00317B2F" w:rsidRPr="00F143F2" w:rsidRDefault="00317B2F" w:rsidP="00317B2F">
      <w:pPr>
        <w:pStyle w:val="Default"/>
        <w:rPr>
          <w:sz w:val="22"/>
          <w:szCs w:val="22"/>
        </w:rPr>
      </w:pPr>
      <w:r w:rsidRPr="00F143F2">
        <w:rPr>
          <w:sz w:val="22"/>
          <w:szCs w:val="22"/>
        </w:rPr>
        <w:t xml:space="preserve">Ak sa používa viac ako jeden lokálny očný liek, potom sa má zachovať medzi nimi časový odstup najmenej 5 minút. </w:t>
      </w:r>
    </w:p>
    <w:p w:rsidR="00111E92" w:rsidRPr="00F143F2" w:rsidRDefault="00111E9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F143F2" w:rsidRDefault="00111E9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F143F2">
        <w:rPr>
          <w:rFonts w:eastAsia="TimesNewRoman,Bold"/>
          <w:b/>
          <w:bCs/>
          <w:szCs w:val="22"/>
          <w:lang w:val="sk-SK" w:eastAsia="sk-SK"/>
        </w:rPr>
        <w:t>4.3</w:t>
      </w:r>
      <w:r w:rsidRPr="00F143F2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F143F2">
        <w:rPr>
          <w:rFonts w:eastAsia="TimesNewRoman,Bold"/>
          <w:b/>
          <w:bCs/>
          <w:szCs w:val="22"/>
          <w:lang w:val="sk-SK" w:eastAsia="sk-SK"/>
        </w:rPr>
        <w:t>Kontraindikácie</w:t>
      </w:r>
    </w:p>
    <w:p w:rsidR="00111E92" w:rsidRPr="00F143F2" w:rsidRDefault="00111E9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F143F2" w:rsidRDefault="00557DE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F143F2">
        <w:rPr>
          <w:rFonts w:eastAsia="TimesNewRoman"/>
          <w:szCs w:val="22"/>
          <w:lang w:val="sk-SK" w:eastAsia="sk-SK"/>
        </w:rPr>
        <w:t>Precitlivenosť na liečivo alebo na ktorúkoľvek</w:t>
      </w:r>
      <w:r w:rsidR="003C309A" w:rsidRPr="00F143F2">
        <w:rPr>
          <w:rFonts w:eastAsia="TimesNewRoman"/>
          <w:szCs w:val="22"/>
          <w:lang w:val="sk-SK" w:eastAsia="sk-SK"/>
        </w:rPr>
        <w:t xml:space="preserve"> z pomocných látok</w:t>
      </w:r>
      <w:r w:rsidR="00030505" w:rsidRPr="00F143F2">
        <w:rPr>
          <w:rFonts w:eastAsia="TimesNewRoman"/>
          <w:szCs w:val="22"/>
          <w:lang w:val="sk-SK" w:eastAsia="sk-SK"/>
        </w:rPr>
        <w:t xml:space="preserve"> uvedených v časti 6.1</w:t>
      </w:r>
      <w:r w:rsidR="003C309A" w:rsidRPr="00F143F2">
        <w:rPr>
          <w:rFonts w:eastAsia="TimesNewRoman"/>
          <w:szCs w:val="22"/>
          <w:lang w:val="sk-SK" w:eastAsia="sk-SK"/>
        </w:rPr>
        <w:t>.</w:t>
      </w:r>
    </w:p>
    <w:p w:rsidR="003C309A" w:rsidRPr="00F143F2" w:rsidRDefault="003C309A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sk-SK" w:eastAsia="sk-SK"/>
        </w:rPr>
      </w:pPr>
    </w:p>
    <w:p w:rsidR="00DD7274" w:rsidRPr="00F143F2" w:rsidRDefault="00DD7274" w:rsidP="00DD727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sk-SK" w:eastAsia="sk-SK"/>
        </w:rPr>
      </w:pPr>
      <w:proofErr w:type="spellStart"/>
      <w:r w:rsidRPr="00F143F2">
        <w:rPr>
          <w:rFonts w:eastAsia="TimesNewRoman,Bold"/>
          <w:szCs w:val="22"/>
          <w:lang w:val="sk-SK" w:eastAsia="sk-SK"/>
        </w:rPr>
        <w:t>Bimican</w:t>
      </w:r>
      <w:proofErr w:type="spellEnd"/>
      <w:r w:rsidRPr="00F143F2">
        <w:rPr>
          <w:rFonts w:eastAsia="TimesNewRoman,Bold"/>
          <w:szCs w:val="22"/>
          <w:lang w:val="sk-SK" w:eastAsia="sk-SK"/>
        </w:rPr>
        <w:t xml:space="preserve"> 0,3 mg/ml sa nesmie používať u pacientov, ktorí majú v anamnéze závažnú precitlivenosť</w:t>
      </w:r>
    </w:p>
    <w:p w:rsidR="00DD7274" w:rsidRPr="00F143F2" w:rsidRDefault="00DD7274" w:rsidP="00DD727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sk-SK" w:eastAsia="sk-SK"/>
        </w:rPr>
      </w:pPr>
      <w:r w:rsidRPr="00F143F2">
        <w:rPr>
          <w:rFonts w:eastAsia="TimesNewRoman,Bold"/>
          <w:szCs w:val="22"/>
          <w:lang w:val="sk-SK" w:eastAsia="sk-SK"/>
        </w:rPr>
        <w:t xml:space="preserve">na </w:t>
      </w:r>
      <w:proofErr w:type="spellStart"/>
      <w:r w:rsidRPr="00F143F2">
        <w:rPr>
          <w:rFonts w:eastAsia="TimesNewRoman,Bold"/>
          <w:szCs w:val="22"/>
          <w:lang w:val="sk-SK" w:eastAsia="sk-SK"/>
        </w:rPr>
        <w:t>benzalkóniumchlorid</w:t>
      </w:r>
      <w:proofErr w:type="spellEnd"/>
      <w:r w:rsidRPr="00F143F2">
        <w:rPr>
          <w:rFonts w:eastAsia="TimesNewRoman,Bold"/>
          <w:szCs w:val="22"/>
          <w:lang w:val="sk-SK" w:eastAsia="sk-SK"/>
        </w:rPr>
        <w:t>, čo viedlo k prerušeniu liečby.</w:t>
      </w:r>
    </w:p>
    <w:p w:rsidR="00DD7274" w:rsidRPr="00F143F2" w:rsidRDefault="00DD7274" w:rsidP="00DD727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sk-SK" w:eastAsia="sk-SK"/>
        </w:rPr>
      </w:pPr>
    </w:p>
    <w:p w:rsidR="003C309A" w:rsidRPr="00F143F2" w:rsidRDefault="00111E9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F143F2">
        <w:rPr>
          <w:rFonts w:eastAsia="TimesNewRoman,Bold"/>
          <w:b/>
          <w:bCs/>
          <w:szCs w:val="22"/>
          <w:lang w:val="sk-SK" w:eastAsia="sk-SK"/>
        </w:rPr>
        <w:t>4.4</w:t>
      </w:r>
      <w:r w:rsidRPr="00F143F2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F143F2">
        <w:rPr>
          <w:rFonts w:eastAsia="TimesNewRoman,Bold"/>
          <w:b/>
          <w:bCs/>
          <w:szCs w:val="22"/>
          <w:lang w:val="sk-SK" w:eastAsia="sk-SK"/>
        </w:rPr>
        <w:t>Osobitné upozornenia a opatrenia pri používaní</w:t>
      </w:r>
    </w:p>
    <w:p w:rsidR="00111E92" w:rsidRPr="00F143F2" w:rsidRDefault="00111E9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17B2F" w:rsidRPr="00F143F2" w:rsidRDefault="00317B2F" w:rsidP="00317B2F">
      <w:pPr>
        <w:pStyle w:val="Default"/>
        <w:rPr>
          <w:sz w:val="22"/>
          <w:szCs w:val="22"/>
        </w:rPr>
      </w:pPr>
      <w:r w:rsidRPr="00F143F2">
        <w:rPr>
          <w:sz w:val="22"/>
          <w:szCs w:val="22"/>
          <w:u w:val="single"/>
        </w:rPr>
        <w:t xml:space="preserve">Očné </w:t>
      </w:r>
    </w:p>
    <w:p w:rsidR="00FE78FD" w:rsidRPr="00F143F2" w:rsidRDefault="00317B2F" w:rsidP="00317B2F">
      <w:pPr>
        <w:pStyle w:val="Default"/>
        <w:rPr>
          <w:sz w:val="22"/>
          <w:szCs w:val="22"/>
        </w:rPr>
      </w:pPr>
      <w:r w:rsidRPr="00F143F2">
        <w:rPr>
          <w:sz w:val="22"/>
          <w:szCs w:val="22"/>
        </w:rPr>
        <w:t xml:space="preserve">Skôr, ako sa začne s liečbou, musí byť pacient informovaný o možnom raste rias, stmavnutí kože na viečkach a zvýšení pigmentácie dúhovky, keďže tieto javy boli pozorované počas liečby </w:t>
      </w:r>
      <w:proofErr w:type="spellStart"/>
      <w:r w:rsidRPr="00F143F2">
        <w:rPr>
          <w:sz w:val="22"/>
          <w:szCs w:val="22"/>
        </w:rPr>
        <w:t>bimatoprostom</w:t>
      </w:r>
      <w:proofErr w:type="spellEnd"/>
      <w:r w:rsidRPr="00F143F2">
        <w:rPr>
          <w:sz w:val="22"/>
          <w:szCs w:val="22"/>
        </w:rPr>
        <w:t xml:space="preserve">. Niektoré z týchto zmien môžu byť trvalé a môžu viesť k rozdielnemu vzhľadu očí, pokiaľ bolo liečené iba jedno z nich. Zvýšené sfarbenie dúhovky môže byť trvalé. Zmenu sfarbenia spôsobuje zvýšený obsah melanínu v </w:t>
      </w:r>
      <w:proofErr w:type="spellStart"/>
      <w:r w:rsidRPr="00F143F2">
        <w:rPr>
          <w:sz w:val="22"/>
          <w:szCs w:val="22"/>
        </w:rPr>
        <w:t>melanocytoch</w:t>
      </w:r>
      <w:proofErr w:type="spellEnd"/>
      <w:r w:rsidRPr="00F143F2">
        <w:rPr>
          <w:sz w:val="22"/>
          <w:szCs w:val="22"/>
        </w:rPr>
        <w:t xml:space="preserve"> a nie zvýšenie počtu </w:t>
      </w:r>
      <w:proofErr w:type="spellStart"/>
      <w:r w:rsidRPr="00F143F2">
        <w:rPr>
          <w:sz w:val="22"/>
          <w:szCs w:val="22"/>
        </w:rPr>
        <w:t>melanocytov</w:t>
      </w:r>
      <w:proofErr w:type="spellEnd"/>
      <w:r w:rsidRPr="00F143F2">
        <w:rPr>
          <w:sz w:val="22"/>
          <w:szCs w:val="22"/>
        </w:rPr>
        <w:t xml:space="preserve">. Dlhodobé účinky zvýšeného sfarbenia rohovky nie sú známe. Zmeny sfarbenia dúhovky nastávajú pomaly a nemusia byť pozorovateľné mesiace až roky. V typickom prípade sa hnedá pigmentácia okolo zrenice koncentricky rozprestiera smerom k obvodu postihnutých očí, celá dúhovka alebo jej časti však môžu viac zhnednúť. Zdá sa, že táto liečba neovplyvňuje výskyt </w:t>
      </w:r>
      <w:proofErr w:type="spellStart"/>
      <w:r w:rsidRPr="00F143F2">
        <w:rPr>
          <w:sz w:val="22"/>
          <w:szCs w:val="22"/>
        </w:rPr>
        <w:t>név</w:t>
      </w:r>
      <w:proofErr w:type="spellEnd"/>
      <w:r w:rsidRPr="00F143F2">
        <w:rPr>
          <w:sz w:val="22"/>
          <w:szCs w:val="22"/>
        </w:rPr>
        <w:t xml:space="preserve"> ani pieh. Po 12 mesiacoch bol výskyt pri používaní </w:t>
      </w:r>
      <w:proofErr w:type="spellStart"/>
      <w:r w:rsidRPr="00F143F2">
        <w:rPr>
          <w:sz w:val="22"/>
          <w:szCs w:val="22"/>
        </w:rPr>
        <w:t>bimatoprostu</w:t>
      </w:r>
      <w:proofErr w:type="spellEnd"/>
      <w:r w:rsidRPr="00F143F2">
        <w:rPr>
          <w:sz w:val="22"/>
          <w:szCs w:val="22"/>
        </w:rPr>
        <w:t xml:space="preserve"> 0,3 mg/ml očnej roztokovej </w:t>
      </w:r>
      <w:proofErr w:type="spellStart"/>
      <w:r w:rsidRPr="00F143F2">
        <w:rPr>
          <w:sz w:val="22"/>
          <w:szCs w:val="22"/>
        </w:rPr>
        <w:t>instilácie</w:t>
      </w:r>
      <w:proofErr w:type="spellEnd"/>
      <w:r w:rsidRPr="00F143F2">
        <w:rPr>
          <w:sz w:val="22"/>
          <w:szCs w:val="22"/>
        </w:rPr>
        <w:t xml:space="preserve"> 1,5 % (pozri časť 4.8) a nasledujúce 3 roky sa nezvýš</w:t>
      </w:r>
      <w:r w:rsidR="00FE78FD" w:rsidRPr="00F143F2">
        <w:rPr>
          <w:sz w:val="22"/>
          <w:szCs w:val="22"/>
        </w:rPr>
        <w:t>ila</w:t>
      </w:r>
      <w:r w:rsidRPr="00F143F2">
        <w:rPr>
          <w:sz w:val="22"/>
          <w:szCs w:val="22"/>
        </w:rPr>
        <w:t xml:space="preserve">. U niektorých pacientov boli zaznamenané spätné zmeny pigmentácie </w:t>
      </w:r>
      <w:proofErr w:type="spellStart"/>
      <w:r w:rsidRPr="00F143F2">
        <w:rPr>
          <w:sz w:val="22"/>
          <w:szCs w:val="22"/>
        </w:rPr>
        <w:t>periorbitálneho</w:t>
      </w:r>
      <w:proofErr w:type="spellEnd"/>
      <w:r w:rsidRPr="00F143F2">
        <w:rPr>
          <w:sz w:val="22"/>
          <w:szCs w:val="22"/>
        </w:rPr>
        <w:t xml:space="preserve"> tkaniva.</w:t>
      </w:r>
    </w:p>
    <w:p w:rsidR="00317B2F" w:rsidRPr="00F143F2" w:rsidRDefault="00317B2F" w:rsidP="00317B2F">
      <w:pPr>
        <w:pStyle w:val="Default"/>
        <w:rPr>
          <w:sz w:val="22"/>
          <w:szCs w:val="22"/>
        </w:rPr>
      </w:pPr>
    </w:p>
    <w:p w:rsidR="00317B2F" w:rsidRPr="00F143F2" w:rsidRDefault="00317B2F" w:rsidP="00317B2F">
      <w:pPr>
        <w:pStyle w:val="Default"/>
        <w:rPr>
          <w:sz w:val="22"/>
          <w:szCs w:val="22"/>
        </w:rPr>
      </w:pPr>
      <w:proofErr w:type="spellStart"/>
      <w:r w:rsidRPr="00F143F2">
        <w:rPr>
          <w:sz w:val="22"/>
          <w:szCs w:val="22"/>
        </w:rPr>
        <w:t>Cystoidný</w:t>
      </w:r>
      <w:proofErr w:type="spellEnd"/>
      <w:r w:rsidRPr="00F143F2">
        <w:rPr>
          <w:sz w:val="22"/>
          <w:szCs w:val="22"/>
        </w:rPr>
        <w:t xml:space="preserve"> </w:t>
      </w:r>
      <w:proofErr w:type="spellStart"/>
      <w:r w:rsidRPr="00F143F2">
        <w:rPr>
          <w:sz w:val="22"/>
          <w:szCs w:val="22"/>
        </w:rPr>
        <w:t>makulárny</w:t>
      </w:r>
      <w:proofErr w:type="spellEnd"/>
      <w:r w:rsidRPr="00F143F2">
        <w:rPr>
          <w:sz w:val="22"/>
          <w:szCs w:val="22"/>
        </w:rPr>
        <w:t xml:space="preserve"> edém bol menej často hlásený </w:t>
      </w:r>
      <w:r w:rsidRPr="00F143F2">
        <w:rPr>
          <w:bCs/>
          <w:iCs/>
          <w:sz w:val="22"/>
          <w:szCs w:val="22"/>
        </w:rPr>
        <w:t xml:space="preserve">(≥ 1/1 000 až &lt; 1/100) </w:t>
      </w:r>
      <w:r w:rsidRPr="00F143F2">
        <w:rPr>
          <w:sz w:val="22"/>
          <w:szCs w:val="22"/>
        </w:rPr>
        <w:t xml:space="preserve">v priebehu liečby </w:t>
      </w:r>
      <w:proofErr w:type="spellStart"/>
      <w:r w:rsidRPr="00F143F2">
        <w:rPr>
          <w:sz w:val="22"/>
          <w:szCs w:val="22"/>
        </w:rPr>
        <w:t>bimatoprostom</w:t>
      </w:r>
      <w:proofErr w:type="spellEnd"/>
      <w:r w:rsidRPr="00F143F2">
        <w:rPr>
          <w:sz w:val="22"/>
          <w:szCs w:val="22"/>
        </w:rPr>
        <w:t xml:space="preserve"> 0,3 mg/ml, očnej roztokovej</w:t>
      </w:r>
      <w:r w:rsidR="00B017BC" w:rsidRPr="00F143F2">
        <w:rPr>
          <w:sz w:val="22"/>
          <w:szCs w:val="22"/>
        </w:rPr>
        <w:t xml:space="preserve"> </w:t>
      </w:r>
      <w:proofErr w:type="spellStart"/>
      <w:r w:rsidR="00B017BC" w:rsidRPr="00F143F2">
        <w:rPr>
          <w:sz w:val="22"/>
          <w:szCs w:val="22"/>
        </w:rPr>
        <w:t>instilácie</w:t>
      </w:r>
      <w:proofErr w:type="spellEnd"/>
      <w:r w:rsidR="00B017BC" w:rsidRPr="00F143F2">
        <w:rPr>
          <w:sz w:val="22"/>
          <w:szCs w:val="22"/>
        </w:rPr>
        <w:t xml:space="preserve">. Preto sa má </w:t>
      </w:r>
      <w:proofErr w:type="spellStart"/>
      <w:r w:rsidR="00BF0E8A" w:rsidRPr="00F143F2">
        <w:rPr>
          <w:sz w:val="22"/>
          <w:szCs w:val="22"/>
        </w:rPr>
        <w:t>Bimican</w:t>
      </w:r>
      <w:proofErr w:type="spellEnd"/>
      <w:r w:rsidRPr="00F143F2">
        <w:rPr>
          <w:sz w:val="22"/>
          <w:szCs w:val="22"/>
        </w:rPr>
        <w:t xml:space="preserve"> používať s opatrnosťou u pacientov so známymi rizikovými faktormi pre </w:t>
      </w:r>
      <w:proofErr w:type="spellStart"/>
      <w:r w:rsidRPr="00F143F2">
        <w:rPr>
          <w:sz w:val="22"/>
          <w:szCs w:val="22"/>
        </w:rPr>
        <w:t>makulárny</w:t>
      </w:r>
      <w:proofErr w:type="spellEnd"/>
      <w:r w:rsidRPr="00F143F2">
        <w:rPr>
          <w:sz w:val="22"/>
          <w:szCs w:val="22"/>
        </w:rPr>
        <w:t xml:space="preserve"> edém (napr. </w:t>
      </w:r>
      <w:proofErr w:type="spellStart"/>
      <w:r w:rsidRPr="00F143F2">
        <w:rPr>
          <w:sz w:val="22"/>
          <w:szCs w:val="22"/>
        </w:rPr>
        <w:t>afakickí</w:t>
      </w:r>
      <w:proofErr w:type="spellEnd"/>
      <w:r w:rsidRPr="00F143F2">
        <w:rPr>
          <w:sz w:val="22"/>
          <w:szCs w:val="22"/>
        </w:rPr>
        <w:t xml:space="preserve"> pacienti, </w:t>
      </w:r>
      <w:proofErr w:type="spellStart"/>
      <w:r w:rsidRPr="00F143F2">
        <w:rPr>
          <w:sz w:val="22"/>
          <w:szCs w:val="22"/>
        </w:rPr>
        <w:t>pseudofakickí</w:t>
      </w:r>
      <w:proofErr w:type="spellEnd"/>
      <w:r w:rsidRPr="00F143F2">
        <w:rPr>
          <w:sz w:val="22"/>
          <w:szCs w:val="22"/>
        </w:rPr>
        <w:t xml:space="preserve"> pacienti s trhlinou zadného puzdra šošovky). </w:t>
      </w:r>
    </w:p>
    <w:p w:rsidR="00B017BC" w:rsidRPr="00F143F2" w:rsidRDefault="00B017BC" w:rsidP="00317B2F">
      <w:pPr>
        <w:pStyle w:val="Default"/>
        <w:rPr>
          <w:sz w:val="22"/>
          <w:szCs w:val="22"/>
        </w:rPr>
      </w:pPr>
    </w:p>
    <w:p w:rsidR="00317B2F" w:rsidRPr="00F143F2" w:rsidRDefault="00317B2F" w:rsidP="00317B2F">
      <w:pPr>
        <w:pStyle w:val="Default"/>
        <w:rPr>
          <w:sz w:val="22"/>
          <w:szCs w:val="22"/>
        </w:rPr>
      </w:pPr>
      <w:r w:rsidRPr="00F143F2">
        <w:rPr>
          <w:sz w:val="22"/>
          <w:szCs w:val="22"/>
        </w:rPr>
        <w:t xml:space="preserve">Reaktivácia predchádzajúceho prenikania do rohovky alebo vzniku očných infekcií bola zriedkavo hlásená pri liečbe </w:t>
      </w:r>
      <w:proofErr w:type="spellStart"/>
      <w:r w:rsidRPr="00F143F2">
        <w:rPr>
          <w:sz w:val="22"/>
          <w:szCs w:val="22"/>
        </w:rPr>
        <w:t>bimatoprostom</w:t>
      </w:r>
      <w:proofErr w:type="spellEnd"/>
      <w:r w:rsidRPr="00F143F2">
        <w:rPr>
          <w:sz w:val="22"/>
          <w:szCs w:val="22"/>
        </w:rPr>
        <w:t xml:space="preserve"> 0,3 mg/ml, očne</w:t>
      </w:r>
      <w:r w:rsidR="00B017BC" w:rsidRPr="00F143F2">
        <w:rPr>
          <w:sz w:val="22"/>
          <w:szCs w:val="22"/>
        </w:rPr>
        <w:t xml:space="preserve">j roztokovej </w:t>
      </w:r>
      <w:proofErr w:type="spellStart"/>
      <w:r w:rsidR="00B017BC" w:rsidRPr="00F143F2">
        <w:rPr>
          <w:sz w:val="22"/>
          <w:szCs w:val="22"/>
        </w:rPr>
        <w:t>instilácie</w:t>
      </w:r>
      <w:proofErr w:type="spellEnd"/>
      <w:r w:rsidR="00B017BC" w:rsidRPr="00F143F2">
        <w:rPr>
          <w:sz w:val="22"/>
          <w:szCs w:val="22"/>
        </w:rPr>
        <w:t xml:space="preserve">. </w:t>
      </w:r>
      <w:proofErr w:type="spellStart"/>
      <w:r w:rsidR="00BF0E8A" w:rsidRPr="00F143F2">
        <w:rPr>
          <w:sz w:val="22"/>
          <w:szCs w:val="22"/>
        </w:rPr>
        <w:t>Bimican</w:t>
      </w:r>
      <w:proofErr w:type="spellEnd"/>
      <w:r w:rsidRPr="00F143F2">
        <w:rPr>
          <w:sz w:val="22"/>
          <w:szCs w:val="22"/>
        </w:rPr>
        <w:t xml:space="preserve"> sa preto má používať s opatrnosťou u pacientov s predchádzajúcou anamnézou </w:t>
      </w:r>
      <w:proofErr w:type="spellStart"/>
      <w:r w:rsidRPr="00F143F2">
        <w:rPr>
          <w:sz w:val="22"/>
          <w:szCs w:val="22"/>
        </w:rPr>
        <w:t>signifikantných</w:t>
      </w:r>
      <w:proofErr w:type="spellEnd"/>
      <w:r w:rsidRPr="00F143F2">
        <w:rPr>
          <w:sz w:val="22"/>
          <w:szCs w:val="22"/>
        </w:rPr>
        <w:t xml:space="preserve"> víruso</w:t>
      </w:r>
      <w:r w:rsidR="00B017BC" w:rsidRPr="00F143F2">
        <w:rPr>
          <w:sz w:val="22"/>
          <w:szCs w:val="22"/>
        </w:rPr>
        <w:t xml:space="preserve">vých infekcií oka (napr. herpes </w:t>
      </w:r>
      <w:proofErr w:type="spellStart"/>
      <w:r w:rsidR="00B017BC" w:rsidRPr="00F143F2">
        <w:rPr>
          <w:sz w:val="22"/>
          <w:szCs w:val="22"/>
        </w:rPr>
        <w:t>simplex</w:t>
      </w:r>
      <w:proofErr w:type="spellEnd"/>
      <w:r w:rsidRPr="00F143F2">
        <w:rPr>
          <w:sz w:val="22"/>
          <w:szCs w:val="22"/>
        </w:rPr>
        <w:t xml:space="preserve">) alebo </w:t>
      </w:r>
      <w:proofErr w:type="spellStart"/>
      <w:r w:rsidRPr="00F143F2">
        <w:rPr>
          <w:sz w:val="22"/>
          <w:szCs w:val="22"/>
        </w:rPr>
        <w:t>uveitídy</w:t>
      </w:r>
      <w:proofErr w:type="spellEnd"/>
      <w:r w:rsidRPr="00F143F2">
        <w:rPr>
          <w:sz w:val="22"/>
          <w:szCs w:val="22"/>
        </w:rPr>
        <w:t>/</w:t>
      </w:r>
      <w:proofErr w:type="spellStart"/>
      <w:r w:rsidRPr="00F143F2">
        <w:rPr>
          <w:sz w:val="22"/>
          <w:szCs w:val="22"/>
        </w:rPr>
        <w:t>iritídy</w:t>
      </w:r>
      <w:proofErr w:type="spellEnd"/>
      <w:r w:rsidRPr="00F143F2">
        <w:rPr>
          <w:sz w:val="22"/>
          <w:szCs w:val="22"/>
        </w:rPr>
        <w:t xml:space="preserve">. </w:t>
      </w:r>
    </w:p>
    <w:p w:rsidR="00B017BC" w:rsidRPr="00F143F2" w:rsidRDefault="00B017BC" w:rsidP="00317B2F">
      <w:pPr>
        <w:pStyle w:val="Default"/>
        <w:rPr>
          <w:sz w:val="22"/>
          <w:szCs w:val="22"/>
        </w:rPr>
      </w:pPr>
    </w:p>
    <w:p w:rsidR="00317B2F" w:rsidRPr="00F143F2" w:rsidRDefault="00B017BC" w:rsidP="00317B2F">
      <w:pPr>
        <w:pStyle w:val="Default"/>
        <w:rPr>
          <w:sz w:val="22"/>
          <w:szCs w:val="22"/>
        </w:rPr>
      </w:pPr>
      <w:proofErr w:type="spellStart"/>
      <w:r w:rsidRPr="00F143F2">
        <w:rPr>
          <w:sz w:val="22"/>
          <w:szCs w:val="22"/>
        </w:rPr>
        <w:t>Bimatoprost</w:t>
      </w:r>
      <w:proofErr w:type="spellEnd"/>
      <w:r w:rsidR="00317B2F" w:rsidRPr="00F143F2">
        <w:rPr>
          <w:sz w:val="22"/>
          <w:szCs w:val="22"/>
        </w:rPr>
        <w:t xml:space="preserve"> sa neskúšal u pacientov s očnými zápalovými stavmi, </w:t>
      </w:r>
      <w:proofErr w:type="spellStart"/>
      <w:r w:rsidR="00317B2F" w:rsidRPr="00F143F2">
        <w:rPr>
          <w:sz w:val="22"/>
          <w:szCs w:val="22"/>
        </w:rPr>
        <w:t>neovaskularizáciou</w:t>
      </w:r>
      <w:proofErr w:type="spellEnd"/>
      <w:r w:rsidR="00317B2F" w:rsidRPr="00F143F2">
        <w:rPr>
          <w:sz w:val="22"/>
          <w:szCs w:val="22"/>
        </w:rPr>
        <w:t xml:space="preserve">, zápalmi, </w:t>
      </w:r>
      <w:proofErr w:type="spellStart"/>
      <w:r w:rsidR="00317B2F" w:rsidRPr="00F143F2">
        <w:rPr>
          <w:sz w:val="22"/>
          <w:szCs w:val="22"/>
        </w:rPr>
        <w:t>glaukómom</w:t>
      </w:r>
      <w:proofErr w:type="spellEnd"/>
      <w:r w:rsidR="00317B2F" w:rsidRPr="00F143F2">
        <w:rPr>
          <w:sz w:val="22"/>
          <w:szCs w:val="22"/>
        </w:rPr>
        <w:t xml:space="preserve"> so </w:t>
      </w:r>
      <w:r w:rsidR="003934BA" w:rsidRPr="00F143F2">
        <w:rPr>
          <w:sz w:val="22"/>
          <w:szCs w:val="22"/>
        </w:rPr>
        <w:t>zatvoreným</w:t>
      </w:r>
      <w:r w:rsidR="003934BA" w:rsidRPr="00F143F2" w:rsidDel="003934BA">
        <w:rPr>
          <w:sz w:val="22"/>
          <w:szCs w:val="22"/>
        </w:rPr>
        <w:t xml:space="preserve"> </w:t>
      </w:r>
      <w:r w:rsidR="00317B2F" w:rsidRPr="00F143F2">
        <w:rPr>
          <w:sz w:val="22"/>
          <w:szCs w:val="22"/>
        </w:rPr>
        <w:t xml:space="preserve">uhlom, </w:t>
      </w:r>
      <w:proofErr w:type="spellStart"/>
      <w:r w:rsidR="00317B2F" w:rsidRPr="00F143F2">
        <w:rPr>
          <w:sz w:val="22"/>
          <w:szCs w:val="22"/>
        </w:rPr>
        <w:t>kongenitálnym</w:t>
      </w:r>
      <w:proofErr w:type="spellEnd"/>
      <w:r w:rsidR="00317B2F" w:rsidRPr="00F143F2">
        <w:rPr>
          <w:sz w:val="22"/>
          <w:szCs w:val="22"/>
        </w:rPr>
        <w:t xml:space="preserve"> </w:t>
      </w:r>
      <w:proofErr w:type="spellStart"/>
      <w:r w:rsidR="00317B2F" w:rsidRPr="00F143F2">
        <w:rPr>
          <w:sz w:val="22"/>
          <w:szCs w:val="22"/>
        </w:rPr>
        <w:t>glaukómom</w:t>
      </w:r>
      <w:proofErr w:type="spellEnd"/>
      <w:r w:rsidR="00317B2F" w:rsidRPr="00F143F2">
        <w:rPr>
          <w:sz w:val="22"/>
          <w:szCs w:val="22"/>
        </w:rPr>
        <w:t xml:space="preserve"> a </w:t>
      </w:r>
      <w:proofErr w:type="spellStart"/>
      <w:r w:rsidR="00317B2F" w:rsidRPr="00F143F2">
        <w:rPr>
          <w:sz w:val="22"/>
          <w:szCs w:val="22"/>
        </w:rPr>
        <w:t>glaukómom</w:t>
      </w:r>
      <w:proofErr w:type="spellEnd"/>
      <w:r w:rsidR="00317B2F" w:rsidRPr="00F143F2">
        <w:rPr>
          <w:sz w:val="22"/>
          <w:szCs w:val="22"/>
        </w:rPr>
        <w:t xml:space="preserve"> s úzkym uhlom. </w:t>
      </w:r>
    </w:p>
    <w:p w:rsidR="00B017BC" w:rsidRPr="00F143F2" w:rsidRDefault="00B017BC" w:rsidP="00317B2F">
      <w:pPr>
        <w:pStyle w:val="Default"/>
        <w:rPr>
          <w:sz w:val="22"/>
          <w:szCs w:val="22"/>
          <w:u w:val="single"/>
        </w:rPr>
      </w:pPr>
    </w:p>
    <w:p w:rsidR="00317B2F" w:rsidRPr="00F143F2" w:rsidRDefault="00317B2F" w:rsidP="00317B2F">
      <w:pPr>
        <w:pStyle w:val="Default"/>
        <w:rPr>
          <w:sz w:val="22"/>
          <w:szCs w:val="22"/>
        </w:rPr>
      </w:pPr>
      <w:r w:rsidRPr="00F143F2">
        <w:rPr>
          <w:sz w:val="22"/>
          <w:szCs w:val="22"/>
          <w:u w:val="single"/>
        </w:rPr>
        <w:t xml:space="preserve">Kožné </w:t>
      </w:r>
    </w:p>
    <w:p w:rsidR="00317B2F" w:rsidRPr="00F143F2" w:rsidRDefault="00317B2F" w:rsidP="00317B2F">
      <w:pPr>
        <w:pStyle w:val="Default"/>
        <w:rPr>
          <w:sz w:val="22"/>
          <w:szCs w:val="22"/>
        </w:rPr>
      </w:pPr>
      <w:r w:rsidRPr="00F143F2">
        <w:rPr>
          <w:sz w:val="22"/>
          <w:szCs w:val="22"/>
        </w:rPr>
        <w:t>Existuje možnosť, že sa objaví rast vlasov na</w:t>
      </w:r>
      <w:r w:rsidR="00B017BC" w:rsidRPr="00F143F2">
        <w:rPr>
          <w:sz w:val="22"/>
          <w:szCs w:val="22"/>
        </w:rPr>
        <w:t xml:space="preserve"> miestach, kde sa roztok </w:t>
      </w:r>
      <w:proofErr w:type="spellStart"/>
      <w:r w:rsidR="00B017BC" w:rsidRPr="00F143F2">
        <w:rPr>
          <w:sz w:val="22"/>
          <w:szCs w:val="22"/>
        </w:rPr>
        <w:t>bimatoprostu</w:t>
      </w:r>
      <w:proofErr w:type="spellEnd"/>
      <w:r w:rsidRPr="00F143F2">
        <w:rPr>
          <w:sz w:val="22"/>
          <w:szCs w:val="22"/>
        </w:rPr>
        <w:t xml:space="preserve"> dostáva opakovane do styku s povrchom pokožky. Pre</w:t>
      </w:r>
      <w:r w:rsidR="00B017BC" w:rsidRPr="00F143F2">
        <w:rPr>
          <w:sz w:val="22"/>
          <w:szCs w:val="22"/>
        </w:rPr>
        <w:t xml:space="preserve">to je dôležité aplikovať </w:t>
      </w:r>
      <w:proofErr w:type="spellStart"/>
      <w:r w:rsidR="00BF0E8A" w:rsidRPr="00F143F2">
        <w:rPr>
          <w:sz w:val="22"/>
          <w:szCs w:val="22"/>
        </w:rPr>
        <w:t>Bimican</w:t>
      </w:r>
      <w:proofErr w:type="spellEnd"/>
      <w:r w:rsidRPr="00F143F2">
        <w:rPr>
          <w:sz w:val="22"/>
          <w:szCs w:val="22"/>
        </w:rPr>
        <w:t xml:space="preserve"> podľa pokynov a zabrániť jeho stekaniu na líca alebo iné časti pokožky. </w:t>
      </w:r>
    </w:p>
    <w:p w:rsidR="00B017BC" w:rsidRPr="00F143F2" w:rsidRDefault="00B017BC" w:rsidP="00317B2F">
      <w:pPr>
        <w:pStyle w:val="Default"/>
        <w:rPr>
          <w:sz w:val="22"/>
          <w:szCs w:val="22"/>
        </w:rPr>
      </w:pPr>
    </w:p>
    <w:p w:rsidR="00317B2F" w:rsidRPr="00F143F2" w:rsidRDefault="00317B2F" w:rsidP="00317B2F">
      <w:pPr>
        <w:pStyle w:val="Default"/>
        <w:rPr>
          <w:sz w:val="22"/>
          <w:szCs w:val="22"/>
        </w:rPr>
      </w:pPr>
      <w:r w:rsidRPr="00F143F2">
        <w:rPr>
          <w:sz w:val="22"/>
          <w:szCs w:val="22"/>
          <w:u w:val="single"/>
        </w:rPr>
        <w:t xml:space="preserve">Dýchacie </w:t>
      </w:r>
    </w:p>
    <w:p w:rsidR="00317B2F" w:rsidRPr="00F143F2" w:rsidRDefault="00852289" w:rsidP="001B1D93">
      <w:pPr>
        <w:pStyle w:val="Default"/>
        <w:rPr>
          <w:sz w:val="22"/>
          <w:szCs w:val="22"/>
        </w:rPr>
      </w:pPr>
      <w:proofErr w:type="spellStart"/>
      <w:r w:rsidRPr="00F143F2">
        <w:rPr>
          <w:sz w:val="22"/>
          <w:szCs w:val="22"/>
        </w:rPr>
        <w:t>Bimatoprost</w:t>
      </w:r>
      <w:proofErr w:type="spellEnd"/>
      <w:r w:rsidR="00317B2F" w:rsidRPr="00F143F2">
        <w:rPr>
          <w:sz w:val="22"/>
          <w:szCs w:val="22"/>
        </w:rPr>
        <w:t xml:space="preserve"> sa neskúmal u pacientov s poškodenými respiračnými funkciami a má sa u nich preto používať s opatrnosťou. </w:t>
      </w:r>
      <w:r w:rsidR="00D84784" w:rsidRPr="00F143F2">
        <w:rPr>
          <w:sz w:val="22"/>
          <w:szCs w:val="22"/>
        </w:rPr>
        <w:t xml:space="preserve">Napriek obmedzeným </w:t>
      </w:r>
      <w:r w:rsidR="001B1D93" w:rsidRPr="00F143F2">
        <w:rPr>
          <w:sz w:val="22"/>
          <w:szCs w:val="22"/>
        </w:rPr>
        <w:t xml:space="preserve">informáciám o pacientoch s anamnézou astmy alebo </w:t>
      </w:r>
      <w:proofErr w:type="spellStart"/>
      <w:r w:rsidR="001B1D93" w:rsidRPr="00F143F2">
        <w:rPr>
          <w:sz w:val="22"/>
          <w:szCs w:val="22"/>
        </w:rPr>
        <w:t>CHOCHP</w:t>
      </w:r>
      <w:proofErr w:type="spellEnd"/>
      <w:r w:rsidR="001B1D93" w:rsidRPr="00F143F2">
        <w:rPr>
          <w:sz w:val="22"/>
          <w:szCs w:val="22"/>
        </w:rPr>
        <w:t xml:space="preserve"> sa v sk</w:t>
      </w:r>
      <w:r w:rsidR="00D84784" w:rsidRPr="00F143F2">
        <w:rPr>
          <w:sz w:val="22"/>
          <w:szCs w:val="22"/>
        </w:rPr>
        <w:t xml:space="preserve">úsenostiach po uvedení lieku na </w:t>
      </w:r>
      <w:r w:rsidR="001B1D93" w:rsidRPr="00F143F2">
        <w:rPr>
          <w:sz w:val="22"/>
          <w:szCs w:val="22"/>
        </w:rPr>
        <w:t xml:space="preserve">trh uvádza </w:t>
      </w:r>
      <w:proofErr w:type="spellStart"/>
      <w:r w:rsidR="001B1D93" w:rsidRPr="00F143F2">
        <w:rPr>
          <w:sz w:val="22"/>
          <w:szCs w:val="22"/>
        </w:rPr>
        <w:t>exacerbácia</w:t>
      </w:r>
      <w:proofErr w:type="spellEnd"/>
      <w:r w:rsidR="001B1D93" w:rsidRPr="00F143F2">
        <w:rPr>
          <w:sz w:val="22"/>
          <w:szCs w:val="22"/>
        </w:rPr>
        <w:t xml:space="preserve"> astmy, </w:t>
      </w:r>
      <w:proofErr w:type="spellStart"/>
      <w:r w:rsidR="001B1D93" w:rsidRPr="00F143F2">
        <w:rPr>
          <w:sz w:val="22"/>
          <w:szCs w:val="22"/>
        </w:rPr>
        <w:t>dyspnoe</w:t>
      </w:r>
      <w:proofErr w:type="spellEnd"/>
      <w:r w:rsidR="001B1D93" w:rsidRPr="00F143F2">
        <w:rPr>
          <w:sz w:val="22"/>
          <w:szCs w:val="22"/>
        </w:rPr>
        <w:t xml:space="preserve"> a </w:t>
      </w:r>
      <w:proofErr w:type="spellStart"/>
      <w:r w:rsidR="001B1D93" w:rsidRPr="00F143F2">
        <w:rPr>
          <w:sz w:val="22"/>
          <w:szCs w:val="22"/>
        </w:rPr>
        <w:t>CHOCHP</w:t>
      </w:r>
      <w:proofErr w:type="spellEnd"/>
      <w:r w:rsidR="001B1D93" w:rsidRPr="00F143F2">
        <w:rPr>
          <w:sz w:val="22"/>
          <w:szCs w:val="22"/>
        </w:rPr>
        <w:t xml:space="preserve"> a je hlás</w:t>
      </w:r>
      <w:r w:rsidR="00D84784" w:rsidRPr="00F143F2">
        <w:rPr>
          <w:sz w:val="22"/>
          <w:szCs w:val="22"/>
        </w:rPr>
        <w:t xml:space="preserve">ená aj astma. Frekvencia týchto </w:t>
      </w:r>
      <w:r w:rsidR="001B1D93" w:rsidRPr="00F143F2">
        <w:rPr>
          <w:sz w:val="22"/>
          <w:szCs w:val="22"/>
        </w:rPr>
        <w:t xml:space="preserve">symptómov nie je známa. Liečba pacientov s </w:t>
      </w:r>
      <w:proofErr w:type="spellStart"/>
      <w:r w:rsidR="001B1D93" w:rsidRPr="00F143F2">
        <w:rPr>
          <w:sz w:val="22"/>
          <w:szCs w:val="22"/>
        </w:rPr>
        <w:t>CHOCHP</w:t>
      </w:r>
      <w:proofErr w:type="spellEnd"/>
      <w:r w:rsidR="001B1D93" w:rsidRPr="00F143F2">
        <w:rPr>
          <w:sz w:val="22"/>
          <w:szCs w:val="22"/>
        </w:rPr>
        <w:t>, astmou alebo poruchou respiračnej funkcie</w:t>
      </w:r>
      <w:r w:rsidR="00D84784" w:rsidRPr="00F143F2">
        <w:rPr>
          <w:sz w:val="22"/>
          <w:szCs w:val="22"/>
        </w:rPr>
        <w:t xml:space="preserve"> </w:t>
      </w:r>
      <w:r w:rsidR="001B1D93" w:rsidRPr="00F143F2">
        <w:rPr>
          <w:sz w:val="22"/>
          <w:szCs w:val="22"/>
        </w:rPr>
        <w:t xml:space="preserve">z dôvodu iných stavov si vyžaduje opatrnosť. </w:t>
      </w:r>
    </w:p>
    <w:p w:rsidR="00852289" w:rsidRPr="00F143F2" w:rsidRDefault="00852289" w:rsidP="00317B2F">
      <w:pPr>
        <w:pStyle w:val="Default"/>
        <w:rPr>
          <w:sz w:val="22"/>
          <w:szCs w:val="22"/>
        </w:rPr>
      </w:pPr>
    </w:p>
    <w:p w:rsidR="00317B2F" w:rsidRPr="00F143F2" w:rsidRDefault="00317B2F" w:rsidP="00317B2F">
      <w:pPr>
        <w:pStyle w:val="Default"/>
        <w:rPr>
          <w:sz w:val="22"/>
          <w:szCs w:val="22"/>
        </w:rPr>
      </w:pPr>
      <w:r w:rsidRPr="00F143F2">
        <w:rPr>
          <w:sz w:val="22"/>
          <w:szCs w:val="22"/>
          <w:u w:val="single"/>
        </w:rPr>
        <w:t xml:space="preserve">Kardiovaskulárne </w:t>
      </w:r>
    </w:p>
    <w:p w:rsidR="00317B2F" w:rsidRPr="00F143F2" w:rsidRDefault="00852289" w:rsidP="00317B2F">
      <w:pPr>
        <w:pStyle w:val="Default"/>
        <w:rPr>
          <w:sz w:val="22"/>
          <w:szCs w:val="22"/>
        </w:rPr>
      </w:pPr>
      <w:proofErr w:type="spellStart"/>
      <w:r w:rsidRPr="00F143F2">
        <w:rPr>
          <w:sz w:val="22"/>
          <w:szCs w:val="22"/>
        </w:rPr>
        <w:t>Bimatoprost</w:t>
      </w:r>
      <w:proofErr w:type="spellEnd"/>
      <w:r w:rsidR="00317B2F" w:rsidRPr="00F143F2">
        <w:rPr>
          <w:sz w:val="22"/>
          <w:szCs w:val="22"/>
        </w:rPr>
        <w:t xml:space="preserve"> sa neskúmal u pacientov so srdcovou blokádou viac než prvého stupňa alebo nekontrolovaným </w:t>
      </w:r>
      <w:proofErr w:type="spellStart"/>
      <w:r w:rsidR="00317B2F" w:rsidRPr="00F143F2">
        <w:rPr>
          <w:sz w:val="22"/>
          <w:szCs w:val="22"/>
        </w:rPr>
        <w:t>kongestívnym</w:t>
      </w:r>
      <w:proofErr w:type="spellEnd"/>
      <w:r w:rsidR="00317B2F" w:rsidRPr="00F143F2">
        <w:rPr>
          <w:sz w:val="22"/>
          <w:szCs w:val="22"/>
        </w:rPr>
        <w:t xml:space="preserve"> zlyhaním srdca. Bradykardia alebo hypotenzia boli hlásené v priebehu liečby </w:t>
      </w:r>
      <w:proofErr w:type="spellStart"/>
      <w:r w:rsidR="00317B2F" w:rsidRPr="00F143F2">
        <w:rPr>
          <w:sz w:val="22"/>
          <w:szCs w:val="22"/>
        </w:rPr>
        <w:t>bimatoprostom</w:t>
      </w:r>
      <w:proofErr w:type="spellEnd"/>
      <w:r w:rsidR="00317B2F" w:rsidRPr="00F143F2">
        <w:rPr>
          <w:sz w:val="22"/>
          <w:szCs w:val="22"/>
        </w:rPr>
        <w:t xml:space="preserve"> 0,3 mg/ml, očná roztoková </w:t>
      </w:r>
      <w:proofErr w:type="spellStart"/>
      <w:r w:rsidR="00317B2F" w:rsidRPr="00F143F2">
        <w:rPr>
          <w:sz w:val="22"/>
          <w:szCs w:val="22"/>
        </w:rPr>
        <w:t>instilá</w:t>
      </w:r>
      <w:r w:rsidRPr="00F143F2">
        <w:rPr>
          <w:sz w:val="22"/>
          <w:szCs w:val="22"/>
        </w:rPr>
        <w:t>cia</w:t>
      </w:r>
      <w:proofErr w:type="spellEnd"/>
      <w:r w:rsidRPr="00F143F2">
        <w:rPr>
          <w:sz w:val="22"/>
          <w:szCs w:val="22"/>
        </w:rPr>
        <w:t xml:space="preserve">, v obmedzenom počte. </w:t>
      </w:r>
      <w:proofErr w:type="spellStart"/>
      <w:r w:rsidR="00BF0E8A" w:rsidRPr="00F143F2">
        <w:rPr>
          <w:sz w:val="22"/>
          <w:szCs w:val="22"/>
        </w:rPr>
        <w:t>Bimican</w:t>
      </w:r>
      <w:proofErr w:type="spellEnd"/>
      <w:r w:rsidR="00317B2F" w:rsidRPr="00F143F2">
        <w:rPr>
          <w:sz w:val="22"/>
          <w:szCs w:val="22"/>
        </w:rPr>
        <w:t xml:space="preserve"> sa preto má používať s opatrnosťou u pacientov so známou </w:t>
      </w:r>
      <w:proofErr w:type="spellStart"/>
      <w:r w:rsidR="00317B2F" w:rsidRPr="00F143F2">
        <w:rPr>
          <w:sz w:val="22"/>
          <w:szCs w:val="22"/>
        </w:rPr>
        <w:t>predispozíciou</w:t>
      </w:r>
      <w:proofErr w:type="spellEnd"/>
      <w:r w:rsidR="00317B2F" w:rsidRPr="00F143F2">
        <w:rPr>
          <w:sz w:val="22"/>
          <w:szCs w:val="22"/>
        </w:rPr>
        <w:t xml:space="preserve"> nízkej srdcovej frekvencie alebo nízkeho krvného tlaku. </w:t>
      </w:r>
    </w:p>
    <w:p w:rsidR="007E7F5D" w:rsidRPr="00F143F2" w:rsidRDefault="007E7F5D" w:rsidP="00317B2F">
      <w:pPr>
        <w:pStyle w:val="Default"/>
        <w:rPr>
          <w:sz w:val="22"/>
          <w:szCs w:val="22"/>
        </w:rPr>
      </w:pPr>
    </w:p>
    <w:p w:rsidR="007E7F5D" w:rsidRPr="00F143F2" w:rsidRDefault="007E7F5D" w:rsidP="004F5B39">
      <w:pPr>
        <w:pStyle w:val="Default"/>
        <w:keepNext/>
        <w:rPr>
          <w:sz w:val="22"/>
          <w:szCs w:val="22"/>
        </w:rPr>
      </w:pPr>
      <w:r w:rsidRPr="00F143F2">
        <w:rPr>
          <w:sz w:val="22"/>
          <w:szCs w:val="22"/>
          <w:u w:val="single"/>
        </w:rPr>
        <w:lastRenderedPageBreak/>
        <w:t xml:space="preserve">Ďalšie informácie </w:t>
      </w:r>
    </w:p>
    <w:p w:rsidR="007E7F5D" w:rsidRPr="00F143F2" w:rsidRDefault="007E7F5D" w:rsidP="004F5B39">
      <w:pPr>
        <w:pStyle w:val="Default"/>
        <w:keepNext/>
        <w:rPr>
          <w:sz w:val="22"/>
          <w:szCs w:val="22"/>
        </w:rPr>
      </w:pPr>
      <w:r w:rsidRPr="00F143F2">
        <w:rPr>
          <w:sz w:val="22"/>
          <w:szCs w:val="22"/>
        </w:rPr>
        <w:t xml:space="preserve">Štúdie </w:t>
      </w:r>
      <w:proofErr w:type="spellStart"/>
      <w:r w:rsidRPr="00F143F2">
        <w:rPr>
          <w:sz w:val="22"/>
          <w:szCs w:val="22"/>
        </w:rPr>
        <w:t>bimatoprostu</w:t>
      </w:r>
      <w:proofErr w:type="spellEnd"/>
      <w:r w:rsidRPr="00F143F2">
        <w:rPr>
          <w:sz w:val="22"/>
          <w:szCs w:val="22"/>
        </w:rPr>
        <w:t xml:space="preserve"> 0,3 mg/ml u pacientov s </w:t>
      </w:r>
      <w:proofErr w:type="spellStart"/>
      <w:r w:rsidRPr="00F143F2">
        <w:rPr>
          <w:sz w:val="22"/>
          <w:szCs w:val="22"/>
        </w:rPr>
        <w:t>glaukómom</w:t>
      </w:r>
      <w:proofErr w:type="spellEnd"/>
      <w:r w:rsidRPr="00F143F2">
        <w:rPr>
          <w:sz w:val="22"/>
          <w:szCs w:val="22"/>
        </w:rPr>
        <w:t xml:space="preserve"> alebo </w:t>
      </w:r>
      <w:proofErr w:type="spellStart"/>
      <w:r w:rsidRPr="00F143F2">
        <w:rPr>
          <w:sz w:val="22"/>
          <w:szCs w:val="22"/>
        </w:rPr>
        <w:t>vnútroočnou</w:t>
      </w:r>
      <w:proofErr w:type="spellEnd"/>
      <w:r w:rsidRPr="00F143F2">
        <w:rPr>
          <w:sz w:val="22"/>
          <w:szCs w:val="22"/>
        </w:rPr>
        <w:t xml:space="preserve"> hypertenziou preukázali, že vystavovanie jedného oka viac ako jednej dávke </w:t>
      </w:r>
      <w:proofErr w:type="spellStart"/>
      <w:r w:rsidRPr="00F143F2">
        <w:rPr>
          <w:sz w:val="22"/>
          <w:szCs w:val="22"/>
        </w:rPr>
        <w:t>bimatoprostu</w:t>
      </w:r>
      <w:proofErr w:type="spellEnd"/>
      <w:r w:rsidRPr="00F143F2">
        <w:rPr>
          <w:sz w:val="22"/>
          <w:szCs w:val="22"/>
        </w:rPr>
        <w:t xml:space="preserve"> môže oslabiť účinok na znižovanie </w:t>
      </w:r>
      <w:proofErr w:type="spellStart"/>
      <w:r w:rsidRPr="00F143F2">
        <w:rPr>
          <w:sz w:val="22"/>
          <w:szCs w:val="22"/>
        </w:rPr>
        <w:t>vnútroočného</w:t>
      </w:r>
      <w:proofErr w:type="spellEnd"/>
      <w:r w:rsidRPr="00F143F2">
        <w:rPr>
          <w:sz w:val="22"/>
          <w:szCs w:val="22"/>
        </w:rPr>
        <w:t xml:space="preserve"> tlaku (pozri časť 4.5). U pacientov, ktorí používajú </w:t>
      </w:r>
      <w:proofErr w:type="spellStart"/>
      <w:r w:rsidR="00BF0E8A" w:rsidRPr="00F143F2">
        <w:rPr>
          <w:sz w:val="22"/>
          <w:szCs w:val="22"/>
        </w:rPr>
        <w:t>Bimican</w:t>
      </w:r>
      <w:proofErr w:type="spellEnd"/>
      <w:r w:rsidRPr="00F143F2">
        <w:rPr>
          <w:sz w:val="22"/>
          <w:szCs w:val="22"/>
        </w:rPr>
        <w:t xml:space="preserve"> s ďalšími </w:t>
      </w:r>
      <w:proofErr w:type="spellStart"/>
      <w:r w:rsidRPr="00F143F2">
        <w:rPr>
          <w:sz w:val="22"/>
          <w:szCs w:val="22"/>
        </w:rPr>
        <w:t>analógmi</w:t>
      </w:r>
      <w:proofErr w:type="spellEnd"/>
      <w:r w:rsidRPr="00F143F2">
        <w:rPr>
          <w:sz w:val="22"/>
          <w:szCs w:val="22"/>
        </w:rPr>
        <w:t xml:space="preserve"> </w:t>
      </w:r>
      <w:proofErr w:type="spellStart"/>
      <w:r w:rsidRPr="00F143F2">
        <w:rPr>
          <w:sz w:val="22"/>
          <w:szCs w:val="22"/>
        </w:rPr>
        <w:t>prostaglandínu</w:t>
      </w:r>
      <w:proofErr w:type="spellEnd"/>
      <w:r w:rsidRPr="00F143F2">
        <w:rPr>
          <w:sz w:val="22"/>
          <w:szCs w:val="22"/>
        </w:rPr>
        <w:t xml:space="preserve">, sa majú sledovať zmeny </w:t>
      </w:r>
      <w:proofErr w:type="spellStart"/>
      <w:r w:rsidRPr="00F143F2">
        <w:rPr>
          <w:sz w:val="22"/>
          <w:szCs w:val="22"/>
        </w:rPr>
        <w:t>vnútroočného</w:t>
      </w:r>
      <w:proofErr w:type="spellEnd"/>
      <w:r w:rsidRPr="00F143F2">
        <w:rPr>
          <w:sz w:val="22"/>
          <w:szCs w:val="22"/>
        </w:rPr>
        <w:t xml:space="preserve"> tlaku. </w:t>
      </w:r>
    </w:p>
    <w:p w:rsidR="007E7F5D" w:rsidRPr="00F143F2" w:rsidRDefault="007E7F5D" w:rsidP="007E7F5D">
      <w:pPr>
        <w:pStyle w:val="Default"/>
        <w:rPr>
          <w:sz w:val="22"/>
          <w:szCs w:val="22"/>
        </w:rPr>
      </w:pPr>
    </w:p>
    <w:p w:rsidR="007E7F5D" w:rsidRPr="00F143F2" w:rsidRDefault="00BF0E8A" w:rsidP="007E7F5D">
      <w:pPr>
        <w:pStyle w:val="Default"/>
        <w:rPr>
          <w:sz w:val="22"/>
          <w:szCs w:val="22"/>
        </w:rPr>
      </w:pPr>
      <w:proofErr w:type="spellStart"/>
      <w:r w:rsidRPr="00F143F2">
        <w:rPr>
          <w:sz w:val="22"/>
          <w:szCs w:val="22"/>
        </w:rPr>
        <w:t>Bimican</w:t>
      </w:r>
      <w:proofErr w:type="spellEnd"/>
      <w:r w:rsidR="007E7F5D" w:rsidRPr="00F143F2">
        <w:rPr>
          <w:sz w:val="22"/>
          <w:szCs w:val="22"/>
        </w:rPr>
        <w:t xml:space="preserve"> 0,3 mg/ml obsahuje konzervačnú látku </w:t>
      </w:r>
      <w:proofErr w:type="spellStart"/>
      <w:r w:rsidR="007E7F5D" w:rsidRPr="00F143F2">
        <w:rPr>
          <w:sz w:val="22"/>
          <w:szCs w:val="22"/>
        </w:rPr>
        <w:t>benzalkóniumchlorid</w:t>
      </w:r>
      <w:proofErr w:type="spellEnd"/>
      <w:r w:rsidR="007E7F5D" w:rsidRPr="00F143F2">
        <w:rPr>
          <w:sz w:val="22"/>
          <w:szCs w:val="22"/>
        </w:rPr>
        <w:t xml:space="preserve">, ktorú môže mäkká kontaktná šošovka absorbovať. Prítomnosť </w:t>
      </w:r>
      <w:proofErr w:type="spellStart"/>
      <w:r w:rsidR="007E7F5D" w:rsidRPr="00F143F2">
        <w:rPr>
          <w:sz w:val="22"/>
          <w:szCs w:val="22"/>
        </w:rPr>
        <w:t>benzalkóniumchloridu</w:t>
      </w:r>
      <w:proofErr w:type="spellEnd"/>
      <w:r w:rsidR="007E7F5D" w:rsidRPr="00F143F2">
        <w:rPr>
          <w:sz w:val="22"/>
          <w:szCs w:val="22"/>
        </w:rPr>
        <w:t xml:space="preserve"> môže spôsobiť podráždenie oka alebo zmenu farby mäkkej kontaktnej šošovky. Pred podaním očnej roztokovej </w:t>
      </w:r>
      <w:proofErr w:type="spellStart"/>
      <w:r w:rsidR="007E7F5D" w:rsidRPr="00F143F2">
        <w:rPr>
          <w:sz w:val="22"/>
          <w:szCs w:val="22"/>
        </w:rPr>
        <w:t>instilácie</w:t>
      </w:r>
      <w:proofErr w:type="spellEnd"/>
      <w:r w:rsidR="007E7F5D" w:rsidRPr="00F143F2">
        <w:rPr>
          <w:sz w:val="22"/>
          <w:szCs w:val="22"/>
        </w:rPr>
        <w:t xml:space="preserve"> si kontaktné šošovky vyberte a nasaďte si ich 15 minút po</w:t>
      </w:r>
      <w:r w:rsidR="00F31AA9" w:rsidRPr="00F143F2">
        <w:rPr>
          <w:sz w:val="22"/>
          <w:szCs w:val="22"/>
        </w:rPr>
        <w:t xml:space="preserve"> podaní</w:t>
      </w:r>
      <w:r w:rsidR="00E83D08" w:rsidRPr="00F143F2">
        <w:rPr>
          <w:sz w:val="22"/>
          <w:szCs w:val="22"/>
        </w:rPr>
        <w:t xml:space="preserve"> </w:t>
      </w:r>
      <w:proofErr w:type="spellStart"/>
      <w:r w:rsidR="007E7F5D" w:rsidRPr="00F143F2">
        <w:rPr>
          <w:sz w:val="22"/>
          <w:szCs w:val="22"/>
        </w:rPr>
        <w:t>instiláci</w:t>
      </w:r>
      <w:r w:rsidR="00E83D08" w:rsidRPr="00F143F2">
        <w:rPr>
          <w:sz w:val="22"/>
          <w:szCs w:val="22"/>
        </w:rPr>
        <w:t>e</w:t>
      </w:r>
      <w:proofErr w:type="spellEnd"/>
      <w:r w:rsidR="007E7F5D" w:rsidRPr="00F143F2">
        <w:rPr>
          <w:sz w:val="22"/>
          <w:szCs w:val="22"/>
        </w:rPr>
        <w:t>.</w:t>
      </w:r>
    </w:p>
    <w:p w:rsidR="007E7F5D" w:rsidRPr="00F143F2" w:rsidRDefault="007E7F5D" w:rsidP="007E7F5D">
      <w:pPr>
        <w:pStyle w:val="Default"/>
        <w:rPr>
          <w:sz w:val="22"/>
          <w:szCs w:val="22"/>
        </w:rPr>
      </w:pPr>
    </w:p>
    <w:p w:rsidR="007E7F5D" w:rsidRPr="00F143F2" w:rsidRDefault="007E7F5D" w:rsidP="007E7F5D">
      <w:pPr>
        <w:pStyle w:val="Default"/>
        <w:rPr>
          <w:sz w:val="22"/>
          <w:szCs w:val="22"/>
        </w:rPr>
      </w:pPr>
      <w:r w:rsidRPr="00F143F2">
        <w:rPr>
          <w:sz w:val="22"/>
          <w:szCs w:val="22"/>
        </w:rPr>
        <w:t xml:space="preserve">Uvádza sa, že </w:t>
      </w:r>
      <w:proofErr w:type="spellStart"/>
      <w:r w:rsidRPr="00F143F2">
        <w:rPr>
          <w:sz w:val="22"/>
          <w:szCs w:val="22"/>
        </w:rPr>
        <w:t>benzalkóniumchlorid</w:t>
      </w:r>
      <w:proofErr w:type="spellEnd"/>
      <w:r w:rsidRPr="00F143F2">
        <w:rPr>
          <w:sz w:val="22"/>
          <w:szCs w:val="22"/>
        </w:rPr>
        <w:t xml:space="preserve">, ktorý sa bežne používa ako konzervačná látka v oftalmologických </w:t>
      </w:r>
    </w:p>
    <w:p w:rsidR="007E7F5D" w:rsidRPr="00F143F2" w:rsidRDefault="007E7F5D" w:rsidP="007E7F5D">
      <w:pPr>
        <w:pStyle w:val="Default"/>
        <w:rPr>
          <w:sz w:val="22"/>
          <w:szCs w:val="22"/>
        </w:rPr>
      </w:pPr>
      <w:r w:rsidRPr="00F143F2">
        <w:rPr>
          <w:sz w:val="22"/>
          <w:szCs w:val="22"/>
        </w:rPr>
        <w:t xml:space="preserve">liekoch, spôsobuje </w:t>
      </w:r>
      <w:proofErr w:type="spellStart"/>
      <w:r w:rsidRPr="00F143F2">
        <w:rPr>
          <w:sz w:val="22"/>
          <w:szCs w:val="22"/>
        </w:rPr>
        <w:t>bodkovitú</w:t>
      </w:r>
      <w:proofErr w:type="spellEnd"/>
      <w:r w:rsidRPr="00F143F2">
        <w:rPr>
          <w:sz w:val="22"/>
          <w:szCs w:val="22"/>
        </w:rPr>
        <w:t xml:space="preserve"> </w:t>
      </w:r>
      <w:proofErr w:type="spellStart"/>
      <w:r w:rsidRPr="00F143F2">
        <w:rPr>
          <w:sz w:val="22"/>
          <w:szCs w:val="22"/>
        </w:rPr>
        <w:t>keratopatiu</w:t>
      </w:r>
      <w:proofErr w:type="spellEnd"/>
      <w:r w:rsidRPr="00F143F2">
        <w:rPr>
          <w:sz w:val="22"/>
          <w:szCs w:val="22"/>
        </w:rPr>
        <w:t xml:space="preserve"> a/alebo toxickú </w:t>
      </w:r>
      <w:proofErr w:type="spellStart"/>
      <w:r w:rsidRPr="00F143F2">
        <w:rPr>
          <w:sz w:val="22"/>
          <w:szCs w:val="22"/>
        </w:rPr>
        <w:t>ulceróznu</w:t>
      </w:r>
      <w:proofErr w:type="spellEnd"/>
      <w:r w:rsidRPr="00F143F2">
        <w:rPr>
          <w:sz w:val="22"/>
          <w:szCs w:val="22"/>
        </w:rPr>
        <w:t xml:space="preserve"> </w:t>
      </w:r>
      <w:proofErr w:type="spellStart"/>
      <w:r w:rsidRPr="00F143F2">
        <w:rPr>
          <w:sz w:val="22"/>
          <w:szCs w:val="22"/>
        </w:rPr>
        <w:t>keratopatiu</w:t>
      </w:r>
      <w:proofErr w:type="spellEnd"/>
      <w:r w:rsidRPr="00F143F2">
        <w:rPr>
          <w:sz w:val="22"/>
          <w:szCs w:val="22"/>
        </w:rPr>
        <w:t xml:space="preserve">. Keďže </w:t>
      </w:r>
      <w:proofErr w:type="spellStart"/>
      <w:r w:rsidR="00BF0E8A" w:rsidRPr="00F143F2">
        <w:rPr>
          <w:sz w:val="22"/>
          <w:szCs w:val="22"/>
        </w:rPr>
        <w:t>Bimican</w:t>
      </w:r>
      <w:proofErr w:type="spellEnd"/>
    </w:p>
    <w:p w:rsidR="007E7F5D" w:rsidRPr="00F143F2" w:rsidRDefault="007E7F5D" w:rsidP="007E7F5D">
      <w:pPr>
        <w:pStyle w:val="Default"/>
        <w:rPr>
          <w:sz w:val="22"/>
          <w:szCs w:val="22"/>
        </w:rPr>
      </w:pPr>
      <w:r w:rsidRPr="00F143F2">
        <w:rPr>
          <w:sz w:val="22"/>
          <w:szCs w:val="22"/>
        </w:rPr>
        <w:t xml:space="preserve"> obsahuje </w:t>
      </w:r>
      <w:proofErr w:type="spellStart"/>
      <w:r w:rsidRPr="00F143F2">
        <w:rPr>
          <w:sz w:val="22"/>
          <w:szCs w:val="22"/>
        </w:rPr>
        <w:t>benzalkóniumchlorid</w:t>
      </w:r>
      <w:proofErr w:type="spellEnd"/>
      <w:r w:rsidRPr="00F143F2">
        <w:rPr>
          <w:sz w:val="22"/>
          <w:szCs w:val="22"/>
        </w:rPr>
        <w:t>, vyžaduje sa sledovanie u pacientov so syndrómom suchého oka alebo s možným poškodením rohovky, ktorí liek používajú často alebo dlhodobo.</w:t>
      </w:r>
    </w:p>
    <w:p w:rsidR="00852289" w:rsidRPr="00F143F2" w:rsidRDefault="00852289" w:rsidP="00852289">
      <w:pPr>
        <w:pStyle w:val="Default"/>
        <w:rPr>
          <w:sz w:val="22"/>
          <w:szCs w:val="22"/>
        </w:rPr>
      </w:pPr>
    </w:p>
    <w:p w:rsidR="00852289" w:rsidRPr="00F143F2" w:rsidRDefault="00852289" w:rsidP="00852289">
      <w:pPr>
        <w:pStyle w:val="Default"/>
        <w:rPr>
          <w:sz w:val="22"/>
          <w:szCs w:val="22"/>
        </w:rPr>
      </w:pPr>
      <w:r w:rsidRPr="00F143F2">
        <w:rPr>
          <w:sz w:val="22"/>
          <w:szCs w:val="22"/>
        </w:rPr>
        <w:t xml:space="preserve">Existujú </w:t>
      </w:r>
      <w:r w:rsidR="00F31AA9" w:rsidRPr="00F143F2">
        <w:rPr>
          <w:sz w:val="22"/>
          <w:szCs w:val="22"/>
        </w:rPr>
        <w:t xml:space="preserve">hlásenia </w:t>
      </w:r>
      <w:r w:rsidRPr="00F143F2">
        <w:rPr>
          <w:sz w:val="22"/>
          <w:szCs w:val="22"/>
        </w:rPr>
        <w:t xml:space="preserve">o výskyte bakteriálnej </w:t>
      </w:r>
      <w:proofErr w:type="spellStart"/>
      <w:r w:rsidRPr="00F143F2">
        <w:rPr>
          <w:sz w:val="22"/>
          <w:szCs w:val="22"/>
        </w:rPr>
        <w:t>keratitídy</w:t>
      </w:r>
      <w:proofErr w:type="spellEnd"/>
      <w:r w:rsidRPr="00F143F2">
        <w:rPr>
          <w:sz w:val="22"/>
          <w:szCs w:val="22"/>
        </w:rPr>
        <w:t xml:space="preserve"> súvisiacej s používaním viacdávkových nádob topických oftalmologických liekov. Tieto nádoby boli omylom nakazené pacientmi, ktorí vo väčšine prípadov súbežne trpeli očným ochorením. Pacienti s narušeným </w:t>
      </w:r>
      <w:proofErr w:type="spellStart"/>
      <w:r w:rsidRPr="00F143F2">
        <w:rPr>
          <w:sz w:val="22"/>
          <w:szCs w:val="22"/>
        </w:rPr>
        <w:t>epiteliálnym</w:t>
      </w:r>
      <w:proofErr w:type="spellEnd"/>
      <w:r w:rsidRPr="00F143F2">
        <w:rPr>
          <w:sz w:val="22"/>
          <w:szCs w:val="22"/>
        </w:rPr>
        <w:t xml:space="preserve"> povrchom oka predstavujú najväčšie riziko vzniku bakteriálnej </w:t>
      </w:r>
      <w:proofErr w:type="spellStart"/>
      <w:r w:rsidRPr="00F143F2">
        <w:rPr>
          <w:sz w:val="22"/>
          <w:szCs w:val="22"/>
        </w:rPr>
        <w:t>keratitídy</w:t>
      </w:r>
      <w:proofErr w:type="spellEnd"/>
      <w:r w:rsidRPr="00F143F2">
        <w:rPr>
          <w:sz w:val="22"/>
          <w:szCs w:val="22"/>
        </w:rPr>
        <w:t xml:space="preserve">. </w:t>
      </w:r>
    </w:p>
    <w:p w:rsidR="00852289" w:rsidRPr="00F143F2" w:rsidRDefault="00852289" w:rsidP="0085228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1B1D93" w:rsidRPr="00F143F2" w:rsidRDefault="001B1D93" w:rsidP="001B1D9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143F2">
        <w:rPr>
          <w:szCs w:val="22"/>
          <w:lang w:val="sk-SK"/>
        </w:rPr>
        <w:t>Pacientov treba poučiť, aby nepripustili kontakt hrotu dávkovacej nádoby s okom alebo susednými</w:t>
      </w:r>
    </w:p>
    <w:p w:rsidR="00D96C10" w:rsidRPr="00F143F2" w:rsidRDefault="001B1D93" w:rsidP="001B1D9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143F2">
        <w:rPr>
          <w:szCs w:val="22"/>
          <w:lang w:val="sk-SK"/>
        </w:rPr>
        <w:t xml:space="preserve">štruktúrami, aby nedošlo k poraneniu oka a kontaminácii roztoku. </w:t>
      </w:r>
    </w:p>
    <w:p w:rsidR="00852289" w:rsidRPr="00F143F2" w:rsidRDefault="00852289" w:rsidP="00317B2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F143F2">
        <w:rPr>
          <w:rFonts w:eastAsia="TimesNewRoman,Bold"/>
          <w:b/>
          <w:bCs/>
          <w:szCs w:val="22"/>
          <w:lang w:val="sk-SK" w:eastAsia="sk-SK"/>
        </w:rPr>
        <w:t>4.5</w:t>
      </w:r>
      <w:r w:rsidRPr="00F143F2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F143F2">
        <w:rPr>
          <w:rFonts w:eastAsia="TimesNewRoman,Bold"/>
          <w:b/>
          <w:bCs/>
          <w:szCs w:val="22"/>
          <w:lang w:val="sk-SK" w:eastAsia="sk-SK"/>
        </w:rPr>
        <w:t>Liekové a iné interakcie</w:t>
      </w:r>
    </w:p>
    <w:p w:rsidR="00D96C10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A15B80" w:rsidRPr="00F143F2" w:rsidRDefault="00A15B80" w:rsidP="00A15B80">
      <w:pPr>
        <w:pStyle w:val="Default"/>
        <w:rPr>
          <w:sz w:val="22"/>
          <w:szCs w:val="22"/>
        </w:rPr>
      </w:pPr>
      <w:r w:rsidRPr="00F143F2">
        <w:rPr>
          <w:sz w:val="22"/>
          <w:szCs w:val="22"/>
        </w:rPr>
        <w:t xml:space="preserve">Neuskutočnili sa žiadne interakčné štúdie. </w:t>
      </w:r>
    </w:p>
    <w:p w:rsidR="00A15B80" w:rsidRPr="00F143F2" w:rsidRDefault="00A15B80" w:rsidP="00A15B80">
      <w:pPr>
        <w:pStyle w:val="Default"/>
        <w:rPr>
          <w:sz w:val="22"/>
          <w:szCs w:val="22"/>
        </w:rPr>
      </w:pPr>
    </w:p>
    <w:p w:rsidR="00A15B80" w:rsidRPr="00F143F2" w:rsidRDefault="00A15B80" w:rsidP="00A15B80">
      <w:pPr>
        <w:pStyle w:val="Default"/>
        <w:rPr>
          <w:sz w:val="22"/>
          <w:szCs w:val="22"/>
        </w:rPr>
      </w:pPr>
      <w:r w:rsidRPr="00F143F2">
        <w:rPr>
          <w:sz w:val="22"/>
          <w:szCs w:val="22"/>
        </w:rPr>
        <w:t xml:space="preserve">Neočakávajú sa žiadne interakcie u ľudí, pretože systémová koncentrácia </w:t>
      </w:r>
      <w:proofErr w:type="spellStart"/>
      <w:r w:rsidRPr="00F143F2">
        <w:rPr>
          <w:sz w:val="22"/>
          <w:szCs w:val="22"/>
        </w:rPr>
        <w:t>bimatoprostu</w:t>
      </w:r>
      <w:proofErr w:type="spellEnd"/>
      <w:r w:rsidRPr="00F143F2">
        <w:rPr>
          <w:sz w:val="22"/>
          <w:szCs w:val="22"/>
        </w:rPr>
        <w:t xml:space="preserve"> po očnom podaní </w:t>
      </w:r>
      <w:proofErr w:type="spellStart"/>
      <w:r w:rsidRPr="00F143F2">
        <w:rPr>
          <w:sz w:val="22"/>
          <w:szCs w:val="22"/>
        </w:rPr>
        <w:t>bimatoprostu</w:t>
      </w:r>
      <w:proofErr w:type="spellEnd"/>
      <w:r w:rsidRPr="00F143F2">
        <w:rPr>
          <w:sz w:val="22"/>
          <w:szCs w:val="22"/>
        </w:rPr>
        <w:t xml:space="preserve"> 0,3 mg/ml, očnej roztokovej </w:t>
      </w:r>
      <w:proofErr w:type="spellStart"/>
      <w:r w:rsidRPr="00F143F2">
        <w:rPr>
          <w:sz w:val="22"/>
          <w:szCs w:val="22"/>
        </w:rPr>
        <w:t>instilácie</w:t>
      </w:r>
      <w:proofErr w:type="spellEnd"/>
      <w:r w:rsidRPr="00F143F2">
        <w:rPr>
          <w:sz w:val="22"/>
          <w:szCs w:val="22"/>
        </w:rPr>
        <w:t xml:space="preserve">, je extrémne nízka (menej ako 0,2 </w:t>
      </w:r>
      <w:proofErr w:type="spellStart"/>
      <w:r w:rsidRPr="00F143F2">
        <w:rPr>
          <w:sz w:val="22"/>
          <w:szCs w:val="22"/>
        </w:rPr>
        <w:t>ng</w:t>
      </w:r>
      <w:proofErr w:type="spellEnd"/>
      <w:r w:rsidRPr="00F143F2">
        <w:rPr>
          <w:sz w:val="22"/>
          <w:szCs w:val="22"/>
        </w:rPr>
        <w:t xml:space="preserve">/ml). </w:t>
      </w:r>
      <w:proofErr w:type="spellStart"/>
      <w:r w:rsidRPr="00F143F2">
        <w:rPr>
          <w:sz w:val="22"/>
          <w:szCs w:val="22"/>
        </w:rPr>
        <w:t>Bimatoprost</w:t>
      </w:r>
      <w:proofErr w:type="spellEnd"/>
      <w:r w:rsidRPr="00F143F2">
        <w:rPr>
          <w:sz w:val="22"/>
          <w:szCs w:val="22"/>
        </w:rPr>
        <w:t xml:space="preserve"> sa </w:t>
      </w:r>
      <w:proofErr w:type="spellStart"/>
      <w:r w:rsidRPr="00F143F2">
        <w:rPr>
          <w:sz w:val="22"/>
          <w:szCs w:val="22"/>
        </w:rPr>
        <w:t>biotransformuje</w:t>
      </w:r>
      <w:proofErr w:type="spellEnd"/>
      <w:r w:rsidRPr="00F143F2">
        <w:rPr>
          <w:sz w:val="22"/>
          <w:szCs w:val="22"/>
        </w:rPr>
        <w:t xml:space="preserve"> početnými enzýmami a cestami, ale v pre</w:t>
      </w:r>
      <w:r w:rsidR="00D14C3F" w:rsidRPr="00F143F2">
        <w:rPr>
          <w:sz w:val="22"/>
          <w:szCs w:val="22"/>
        </w:rPr>
        <w:t>d</w:t>
      </w:r>
      <w:r w:rsidRPr="00F143F2">
        <w:rPr>
          <w:sz w:val="22"/>
          <w:szCs w:val="22"/>
        </w:rPr>
        <w:t xml:space="preserve">klinických štúdiách sa nepozoroval žiadny účinok na pečeňové enzýmy, ktoré metabolizujú lieky. </w:t>
      </w:r>
    </w:p>
    <w:p w:rsidR="00A15B80" w:rsidRPr="00F143F2" w:rsidRDefault="00A15B80" w:rsidP="00A15B80">
      <w:pPr>
        <w:pStyle w:val="Default"/>
        <w:rPr>
          <w:sz w:val="22"/>
          <w:szCs w:val="22"/>
        </w:rPr>
      </w:pPr>
    </w:p>
    <w:p w:rsidR="00A15B80" w:rsidRPr="00F143F2" w:rsidRDefault="00A15B80" w:rsidP="00A15B80">
      <w:pPr>
        <w:pStyle w:val="Default"/>
        <w:rPr>
          <w:sz w:val="22"/>
          <w:szCs w:val="22"/>
        </w:rPr>
      </w:pPr>
      <w:r w:rsidRPr="00F143F2">
        <w:rPr>
          <w:sz w:val="22"/>
          <w:szCs w:val="22"/>
        </w:rPr>
        <w:t xml:space="preserve">V klinických štúdiách sa </w:t>
      </w:r>
      <w:proofErr w:type="spellStart"/>
      <w:r w:rsidRPr="00F143F2">
        <w:rPr>
          <w:sz w:val="22"/>
          <w:szCs w:val="22"/>
        </w:rPr>
        <w:t>bimatoprost</w:t>
      </w:r>
      <w:proofErr w:type="spellEnd"/>
      <w:r w:rsidRPr="00F143F2">
        <w:rPr>
          <w:sz w:val="22"/>
          <w:szCs w:val="22"/>
        </w:rPr>
        <w:t xml:space="preserve"> používal bez známok interakcií súčasne s množstvom rôznych druhov očných </w:t>
      </w:r>
      <w:proofErr w:type="spellStart"/>
      <w:r w:rsidRPr="00F143F2">
        <w:rPr>
          <w:sz w:val="22"/>
          <w:szCs w:val="22"/>
        </w:rPr>
        <w:t>betablokátorov</w:t>
      </w:r>
      <w:proofErr w:type="spellEnd"/>
      <w:r w:rsidRPr="00F143F2">
        <w:rPr>
          <w:sz w:val="22"/>
          <w:szCs w:val="22"/>
        </w:rPr>
        <w:t xml:space="preserve">. </w:t>
      </w:r>
    </w:p>
    <w:p w:rsidR="00A15B80" w:rsidRPr="00F143F2" w:rsidRDefault="00A15B80" w:rsidP="00A15B80">
      <w:pPr>
        <w:pStyle w:val="Default"/>
        <w:rPr>
          <w:sz w:val="22"/>
          <w:szCs w:val="22"/>
        </w:rPr>
      </w:pPr>
    </w:p>
    <w:p w:rsidR="00A15B80" w:rsidRPr="00F143F2" w:rsidRDefault="00A15B80" w:rsidP="00A15B80">
      <w:pPr>
        <w:pStyle w:val="Default"/>
        <w:rPr>
          <w:sz w:val="22"/>
          <w:szCs w:val="22"/>
        </w:rPr>
      </w:pPr>
      <w:r w:rsidRPr="00F143F2">
        <w:rPr>
          <w:sz w:val="22"/>
          <w:szCs w:val="22"/>
        </w:rPr>
        <w:t xml:space="preserve">Súčasné použitie </w:t>
      </w:r>
      <w:proofErr w:type="spellStart"/>
      <w:r w:rsidR="00BF0E8A" w:rsidRPr="00F143F2">
        <w:rPr>
          <w:sz w:val="22"/>
          <w:szCs w:val="22"/>
        </w:rPr>
        <w:t>Bimicanu</w:t>
      </w:r>
      <w:proofErr w:type="spellEnd"/>
      <w:r w:rsidRPr="00F143F2">
        <w:rPr>
          <w:sz w:val="22"/>
          <w:szCs w:val="22"/>
        </w:rPr>
        <w:t xml:space="preserve"> s inými </w:t>
      </w:r>
      <w:proofErr w:type="spellStart"/>
      <w:r w:rsidRPr="00F143F2">
        <w:rPr>
          <w:sz w:val="22"/>
          <w:szCs w:val="22"/>
        </w:rPr>
        <w:t>antiglaukomatikami</w:t>
      </w:r>
      <w:proofErr w:type="spellEnd"/>
      <w:r w:rsidRPr="00F143F2">
        <w:rPr>
          <w:sz w:val="22"/>
          <w:szCs w:val="22"/>
        </w:rPr>
        <w:t xml:space="preserve"> ako topickými </w:t>
      </w:r>
      <w:proofErr w:type="spellStart"/>
      <w:r w:rsidRPr="00F143F2">
        <w:rPr>
          <w:sz w:val="22"/>
          <w:szCs w:val="22"/>
        </w:rPr>
        <w:t>betablokátormi</w:t>
      </w:r>
      <w:proofErr w:type="spellEnd"/>
      <w:r w:rsidRPr="00F143F2">
        <w:rPr>
          <w:sz w:val="22"/>
          <w:szCs w:val="22"/>
        </w:rPr>
        <w:t xml:space="preserve"> sa v priebehu doplnkovej liečby </w:t>
      </w:r>
      <w:proofErr w:type="spellStart"/>
      <w:r w:rsidRPr="00F143F2">
        <w:rPr>
          <w:sz w:val="22"/>
          <w:szCs w:val="22"/>
        </w:rPr>
        <w:t>glaukómu</w:t>
      </w:r>
      <w:proofErr w:type="spellEnd"/>
      <w:r w:rsidRPr="00F143F2">
        <w:rPr>
          <w:sz w:val="22"/>
          <w:szCs w:val="22"/>
        </w:rPr>
        <w:t xml:space="preserve"> nehodnotilo. </w:t>
      </w:r>
    </w:p>
    <w:p w:rsidR="00A15B80" w:rsidRPr="00F143F2" w:rsidRDefault="00A15B80" w:rsidP="00A15B80">
      <w:pPr>
        <w:pStyle w:val="Default"/>
        <w:rPr>
          <w:sz w:val="22"/>
          <w:szCs w:val="22"/>
        </w:rPr>
      </w:pPr>
    </w:p>
    <w:p w:rsidR="00A15B80" w:rsidRPr="00F143F2" w:rsidRDefault="00A15B80" w:rsidP="00A15B80">
      <w:pPr>
        <w:pStyle w:val="Default"/>
        <w:rPr>
          <w:sz w:val="22"/>
          <w:szCs w:val="22"/>
        </w:rPr>
      </w:pPr>
      <w:r w:rsidRPr="00F143F2">
        <w:rPr>
          <w:sz w:val="22"/>
          <w:szCs w:val="22"/>
        </w:rPr>
        <w:t xml:space="preserve">Existuje možnosť oslabenia účinku </w:t>
      </w:r>
      <w:proofErr w:type="spellStart"/>
      <w:r w:rsidRPr="00F143F2">
        <w:rPr>
          <w:sz w:val="22"/>
          <w:szCs w:val="22"/>
        </w:rPr>
        <w:t>analógov</w:t>
      </w:r>
      <w:proofErr w:type="spellEnd"/>
      <w:r w:rsidRPr="00F143F2">
        <w:rPr>
          <w:sz w:val="22"/>
          <w:szCs w:val="22"/>
        </w:rPr>
        <w:t xml:space="preserve"> </w:t>
      </w:r>
      <w:proofErr w:type="spellStart"/>
      <w:r w:rsidRPr="00F143F2">
        <w:rPr>
          <w:sz w:val="22"/>
          <w:szCs w:val="22"/>
        </w:rPr>
        <w:t>prostaglandínu</w:t>
      </w:r>
      <w:proofErr w:type="spellEnd"/>
      <w:r w:rsidRPr="00F143F2">
        <w:rPr>
          <w:sz w:val="22"/>
          <w:szCs w:val="22"/>
        </w:rPr>
        <w:t xml:space="preserve"> (napr. </w:t>
      </w:r>
      <w:proofErr w:type="spellStart"/>
      <w:r w:rsidRPr="00F143F2">
        <w:rPr>
          <w:sz w:val="22"/>
          <w:szCs w:val="22"/>
        </w:rPr>
        <w:t>bimatoprost</w:t>
      </w:r>
      <w:proofErr w:type="spellEnd"/>
      <w:r w:rsidRPr="00F143F2">
        <w:rPr>
          <w:sz w:val="22"/>
          <w:szCs w:val="22"/>
        </w:rPr>
        <w:t xml:space="preserve">) na znižovanie </w:t>
      </w:r>
      <w:proofErr w:type="spellStart"/>
      <w:r w:rsidRPr="00F143F2">
        <w:rPr>
          <w:sz w:val="22"/>
          <w:szCs w:val="22"/>
        </w:rPr>
        <w:t>vnútroočného</w:t>
      </w:r>
      <w:proofErr w:type="spellEnd"/>
      <w:r w:rsidRPr="00F143F2">
        <w:rPr>
          <w:sz w:val="22"/>
          <w:szCs w:val="22"/>
        </w:rPr>
        <w:t xml:space="preserve"> tlaku u pacientov s </w:t>
      </w:r>
      <w:proofErr w:type="spellStart"/>
      <w:r w:rsidRPr="00F143F2">
        <w:rPr>
          <w:sz w:val="22"/>
          <w:szCs w:val="22"/>
        </w:rPr>
        <w:t>glaukómom</w:t>
      </w:r>
      <w:proofErr w:type="spellEnd"/>
      <w:r w:rsidRPr="00F143F2">
        <w:rPr>
          <w:sz w:val="22"/>
          <w:szCs w:val="22"/>
        </w:rPr>
        <w:t xml:space="preserve"> alebo </w:t>
      </w:r>
      <w:proofErr w:type="spellStart"/>
      <w:r w:rsidRPr="00F143F2">
        <w:rPr>
          <w:sz w:val="22"/>
          <w:szCs w:val="22"/>
        </w:rPr>
        <w:t>vnútroočnou</w:t>
      </w:r>
      <w:proofErr w:type="spellEnd"/>
      <w:r w:rsidRPr="00F143F2">
        <w:rPr>
          <w:sz w:val="22"/>
          <w:szCs w:val="22"/>
        </w:rPr>
        <w:t xml:space="preserve"> hypertenziou pri použití ďalších </w:t>
      </w:r>
      <w:proofErr w:type="spellStart"/>
      <w:r w:rsidRPr="00F143F2">
        <w:rPr>
          <w:sz w:val="22"/>
          <w:szCs w:val="22"/>
        </w:rPr>
        <w:t>analógov</w:t>
      </w:r>
      <w:proofErr w:type="spellEnd"/>
      <w:r w:rsidRPr="00F143F2">
        <w:rPr>
          <w:sz w:val="22"/>
          <w:szCs w:val="22"/>
        </w:rPr>
        <w:t xml:space="preserve"> </w:t>
      </w:r>
      <w:proofErr w:type="spellStart"/>
      <w:r w:rsidRPr="00F143F2">
        <w:rPr>
          <w:sz w:val="22"/>
          <w:szCs w:val="22"/>
        </w:rPr>
        <w:t>prostaglandínu</w:t>
      </w:r>
      <w:proofErr w:type="spellEnd"/>
      <w:r w:rsidRPr="00F143F2">
        <w:rPr>
          <w:sz w:val="22"/>
          <w:szCs w:val="22"/>
        </w:rPr>
        <w:t xml:space="preserve"> (pozri časť 4.4). </w:t>
      </w:r>
    </w:p>
    <w:p w:rsidR="00D96C10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F143F2">
        <w:rPr>
          <w:rFonts w:eastAsia="TimesNewRoman,Bold"/>
          <w:b/>
          <w:bCs/>
          <w:szCs w:val="22"/>
          <w:lang w:val="sk-SK" w:eastAsia="sk-SK"/>
        </w:rPr>
        <w:t>4.6</w:t>
      </w:r>
      <w:r w:rsidRPr="00F143F2">
        <w:rPr>
          <w:rFonts w:eastAsia="TimesNewRoman,Bold"/>
          <w:b/>
          <w:bCs/>
          <w:szCs w:val="22"/>
          <w:lang w:val="sk-SK" w:eastAsia="sk-SK"/>
        </w:rPr>
        <w:tab/>
      </w:r>
      <w:r w:rsidR="00030505" w:rsidRPr="00F143F2">
        <w:rPr>
          <w:rFonts w:eastAsia="TimesNewRoman,Bold"/>
          <w:b/>
          <w:bCs/>
          <w:szCs w:val="22"/>
          <w:lang w:val="sk-SK" w:eastAsia="sk-SK"/>
        </w:rPr>
        <w:t>Fertilita, g</w:t>
      </w:r>
      <w:r w:rsidR="003C309A" w:rsidRPr="00F143F2">
        <w:rPr>
          <w:rFonts w:eastAsia="TimesNewRoman,Bold"/>
          <w:b/>
          <w:bCs/>
          <w:szCs w:val="22"/>
          <w:lang w:val="sk-SK" w:eastAsia="sk-SK"/>
        </w:rPr>
        <w:t>ravidita a laktácia</w:t>
      </w:r>
    </w:p>
    <w:p w:rsidR="00D96C10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A15B80" w:rsidRPr="00F143F2" w:rsidRDefault="00A15B80" w:rsidP="00A15B80">
      <w:pPr>
        <w:pStyle w:val="Default"/>
        <w:rPr>
          <w:sz w:val="22"/>
          <w:szCs w:val="22"/>
        </w:rPr>
      </w:pPr>
      <w:r w:rsidRPr="00F143F2">
        <w:rPr>
          <w:sz w:val="22"/>
          <w:szCs w:val="22"/>
          <w:u w:val="single"/>
        </w:rPr>
        <w:t>Gravidita</w:t>
      </w:r>
      <w:r w:rsidRPr="00F143F2">
        <w:rPr>
          <w:sz w:val="22"/>
          <w:szCs w:val="22"/>
        </w:rPr>
        <w:t xml:space="preserve"> </w:t>
      </w:r>
    </w:p>
    <w:p w:rsidR="00A15B80" w:rsidRPr="00F143F2" w:rsidRDefault="00A15B80" w:rsidP="00A15B80">
      <w:pPr>
        <w:pStyle w:val="Default"/>
        <w:rPr>
          <w:sz w:val="22"/>
          <w:szCs w:val="22"/>
        </w:rPr>
      </w:pPr>
      <w:r w:rsidRPr="00F143F2">
        <w:rPr>
          <w:sz w:val="22"/>
          <w:szCs w:val="22"/>
        </w:rPr>
        <w:t xml:space="preserve">Nie sú k dispozícii dostatočné údaje o použití </w:t>
      </w:r>
      <w:proofErr w:type="spellStart"/>
      <w:r w:rsidRPr="00F143F2">
        <w:rPr>
          <w:sz w:val="22"/>
          <w:szCs w:val="22"/>
        </w:rPr>
        <w:t>bimatoprostu</w:t>
      </w:r>
      <w:proofErr w:type="spellEnd"/>
      <w:r w:rsidRPr="00F143F2">
        <w:rPr>
          <w:sz w:val="22"/>
          <w:szCs w:val="22"/>
        </w:rPr>
        <w:t xml:space="preserve"> u gravidných žien. Štúdie na zvieratách preukázali reprodukčnú toxicitu pri vysokých </w:t>
      </w:r>
      <w:proofErr w:type="spellStart"/>
      <w:r w:rsidRPr="00F143F2">
        <w:rPr>
          <w:sz w:val="22"/>
          <w:szCs w:val="22"/>
        </w:rPr>
        <w:t>maternotoxických</w:t>
      </w:r>
      <w:proofErr w:type="spellEnd"/>
      <w:r w:rsidRPr="00F143F2">
        <w:rPr>
          <w:sz w:val="22"/>
          <w:szCs w:val="22"/>
        </w:rPr>
        <w:t xml:space="preserve"> dávkach (pozri časť 5.3). </w:t>
      </w:r>
    </w:p>
    <w:p w:rsidR="00A15B80" w:rsidRPr="00F143F2" w:rsidRDefault="00A15B80" w:rsidP="00A15B80">
      <w:pPr>
        <w:pStyle w:val="Default"/>
        <w:rPr>
          <w:sz w:val="22"/>
          <w:szCs w:val="22"/>
        </w:rPr>
      </w:pPr>
    </w:p>
    <w:p w:rsidR="00A15B80" w:rsidRPr="00F143F2" w:rsidRDefault="00BF0E8A" w:rsidP="00A15B80">
      <w:pPr>
        <w:pStyle w:val="Default"/>
        <w:rPr>
          <w:sz w:val="22"/>
          <w:szCs w:val="22"/>
        </w:rPr>
      </w:pPr>
      <w:proofErr w:type="spellStart"/>
      <w:r w:rsidRPr="00F143F2">
        <w:rPr>
          <w:sz w:val="22"/>
          <w:szCs w:val="22"/>
        </w:rPr>
        <w:t>Bimican</w:t>
      </w:r>
      <w:proofErr w:type="spellEnd"/>
      <w:r w:rsidR="00A15B80" w:rsidRPr="00F143F2">
        <w:rPr>
          <w:sz w:val="22"/>
          <w:szCs w:val="22"/>
        </w:rPr>
        <w:t xml:space="preserve"> sa nesmie používať v priebehu gravidity, pokiaľ to nie je bezpodmienečne potrebné. </w:t>
      </w:r>
    </w:p>
    <w:p w:rsidR="00A15B80" w:rsidRPr="00F143F2" w:rsidRDefault="00A15B80" w:rsidP="00A15B80">
      <w:pPr>
        <w:pStyle w:val="Default"/>
        <w:rPr>
          <w:sz w:val="22"/>
          <w:szCs w:val="22"/>
          <w:u w:val="single"/>
        </w:rPr>
      </w:pPr>
    </w:p>
    <w:p w:rsidR="00A15B80" w:rsidRPr="00F143F2" w:rsidRDefault="006F201B" w:rsidP="00A15B80">
      <w:pPr>
        <w:pStyle w:val="Default"/>
        <w:rPr>
          <w:sz w:val="22"/>
          <w:szCs w:val="22"/>
        </w:rPr>
      </w:pPr>
      <w:r w:rsidRPr="00F143F2">
        <w:rPr>
          <w:sz w:val="22"/>
          <w:szCs w:val="22"/>
          <w:u w:val="single"/>
        </w:rPr>
        <w:t>Dojčenie</w:t>
      </w:r>
      <w:r w:rsidR="00A15B80" w:rsidRPr="00F143F2">
        <w:rPr>
          <w:sz w:val="22"/>
          <w:szCs w:val="22"/>
          <w:u w:val="single"/>
        </w:rPr>
        <w:t xml:space="preserve"> </w:t>
      </w:r>
    </w:p>
    <w:p w:rsidR="00A15B80" w:rsidRPr="00F143F2" w:rsidRDefault="00A15B80" w:rsidP="00A15B80">
      <w:pPr>
        <w:pStyle w:val="Default"/>
        <w:rPr>
          <w:sz w:val="22"/>
          <w:szCs w:val="22"/>
        </w:rPr>
      </w:pPr>
      <w:r w:rsidRPr="00F143F2">
        <w:rPr>
          <w:sz w:val="22"/>
          <w:szCs w:val="22"/>
        </w:rPr>
        <w:t xml:space="preserve">Nie je známe, či sa </w:t>
      </w:r>
      <w:proofErr w:type="spellStart"/>
      <w:r w:rsidRPr="00F143F2">
        <w:rPr>
          <w:sz w:val="22"/>
          <w:szCs w:val="22"/>
        </w:rPr>
        <w:t>bimatoprost</w:t>
      </w:r>
      <w:proofErr w:type="spellEnd"/>
      <w:r w:rsidRPr="00F143F2">
        <w:rPr>
          <w:sz w:val="22"/>
          <w:szCs w:val="22"/>
        </w:rPr>
        <w:t xml:space="preserve"> vylučuje do materského mlieka. Štúdie na zvieratách preukázali vylučovanie </w:t>
      </w:r>
      <w:proofErr w:type="spellStart"/>
      <w:r w:rsidRPr="00F143F2">
        <w:rPr>
          <w:sz w:val="22"/>
          <w:szCs w:val="22"/>
        </w:rPr>
        <w:t>bimatoprostu</w:t>
      </w:r>
      <w:proofErr w:type="spellEnd"/>
      <w:r w:rsidRPr="00F143F2">
        <w:rPr>
          <w:sz w:val="22"/>
          <w:szCs w:val="22"/>
        </w:rPr>
        <w:t xml:space="preserve"> do materského mlieka. Tr</w:t>
      </w:r>
      <w:r w:rsidR="000D0D4C" w:rsidRPr="00F143F2">
        <w:rPr>
          <w:sz w:val="22"/>
          <w:szCs w:val="22"/>
        </w:rPr>
        <w:t xml:space="preserve">eba sa rozhodnúť, či </w:t>
      </w:r>
      <w:r w:rsidRPr="00F143F2">
        <w:rPr>
          <w:sz w:val="22"/>
          <w:szCs w:val="22"/>
        </w:rPr>
        <w:t>prerušiť dojčenie alebo</w:t>
      </w:r>
      <w:r w:rsidR="000D0D4C" w:rsidRPr="00F143F2">
        <w:rPr>
          <w:sz w:val="22"/>
          <w:szCs w:val="22"/>
        </w:rPr>
        <w:t xml:space="preserve"> nepokračovať v liečbe </w:t>
      </w:r>
      <w:proofErr w:type="spellStart"/>
      <w:r w:rsidR="00BF0E8A" w:rsidRPr="00F143F2">
        <w:rPr>
          <w:sz w:val="22"/>
          <w:szCs w:val="22"/>
        </w:rPr>
        <w:t>Bimicanom</w:t>
      </w:r>
      <w:proofErr w:type="spellEnd"/>
      <w:r w:rsidRPr="00F143F2">
        <w:rPr>
          <w:sz w:val="22"/>
          <w:szCs w:val="22"/>
        </w:rPr>
        <w:t xml:space="preserve"> po zohľadnení prínosu dojčenia pre </w:t>
      </w:r>
      <w:r w:rsidR="000D0D4C" w:rsidRPr="00F143F2">
        <w:rPr>
          <w:sz w:val="22"/>
          <w:szCs w:val="22"/>
        </w:rPr>
        <w:t>dieťa a prínosu liečby</w:t>
      </w:r>
      <w:r w:rsidRPr="00F143F2">
        <w:rPr>
          <w:sz w:val="22"/>
          <w:szCs w:val="22"/>
        </w:rPr>
        <w:t xml:space="preserve"> pre matku. </w:t>
      </w:r>
    </w:p>
    <w:p w:rsidR="000D0D4C" w:rsidRPr="00F143F2" w:rsidRDefault="000D0D4C" w:rsidP="00A15B80">
      <w:pPr>
        <w:pStyle w:val="Default"/>
        <w:rPr>
          <w:sz w:val="22"/>
          <w:szCs w:val="22"/>
          <w:u w:val="single"/>
        </w:rPr>
      </w:pPr>
    </w:p>
    <w:p w:rsidR="00A15B80" w:rsidRPr="00F143F2" w:rsidRDefault="00A15B80" w:rsidP="00A15B80">
      <w:pPr>
        <w:pStyle w:val="Default"/>
        <w:rPr>
          <w:sz w:val="22"/>
          <w:szCs w:val="22"/>
        </w:rPr>
      </w:pPr>
      <w:r w:rsidRPr="00F143F2">
        <w:rPr>
          <w:sz w:val="22"/>
          <w:szCs w:val="22"/>
          <w:u w:val="single"/>
        </w:rPr>
        <w:lastRenderedPageBreak/>
        <w:t>Fertilita</w:t>
      </w:r>
    </w:p>
    <w:p w:rsidR="00D96C10" w:rsidRPr="00F143F2" w:rsidRDefault="00A15B80" w:rsidP="00A15B8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143F2">
        <w:rPr>
          <w:szCs w:val="22"/>
          <w:lang w:val="sk-SK"/>
        </w:rPr>
        <w:t xml:space="preserve">Nie sú k dispozícii žiadne údaje o účinkoch </w:t>
      </w:r>
      <w:proofErr w:type="spellStart"/>
      <w:r w:rsidRPr="00F143F2">
        <w:rPr>
          <w:szCs w:val="22"/>
          <w:lang w:val="sk-SK"/>
        </w:rPr>
        <w:t>bimatoprostu</w:t>
      </w:r>
      <w:proofErr w:type="spellEnd"/>
      <w:r w:rsidRPr="00F143F2">
        <w:rPr>
          <w:szCs w:val="22"/>
          <w:lang w:val="sk-SK"/>
        </w:rPr>
        <w:t xml:space="preserve"> na plodnosť u ľudí.</w:t>
      </w:r>
    </w:p>
    <w:p w:rsidR="000D0D4C" w:rsidRPr="00F143F2" w:rsidRDefault="000D0D4C" w:rsidP="00A15B8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F143F2">
        <w:rPr>
          <w:rFonts w:eastAsia="TimesNewRoman,Bold"/>
          <w:b/>
          <w:bCs/>
          <w:szCs w:val="22"/>
          <w:lang w:val="sk-SK" w:eastAsia="sk-SK"/>
        </w:rPr>
        <w:t>4.7</w:t>
      </w:r>
      <w:r w:rsidRPr="00F143F2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F143F2">
        <w:rPr>
          <w:rFonts w:eastAsia="TimesNewRoman,Bold"/>
          <w:b/>
          <w:bCs/>
          <w:szCs w:val="22"/>
          <w:lang w:val="sk-SK" w:eastAsia="sk-SK"/>
        </w:rPr>
        <w:t>Ovplyvnenie schopnosti viesť vozidlá a obsluhovať stroje</w:t>
      </w:r>
    </w:p>
    <w:p w:rsidR="00D96C10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0D0D4C" w:rsidRPr="00F143F2" w:rsidRDefault="000D0D4C" w:rsidP="000D0D4C">
      <w:pPr>
        <w:pStyle w:val="Default"/>
        <w:rPr>
          <w:sz w:val="22"/>
          <w:szCs w:val="22"/>
        </w:rPr>
      </w:pPr>
      <w:proofErr w:type="spellStart"/>
      <w:r w:rsidRPr="00F143F2">
        <w:rPr>
          <w:sz w:val="22"/>
          <w:szCs w:val="22"/>
        </w:rPr>
        <w:t>Bimatoprost</w:t>
      </w:r>
      <w:proofErr w:type="spellEnd"/>
      <w:r w:rsidRPr="00F143F2">
        <w:rPr>
          <w:sz w:val="22"/>
          <w:szCs w:val="22"/>
        </w:rPr>
        <w:t xml:space="preserve"> má zanedbateľný vplyv na schopnosť viesť motorové vozidlá a obsluhovať stroje. Ak, rovnako ako po inej očnej liečbe, vznikne po podaní prechodné rozmazané videnie, pacient má pred vedením motorového vozidla alebo obsluhou strojov počkať, pokým sa zrak nevyjasní. </w:t>
      </w:r>
    </w:p>
    <w:p w:rsidR="00D96C10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F143F2">
        <w:rPr>
          <w:rFonts w:eastAsia="TimesNewRoman,Bold"/>
          <w:b/>
          <w:bCs/>
          <w:szCs w:val="22"/>
          <w:lang w:val="sk-SK" w:eastAsia="sk-SK"/>
        </w:rPr>
        <w:t>4.8</w:t>
      </w:r>
      <w:r w:rsidRPr="00F143F2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F143F2">
        <w:rPr>
          <w:rFonts w:eastAsia="TimesNewRoman,Bold"/>
          <w:b/>
          <w:bCs/>
          <w:szCs w:val="22"/>
          <w:lang w:val="sk-SK" w:eastAsia="sk-SK"/>
        </w:rPr>
        <w:t>Nežiaduce účinky</w:t>
      </w:r>
    </w:p>
    <w:p w:rsidR="00D96C10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282F" w:rsidRPr="00F143F2" w:rsidRDefault="003C282F" w:rsidP="003C282F">
      <w:pPr>
        <w:pStyle w:val="Default"/>
        <w:rPr>
          <w:sz w:val="22"/>
          <w:szCs w:val="22"/>
        </w:rPr>
      </w:pPr>
      <w:r w:rsidRPr="00F143F2">
        <w:rPr>
          <w:sz w:val="22"/>
          <w:szCs w:val="22"/>
        </w:rPr>
        <w:t xml:space="preserve">V klinických štúdiách sa </w:t>
      </w:r>
      <w:proofErr w:type="spellStart"/>
      <w:r w:rsidRPr="00F143F2">
        <w:rPr>
          <w:sz w:val="22"/>
          <w:szCs w:val="22"/>
        </w:rPr>
        <w:t>bimatoprostom</w:t>
      </w:r>
      <w:proofErr w:type="spellEnd"/>
      <w:r w:rsidRPr="00F143F2">
        <w:rPr>
          <w:sz w:val="22"/>
          <w:szCs w:val="22"/>
        </w:rPr>
        <w:t xml:space="preserve"> 0,3 mg/ml, očnou roztokovou </w:t>
      </w:r>
      <w:proofErr w:type="spellStart"/>
      <w:r w:rsidRPr="00F143F2">
        <w:rPr>
          <w:sz w:val="22"/>
          <w:szCs w:val="22"/>
        </w:rPr>
        <w:t>instiláciou</w:t>
      </w:r>
      <w:proofErr w:type="spellEnd"/>
      <w:r w:rsidRPr="00F143F2">
        <w:rPr>
          <w:sz w:val="22"/>
          <w:szCs w:val="22"/>
        </w:rPr>
        <w:t xml:space="preserve">, liečilo viac ako </w:t>
      </w:r>
      <w:r w:rsidR="00C534F3" w:rsidRPr="00F143F2">
        <w:rPr>
          <w:sz w:val="22"/>
          <w:szCs w:val="22"/>
        </w:rPr>
        <w:t>1 </w:t>
      </w:r>
      <w:r w:rsidRPr="00F143F2">
        <w:rPr>
          <w:sz w:val="22"/>
          <w:szCs w:val="22"/>
        </w:rPr>
        <w:t xml:space="preserve">800 pacientov. Kombinácie najčastejšie hlásených nežiaducich účinkov spojených s liečbou z III. fázy </w:t>
      </w:r>
      <w:proofErr w:type="spellStart"/>
      <w:r w:rsidRPr="00F143F2">
        <w:rPr>
          <w:sz w:val="22"/>
          <w:szCs w:val="22"/>
        </w:rPr>
        <w:t>monoterapie</w:t>
      </w:r>
      <w:proofErr w:type="spellEnd"/>
      <w:r w:rsidRPr="00F143F2">
        <w:rPr>
          <w:sz w:val="22"/>
          <w:szCs w:val="22"/>
        </w:rPr>
        <w:t xml:space="preserve"> a doplnkového použitia </w:t>
      </w:r>
      <w:proofErr w:type="spellStart"/>
      <w:r w:rsidRPr="00F143F2">
        <w:rPr>
          <w:sz w:val="22"/>
          <w:szCs w:val="22"/>
        </w:rPr>
        <w:t>bimatoprostu</w:t>
      </w:r>
      <w:proofErr w:type="spellEnd"/>
      <w:r w:rsidRPr="00F143F2">
        <w:rPr>
          <w:sz w:val="22"/>
          <w:szCs w:val="22"/>
        </w:rPr>
        <w:t xml:space="preserve"> 0,3 mg/ml, očnej roztokovej </w:t>
      </w:r>
      <w:proofErr w:type="spellStart"/>
      <w:r w:rsidRPr="00F143F2">
        <w:rPr>
          <w:sz w:val="22"/>
          <w:szCs w:val="22"/>
        </w:rPr>
        <w:t>instilácie</w:t>
      </w:r>
      <w:proofErr w:type="spellEnd"/>
      <w:r w:rsidRPr="00F143F2">
        <w:rPr>
          <w:sz w:val="22"/>
          <w:szCs w:val="22"/>
        </w:rPr>
        <w:t xml:space="preserve">, boli: rast rias u viac ako 45 % pacientov v prvom roku s </w:t>
      </w:r>
      <w:proofErr w:type="spellStart"/>
      <w:r w:rsidRPr="00F143F2">
        <w:rPr>
          <w:sz w:val="22"/>
          <w:szCs w:val="22"/>
        </w:rPr>
        <w:t>incidenciou</w:t>
      </w:r>
      <w:proofErr w:type="spellEnd"/>
      <w:r w:rsidRPr="00F143F2">
        <w:rPr>
          <w:sz w:val="22"/>
          <w:szCs w:val="22"/>
        </w:rPr>
        <w:t xml:space="preserve"> nových hlásení sa znížilo za 2 roky na 7 % a za 3 roky na 2 %, </w:t>
      </w:r>
      <w:proofErr w:type="spellStart"/>
      <w:r w:rsidRPr="00F143F2">
        <w:rPr>
          <w:sz w:val="22"/>
          <w:szCs w:val="22"/>
        </w:rPr>
        <w:t>hyperémia</w:t>
      </w:r>
      <w:proofErr w:type="spellEnd"/>
      <w:r w:rsidRPr="00F143F2">
        <w:rPr>
          <w:sz w:val="22"/>
          <w:szCs w:val="22"/>
        </w:rPr>
        <w:t xml:space="preserve"> spojoviek (väčšinou v náznakoch alebo mierna a jej charakter sa považuje za nezápalový) u viac ako 44 % pacientov v prvom roku s </w:t>
      </w:r>
      <w:proofErr w:type="spellStart"/>
      <w:r w:rsidRPr="00F143F2">
        <w:rPr>
          <w:sz w:val="22"/>
          <w:szCs w:val="22"/>
        </w:rPr>
        <w:t>incidenciou</w:t>
      </w:r>
      <w:proofErr w:type="spellEnd"/>
      <w:r w:rsidRPr="00F143F2">
        <w:rPr>
          <w:sz w:val="22"/>
          <w:szCs w:val="22"/>
        </w:rPr>
        <w:t xml:space="preserve"> nových hlásení sa znížilo za 2 roky na 13 % a za 3 roky na 12 % a svrbenie očí u viac ako 14 % pacientov v prvom roku s </w:t>
      </w:r>
      <w:proofErr w:type="spellStart"/>
      <w:r w:rsidRPr="00F143F2">
        <w:rPr>
          <w:sz w:val="22"/>
          <w:szCs w:val="22"/>
        </w:rPr>
        <w:t>incidenciou</w:t>
      </w:r>
      <w:proofErr w:type="spellEnd"/>
      <w:r w:rsidRPr="00F143F2">
        <w:rPr>
          <w:sz w:val="22"/>
          <w:szCs w:val="22"/>
        </w:rPr>
        <w:t xml:space="preserve"> nových hlásení sa znížilo za 2 roky na 3 % a za 3 roky na 0 %. Menej ako 9 % pacientov prerušilo liečbu kvôli akémukoľvek nežiaducemu účinku v prvom roku s </w:t>
      </w:r>
      <w:proofErr w:type="spellStart"/>
      <w:r w:rsidRPr="00F143F2">
        <w:rPr>
          <w:sz w:val="22"/>
          <w:szCs w:val="22"/>
        </w:rPr>
        <w:t>incidenciou</w:t>
      </w:r>
      <w:proofErr w:type="spellEnd"/>
      <w:r w:rsidRPr="00F143F2">
        <w:rPr>
          <w:sz w:val="22"/>
          <w:szCs w:val="22"/>
        </w:rPr>
        <w:t xml:space="preserve"> ďalších prerušení 3 % za 2 aj za 3 roky. </w:t>
      </w:r>
    </w:p>
    <w:p w:rsidR="003C282F" w:rsidRPr="00F143F2" w:rsidRDefault="003C282F" w:rsidP="003C282F">
      <w:pPr>
        <w:pStyle w:val="Default"/>
        <w:rPr>
          <w:sz w:val="22"/>
          <w:szCs w:val="22"/>
        </w:rPr>
      </w:pPr>
    </w:p>
    <w:p w:rsidR="003C282F" w:rsidRPr="00F143F2" w:rsidRDefault="003C282F" w:rsidP="003C282F">
      <w:pPr>
        <w:pStyle w:val="Default"/>
        <w:rPr>
          <w:sz w:val="22"/>
          <w:szCs w:val="22"/>
        </w:rPr>
      </w:pPr>
      <w:r w:rsidRPr="00F143F2">
        <w:rPr>
          <w:sz w:val="22"/>
          <w:szCs w:val="22"/>
        </w:rPr>
        <w:t xml:space="preserve">Nasledujúce nežiaduce účinky boli zaznamenané v priebehu klinických štúdií s </w:t>
      </w:r>
      <w:proofErr w:type="spellStart"/>
      <w:r w:rsidRPr="00F143F2">
        <w:rPr>
          <w:sz w:val="22"/>
          <w:szCs w:val="22"/>
        </w:rPr>
        <w:t>bimatoprostom</w:t>
      </w:r>
      <w:proofErr w:type="spellEnd"/>
      <w:r w:rsidRPr="00F143F2">
        <w:rPr>
          <w:sz w:val="22"/>
          <w:szCs w:val="22"/>
        </w:rPr>
        <w:t xml:space="preserve"> 0,3 mg/ml, očnou roztokovou </w:t>
      </w:r>
      <w:proofErr w:type="spellStart"/>
      <w:r w:rsidRPr="00F143F2">
        <w:rPr>
          <w:sz w:val="22"/>
          <w:szCs w:val="22"/>
        </w:rPr>
        <w:t>instiláciou</w:t>
      </w:r>
      <w:proofErr w:type="spellEnd"/>
      <w:r w:rsidRPr="00F143F2">
        <w:rPr>
          <w:sz w:val="22"/>
          <w:szCs w:val="22"/>
        </w:rPr>
        <w:t xml:space="preserve">, alebo v období po uvedení na trh. Väčšina z nich boli očné, mierne až stredne závažné, žiadny z nich nebol závažný: </w:t>
      </w:r>
    </w:p>
    <w:p w:rsidR="003C282F" w:rsidRPr="00F143F2" w:rsidRDefault="003C282F" w:rsidP="003C282F">
      <w:pPr>
        <w:pStyle w:val="Default"/>
        <w:rPr>
          <w:sz w:val="22"/>
          <w:szCs w:val="22"/>
        </w:rPr>
      </w:pPr>
    </w:p>
    <w:p w:rsidR="003C282F" w:rsidRPr="00F143F2" w:rsidRDefault="003C282F" w:rsidP="003C282F">
      <w:pPr>
        <w:pStyle w:val="Default"/>
        <w:rPr>
          <w:sz w:val="22"/>
          <w:szCs w:val="22"/>
        </w:rPr>
      </w:pPr>
      <w:r w:rsidRPr="00F143F2">
        <w:rPr>
          <w:sz w:val="22"/>
          <w:szCs w:val="22"/>
        </w:rPr>
        <w:t xml:space="preserve">Veľmi časté (≥ 1/10), časté (≥ 1/100 až &lt; 1/10), menej časté (≥ 1/1 000 až &lt; 1/100), zriedkavé (≥ 1/10 000 až &lt; 1/1 000), veľmi zriedkavé &lt; 1/10 000) a neznáme (z dostupných údajov) nežiaduce </w:t>
      </w:r>
      <w:r w:rsidR="001B1D93" w:rsidRPr="00F143F2">
        <w:rPr>
          <w:sz w:val="22"/>
          <w:szCs w:val="22"/>
        </w:rPr>
        <w:t xml:space="preserve">reakcie </w:t>
      </w:r>
      <w:r w:rsidRPr="00F143F2">
        <w:rPr>
          <w:sz w:val="22"/>
          <w:szCs w:val="22"/>
        </w:rPr>
        <w:t>sú podľa systémovej klasifikácie orgánov uvedené v tabuľke 1. V rámci jednotlivých skupín frekvencií sú nežiaduce účinky usporiadané v poradí klesajúcej závažnosti.</w:t>
      </w:r>
    </w:p>
    <w:p w:rsidR="00D96C10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C250E" w:rsidRPr="00F143F2" w:rsidTr="004B1DDC">
        <w:tc>
          <w:tcPr>
            <w:tcW w:w="3070" w:type="dxa"/>
          </w:tcPr>
          <w:p w:rsidR="00CC250E" w:rsidRPr="00F143F2" w:rsidRDefault="00CC250E" w:rsidP="004B1DDC">
            <w:pPr>
              <w:pStyle w:val="Default"/>
              <w:rPr>
                <w:sz w:val="22"/>
                <w:szCs w:val="22"/>
              </w:rPr>
            </w:pPr>
            <w:r w:rsidRPr="00F143F2">
              <w:rPr>
                <w:b/>
                <w:bCs/>
                <w:sz w:val="22"/>
                <w:szCs w:val="22"/>
              </w:rPr>
              <w:t xml:space="preserve">Trieda orgánových systémov </w:t>
            </w:r>
          </w:p>
        </w:tc>
        <w:tc>
          <w:tcPr>
            <w:tcW w:w="3071" w:type="dxa"/>
          </w:tcPr>
          <w:p w:rsidR="00CC250E" w:rsidRPr="00F143F2" w:rsidRDefault="00CC250E" w:rsidP="004B1DDC">
            <w:pPr>
              <w:pStyle w:val="Default"/>
              <w:rPr>
                <w:sz w:val="22"/>
                <w:szCs w:val="22"/>
              </w:rPr>
            </w:pPr>
            <w:r w:rsidRPr="00F143F2">
              <w:rPr>
                <w:b/>
                <w:bCs/>
                <w:sz w:val="22"/>
                <w:szCs w:val="22"/>
              </w:rPr>
              <w:t xml:space="preserve">Frekvencia </w:t>
            </w:r>
          </w:p>
        </w:tc>
        <w:tc>
          <w:tcPr>
            <w:tcW w:w="3071" w:type="dxa"/>
          </w:tcPr>
          <w:p w:rsidR="00CC250E" w:rsidRPr="00F143F2" w:rsidRDefault="00CC250E" w:rsidP="004B1DDC">
            <w:pPr>
              <w:pStyle w:val="Default"/>
              <w:rPr>
                <w:sz w:val="22"/>
                <w:szCs w:val="22"/>
              </w:rPr>
            </w:pPr>
            <w:r w:rsidRPr="00F143F2">
              <w:rPr>
                <w:b/>
                <w:bCs/>
                <w:sz w:val="22"/>
                <w:szCs w:val="22"/>
              </w:rPr>
              <w:t>Nežiaduc</w:t>
            </w:r>
            <w:r w:rsidR="001B1D93" w:rsidRPr="00F143F2">
              <w:rPr>
                <w:b/>
                <w:bCs/>
                <w:sz w:val="22"/>
                <w:szCs w:val="22"/>
              </w:rPr>
              <w:t>a</w:t>
            </w:r>
            <w:r w:rsidRPr="00F143F2">
              <w:rPr>
                <w:b/>
                <w:bCs/>
                <w:sz w:val="22"/>
                <w:szCs w:val="22"/>
              </w:rPr>
              <w:t xml:space="preserve"> </w:t>
            </w:r>
            <w:r w:rsidR="001B1D93" w:rsidRPr="00F143F2">
              <w:rPr>
                <w:b/>
                <w:bCs/>
                <w:sz w:val="22"/>
                <w:szCs w:val="22"/>
              </w:rPr>
              <w:t xml:space="preserve">reakcia </w:t>
            </w:r>
          </w:p>
        </w:tc>
      </w:tr>
      <w:tr w:rsidR="005A574C" w:rsidRPr="00F143F2" w:rsidTr="00395529">
        <w:trPr>
          <w:trHeight w:val="830"/>
        </w:trPr>
        <w:tc>
          <w:tcPr>
            <w:tcW w:w="3070" w:type="dxa"/>
          </w:tcPr>
          <w:p w:rsidR="005A574C" w:rsidRPr="00F143F2" w:rsidRDefault="005A574C" w:rsidP="005A574C">
            <w:pPr>
              <w:pStyle w:val="Default"/>
              <w:rPr>
                <w:b/>
                <w:bCs/>
                <w:i/>
                <w:sz w:val="22"/>
                <w:szCs w:val="22"/>
              </w:rPr>
            </w:pPr>
            <w:r w:rsidRPr="00F143F2">
              <w:rPr>
                <w:i/>
                <w:sz w:val="22"/>
                <w:szCs w:val="22"/>
              </w:rPr>
              <w:t>Poruchy imunitného systému</w:t>
            </w:r>
          </w:p>
        </w:tc>
        <w:tc>
          <w:tcPr>
            <w:tcW w:w="3071" w:type="dxa"/>
          </w:tcPr>
          <w:p w:rsidR="005A574C" w:rsidRPr="00F143F2" w:rsidRDefault="005A574C" w:rsidP="005A574C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143F2">
              <w:rPr>
                <w:sz w:val="22"/>
                <w:szCs w:val="22"/>
              </w:rPr>
              <w:t>neznáme</w:t>
            </w:r>
          </w:p>
        </w:tc>
        <w:tc>
          <w:tcPr>
            <w:tcW w:w="3071" w:type="dxa"/>
          </w:tcPr>
          <w:p w:rsidR="005A574C" w:rsidRPr="00F143F2" w:rsidRDefault="005A574C" w:rsidP="005A574C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 w:rsidRPr="00F143F2">
              <w:rPr>
                <w:sz w:val="22"/>
                <w:szCs w:val="22"/>
              </w:rPr>
              <w:t>hypersenzitívna</w:t>
            </w:r>
            <w:proofErr w:type="spellEnd"/>
            <w:r w:rsidRPr="00F143F2">
              <w:rPr>
                <w:sz w:val="22"/>
                <w:szCs w:val="22"/>
              </w:rPr>
              <w:t xml:space="preserve"> reakcia vrátane prejavov a príznakov očnej alergie a alergickej dermatitídy</w:t>
            </w:r>
          </w:p>
        </w:tc>
      </w:tr>
      <w:tr w:rsidR="005A574C" w:rsidRPr="00F143F2" w:rsidTr="004B1DDC">
        <w:tc>
          <w:tcPr>
            <w:tcW w:w="3070" w:type="dxa"/>
          </w:tcPr>
          <w:p w:rsidR="005A574C" w:rsidRPr="00F143F2" w:rsidRDefault="005A574C" w:rsidP="005A574C">
            <w:pPr>
              <w:pStyle w:val="Default"/>
              <w:rPr>
                <w:sz w:val="22"/>
                <w:szCs w:val="22"/>
              </w:rPr>
            </w:pPr>
            <w:r w:rsidRPr="00F143F2">
              <w:rPr>
                <w:i/>
                <w:iCs/>
                <w:sz w:val="22"/>
                <w:szCs w:val="22"/>
              </w:rPr>
              <w:t xml:space="preserve">Poruchy nervového systému </w:t>
            </w:r>
          </w:p>
        </w:tc>
        <w:tc>
          <w:tcPr>
            <w:tcW w:w="3071" w:type="dxa"/>
          </w:tcPr>
          <w:p w:rsidR="005A574C" w:rsidRPr="00F143F2" w:rsidRDefault="005A574C" w:rsidP="005A574C">
            <w:pPr>
              <w:pStyle w:val="Default"/>
              <w:rPr>
                <w:sz w:val="22"/>
                <w:szCs w:val="22"/>
              </w:rPr>
            </w:pPr>
            <w:r w:rsidRPr="00F143F2">
              <w:rPr>
                <w:sz w:val="22"/>
                <w:szCs w:val="22"/>
              </w:rPr>
              <w:t xml:space="preserve">časté </w:t>
            </w:r>
          </w:p>
        </w:tc>
        <w:tc>
          <w:tcPr>
            <w:tcW w:w="3071" w:type="dxa"/>
          </w:tcPr>
          <w:p w:rsidR="005A574C" w:rsidRPr="00F143F2" w:rsidRDefault="005A574C" w:rsidP="005A574C">
            <w:pPr>
              <w:pStyle w:val="Default"/>
              <w:rPr>
                <w:sz w:val="22"/>
                <w:szCs w:val="22"/>
              </w:rPr>
            </w:pPr>
            <w:r w:rsidRPr="00F143F2">
              <w:rPr>
                <w:sz w:val="22"/>
                <w:szCs w:val="22"/>
              </w:rPr>
              <w:t xml:space="preserve">bolesť hlavy </w:t>
            </w:r>
          </w:p>
        </w:tc>
      </w:tr>
      <w:tr w:rsidR="005A574C" w:rsidRPr="00F143F2" w:rsidTr="004B1DDC">
        <w:tc>
          <w:tcPr>
            <w:tcW w:w="3070" w:type="dxa"/>
          </w:tcPr>
          <w:p w:rsidR="005A574C" w:rsidRPr="00F143F2" w:rsidRDefault="005A574C" w:rsidP="005A574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</w:p>
        </w:tc>
        <w:tc>
          <w:tcPr>
            <w:tcW w:w="3071" w:type="dxa"/>
          </w:tcPr>
          <w:p w:rsidR="005A574C" w:rsidRPr="00F143F2" w:rsidRDefault="005A574C" w:rsidP="005A574C">
            <w:pPr>
              <w:pStyle w:val="Default"/>
              <w:rPr>
                <w:sz w:val="22"/>
                <w:szCs w:val="22"/>
              </w:rPr>
            </w:pPr>
            <w:r w:rsidRPr="00F143F2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3071" w:type="dxa"/>
          </w:tcPr>
          <w:p w:rsidR="005A574C" w:rsidRPr="00F143F2" w:rsidRDefault="005A574C" w:rsidP="005A574C">
            <w:pPr>
              <w:pStyle w:val="Default"/>
              <w:rPr>
                <w:sz w:val="22"/>
                <w:szCs w:val="22"/>
              </w:rPr>
            </w:pPr>
            <w:r w:rsidRPr="00F143F2">
              <w:rPr>
                <w:sz w:val="22"/>
                <w:szCs w:val="22"/>
              </w:rPr>
              <w:t xml:space="preserve">závraty </w:t>
            </w:r>
          </w:p>
        </w:tc>
      </w:tr>
      <w:tr w:rsidR="005A574C" w:rsidRPr="00F143F2" w:rsidTr="004B1DDC">
        <w:tc>
          <w:tcPr>
            <w:tcW w:w="3070" w:type="dxa"/>
          </w:tcPr>
          <w:p w:rsidR="005A574C" w:rsidRPr="00F143F2" w:rsidRDefault="005A574C" w:rsidP="005A574C">
            <w:pPr>
              <w:pStyle w:val="Default"/>
              <w:rPr>
                <w:sz w:val="22"/>
                <w:szCs w:val="22"/>
              </w:rPr>
            </w:pPr>
            <w:r w:rsidRPr="00F143F2">
              <w:rPr>
                <w:i/>
                <w:iCs/>
                <w:sz w:val="22"/>
                <w:szCs w:val="22"/>
              </w:rPr>
              <w:t xml:space="preserve">Poruchy oka </w:t>
            </w:r>
          </w:p>
        </w:tc>
        <w:tc>
          <w:tcPr>
            <w:tcW w:w="3071" w:type="dxa"/>
          </w:tcPr>
          <w:p w:rsidR="005A574C" w:rsidRPr="00F143F2" w:rsidRDefault="005A574C" w:rsidP="005A574C">
            <w:pPr>
              <w:pStyle w:val="Default"/>
              <w:rPr>
                <w:sz w:val="22"/>
                <w:szCs w:val="22"/>
              </w:rPr>
            </w:pPr>
            <w:r w:rsidRPr="00F143F2">
              <w:rPr>
                <w:sz w:val="22"/>
                <w:szCs w:val="22"/>
              </w:rPr>
              <w:t xml:space="preserve">veľmi časté </w:t>
            </w:r>
          </w:p>
        </w:tc>
        <w:tc>
          <w:tcPr>
            <w:tcW w:w="3071" w:type="dxa"/>
          </w:tcPr>
          <w:p w:rsidR="005A574C" w:rsidRPr="00F143F2" w:rsidRDefault="005A574C" w:rsidP="005A574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143F2">
              <w:rPr>
                <w:sz w:val="22"/>
                <w:szCs w:val="22"/>
              </w:rPr>
              <w:t>hyperémia</w:t>
            </w:r>
            <w:proofErr w:type="spellEnd"/>
            <w:r w:rsidRPr="00F143F2">
              <w:rPr>
                <w:sz w:val="22"/>
                <w:szCs w:val="22"/>
              </w:rPr>
              <w:t xml:space="preserve"> spojoviek, rast rias, svrbenie oka </w:t>
            </w:r>
          </w:p>
        </w:tc>
      </w:tr>
      <w:tr w:rsidR="005A574C" w:rsidRPr="00F143F2" w:rsidTr="004B1DDC">
        <w:tc>
          <w:tcPr>
            <w:tcW w:w="3070" w:type="dxa"/>
          </w:tcPr>
          <w:p w:rsidR="005A574C" w:rsidRPr="00F143F2" w:rsidRDefault="005A574C" w:rsidP="005A574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</w:p>
        </w:tc>
        <w:tc>
          <w:tcPr>
            <w:tcW w:w="3071" w:type="dxa"/>
          </w:tcPr>
          <w:p w:rsidR="005A574C" w:rsidRPr="00F143F2" w:rsidRDefault="005A574C" w:rsidP="005A574C">
            <w:pPr>
              <w:pStyle w:val="Default"/>
              <w:rPr>
                <w:sz w:val="22"/>
                <w:szCs w:val="22"/>
              </w:rPr>
            </w:pPr>
            <w:r w:rsidRPr="00F143F2">
              <w:rPr>
                <w:sz w:val="22"/>
                <w:szCs w:val="22"/>
              </w:rPr>
              <w:t xml:space="preserve">časté </w:t>
            </w:r>
          </w:p>
        </w:tc>
        <w:tc>
          <w:tcPr>
            <w:tcW w:w="3071" w:type="dxa"/>
          </w:tcPr>
          <w:p w:rsidR="005A574C" w:rsidRPr="00F143F2" w:rsidRDefault="005A574C" w:rsidP="005A574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143F2">
              <w:rPr>
                <w:sz w:val="22"/>
                <w:szCs w:val="22"/>
              </w:rPr>
              <w:t>superficiálna</w:t>
            </w:r>
            <w:proofErr w:type="spellEnd"/>
            <w:r w:rsidRPr="00F143F2">
              <w:rPr>
                <w:sz w:val="22"/>
                <w:szCs w:val="22"/>
              </w:rPr>
              <w:t xml:space="preserve"> </w:t>
            </w:r>
            <w:proofErr w:type="spellStart"/>
            <w:r w:rsidRPr="00F143F2">
              <w:rPr>
                <w:sz w:val="22"/>
                <w:szCs w:val="22"/>
              </w:rPr>
              <w:t>bodkovitá</w:t>
            </w:r>
            <w:proofErr w:type="spellEnd"/>
            <w:r w:rsidRPr="00F143F2">
              <w:rPr>
                <w:sz w:val="22"/>
                <w:szCs w:val="22"/>
              </w:rPr>
              <w:t xml:space="preserve"> </w:t>
            </w:r>
            <w:proofErr w:type="spellStart"/>
            <w:r w:rsidRPr="00F143F2">
              <w:rPr>
                <w:sz w:val="22"/>
                <w:szCs w:val="22"/>
              </w:rPr>
              <w:t>keratitída</w:t>
            </w:r>
            <w:proofErr w:type="spellEnd"/>
            <w:r w:rsidRPr="00F143F2">
              <w:rPr>
                <w:sz w:val="22"/>
                <w:szCs w:val="22"/>
              </w:rPr>
              <w:t xml:space="preserve">, erózia rohovky, pálenie oka, podráždenie oka, alergická </w:t>
            </w:r>
            <w:proofErr w:type="spellStart"/>
            <w:r w:rsidRPr="00F143F2">
              <w:rPr>
                <w:sz w:val="22"/>
                <w:szCs w:val="22"/>
              </w:rPr>
              <w:t>konjunktivitída</w:t>
            </w:r>
            <w:proofErr w:type="spellEnd"/>
            <w:r w:rsidRPr="00F143F2">
              <w:rPr>
                <w:sz w:val="22"/>
                <w:szCs w:val="22"/>
              </w:rPr>
              <w:t xml:space="preserve">, </w:t>
            </w:r>
            <w:proofErr w:type="spellStart"/>
            <w:r w:rsidRPr="00F143F2">
              <w:rPr>
                <w:sz w:val="22"/>
                <w:szCs w:val="22"/>
              </w:rPr>
              <w:t>blefaritída</w:t>
            </w:r>
            <w:proofErr w:type="spellEnd"/>
            <w:r w:rsidRPr="00F143F2">
              <w:rPr>
                <w:sz w:val="22"/>
                <w:szCs w:val="22"/>
              </w:rPr>
              <w:t xml:space="preserve">, zhoršenie zrakovej ostrosti, </w:t>
            </w:r>
            <w:proofErr w:type="spellStart"/>
            <w:r w:rsidRPr="00F143F2">
              <w:rPr>
                <w:sz w:val="22"/>
                <w:szCs w:val="22"/>
              </w:rPr>
              <w:t>astenopia</w:t>
            </w:r>
            <w:proofErr w:type="spellEnd"/>
            <w:r w:rsidRPr="00F143F2">
              <w:rPr>
                <w:sz w:val="22"/>
                <w:szCs w:val="22"/>
              </w:rPr>
              <w:t xml:space="preserve">, spojovkový edém, pocit cudzieho telesa, suchosť oka, bolesť oka, </w:t>
            </w:r>
            <w:proofErr w:type="spellStart"/>
            <w:r w:rsidRPr="00F143F2">
              <w:rPr>
                <w:sz w:val="22"/>
                <w:szCs w:val="22"/>
              </w:rPr>
              <w:t>fotofóbia</w:t>
            </w:r>
            <w:proofErr w:type="spellEnd"/>
            <w:r w:rsidRPr="00F143F2">
              <w:rPr>
                <w:sz w:val="22"/>
                <w:szCs w:val="22"/>
              </w:rPr>
              <w:t xml:space="preserve">, slzenie, výtok z oka, zrakové poruchy/rozmazané videnie, zvýšená pigmentácia dúhovky, stmavnutie rias, </w:t>
            </w:r>
            <w:proofErr w:type="spellStart"/>
            <w:r w:rsidRPr="00F143F2">
              <w:rPr>
                <w:sz w:val="22"/>
                <w:szCs w:val="22"/>
              </w:rPr>
              <w:t>erytém</w:t>
            </w:r>
            <w:proofErr w:type="spellEnd"/>
            <w:r w:rsidRPr="00F143F2">
              <w:rPr>
                <w:sz w:val="22"/>
                <w:szCs w:val="22"/>
              </w:rPr>
              <w:t xml:space="preserve"> viečok, svrbenie viečok </w:t>
            </w:r>
          </w:p>
        </w:tc>
      </w:tr>
      <w:tr w:rsidR="005A574C" w:rsidRPr="00F143F2" w:rsidTr="004B1DDC">
        <w:tc>
          <w:tcPr>
            <w:tcW w:w="3070" w:type="dxa"/>
          </w:tcPr>
          <w:p w:rsidR="005A574C" w:rsidRPr="00F143F2" w:rsidRDefault="005A574C" w:rsidP="005A574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</w:p>
        </w:tc>
        <w:tc>
          <w:tcPr>
            <w:tcW w:w="3071" w:type="dxa"/>
          </w:tcPr>
          <w:p w:rsidR="005A574C" w:rsidRPr="00F143F2" w:rsidRDefault="005A574C" w:rsidP="005A574C">
            <w:pPr>
              <w:pStyle w:val="Default"/>
              <w:rPr>
                <w:sz w:val="22"/>
                <w:szCs w:val="22"/>
              </w:rPr>
            </w:pPr>
            <w:r w:rsidRPr="00F143F2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3071" w:type="dxa"/>
          </w:tcPr>
          <w:p w:rsidR="005A574C" w:rsidRPr="00F143F2" w:rsidRDefault="005A574C" w:rsidP="005A574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143F2">
              <w:rPr>
                <w:sz w:val="22"/>
                <w:szCs w:val="22"/>
              </w:rPr>
              <w:t>retinálna</w:t>
            </w:r>
            <w:proofErr w:type="spellEnd"/>
            <w:r w:rsidRPr="00F143F2">
              <w:rPr>
                <w:sz w:val="22"/>
                <w:szCs w:val="22"/>
              </w:rPr>
              <w:t xml:space="preserve"> </w:t>
            </w:r>
            <w:proofErr w:type="spellStart"/>
            <w:r w:rsidRPr="00F143F2">
              <w:rPr>
                <w:sz w:val="22"/>
                <w:szCs w:val="22"/>
              </w:rPr>
              <w:t>hemorágia</w:t>
            </w:r>
            <w:proofErr w:type="spellEnd"/>
            <w:r w:rsidRPr="00F143F2">
              <w:rPr>
                <w:sz w:val="22"/>
                <w:szCs w:val="22"/>
              </w:rPr>
              <w:t xml:space="preserve">, </w:t>
            </w:r>
            <w:proofErr w:type="spellStart"/>
            <w:r w:rsidRPr="00F143F2">
              <w:rPr>
                <w:sz w:val="22"/>
                <w:szCs w:val="22"/>
              </w:rPr>
              <w:t>uveitída</w:t>
            </w:r>
            <w:proofErr w:type="spellEnd"/>
            <w:r w:rsidRPr="00F143F2">
              <w:rPr>
                <w:sz w:val="22"/>
                <w:szCs w:val="22"/>
              </w:rPr>
              <w:t xml:space="preserve">, </w:t>
            </w:r>
            <w:proofErr w:type="spellStart"/>
            <w:r w:rsidRPr="00F143F2">
              <w:rPr>
                <w:sz w:val="22"/>
                <w:szCs w:val="22"/>
              </w:rPr>
              <w:t>cystoidný</w:t>
            </w:r>
            <w:proofErr w:type="spellEnd"/>
            <w:r w:rsidRPr="00F143F2">
              <w:rPr>
                <w:sz w:val="22"/>
                <w:szCs w:val="22"/>
              </w:rPr>
              <w:t xml:space="preserve"> </w:t>
            </w:r>
            <w:proofErr w:type="spellStart"/>
            <w:r w:rsidRPr="00F143F2">
              <w:rPr>
                <w:sz w:val="22"/>
                <w:szCs w:val="22"/>
              </w:rPr>
              <w:t>makulárny</w:t>
            </w:r>
            <w:proofErr w:type="spellEnd"/>
            <w:r w:rsidRPr="00F143F2">
              <w:rPr>
                <w:sz w:val="22"/>
                <w:szCs w:val="22"/>
              </w:rPr>
              <w:t xml:space="preserve"> edém, </w:t>
            </w:r>
            <w:proofErr w:type="spellStart"/>
            <w:r w:rsidRPr="00F143F2">
              <w:rPr>
                <w:sz w:val="22"/>
                <w:szCs w:val="22"/>
              </w:rPr>
              <w:t>iritída</w:t>
            </w:r>
            <w:proofErr w:type="spellEnd"/>
            <w:r w:rsidRPr="00F143F2">
              <w:rPr>
                <w:sz w:val="22"/>
                <w:szCs w:val="22"/>
              </w:rPr>
              <w:t xml:space="preserve">, </w:t>
            </w:r>
            <w:proofErr w:type="spellStart"/>
            <w:r w:rsidRPr="00F143F2">
              <w:rPr>
                <w:sz w:val="22"/>
                <w:szCs w:val="22"/>
              </w:rPr>
              <w:t>blefarospazmus</w:t>
            </w:r>
            <w:proofErr w:type="spellEnd"/>
            <w:r w:rsidRPr="00F143F2">
              <w:rPr>
                <w:sz w:val="22"/>
                <w:szCs w:val="22"/>
              </w:rPr>
              <w:t xml:space="preserve">, </w:t>
            </w:r>
            <w:proofErr w:type="spellStart"/>
            <w:r w:rsidRPr="00F143F2">
              <w:rPr>
                <w:sz w:val="22"/>
                <w:szCs w:val="22"/>
              </w:rPr>
              <w:t>retrakcia</w:t>
            </w:r>
            <w:proofErr w:type="spellEnd"/>
            <w:r w:rsidRPr="00F143F2">
              <w:rPr>
                <w:sz w:val="22"/>
                <w:szCs w:val="22"/>
              </w:rPr>
              <w:t xml:space="preserve"> viečok, </w:t>
            </w:r>
            <w:proofErr w:type="spellStart"/>
            <w:r w:rsidRPr="00F143F2">
              <w:rPr>
                <w:sz w:val="22"/>
                <w:szCs w:val="22"/>
              </w:rPr>
              <w:t>periorbitálny</w:t>
            </w:r>
            <w:proofErr w:type="spellEnd"/>
            <w:r w:rsidRPr="00F143F2">
              <w:rPr>
                <w:sz w:val="22"/>
                <w:szCs w:val="22"/>
              </w:rPr>
              <w:t xml:space="preserve"> </w:t>
            </w:r>
            <w:proofErr w:type="spellStart"/>
            <w:r w:rsidRPr="00F143F2">
              <w:rPr>
                <w:sz w:val="22"/>
                <w:szCs w:val="22"/>
              </w:rPr>
              <w:lastRenderedPageBreak/>
              <w:t>erytém</w:t>
            </w:r>
            <w:proofErr w:type="spellEnd"/>
            <w:r w:rsidRPr="00F143F2">
              <w:rPr>
                <w:sz w:val="22"/>
                <w:szCs w:val="22"/>
              </w:rPr>
              <w:t xml:space="preserve">, edém viečok </w:t>
            </w:r>
          </w:p>
        </w:tc>
      </w:tr>
      <w:tr w:rsidR="005A574C" w:rsidRPr="00F143F2" w:rsidTr="004B1DDC">
        <w:tc>
          <w:tcPr>
            <w:tcW w:w="3070" w:type="dxa"/>
          </w:tcPr>
          <w:p w:rsidR="005A574C" w:rsidRPr="00F143F2" w:rsidRDefault="005A574C" w:rsidP="005A574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</w:p>
        </w:tc>
        <w:tc>
          <w:tcPr>
            <w:tcW w:w="3071" w:type="dxa"/>
          </w:tcPr>
          <w:p w:rsidR="005A574C" w:rsidRPr="00F143F2" w:rsidRDefault="005A574C" w:rsidP="005A574C">
            <w:pPr>
              <w:pStyle w:val="Default"/>
              <w:rPr>
                <w:sz w:val="22"/>
                <w:szCs w:val="22"/>
              </w:rPr>
            </w:pPr>
            <w:r w:rsidRPr="00F143F2">
              <w:rPr>
                <w:sz w:val="22"/>
                <w:szCs w:val="22"/>
              </w:rPr>
              <w:t xml:space="preserve">neznáme </w:t>
            </w:r>
          </w:p>
        </w:tc>
        <w:tc>
          <w:tcPr>
            <w:tcW w:w="3071" w:type="dxa"/>
          </w:tcPr>
          <w:p w:rsidR="0038533A" w:rsidRPr="004F5B39" w:rsidRDefault="0038533A" w:rsidP="0038533A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143F2">
              <w:rPr>
                <w:sz w:val="22"/>
                <w:szCs w:val="22"/>
              </w:rPr>
              <w:t>periorbitálne</w:t>
            </w:r>
            <w:proofErr w:type="spellEnd"/>
            <w:r w:rsidRPr="00F143F2">
              <w:rPr>
                <w:sz w:val="22"/>
                <w:szCs w:val="22"/>
              </w:rPr>
              <w:t xml:space="preserve"> zmeny a zmeny očných viečok vrátane prehĺbenia ryhy očného viečka </w:t>
            </w:r>
          </w:p>
          <w:p w:rsidR="005A574C" w:rsidRPr="00F143F2" w:rsidRDefault="005A574C" w:rsidP="005A574C">
            <w:pPr>
              <w:pStyle w:val="Default"/>
              <w:rPr>
                <w:sz w:val="22"/>
                <w:szCs w:val="22"/>
              </w:rPr>
            </w:pPr>
            <w:r w:rsidRPr="00F143F2">
              <w:rPr>
                <w:sz w:val="22"/>
                <w:szCs w:val="22"/>
              </w:rPr>
              <w:t xml:space="preserve"> </w:t>
            </w:r>
          </w:p>
        </w:tc>
      </w:tr>
      <w:tr w:rsidR="005A574C" w:rsidRPr="00F143F2" w:rsidTr="004B1DDC">
        <w:tc>
          <w:tcPr>
            <w:tcW w:w="3070" w:type="dxa"/>
          </w:tcPr>
          <w:p w:rsidR="005A574C" w:rsidRPr="00F143F2" w:rsidRDefault="005A574C" w:rsidP="005A574C">
            <w:pPr>
              <w:pStyle w:val="Default"/>
              <w:rPr>
                <w:sz w:val="22"/>
                <w:szCs w:val="22"/>
              </w:rPr>
            </w:pPr>
            <w:r w:rsidRPr="00F143F2">
              <w:rPr>
                <w:i/>
                <w:iCs/>
                <w:sz w:val="22"/>
                <w:szCs w:val="22"/>
              </w:rPr>
              <w:t xml:space="preserve">Poruchy ciev </w:t>
            </w:r>
          </w:p>
        </w:tc>
        <w:tc>
          <w:tcPr>
            <w:tcW w:w="3071" w:type="dxa"/>
          </w:tcPr>
          <w:p w:rsidR="005A574C" w:rsidRPr="00F143F2" w:rsidRDefault="005A574C" w:rsidP="005A574C">
            <w:pPr>
              <w:pStyle w:val="Default"/>
              <w:rPr>
                <w:sz w:val="22"/>
                <w:szCs w:val="22"/>
              </w:rPr>
            </w:pPr>
            <w:r w:rsidRPr="00F143F2">
              <w:rPr>
                <w:sz w:val="22"/>
                <w:szCs w:val="22"/>
              </w:rPr>
              <w:t xml:space="preserve">časté </w:t>
            </w:r>
          </w:p>
        </w:tc>
        <w:tc>
          <w:tcPr>
            <w:tcW w:w="3071" w:type="dxa"/>
          </w:tcPr>
          <w:p w:rsidR="005A574C" w:rsidRPr="00F143F2" w:rsidRDefault="005A574C" w:rsidP="005A574C">
            <w:pPr>
              <w:pStyle w:val="Default"/>
              <w:rPr>
                <w:sz w:val="22"/>
                <w:szCs w:val="22"/>
              </w:rPr>
            </w:pPr>
            <w:r w:rsidRPr="00F143F2">
              <w:rPr>
                <w:sz w:val="22"/>
                <w:szCs w:val="22"/>
              </w:rPr>
              <w:t xml:space="preserve">hypertenzia </w:t>
            </w:r>
          </w:p>
        </w:tc>
      </w:tr>
      <w:tr w:rsidR="005A574C" w:rsidRPr="00F143F2" w:rsidTr="004B1DDC">
        <w:tc>
          <w:tcPr>
            <w:tcW w:w="3070" w:type="dxa"/>
          </w:tcPr>
          <w:p w:rsidR="005A574C" w:rsidRPr="00F143F2" w:rsidRDefault="005A574C" w:rsidP="005A574C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F143F2">
              <w:rPr>
                <w:i/>
                <w:iCs/>
                <w:sz w:val="22"/>
                <w:szCs w:val="22"/>
              </w:rPr>
              <w:t xml:space="preserve">Poruchy respiračného traktu, hrudníka a </w:t>
            </w:r>
            <w:proofErr w:type="spellStart"/>
            <w:r w:rsidRPr="00F143F2">
              <w:rPr>
                <w:i/>
                <w:iCs/>
                <w:sz w:val="22"/>
                <w:szCs w:val="22"/>
              </w:rPr>
              <w:t>mediastína</w:t>
            </w:r>
            <w:proofErr w:type="spellEnd"/>
          </w:p>
        </w:tc>
        <w:tc>
          <w:tcPr>
            <w:tcW w:w="3071" w:type="dxa"/>
          </w:tcPr>
          <w:p w:rsidR="005A574C" w:rsidRPr="00F143F2" w:rsidRDefault="005A574C" w:rsidP="005A574C">
            <w:pPr>
              <w:pStyle w:val="Default"/>
              <w:rPr>
                <w:sz w:val="22"/>
                <w:szCs w:val="22"/>
              </w:rPr>
            </w:pPr>
            <w:r w:rsidRPr="00F143F2">
              <w:rPr>
                <w:sz w:val="22"/>
                <w:szCs w:val="22"/>
              </w:rPr>
              <w:t>neznáme</w:t>
            </w:r>
          </w:p>
        </w:tc>
        <w:tc>
          <w:tcPr>
            <w:tcW w:w="3071" w:type="dxa"/>
          </w:tcPr>
          <w:p w:rsidR="005A574C" w:rsidRPr="00F143F2" w:rsidRDefault="005A574C" w:rsidP="005A574C">
            <w:pPr>
              <w:pStyle w:val="Default"/>
              <w:rPr>
                <w:sz w:val="22"/>
                <w:szCs w:val="22"/>
              </w:rPr>
            </w:pPr>
            <w:r w:rsidRPr="00F143F2">
              <w:rPr>
                <w:sz w:val="22"/>
                <w:szCs w:val="22"/>
              </w:rPr>
              <w:t xml:space="preserve">astma, </w:t>
            </w:r>
            <w:proofErr w:type="spellStart"/>
            <w:r w:rsidRPr="00F143F2">
              <w:rPr>
                <w:sz w:val="22"/>
                <w:szCs w:val="22"/>
              </w:rPr>
              <w:t>exacerbácia</w:t>
            </w:r>
            <w:proofErr w:type="spellEnd"/>
            <w:r w:rsidRPr="00F143F2">
              <w:rPr>
                <w:sz w:val="22"/>
                <w:szCs w:val="22"/>
              </w:rPr>
              <w:t xml:space="preserve"> astmy,</w:t>
            </w:r>
          </w:p>
          <w:p w:rsidR="005A574C" w:rsidRPr="00F143F2" w:rsidRDefault="005A574C" w:rsidP="005A574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143F2">
              <w:rPr>
                <w:sz w:val="22"/>
                <w:szCs w:val="22"/>
              </w:rPr>
              <w:t>exacerbácia</w:t>
            </w:r>
            <w:proofErr w:type="spellEnd"/>
            <w:r w:rsidRPr="00F143F2">
              <w:rPr>
                <w:sz w:val="22"/>
                <w:szCs w:val="22"/>
              </w:rPr>
              <w:t xml:space="preserve"> </w:t>
            </w:r>
            <w:proofErr w:type="spellStart"/>
            <w:r w:rsidRPr="00F143F2">
              <w:rPr>
                <w:sz w:val="22"/>
                <w:szCs w:val="22"/>
              </w:rPr>
              <w:t>CHOCHP</w:t>
            </w:r>
            <w:proofErr w:type="spellEnd"/>
            <w:r w:rsidRPr="00F143F2">
              <w:rPr>
                <w:sz w:val="22"/>
                <w:szCs w:val="22"/>
              </w:rPr>
              <w:t xml:space="preserve"> a</w:t>
            </w:r>
          </w:p>
          <w:p w:rsidR="005A574C" w:rsidRPr="00F143F2" w:rsidRDefault="005A574C" w:rsidP="005A574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143F2">
              <w:rPr>
                <w:sz w:val="22"/>
                <w:szCs w:val="22"/>
              </w:rPr>
              <w:t>dyspnoe</w:t>
            </w:r>
            <w:proofErr w:type="spellEnd"/>
          </w:p>
        </w:tc>
      </w:tr>
      <w:tr w:rsidR="005A574C" w:rsidRPr="00F143F2" w:rsidTr="004B1DDC">
        <w:tc>
          <w:tcPr>
            <w:tcW w:w="3070" w:type="dxa"/>
          </w:tcPr>
          <w:p w:rsidR="005A574C" w:rsidRPr="00F143F2" w:rsidRDefault="005A574C" w:rsidP="005A574C">
            <w:pPr>
              <w:pStyle w:val="Default"/>
              <w:rPr>
                <w:sz w:val="22"/>
                <w:szCs w:val="22"/>
              </w:rPr>
            </w:pPr>
            <w:r w:rsidRPr="00F143F2">
              <w:rPr>
                <w:i/>
                <w:iCs/>
                <w:sz w:val="22"/>
                <w:szCs w:val="22"/>
              </w:rPr>
              <w:t xml:space="preserve">Poruchy </w:t>
            </w:r>
            <w:proofErr w:type="spellStart"/>
            <w:r w:rsidRPr="00F143F2">
              <w:rPr>
                <w:i/>
                <w:iCs/>
                <w:sz w:val="22"/>
                <w:szCs w:val="22"/>
              </w:rPr>
              <w:t>gastrointestinálneho</w:t>
            </w:r>
            <w:proofErr w:type="spellEnd"/>
            <w:r w:rsidRPr="00F143F2">
              <w:rPr>
                <w:i/>
                <w:iCs/>
                <w:sz w:val="22"/>
                <w:szCs w:val="22"/>
              </w:rPr>
              <w:t xml:space="preserve"> traktu </w:t>
            </w:r>
          </w:p>
        </w:tc>
        <w:tc>
          <w:tcPr>
            <w:tcW w:w="3071" w:type="dxa"/>
          </w:tcPr>
          <w:p w:rsidR="005A574C" w:rsidRPr="00F143F2" w:rsidRDefault="005A574C" w:rsidP="005A574C">
            <w:pPr>
              <w:pStyle w:val="Default"/>
              <w:rPr>
                <w:sz w:val="22"/>
                <w:szCs w:val="22"/>
              </w:rPr>
            </w:pPr>
            <w:r w:rsidRPr="00F143F2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3071" w:type="dxa"/>
          </w:tcPr>
          <w:p w:rsidR="005A574C" w:rsidRPr="00F143F2" w:rsidRDefault="005A574C" w:rsidP="005A574C">
            <w:pPr>
              <w:pStyle w:val="Default"/>
              <w:rPr>
                <w:sz w:val="22"/>
                <w:szCs w:val="22"/>
              </w:rPr>
            </w:pPr>
            <w:r w:rsidRPr="00F143F2">
              <w:rPr>
                <w:sz w:val="22"/>
                <w:szCs w:val="22"/>
              </w:rPr>
              <w:t xml:space="preserve">nevoľnosť </w:t>
            </w:r>
          </w:p>
        </w:tc>
      </w:tr>
      <w:tr w:rsidR="005A574C" w:rsidRPr="00F143F2" w:rsidTr="004B1DDC">
        <w:tc>
          <w:tcPr>
            <w:tcW w:w="3070" w:type="dxa"/>
          </w:tcPr>
          <w:p w:rsidR="005A574C" w:rsidRPr="00F143F2" w:rsidRDefault="005A574C" w:rsidP="005A574C">
            <w:pPr>
              <w:pStyle w:val="Default"/>
              <w:rPr>
                <w:sz w:val="22"/>
                <w:szCs w:val="22"/>
              </w:rPr>
            </w:pPr>
            <w:r w:rsidRPr="00F143F2">
              <w:rPr>
                <w:i/>
                <w:iCs/>
                <w:sz w:val="22"/>
                <w:szCs w:val="22"/>
              </w:rPr>
              <w:t xml:space="preserve">Poruchy kože a podkožného tkaniva </w:t>
            </w:r>
          </w:p>
        </w:tc>
        <w:tc>
          <w:tcPr>
            <w:tcW w:w="3071" w:type="dxa"/>
          </w:tcPr>
          <w:p w:rsidR="005A574C" w:rsidRPr="00F143F2" w:rsidRDefault="005A574C" w:rsidP="005A574C">
            <w:pPr>
              <w:pStyle w:val="Default"/>
              <w:rPr>
                <w:sz w:val="22"/>
                <w:szCs w:val="22"/>
                <w:highlight w:val="yellow"/>
              </w:rPr>
            </w:pPr>
            <w:r w:rsidRPr="00F143F2">
              <w:rPr>
                <w:sz w:val="22"/>
                <w:szCs w:val="22"/>
              </w:rPr>
              <w:t>časté</w:t>
            </w:r>
            <w:r w:rsidRPr="00F143F2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3071" w:type="dxa"/>
          </w:tcPr>
          <w:p w:rsidR="005A574C" w:rsidRPr="00F143F2" w:rsidRDefault="005A574C" w:rsidP="006F201B">
            <w:pPr>
              <w:pStyle w:val="Default"/>
              <w:rPr>
                <w:sz w:val="22"/>
                <w:szCs w:val="22"/>
              </w:rPr>
            </w:pPr>
            <w:r w:rsidRPr="00F143F2">
              <w:rPr>
                <w:sz w:val="22"/>
                <w:szCs w:val="22"/>
              </w:rPr>
              <w:t xml:space="preserve">pigmentácia kože v okolí oka </w:t>
            </w:r>
          </w:p>
        </w:tc>
      </w:tr>
      <w:tr w:rsidR="005A574C" w:rsidRPr="00F143F2" w:rsidTr="004B1DDC">
        <w:tc>
          <w:tcPr>
            <w:tcW w:w="3070" w:type="dxa"/>
          </w:tcPr>
          <w:p w:rsidR="005A574C" w:rsidRPr="00F143F2" w:rsidRDefault="005A574C" w:rsidP="005A574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szCs w:val="22"/>
                <w:lang w:val="sk-SK" w:eastAsia="sk-SK"/>
              </w:rPr>
            </w:pPr>
          </w:p>
        </w:tc>
        <w:tc>
          <w:tcPr>
            <w:tcW w:w="3071" w:type="dxa"/>
          </w:tcPr>
          <w:p w:rsidR="005A574C" w:rsidRPr="00F143F2" w:rsidRDefault="005A574C" w:rsidP="005A574C">
            <w:pPr>
              <w:pStyle w:val="Default"/>
              <w:rPr>
                <w:sz w:val="22"/>
                <w:szCs w:val="22"/>
              </w:rPr>
            </w:pPr>
            <w:r w:rsidRPr="00F143F2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3071" w:type="dxa"/>
          </w:tcPr>
          <w:p w:rsidR="005A574C" w:rsidRPr="00F143F2" w:rsidRDefault="005A574C" w:rsidP="005A574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143F2">
              <w:rPr>
                <w:sz w:val="22"/>
                <w:szCs w:val="22"/>
              </w:rPr>
              <w:t>hirzutizmus</w:t>
            </w:r>
            <w:proofErr w:type="spellEnd"/>
            <w:r w:rsidRPr="00F143F2">
              <w:rPr>
                <w:sz w:val="22"/>
                <w:szCs w:val="22"/>
              </w:rPr>
              <w:t xml:space="preserve"> </w:t>
            </w:r>
          </w:p>
        </w:tc>
      </w:tr>
      <w:tr w:rsidR="005A574C" w:rsidRPr="00F143F2" w:rsidTr="004B1DDC">
        <w:tc>
          <w:tcPr>
            <w:tcW w:w="3070" w:type="dxa"/>
          </w:tcPr>
          <w:p w:rsidR="005A574C" w:rsidRPr="00F143F2" w:rsidRDefault="005A574C" w:rsidP="005A574C">
            <w:pPr>
              <w:pStyle w:val="Default"/>
              <w:rPr>
                <w:sz w:val="22"/>
                <w:szCs w:val="22"/>
              </w:rPr>
            </w:pPr>
            <w:r w:rsidRPr="00F143F2">
              <w:rPr>
                <w:i/>
                <w:iCs/>
                <w:sz w:val="22"/>
                <w:szCs w:val="22"/>
              </w:rPr>
              <w:t xml:space="preserve">Celkové poruchy a reakcie v mieste podania </w:t>
            </w:r>
          </w:p>
        </w:tc>
        <w:tc>
          <w:tcPr>
            <w:tcW w:w="3071" w:type="dxa"/>
          </w:tcPr>
          <w:p w:rsidR="005A574C" w:rsidRPr="00F143F2" w:rsidRDefault="005A574C" w:rsidP="005A574C">
            <w:pPr>
              <w:pStyle w:val="Default"/>
              <w:rPr>
                <w:sz w:val="22"/>
                <w:szCs w:val="22"/>
              </w:rPr>
            </w:pPr>
            <w:r w:rsidRPr="00F143F2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3071" w:type="dxa"/>
          </w:tcPr>
          <w:p w:rsidR="005A574C" w:rsidRPr="00F143F2" w:rsidRDefault="005A574C" w:rsidP="005A574C">
            <w:pPr>
              <w:pStyle w:val="Default"/>
              <w:rPr>
                <w:sz w:val="22"/>
                <w:szCs w:val="22"/>
              </w:rPr>
            </w:pPr>
            <w:r w:rsidRPr="00F143F2">
              <w:rPr>
                <w:sz w:val="22"/>
                <w:szCs w:val="22"/>
              </w:rPr>
              <w:t xml:space="preserve">asténia </w:t>
            </w:r>
          </w:p>
        </w:tc>
      </w:tr>
      <w:tr w:rsidR="005A574C" w:rsidRPr="00F143F2" w:rsidTr="004B1DDC">
        <w:tc>
          <w:tcPr>
            <w:tcW w:w="3070" w:type="dxa"/>
          </w:tcPr>
          <w:p w:rsidR="005A574C" w:rsidRPr="00F143F2" w:rsidRDefault="005A574C" w:rsidP="005A574C">
            <w:pPr>
              <w:pStyle w:val="Default"/>
              <w:rPr>
                <w:sz w:val="22"/>
                <w:szCs w:val="22"/>
              </w:rPr>
            </w:pPr>
            <w:r w:rsidRPr="00F143F2">
              <w:rPr>
                <w:i/>
                <w:iCs/>
                <w:sz w:val="22"/>
                <w:szCs w:val="22"/>
              </w:rPr>
              <w:t xml:space="preserve">Laboratórne a funkčné vyšetrenia </w:t>
            </w:r>
          </w:p>
        </w:tc>
        <w:tc>
          <w:tcPr>
            <w:tcW w:w="3071" w:type="dxa"/>
          </w:tcPr>
          <w:p w:rsidR="005A574C" w:rsidRPr="00F143F2" w:rsidRDefault="005A574C" w:rsidP="005A574C">
            <w:pPr>
              <w:pStyle w:val="Default"/>
              <w:rPr>
                <w:sz w:val="22"/>
                <w:szCs w:val="22"/>
              </w:rPr>
            </w:pPr>
            <w:r w:rsidRPr="00F143F2">
              <w:rPr>
                <w:sz w:val="22"/>
                <w:szCs w:val="22"/>
              </w:rPr>
              <w:t xml:space="preserve">časté </w:t>
            </w:r>
          </w:p>
        </w:tc>
        <w:tc>
          <w:tcPr>
            <w:tcW w:w="3071" w:type="dxa"/>
          </w:tcPr>
          <w:p w:rsidR="005A574C" w:rsidRPr="00F143F2" w:rsidRDefault="005A574C" w:rsidP="005A574C">
            <w:pPr>
              <w:pStyle w:val="Default"/>
              <w:rPr>
                <w:sz w:val="22"/>
                <w:szCs w:val="22"/>
              </w:rPr>
            </w:pPr>
            <w:r w:rsidRPr="00F143F2">
              <w:rPr>
                <w:sz w:val="22"/>
                <w:szCs w:val="22"/>
              </w:rPr>
              <w:t>abnormálny test funkcií pečene</w:t>
            </w:r>
          </w:p>
        </w:tc>
      </w:tr>
    </w:tbl>
    <w:p w:rsidR="00D96C10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1B1D93" w:rsidRPr="004F5B39" w:rsidRDefault="001B1D93" w:rsidP="001B1D93">
      <w:pPr>
        <w:pStyle w:val="Normlnywebov"/>
        <w:spacing w:before="0"/>
        <w:rPr>
          <w:sz w:val="22"/>
          <w:szCs w:val="22"/>
        </w:rPr>
      </w:pPr>
      <w:r w:rsidRPr="004F5B39">
        <w:rPr>
          <w:sz w:val="22"/>
          <w:szCs w:val="22"/>
        </w:rPr>
        <w:t>Nežiaduce reakcie hlásené pri užívaní očných kvapiek obsahujúcich fosfát:</w:t>
      </w:r>
    </w:p>
    <w:p w:rsidR="001B1D93" w:rsidRPr="004F5B39" w:rsidRDefault="001B1D93" w:rsidP="001B1D93">
      <w:pPr>
        <w:pStyle w:val="Normlnywebov"/>
        <w:spacing w:before="0"/>
        <w:rPr>
          <w:sz w:val="22"/>
          <w:szCs w:val="22"/>
        </w:rPr>
      </w:pPr>
      <w:r w:rsidRPr="004F5B39">
        <w:rPr>
          <w:sz w:val="22"/>
          <w:szCs w:val="22"/>
        </w:rPr>
        <w:t>U niektorých pacientov s výrazne poškodenou rohovkou boli hlásené veľmi zriedkavé prípady</w:t>
      </w:r>
    </w:p>
    <w:p w:rsidR="001B1D93" w:rsidRPr="004F5B39" w:rsidRDefault="001B1D93" w:rsidP="001B1D93">
      <w:pPr>
        <w:pStyle w:val="Normlnywebov"/>
        <w:spacing w:before="0"/>
        <w:rPr>
          <w:sz w:val="22"/>
          <w:szCs w:val="22"/>
        </w:rPr>
      </w:pPr>
      <w:r w:rsidRPr="004F5B39">
        <w:rPr>
          <w:sz w:val="22"/>
          <w:szCs w:val="22"/>
        </w:rPr>
        <w:t>kalcifikácie rohovky v súvislosti s použitím očných kvapiek obsahujúcich fosfát.</w:t>
      </w:r>
    </w:p>
    <w:p w:rsidR="001B1D93" w:rsidRPr="00F143F2" w:rsidRDefault="001B1D93" w:rsidP="001B1D93">
      <w:pPr>
        <w:pStyle w:val="Normlnywebov"/>
        <w:spacing w:before="0"/>
        <w:rPr>
          <w:sz w:val="22"/>
          <w:szCs w:val="22"/>
          <w:u w:val="single"/>
        </w:rPr>
      </w:pPr>
    </w:p>
    <w:p w:rsidR="00F70D61" w:rsidRPr="00F143F2" w:rsidRDefault="00F70D61" w:rsidP="00F70D61">
      <w:pPr>
        <w:pStyle w:val="Normlnywebov"/>
        <w:spacing w:before="0"/>
        <w:rPr>
          <w:sz w:val="22"/>
          <w:szCs w:val="22"/>
        </w:rPr>
      </w:pPr>
      <w:r w:rsidRPr="00F143F2">
        <w:rPr>
          <w:sz w:val="22"/>
          <w:szCs w:val="22"/>
          <w:u w:val="single"/>
        </w:rPr>
        <w:t>Hlásenie podozrení na nežiaduce reakcie</w:t>
      </w:r>
    </w:p>
    <w:p w:rsidR="00F70D61" w:rsidRPr="00F143F2" w:rsidRDefault="00F70D61" w:rsidP="00F70D61">
      <w:pPr>
        <w:pStyle w:val="Normlnywebov"/>
        <w:spacing w:before="0"/>
        <w:rPr>
          <w:sz w:val="22"/>
          <w:szCs w:val="22"/>
        </w:rPr>
      </w:pPr>
      <w:r w:rsidRPr="00F143F2">
        <w:rPr>
          <w:sz w:val="22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207D5C" w:rsidRPr="00F143F2">
        <w:rPr>
          <w:sz w:val="22"/>
          <w:szCs w:val="22"/>
        </w:rPr>
        <w:t>na</w:t>
      </w:r>
      <w:r w:rsidRPr="00F143F2">
        <w:rPr>
          <w:sz w:val="22"/>
          <w:szCs w:val="22"/>
        </w:rPr>
        <w:t xml:space="preserve"> </w:t>
      </w:r>
      <w:r w:rsidRPr="00F143F2">
        <w:rPr>
          <w:noProof/>
          <w:sz w:val="22"/>
          <w:szCs w:val="22"/>
          <w:highlight w:val="lightGray"/>
        </w:rPr>
        <w:t>národn</w:t>
      </w:r>
      <w:r w:rsidR="00220E4C" w:rsidRPr="00F143F2">
        <w:rPr>
          <w:noProof/>
          <w:sz w:val="22"/>
          <w:szCs w:val="22"/>
          <w:highlight w:val="lightGray"/>
        </w:rPr>
        <w:t xml:space="preserve">é centrum </w:t>
      </w:r>
      <w:r w:rsidRPr="00F143F2">
        <w:rPr>
          <w:noProof/>
          <w:sz w:val="22"/>
          <w:szCs w:val="22"/>
          <w:highlight w:val="lightGray"/>
        </w:rPr>
        <w:t>hlásenia uveden</w:t>
      </w:r>
      <w:r w:rsidR="00220E4C" w:rsidRPr="00F143F2">
        <w:rPr>
          <w:noProof/>
          <w:sz w:val="22"/>
          <w:szCs w:val="22"/>
          <w:highlight w:val="lightGray"/>
        </w:rPr>
        <w:t>é</w:t>
      </w:r>
      <w:r w:rsidRPr="00F143F2">
        <w:rPr>
          <w:noProof/>
          <w:sz w:val="22"/>
          <w:szCs w:val="22"/>
          <w:highlight w:val="lightGray"/>
        </w:rPr>
        <w:t xml:space="preserve"> v </w:t>
      </w:r>
      <w:hyperlink r:id="rId12" w:history="1">
        <w:r w:rsidRPr="00F143F2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F143F2">
        <w:rPr>
          <w:noProof/>
          <w:sz w:val="22"/>
          <w:szCs w:val="22"/>
        </w:rPr>
        <w:t>.</w:t>
      </w:r>
    </w:p>
    <w:p w:rsidR="00BF473D" w:rsidRPr="00F143F2" w:rsidRDefault="00BF473D" w:rsidP="009F0A9D">
      <w:pPr>
        <w:pStyle w:val="Normlnywebov"/>
        <w:spacing w:before="0"/>
        <w:rPr>
          <w:noProof/>
          <w:sz w:val="22"/>
          <w:szCs w:val="22"/>
        </w:rPr>
      </w:pPr>
    </w:p>
    <w:p w:rsidR="003C309A" w:rsidRPr="00F143F2" w:rsidRDefault="003C309A" w:rsidP="009F0A9D">
      <w:pPr>
        <w:pStyle w:val="Normlnywebov"/>
        <w:spacing w:before="0"/>
        <w:rPr>
          <w:rFonts w:eastAsia="TimesNewRoman,Bold"/>
          <w:b/>
          <w:bCs/>
          <w:sz w:val="22"/>
          <w:szCs w:val="22"/>
        </w:rPr>
      </w:pPr>
      <w:r w:rsidRPr="00F143F2">
        <w:rPr>
          <w:rFonts w:eastAsia="TimesNewRoman,Bold"/>
          <w:b/>
          <w:bCs/>
          <w:sz w:val="22"/>
          <w:szCs w:val="22"/>
        </w:rPr>
        <w:t>4.9</w:t>
      </w:r>
      <w:r w:rsidR="00D96C10" w:rsidRPr="00F143F2">
        <w:rPr>
          <w:rFonts w:eastAsia="TimesNewRoman,Bold"/>
          <w:b/>
          <w:bCs/>
          <w:sz w:val="22"/>
          <w:szCs w:val="22"/>
        </w:rPr>
        <w:tab/>
      </w:r>
      <w:r w:rsidRPr="00F143F2">
        <w:rPr>
          <w:rFonts w:eastAsia="TimesNewRoman,Bold"/>
          <w:b/>
          <w:bCs/>
          <w:sz w:val="22"/>
          <w:szCs w:val="22"/>
        </w:rPr>
        <w:t>Predávkovanie</w:t>
      </w:r>
    </w:p>
    <w:p w:rsidR="00D96C10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B51B94" w:rsidRPr="00F143F2" w:rsidRDefault="00B51B94" w:rsidP="00B51B94">
      <w:pPr>
        <w:pStyle w:val="Default"/>
        <w:rPr>
          <w:sz w:val="22"/>
          <w:szCs w:val="22"/>
        </w:rPr>
      </w:pPr>
      <w:r w:rsidRPr="00F143F2">
        <w:rPr>
          <w:sz w:val="22"/>
          <w:szCs w:val="22"/>
        </w:rPr>
        <w:t xml:space="preserve">Neboli hlásené žiadne prípady predávkovania a nie je pravdepodobné, že by po podaní do oka nastali. </w:t>
      </w:r>
    </w:p>
    <w:p w:rsidR="00B51B94" w:rsidRPr="00F143F2" w:rsidRDefault="00B51B94" w:rsidP="00B51B94">
      <w:pPr>
        <w:rPr>
          <w:szCs w:val="22"/>
          <w:lang w:val="sk-SK"/>
        </w:rPr>
      </w:pPr>
    </w:p>
    <w:p w:rsidR="00B51B94" w:rsidRPr="00F143F2" w:rsidRDefault="00B51B94" w:rsidP="00B51B94">
      <w:pPr>
        <w:rPr>
          <w:szCs w:val="22"/>
          <w:lang w:val="sk-SK"/>
        </w:rPr>
      </w:pPr>
      <w:r w:rsidRPr="00F143F2">
        <w:rPr>
          <w:szCs w:val="22"/>
          <w:lang w:val="sk-SK"/>
        </w:rPr>
        <w:t xml:space="preserve">Pokiaľ dôjde k predávkovaniu, liečba má byť symptomatická a podporná. Ak sa </w:t>
      </w:r>
      <w:proofErr w:type="spellStart"/>
      <w:r w:rsidR="0082492E" w:rsidRPr="00F143F2">
        <w:rPr>
          <w:szCs w:val="22"/>
          <w:lang w:val="sk-SK"/>
        </w:rPr>
        <w:t>bimatoprost</w:t>
      </w:r>
      <w:proofErr w:type="spellEnd"/>
      <w:r w:rsidRPr="00F143F2">
        <w:rPr>
          <w:szCs w:val="22"/>
          <w:lang w:val="sk-SK"/>
        </w:rPr>
        <w:t xml:space="preserve"> náhodne požije, môžu byť užitočné nasledujúce informácie: počas dvojtýždňových štúdií u potkanov a myší dávky až do 100 mg/kg/deň nespôsobili žiadnu toxicitu. Táto dávka vyjadrená v mg/m² je najmenej </w:t>
      </w:r>
      <w:proofErr w:type="spellStart"/>
      <w:r w:rsidRPr="00F143F2">
        <w:rPr>
          <w:szCs w:val="22"/>
          <w:lang w:val="sk-SK"/>
        </w:rPr>
        <w:t>70-krát</w:t>
      </w:r>
      <w:proofErr w:type="spellEnd"/>
      <w:r w:rsidRPr="00F143F2">
        <w:rPr>
          <w:szCs w:val="22"/>
          <w:lang w:val="sk-SK"/>
        </w:rPr>
        <w:t xml:space="preserve"> vyššia ako množstvo lieku v jednej fľaši </w:t>
      </w:r>
      <w:proofErr w:type="spellStart"/>
      <w:r w:rsidR="0082492E" w:rsidRPr="00F143F2">
        <w:rPr>
          <w:szCs w:val="22"/>
          <w:lang w:val="sk-SK"/>
        </w:rPr>
        <w:t>bimatoprostu</w:t>
      </w:r>
      <w:proofErr w:type="spellEnd"/>
      <w:r w:rsidR="0082492E" w:rsidRPr="00F143F2">
        <w:rPr>
          <w:szCs w:val="22"/>
          <w:lang w:val="sk-SK"/>
        </w:rPr>
        <w:t xml:space="preserve"> </w:t>
      </w:r>
      <w:r w:rsidRPr="00F143F2">
        <w:rPr>
          <w:szCs w:val="22"/>
          <w:lang w:val="sk-SK"/>
        </w:rPr>
        <w:t xml:space="preserve">0,3 mg/ml, očnej roztokovej </w:t>
      </w:r>
      <w:proofErr w:type="spellStart"/>
      <w:r w:rsidRPr="00F143F2">
        <w:rPr>
          <w:szCs w:val="22"/>
          <w:lang w:val="sk-SK"/>
        </w:rPr>
        <w:t>instilácie</w:t>
      </w:r>
      <w:proofErr w:type="spellEnd"/>
      <w:r w:rsidRPr="00F143F2">
        <w:rPr>
          <w:szCs w:val="22"/>
          <w:lang w:val="sk-SK"/>
        </w:rPr>
        <w:t xml:space="preserve">, pre </w:t>
      </w:r>
      <w:smartTag w:uri="urn:schemas-microsoft-com:office:smarttags" w:element="metricconverter">
        <w:smartTagPr>
          <w:attr w:name="ProductID" w:val="10 kg"/>
        </w:smartTagPr>
        <w:r w:rsidRPr="00F143F2">
          <w:rPr>
            <w:szCs w:val="22"/>
            <w:lang w:val="sk-SK"/>
          </w:rPr>
          <w:t>10 kg</w:t>
        </w:r>
      </w:smartTag>
      <w:r w:rsidRPr="00F143F2">
        <w:rPr>
          <w:szCs w:val="22"/>
          <w:lang w:val="sk-SK"/>
        </w:rPr>
        <w:t xml:space="preserve"> dieťa.</w:t>
      </w:r>
    </w:p>
    <w:p w:rsidR="00D96C10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DB0CD5" w:rsidRPr="00F143F2" w:rsidRDefault="00DB0CD5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F143F2">
        <w:rPr>
          <w:rFonts w:eastAsia="TimesNewRoman,Bold"/>
          <w:b/>
          <w:bCs/>
          <w:szCs w:val="22"/>
          <w:lang w:val="sk-SK" w:eastAsia="sk-SK"/>
        </w:rPr>
        <w:t>5.</w:t>
      </w:r>
      <w:r w:rsidRPr="00F143F2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F143F2">
        <w:rPr>
          <w:rFonts w:eastAsia="TimesNewRoman,Bold"/>
          <w:b/>
          <w:bCs/>
          <w:szCs w:val="22"/>
          <w:lang w:val="sk-SK" w:eastAsia="sk-SK"/>
        </w:rPr>
        <w:t>FARMAKOLOGICKÉ VLASTNOSTI</w:t>
      </w:r>
    </w:p>
    <w:p w:rsidR="00D96C10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F143F2">
        <w:rPr>
          <w:rFonts w:eastAsia="TimesNewRoman,Bold"/>
          <w:b/>
          <w:bCs/>
          <w:szCs w:val="22"/>
          <w:lang w:val="sk-SK" w:eastAsia="sk-SK"/>
        </w:rPr>
        <w:t>5.1</w:t>
      </w:r>
      <w:r w:rsidRPr="00F143F2">
        <w:rPr>
          <w:rFonts w:eastAsia="TimesNewRoman,Bold"/>
          <w:b/>
          <w:bCs/>
          <w:szCs w:val="22"/>
          <w:lang w:val="sk-SK" w:eastAsia="sk-SK"/>
        </w:rPr>
        <w:tab/>
      </w:r>
      <w:proofErr w:type="spellStart"/>
      <w:r w:rsidR="003C309A" w:rsidRPr="00F143F2">
        <w:rPr>
          <w:rFonts w:eastAsia="TimesNewRoman,Bold"/>
          <w:b/>
          <w:bCs/>
          <w:szCs w:val="22"/>
          <w:lang w:val="sk-SK" w:eastAsia="sk-SK"/>
        </w:rPr>
        <w:t>Farmakodynamické</w:t>
      </w:r>
      <w:proofErr w:type="spellEnd"/>
      <w:r w:rsidR="003C309A" w:rsidRPr="00F143F2">
        <w:rPr>
          <w:rFonts w:eastAsia="TimesNewRoman,Bold"/>
          <w:b/>
          <w:bCs/>
          <w:szCs w:val="22"/>
          <w:lang w:val="sk-SK" w:eastAsia="sk-SK"/>
        </w:rPr>
        <w:t xml:space="preserve"> vlastnosti</w:t>
      </w:r>
    </w:p>
    <w:p w:rsidR="00D96C10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F143F2" w:rsidRDefault="003C309A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proofErr w:type="spellStart"/>
      <w:r w:rsidRPr="00F143F2">
        <w:rPr>
          <w:rFonts w:eastAsia="TimesNewRoman"/>
          <w:szCs w:val="22"/>
          <w:lang w:val="sk-SK" w:eastAsia="sk-SK"/>
        </w:rPr>
        <w:t>Farmakoterapeutická</w:t>
      </w:r>
      <w:proofErr w:type="spellEnd"/>
      <w:r w:rsidRPr="00F143F2">
        <w:rPr>
          <w:rFonts w:eastAsia="TimesNewRoman"/>
          <w:szCs w:val="22"/>
          <w:lang w:val="sk-SK" w:eastAsia="sk-SK"/>
        </w:rPr>
        <w:t xml:space="preserve"> skupina: </w:t>
      </w:r>
      <w:proofErr w:type="spellStart"/>
      <w:r w:rsidR="00D3717A" w:rsidRPr="00F143F2">
        <w:rPr>
          <w:szCs w:val="22"/>
          <w:lang w:val="sk-SK"/>
        </w:rPr>
        <w:t>oftalmologiká</w:t>
      </w:r>
      <w:proofErr w:type="spellEnd"/>
      <w:r w:rsidR="00D3717A" w:rsidRPr="00F143F2">
        <w:rPr>
          <w:szCs w:val="22"/>
          <w:lang w:val="sk-SK"/>
        </w:rPr>
        <w:t xml:space="preserve">, </w:t>
      </w:r>
      <w:proofErr w:type="spellStart"/>
      <w:r w:rsidR="00D3717A" w:rsidRPr="00F143F2">
        <w:rPr>
          <w:szCs w:val="22"/>
          <w:lang w:val="sk-SK"/>
        </w:rPr>
        <w:t>prostaglandínové</w:t>
      </w:r>
      <w:proofErr w:type="spellEnd"/>
      <w:r w:rsidR="00D3717A" w:rsidRPr="00F143F2">
        <w:rPr>
          <w:szCs w:val="22"/>
          <w:lang w:val="sk-SK"/>
        </w:rPr>
        <w:t xml:space="preserve"> </w:t>
      </w:r>
      <w:proofErr w:type="spellStart"/>
      <w:r w:rsidR="00D3717A" w:rsidRPr="00F143F2">
        <w:rPr>
          <w:szCs w:val="22"/>
          <w:lang w:val="sk-SK"/>
        </w:rPr>
        <w:t>analógy</w:t>
      </w:r>
      <w:proofErr w:type="spellEnd"/>
      <w:r w:rsidR="00D3717A" w:rsidRPr="00F143F2">
        <w:rPr>
          <w:szCs w:val="22"/>
          <w:lang w:val="sk-SK"/>
        </w:rPr>
        <w:t xml:space="preserve">, </w:t>
      </w:r>
      <w:proofErr w:type="spellStart"/>
      <w:r w:rsidR="00D3717A" w:rsidRPr="00F143F2">
        <w:rPr>
          <w:szCs w:val="22"/>
          <w:lang w:val="sk-SK"/>
        </w:rPr>
        <w:t>ATC</w:t>
      </w:r>
      <w:proofErr w:type="spellEnd"/>
      <w:r w:rsidR="00D3717A" w:rsidRPr="00F143F2">
        <w:rPr>
          <w:szCs w:val="22"/>
          <w:lang w:val="sk-SK"/>
        </w:rPr>
        <w:t xml:space="preserve"> kód : </w:t>
      </w:r>
      <w:proofErr w:type="spellStart"/>
      <w:r w:rsidR="00D3717A" w:rsidRPr="00F143F2">
        <w:rPr>
          <w:szCs w:val="22"/>
          <w:lang w:val="sk-SK"/>
        </w:rPr>
        <w:t>S01EE03</w:t>
      </w:r>
      <w:proofErr w:type="spellEnd"/>
      <w:r w:rsidR="0082492E" w:rsidRPr="00F143F2">
        <w:rPr>
          <w:szCs w:val="22"/>
          <w:lang w:val="sk-SK"/>
        </w:rPr>
        <w:t>.</w:t>
      </w:r>
    </w:p>
    <w:p w:rsidR="0054284A" w:rsidRPr="00F143F2" w:rsidRDefault="0054284A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D3717A" w:rsidRPr="00F143F2" w:rsidRDefault="00D3717A" w:rsidP="00D37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  <w:r w:rsidRPr="00F143F2">
        <w:rPr>
          <w:rFonts w:eastAsia="Calibri"/>
          <w:color w:val="000000"/>
          <w:szCs w:val="22"/>
          <w:u w:val="single"/>
          <w:lang w:val="sk-SK" w:eastAsia="sk-SK"/>
        </w:rPr>
        <w:t xml:space="preserve">Spôsob účinku </w:t>
      </w:r>
    </w:p>
    <w:p w:rsidR="00D3717A" w:rsidRPr="00F143F2" w:rsidRDefault="00D3717A" w:rsidP="00D37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  <w:r w:rsidRPr="00F143F2">
        <w:rPr>
          <w:szCs w:val="22"/>
          <w:lang w:val="sk-SK"/>
        </w:rPr>
        <w:t xml:space="preserve">Mechanizmom účinku, ktorým </w:t>
      </w:r>
      <w:proofErr w:type="spellStart"/>
      <w:r w:rsidRPr="00F143F2">
        <w:rPr>
          <w:szCs w:val="22"/>
          <w:lang w:val="sk-SK"/>
        </w:rPr>
        <w:t>bimatoprost</w:t>
      </w:r>
      <w:proofErr w:type="spellEnd"/>
      <w:r w:rsidRPr="00F143F2">
        <w:rPr>
          <w:szCs w:val="22"/>
          <w:lang w:val="sk-SK"/>
        </w:rPr>
        <w:t xml:space="preserve"> redukuje </w:t>
      </w:r>
      <w:proofErr w:type="spellStart"/>
      <w:r w:rsidRPr="00F143F2">
        <w:rPr>
          <w:szCs w:val="22"/>
          <w:lang w:val="sk-SK"/>
        </w:rPr>
        <w:t>vnútroočný</w:t>
      </w:r>
      <w:proofErr w:type="spellEnd"/>
      <w:r w:rsidRPr="00F143F2">
        <w:rPr>
          <w:szCs w:val="22"/>
          <w:lang w:val="sk-SK"/>
        </w:rPr>
        <w:t xml:space="preserve"> tlak u ľudí, je zvýšený odtok </w:t>
      </w:r>
      <w:proofErr w:type="spellStart"/>
      <w:r w:rsidRPr="00F143F2">
        <w:rPr>
          <w:szCs w:val="22"/>
          <w:lang w:val="sk-SK"/>
        </w:rPr>
        <w:t>vnútroočnej</w:t>
      </w:r>
      <w:proofErr w:type="spellEnd"/>
      <w:r w:rsidRPr="00F143F2">
        <w:rPr>
          <w:szCs w:val="22"/>
          <w:lang w:val="sk-SK"/>
        </w:rPr>
        <w:t xml:space="preserve"> tekutiny </w:t>
      </w:r>
      <w:proofErr w:type="spellStart"/>
      <w:r w:rsidRPr="00F143F2">
        <w:rPr>
          <w:szCs w:val="22"/>
          <w:lang w:val="sk-SK"/>
        </w:rPr>
        <w:t>trabekulárnou</w:t>
      </w:r>
      <w:proofErr w:type="spellEnd"/>
      <w:r w:rsidRPr="00F143F2">
        <w:rPr>
          <w:szCs w:val="22"/>
          <w:lang w:val="sk-SK"/>
        </w:rPr>
        <w:t xml:space="preserve"> </w:t>
      </w:r>
      <w:proofErr w:type="spellStart"/>
      <w:r w:rsidRPr="00F143F2">
        <w:rPr>
          <w:szCs w:val="22"/>
          <w:lang w:val="sk-SK"/>
        </w:rPr>
        <w:t>trámčinou</w:t>
      </w:r>
      <w:proofErr w:type="spellEnd"/>
      <w:r w:rsidRPr="00F143F2">
        <w:rPr>
          <w:szCs w:val="22"/>
          <w:lang w:val="sk-SK"/>
        </w:rPr>
        <w:t xml:space="preserve"> a zvýšený odtok </w:t>
      </w:r>
      <w:proofErr w:type="spellStart"/>
      <w:r w:rsidRPr="00F143F2">
        <w:rPr>
          <w:szCs w:val="22"/>
          <w:lang w:val="sk-SK"/>
        </w:rPr>
        <w:t>uveosklerálnou</w:t>
      </w:r>
      <w:proofErr w:type="spellEnd"/>
      <w:r w:rsidRPr="00F143F2">
        <w:rPr>
          <w:szCs w:val="22"/>
          <w:lang w:val="sk-SK"/>
        </w:rPr>
        <w:t xml:space="preserve"> cestou. Znižovanie </w:t>
      </w:r>
      <w:proofErr w:type="spellStart"/>
      <w:r w:rsidRPr="00F143F2">
        <w:rPr>
          <w:szCs w:val="22"/>
          <w:lang w:val="sk-SK"/>
        </w:rPr>
        <w:t>vnútroočného</w:t>
      </w:r>
      <w:proofErr w:type="spellEnd"/>
      <w:r w:rsidRPr="00F143F2">
        <w:rPr>
          <w:szCs w:val="22"/>
          <w:lang w:val="sk-SK"/>
        </w:rPr>
        <w:t xml:space="preserve"> tlaku začína približne 4 hodiny po prvom podaní a maximálny účinok sa dosahuje približne v rámci 8 – 12 hodín. </w:t>
      </w:r>
      <w:proofErr w:type="spellStart"/>
      <w:proofErr w:type="gramStart"/>
      <w:r w:rsidRPr="00F143F2">
        <w:rPr>
          <w:szCs w:val="22"/>
        </w:rPr>
        <w:t>Zníženie</w:t>
      </w:r>
      <w:proofErr w:type="spellEnd"/>
      <w:r w:rsidRPr="00F143F2">
        <w:rPr>
          <w:szCs w:val="22"/>
        </w:rPr>
        <w:t xml:space="preserve"> </w:t>
      </w:r>
      <w:proofErr w:type="spellStart"/>
      <w:r w:rsidRPr="00F143F2">
        <w:rPr>
          <w:szCs w:val="22"/>
        </w:rPr>
        <w:t>vnútroočného</w:t>
      </w:r>
      <w:proofErr w:type="spellEnd"/>
      <w:r w:rsidRPr="00F143F2">
        <w:rPr>
          <w:szCs w:val="22"/>
        </w:rPr>
        <w:t xml:space="preserve"> </w:t>
      </w:r>
      <w:proofErr w:type="spellStart"/>
      <w:r w:rsidRPr="00F143F2">
        <w:rPr>
          <w:szCs w:val="22"/>
        </w:rPr>
        <w:t>tlaku</w:t>
      </w:r>
      <w:proofErr w:type="spellEnd"/>
      <w:r w:rsidRPr="00F143F2">
        <w:rPr>
          <w:szCs w:val="22"/>
        </w:rPr>
        <w:t xml:space="preserve"> </w:t>
      </w:r>
      <w:proofErr w:type="spellStart"/>
      <w:r w:rsidRPr="00F143F2">
        <w:rPr>
          <w:szCs w:val="22"/>
        </w:rPr>
        <w:t>pretrváva</w:t>
      </w:r>
      <w:proofErr w:type="spellEnd"/>
      <w:r w:rsidRPr="00F143F2">
        <w:rPr>
          <w:szCs w:val="22"/>
        </w:rPr>
        <w:t xml:space="preserve"> </w:t>
      </w:r>
      <w:proofErr w:type="spellStart"/>
      <w:r w:rsidRPr="00F143F2">
        <w:rPr>
          <w:szCs w:val="22"/>
        </w:rPr>
        <w:t>najmenej</w:t>
      </w:r>
      <w:proofErr w:type="spellEnd"/>
      <w:r w:rsidRPr="00F143F2">
        <w:rPr>
          <w:szCs w:val="22"/>
        </w:rPr>
        <w:t xml:space="preserve"> 24 </w:t>
      </w:r>
      <w:proofErr w:type="spellStart"/>
      <w:r w:rsidRPr="00F143F2">
        <w:rPr>
          <w:szCs w:val="22"/>
        </w:rPr>
        <w:t>hodín</w:t>
      </w:r>
      <w:proofErr w:type="spellEnd"/>
      <w:r w:rsidRPr="00F143F2">
        <w:rPr>
          <w:szCs w:val="22"/>
        </w:rPr>
        <w:t>.</w:t>
      </w:r>
      <w:proofErr w:type="gramEnd"/>
    </w:p>
    <w:p w:rsidR="00D3717A" w:rsidRPr="00F143F2" w:rsidRDefault="00D3717A" w:rsidP="00D37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</w:p>
    <w:p w:rsidR="00D3717A" w:rsidRPr="00F143F2" w:rsidRDefault="00D3717A" w:rsidP="00D37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Bimatoprost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je silné očné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hypotenzívum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. Je to syntetický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prostamid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, štrukturálne blízky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prostaglandinu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F2α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(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PGF2α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), ktorý neúčinkuje cestou žiadnych známych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prostaglandínových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receptorov.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Bimatoprost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selektívne napodobuje účinok novoobjavených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biosyntetizovaných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substancií nazývaných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prostamidy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. Avšak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prostamidové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receptory neboli ešte doteraz štrukturálne identifikované. </w:t>
      </w:r>
    </w:p>
    <w:p w:rsidR="00D3717A" w:rsidRPr="00F143F2" w:rsidRDefault="00D3717A" w:rsidP="00D37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</w:p>
    <w:p w:rsidR="00D3717A" w:rsidRPr="00F143F2" w:rsidRDefault="00D3717A" w:rsidP="00D37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  <w:r w:rsidRPr="00F143F2">
        <w:rPr>
          <w:rFonts w:eastAsia="Calibri"/>
          <w:color w:val="000000"/>
          <w:szCs w:val="22"/>
          <w:lang w:val="sk-SK" w:eastAsia="sk-SK"/>
        </w:rPr>
        <w:t xml:space="preserve">V priebehu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12-mesačnej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monoterapie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s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bimatoprostom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0,3 mg/ml u dospelých pacientov je v porovnaní s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timololom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podstatná zmena v rannej základnej hodnote (08:00)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vnútroočného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tlaku v rozmedzí od –7,9 do –8,8 mm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Hg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. Priemerné denné hodnoty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vnútroočného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tlaku, merané pri každej návšteve po celú dobu 12 mesačnej štúdie, sa nelíšili o viac ako </w:t>
      </w:r>
      <w:smartTag w:uri="urn:schemas-microsoft-com:office:smarttags" w:element="metricconverter">
        <w:smartTagPr>
          <w:attr w:name="ProductID" w:val="1,3 mm"/>
        </w:smartTagPr>
        <w:r w:rsidRPr="00F143F2">
          <w:rPr>
            <w:rFonts w:eastAsia="Calibri"/>
            <w:color w:val="000000"/>
            <w:szCs w:val="22"/>
            <w:lang w:val="sk-SK" w:eastAsia="sk-SK"/>
          </w:rPr>
          <w:t>1,3 mm</w:t>
        </w:r>
      </w:smartTag>
      <w:r w:rsidRPr="00F143F2">
        <w:rPr>
          <w:rFonts w:eastAsia="Calibri"/>
          <w:color w:val="000000"/>
          <w:szCs w:val="22"/>
          <w:lang w:val="sk-SK" w:eastAsia="sk-SK"/>
        </w:rPr>
        <w:t xml:space="preserve">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Hg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v priebehu dňa a nikdy neboli vyššie ako </w:t>
      </w:r>
      <w:smartTag w:uri="urn:schemas-microsoft-com:office:smarttags" w:element="metricconverter">
        <w:smartTagPr>
          <w:attr w:name="ProductID" w:val="18,0 mm"/>
        </w:smartTagPr>
        <w:r w:rsidRPr="00F143F2">
          <w:rPr>
            <w:rFonts w:eastAsia="Calibri"/>
            <w:color w:val="000000"/>
            <w:szCs w:val="22"/>
            <w:lang w:val="sk-SK" w:eastAsia="sk-SK"/>
          </w:rPr>
          <w:t>18,0 mm</w:t>
        </w:r>
      </w:smartTag>
      <w:r w:rsidRPr="00F143F2">
        <w:rPr>
          <w:rFonts w:eastAsia="Calibri"/>
          <w:color w:val="000000"/>
          <w:szCs w:val="22"/>
          <w:lang w:val="sk-SK" w:eastAsia="sk-SK"/>
        </w:rPr>
        <w:t xml:space="preserve">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Hg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. </w:t>
      </w:r>
    </w:p>
    <w:p w:rsidR="00D3717A" w:rsidRPr="00F143F2" w:rsidRDefault="00D3717A" w:rsidP="00D37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</w:p>
    <w:p w:rsidR="00D3717A" w:rsidRPr="00F143F2" w:rsidRDefault="00D3717A" w:rsidP="00D37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  <w:r w:rsidRPr="00F143F2">
        <w:rPr>
          <w:rFonts w:eastAsia="Calibri"/>
          <w:color w:val="000000"/>
          <w:szCs w:val="22"/>
          <w:lang w:val="sk-SK" w:eastAsia="sk-SK"/>
        </w:rPr>
        <w:t xml:space="preserve">V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6-mesačnej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klinickej štúdii s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bimatoprostom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0,3 mg/ml oproti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latanoprostu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, štatisticky lepšia redukcia v rannej priemernej hodnote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vnútroočného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tlaku (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IOP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) (v rozmedzí od –7,6 až –8,2 mm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Hg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pre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bimatoprost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oproti –6,0 až –7,2 mm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Hg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pre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latanoprost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) bola zistená pri všetkých návštevách počas štúdie.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Hyperémia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spoj</w:t>
      </w:r>
      <w:r w:rsidR="00847043" w:rsidRPr="00F143F2">
        <w:rPr>
          <w:rFonts w:eastAsia="Calibri"/>
          <w:color w:val="000000"/>
          <w:szCs w:val="22"/>
          <w:lang w:val="sk-SK" w:eastAsia="sk-SK"/>
        </w:rPr>
        <w:t>o</w:t>
      </w:r>
      <w:r w:rsidRPr="00F143F2">
        <w:rPr>
          <w:rFonts w:eastAsia="Calibri"/>
          <w:color w:val="000000"/>
          <w:szCs w:val="22"/>
          <w:lang w:val="sk-SK" w:eastAsia="sk-SK"/>
        </w:rPr>
        <w:t xml:space="preserve">viek, rast očných rias a očný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pruritus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boli štatisticky podstatne vyššie s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bimatoprostom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ako s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latanoprostom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, akokoľvek, miery prerušenia kvôli nepriaznivým účinkom boli nízke, so žiadnou štatisticky významnou odlišnosťou. </w:t>
      </w:r>
    </w:p>
    <w:p w:rsidR="00D3717A" w:rsidRPr="00F143F2" w:rsidRDefault="00D3717A" w:rsidP="00D37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</w:p>
    <w:p w:rsidR="00D3717A" w:rsidRPr="00F143F2" w:rsidRDefault="00D3717A" w:rsidP="00D37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  <w:r w:rsidRPr="00F143F2">
        <w:rPr>
          <w:rFonts w:eastAsia="Calibri"/>
          <w:color w:val="000000"/>
          <w:szCs w:val="22"/>
          <w:lang w:val="sk-SK" w:eastAsia="sk-SK"/>
        </w:rPr>
        <w:t xml:space="preserve">V porovnaní s liečbou samotnými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betablokátormi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znížila doplnková terapia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betablokátor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plus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bimatoprost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0,3 mg/ml ranný (08:00) priemerný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vnútroočný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tlak o –6,5 až –8,1 mm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Hg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. </w:t>
      </w:r>
    </w:p>
    <w:p w:rsidR="00D3717A" w:rsidRPr="00F143F2" w:rsidRDefault="00D3717A" w:rsidP="00D37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</w:p>
    <w:p w:rsidR="00D3717A" w:rsidRPr="00F143F2" w:rsidRDefault="00D3717A" w:rsidP="00D37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  <w:r w:rsidRPr="00F143F2">
        <w:rPr>
          <w:rFonts w:eastAsia="Calibri"/>
          <w:color w:val="000000"/>
          <w:szCs w:val="22"/>
          <w:lang w:val="sk-SK" w:eastAsia="sk-SK"/>
        </w:rPr>
        <w:t xml:space="preserve">U pacientov s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glaukómom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s otvoreným uhlom, s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pseudoexfoliatívnym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a pigmentovým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glaukómom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a u pacientov s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glaukómom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s chronicky </w:t>
      </w:r>
      <w:r w:rsidR="00E12A74" w:rsidRPr="00F143F2">
        <w:rPr>
          <w:szCs w:val="22"/>
          <w:lang w:val="sk-SK"/>
        </w:rPr>
        <w:t>zatvoreným</w:t>
      </w:r>
      <w:r w:rsidR="00E12A74" w:rsidRPr="00F143F2" w:rsidDel="00E12A74">
        <w:rPr>
          <w:rFonts w:eastAsia="Calibri"/>
          <w:color w:val="000000"/>
          <w:szCs w:val="22"/>
          <w:lang w:val="sk-SK" w:eastAsia="sk-SK"/>
        </w:rPr>
        <w:t xml:space="preserve"> </w:t>
      </w:r>
      <w:r w:rsidRPr="00F143F2">
        <w:rPr>
          <w:rFonts w:eastAsia="Calibri"/>
          <w:color w:val="000000"/>
          <w:szCs w:val="22"/>
          <w:lang w:val="sk-SK" w:eastAsia="sk-SK"/>
        </w:rPr>
        <w:t xml:space="preserve">uhlom s uskutočnenou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iridotómiou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sú obmedzené skúsenosti. </w:t>
      </w:r>
    </w:p>
    <w:p w:rsidR="00D3717A" w:rsidRPr="00F143F2" w:rsidRDefault="00D3717A" w:rsidP="00D37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</w:p>
    <w:p w:rsidR="00D96C10" w:rsidRPr="00F143F2" w:rsidRDefault="00D3717A" w:rsidP="00D37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  <w:r w:rsidRPr="00F143F2">
        <w:rPr>
          <w:rFonts w:eastAsia="Calibri"/>
          <w:color w:val="000000"/>
          <w:szCs w:val="22"/>
          <w:lang w:val="sk-SK" w:eastAsia="sk-SK"/>
        </w:rPr>
        <w:t>V priebehu klinických štúdií sa nepozoroval žiadny klinicky relevantný účinok na srdcovú frekvenciu a krvný tlak.</w:t>
      </w:r>
    </w:p>
    <w:p w:rsidR="00D3717A" w:rsidRPr="00F143F2" w:rsidRDefault="00D3717A" w:rsidP="00D37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</w:p>
    <w:p w:rsidR="00D3717A" w:rsidRPr="00F143F2" w:rsidRDefault="00D3717A" w:rsidP="00D37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u w:val="single"/>
          <w:lang w:val="sk-SK" w:eastAsia="sk-SK"/>
        </w:rPr>
      </w:pPr>
      <w:r w:rsidRPr="00F143F2">
        <w:rPr>
          <w:rFonts w:eastAsia="Calibri"/>
          <w:color w:val="000000"/>
          <w:szCs w:val="22"/>
          <w:u w:val="single"/>
          <w:lang w:val="sk-SK" w:eastAsia="sk-SK"/>
        </w:rPr>
        <w:t>Pediatrická populácia</w:t>
      </w:r>
    </w:p>
    <w:p w:rsidR="00D3717A" w:rsidRPr="00F143F2" w:rsidRDefault="00D3717A" w:rsidP="00D37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143F2">
        <w:rPr>
          <w:szCs w:val="22"/>
          <w:lang w:val="sk-SK"/>
        </w:rPr>
        <w:t xml:space="preserve">Bezpečnosť a účinnosť </w:t>
      </w:r>
      <w:proofErr w:type="spellStart"/>
      <w:r w:rsidR="0082492E" w:rsidRPr="00F143F2">
        <w:rPr>
          <w:szCs w:val="22"/>
          <w:lang w:val="sk-SK"/>
        </w:rPr>
        <w:t>bimatoprostu</w:t>
      </w:r>
      <w:proofErr w:type="spellEnd"/>
      <w:r w:rsidRPr="00F143F2">
        <w:rPr>
          <w:szCs w:val="22"/>
          <w:lang w:val="sk-SK"/>
        </w:rPr>
        <w:t xml:space="preserve"> u detí vo veku 0 až 18 rokov neboli doteraz stanovené.</w:t>
      </w:r>
    </w:p>
    <w:p w:rsidR="00D3717A" w:rsidRPr="00F143F2" w:rsidRDefault="00D3717A" w:rsidP="00D37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F143F2">
        <w:rPr>
          <w:rFonts w:eastAsia="TimesNewRoman,Bold"/>
          <w:b/>
          <w:bCs/>
          <w:szCs w:val="22"/>
          <w:lang w:val="sk-SK" w:eastAsia="sk-SK"/>
        </w:rPr>
        <w:t>5.2</w:t>
      </w:r>
      <w:r w:rsidRPr="00F143F2">
        <w:rPr>
          <w:rFonts w:eastAsia="TimesNewRoman,Bold"/>
          <w:b/>
          <w:bCs/>
          <w:szCs w:val="22"/>
          <w:lang w:val="sk-SK" w:eastAsia="sk-SK"/>
        </w:rPr>
        <w:tab/>
      </w:r>
      <w:proofErr w:type="spellStart"/>
      <w:r w:rsidR="003C309A" w:rsidRPr="00F143F2">
        <w:rPr>
          <w:rFonts w:eastAsia="TimesNewRoman,Bold"/>
          <w:b/>
          <w:bCs/>
          <w:szCs w:val="22"/>
          <w:lang w:val="sk-SK" w:eastAsia="sk-SK"/>
        </w:rPr>
        <w:t>Farmakokinetické</w:t>
      </w:r>
      <w:proofErr w:type="spellEnd"/>
      <w:r w:rsidR="003C309A" w:rsidRPr="00F143F2">
        <w:rPr>
          <w:rFonts w:eastAsia="TimesNewRoman,Bold"/>
          <w:b/>
          <w:bCs/>
          <w:szCs w:val="22"/>
          <w:lang w:val="sk-SK" w:eastAsia="sk-SK"/>
        </w:rPr>
        <w:t xml:space="preserve"> vlastnosti</w:t>
      </w:r>
    </w:p>
    <w:p w:rsidR="00D96C10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D3717A" w:rsidRPr="00F143F2" w:rsidRDefault="00D3717A" w:rsidP="00D37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  <w:r w:rsidRPr="00F143F2">
        <w:rPr>
          <w:rFonts w:eastAsia="Calibri"/>
          <w:color w:val="000000"/>
          <w:szCs w:val="22"/>
          <w:u w:val="single"/>
          <w:lang w:val="sk-SK" w:eastAsia="sk-SK"/>
        </w:rPr>
        <w:t xml:space="preserve">Absorpcia </w:t>
      </w:r>
    </w:p>
    <w:p w:rsidR="00D3717A" w:rsidRPr="00F143F2" w:rsidRDefault="00D3717A" w:rsidP="00D37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Bimatoprost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</w:t>
      </w:r>
      <w:r w:rsidRPr="00F143F2">
        <w:rPr>
          <w:rFonts w:eastAsia="Calibri"/>
          <w:i/>
          <w:iCs/>
          <w:color w:val="000000"/>
          <w:szCs w:val="22"/>
          <w:lang w:val="sk-SK" w:eastAsia="sk-SK"/>
        </w:rPr>
        <w:t xml:space="preserve">in </w:t>
      </w:r>
      <w:proofErr w:type="spellStart"/>
      <w:r w:rsidRPr="00F143F2">
        <w:rPr>
          <w:rFonts w:eastAsia="Calibri"/>
          <w:i/>
          <w:iCs/>
          <w:color w:val="000000"/>
          <w:szCs w:val="22"/>
          <w:lang w:val="sk-SK" w:eastAsia="sk-SK"/>
        </w:rPr>
        <w:t>vitro</w:t>
      </w:r>
      <w:proofErr w:type="spellEnd"/>
      <w:r w:rsidRPr="00F143F2">
        <w:rPr>
          <w:rFonts w:eastAsia="Calibri"/>
          <w:i/>
          <w:iCs/>
          <w:color w:val="000000"/>
          <w:szCs w:val="22"/>
          <w:lang w:val="sk-SK" w:eastAsia="sk-SK"/>
        </w:rPr>
        <w:t xml:space="preserve"> </w:t>
      </w:r>
      <w:r w:rsidRPr="00F143F2">
        <w:rPr>
          <w:rFonts w:eastAsia="Calibri"/>
          <w:color w:val="000000"/>
          <w:szCs w:val="22"/>
          <w:lang w:val="sk-SK" w:eastAsia="sk-SK"/>
        </w:rPr>
        <w:t xml:space="preserve">veľmi dobre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penetruje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cez ľudskú rohovku a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skléru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. Po očnom podaní u ľudí je systémová expozícia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bimatoprostu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veľmi nízka bez akumulácie v priebehu podávania. Pri podávaní jedenkrát denne po jednej kvapke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bimatoprost</w:t>
      </w:r>
      <w:r w:rsidR="007519C6" w:rsidRPr="00F143F2">
        <w:rPr>
          <w:rFonts w:eastAsia="Calibri"/>
          <w:color w:val="000000"/>
          <w:szCs w:val="22"/>
          <w:lang w:val="sk-SK" w:eastAsia="sk-SK"/>
        </w:rPr>
        <w:t>u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0,3 mg/ml do oboch očí počas dvoch týždňov sa dosahuje vrcholová koncentrácia v krvi v priebehu 10 minút po podaní a následné zníženie na najnižšiu detekovateľnú hodnotu (0,025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ng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/ml) v priebehu 1,5 hodiny po aplikácii. Priemerné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Cmax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a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AUC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0-24hod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. hodnoty boli </w:t>
      </w:r>
      <w:smartTag w:uri="urn:schemas-microsoft-com:office:smarttags" w:element="metricconverter">
        <w:smartTagPr>
          <w:attr w:name="ProductID" w:val="7. a"/>
        </w:smartTagPr>
        <w:r w:rsidRPr="00F143F2">
          <w:rPr>
            <w:rFonts w:eastAsia="Calibri"/>
            <w:color w:val="000000"/>
            <w:szCs w:val="22"/>
            <w:lang w:val="sk-SK" w:eastAsia="sk-SK"/>
          </w:rPr>
          <w:t>7. a</w:t>
        </w:r>
      </w:smartTag>
      <w:r w:rsidRPr="00F143F2">
        <w:rPr>
          <w:rFonts w:eastAsia="Calibri"/>
          <w:color w:val="000000"/>
          <w:szCs w:val="22"/>
          <w:lang w:val="sk-SK" w:eastAsia="sk-SK"/>
        </w:rPr>
        <w:t xml:space="preserve"> 14. deň podobné, približne 0,08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ng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/ml (7. deň) a 0,09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ng•hod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/ml (14. deň), čo ukazuje, že rovnovážny stav koncentrácie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bimatoprostu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sa dosiahol v priebehu prvého týždňa podávania</w:t>
      </w:r>
      <w:r w:rsidR="0052685F" w:rsidRPr="00F143F2">
        <w:rPr>
          <w:rFonts w:eastAsia="Calibri"/>
          <w:color w:val="000000"/>
          <w:szCs w:val="22"/>
          <w:lang w:val="sk-SK" w:eastAsia="sk-SK"/>
        </w:rPr>
        <w:t xml:space="preserve"> do oka</w:t>
      </w:r>
      <w:r w:rsidRPr="00F143F2">
        <w:rPr>
          <w:rFonts w:eastAsia="Calibri"/>
          <w:color w:val="000000"/>
          <w:szCs w:val="22"/>
          <w:lang w:val="sk-SK" w:eastAsia="sk-SK"/>
        </w:rPr>
        <w:t xml:space="preserve">. </w:t>
      </w:r>
    </w:p>
    <w:p w:rsidR="00D3717A" w:rsidRPr="00F143F2" w:rsidRDefault="00D3717A" w:rsidP="00D37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</w:p>
    <w:p w:rsidR="00D3717A" w:rsidRPr="00F143F2" w:rsidRDefault="00D3717A" w:rsidP="00D37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  <w:r w:rsidRPr="00F143F2">
        <w:rPr>
          <w:rFonts w:eastAsia="Calibri"/>
          <w:color w:val="000000"/>
          <w:szCs w:val="22"/>
          <w:u w:val="single"/>
          <w:lang w:val="sk-SK" w:eastAsia="sk-SK"/>
        </w:rPr>
        <w:t xml:space="preserve">Distribúcia </w:t>
      </w:r>
    </w:p>
    <w:p w:rsidR="00D3717A" w:rsidRPr="00F143F2" w:rsidRDefault="00D3717A" w:rsidP="00D37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Bimatoprost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je mierne distribuovaný do telesných tkanív a systémový distribučný objem bol v rovnovážnom stave 0,67 l/kg. V ľudskej krvi zostáva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bimatoprost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predovšetkým v plazme. Väzba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bimatoprostu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na plazmatické bielkoviny je približne 88 %. </w:t>
      </w:r>
    </w:p>
    <w:p w:rsidR="00D3717A" w:rsidRPr="00F143F2" w:rsidRDefault="00D3717A" w:rsidP="00D37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</w:p>
    <w:p w:rsidR="00D3717A" w:rsidRPr="00F143F2" w:rsidRDefault="00D3717A" w:rsidP="00D37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  <w:proofErr w:type="spellStart"/>
      <w:r w:rsidRPr="00F143F2">
        <w:rPr>
          <w:rFonts w:eastAsia="Calibri"/>
          <w:color w:val="000000"/>
          <w:szCs w:val="22"/>
          <w:u w:val="single"/>
          <w:lang w:val="sk-SK" w:eastAsia="sk-SK"/>
        </w:rPr>
        <w:t>Biotransformácia</w:t>
      </w:r>
      <w:proofErr w:type="spellEnd"/>
      <w:r w:rsidRPr="00F143F2">
        <w:rPr>
          <w:rFonts w:eastAsia="Calibri"/>
          <w:color w:val="000000"/>
          <w:szCs w:val="22"/>
          <w:u w:val="single"/>
          <w:lang w:val="sk-SK" w:eastAsia="sk-SK"/>
        </w:rPr>
        <w:t xml:space="preserve"> </w:t>
      </w:r>
    </w:p>
    <w:p w:rsidR="00D3717A" w:rsidRPr="00F143F2" w:rsidRDefault="00D3717A" w:rsidP="00D37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Akonáhle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sa po očnom podaní dosiahne systémová cirkulácia, je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bimatoprost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hlavnou cirkulujúcou časťou v krvi.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Bimatoprost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podlieha oxidácii,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N-deetylácii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a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glukoronidácii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a vytvára rôzne druhy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metabolitov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. </w:t>
      </w:r>
    </w:p>
    <w:p w:rsidR="00D3717A" w:rsidRPr="00F143F2" w:rsidRDefault="00D3717A" w:rsidP="00D37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</w:p>
    <w:p w:rsidR="00D3717A" w:rsidRPr="00F143F2" w:rsidRDefault="00D3717A" w:rsidP="004F5B39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u w:val="single"/>
          <w:lang w:val="sk-SK" w:eastAsia="sk-SK"/>
        </w:rPr>
      </w:pPr>
      <w:r w:rsidRPr="00F143F2">
        <w:rPr>
          <w:rFonts w:eastAsia="Calibri"/>
          <w:color w:val="000000"/>
          <w:szCs w:val="22"/>
          <w:u w:val="single"/>
          <w:lang w:val="sk-SK" w:eastAsia="sk-SK"/>
        </w:rPr>
        <w:t>Eliminácia</w:t>
      </w:r>
    </w:p>
    <w:p w:rsidR="00D3717A" w:rsidRPr="00F143F2" w:rsidRDefault="00D3717A" w:rsidP="004F5B39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Bimatoprost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je primárne eliminovaný obličkami, viac ako 67 % z intravenóznej dávky podanej zdravým dospelým dobrovoľníkom sa vylúčilo močom, 25 % sa vylúčilo stolicou. Polčas eliminácie určený po intravenóznom podaní bol približne 45 minút. Celkový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klírens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v krvi bol 1,5 l/hod/kg. </w:t>
      </w:r>
    </w:p>
    <w:p w:rsidR="00D3717A" w:rsidRPr="00F143F2" w:rsidRDefault="00D3717A" w:rsidP="00D37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:rsidR="00D3717A" w:rsidRPr="00F143F2" w:rsidRDefault="00D3717A" w:rsidP="00D37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  <w:proofErr w:type="spellStart"/>
      <w:r w:rsidRPr="00F143F2">
        <w:rPr>
          <w:szCs w:val="22"/>
          <w:u w:val="single"/>
        </w:rPr>
        <w:t>Charakteristiky</w:t>
      </w:r>
      <w:proofErr w:type="spellEnd"/>
      <w:r w:rsidRPr="00F143F2">
        <w:rPr>
          <w:szCs w:val="22"/>
          <w:u w:val="single"/>
        </w:rPr>
        <w:t xml:space="preserve"> u </w:t>
      </w:r>
      <w:proofErr w:type="spellStart"/>
      <w:r w:rsidRPr="00F143F2">
        <w:rPr>
          <w:szCs w:val="22"/>
          <w:u w:val="single"/>
        </w:rPr>
        <w:t>starších</w:t>
      </w:r>
      <w:proofErr w:type="spellEnd"/>
      <w:r w:rsidRPr="00F143F2">
        <w:rPr>
          <w:szCs w:val="22"/>
          <w:u w:val="single"/>
        </w:rPr>
        <w:t xml:space="preserve"> </w:t>
      </w:r>
      <w:proofErr w:type="spellStart"/>
      <w:r w:rsidRPr="00F143F2">
        <w:rPr>
          <w:szCs w:val="22"/>
          <w:u w:val="single"/>
        </w:rPr>
        <w:t>pacientov</w:t>
      </w:r>
      <w:proofErr w:type="spellEnd"/>
    </w:p>
    <w:p w:rsidR="0054284A" w:rsidRPr="00F143F2" w:rsidRDefault="00D3717A" w:rsidP="00D37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F143F2">
        <w:rPr>
          <w:rFonts w:eastAsia="Calibri"/>
          <w:color w:val="000000"/>
          <w:szCs w:val="22"/>
          <w:lang w:val="sk-SK" w:eastAsia="sk-SK"/>
        </w:rPr>
        <w:t xml:space="preserve">U starších pacientov (65 rokov alebo starší) pri dávkovaní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bimatoprost</w:t>
      </w:r>
      <w:r w:rsidR="00FF151A" w:rsidRPr="00F143F2">
        <w:rPr>
          <w:rFonts w:eastAsia="Calibri"/>
          <w:color w:val="000000"/>
          <w:szCs w:val="22"/>
          <w:lang w:val="sk-SK" w:eastAsia="sk-SK"/>
        </w:rPr>
        <w:t>u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0,3 mg/ml dvakrát denne bola priemerná hodnota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AUC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0-24hod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0,0634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ng•hod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/ml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bimatoprostu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, čo je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signifikantne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viac ako 0,0218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lastRenderedPageBreak/>
        <w:t>ng•hod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/ml u mladých zdravých dospelých osôb. Avšak toto zistenie nie je klinicky relevantné, pretože systémová expozícia starších i mladších osôb je pri očnom podávaní veľmi nízka. Kumulácia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bimatoprostu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v krvi v priebehu doby používania nie je známa a bezpečnostný profil pre starších i mladých pacientov je podobný.</w:t>
      </w:r>
    </w:p>
    <w:p w:rsidR="00D96C10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F143F2">
        <w:rPr>
          <w:rFonts w:eastAsia="TimesNewRoman,Bold"/>
          <w:b/>
          <w:bCs/>
          <w:szCs w:val="22"/>
          <w:lang w:val="sk-SK" w:eastAsia="sk-SK"/>
        </w:rPr>
        <w:t>5.3</w:t>
      </w:r>
      <w:r w:rsidRPr="00F143F2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F143F2">
        <w:rPr>
          <w:rFonts w:eastAsia="TimesNewRoman,Bold"/>
          <w:b/>
          <w:bCs/>
          <w:szCs w:val="22"/>
          <w:lang w:val="sk-SK" w:eastAsia="sk-SK"/>
        </w:rPr>
        <w:t>Predklinické údaje o bezpečnosti</w:t>
      </w:r>
    </w:p>
    <w:p w:rsidR="00D96C10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D3717A" w:rsidRPr="00F143F2" w:rsidRDefault="00D3717A" w:rsidP="00D37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  <w:r w:rsidRPr="00F143F2">
        <w:rPr>
          <w:rFonts w:eastAsia="Calibri"/>
          <w:color w:val="000000"/>
          <w:szCs w:val="22"/>
          <w:lang w:val="sk-SK" w:eastAsia="sk-SK"/>
        </w:rPr>
        <w:t xml:space="preserve">Predklinické účinky sa pozorovali iba pri expozíciách považovaných za dostatočne vyššie, než je maximálna dávka u ľudí, čo poukazuje na malý význam týchto zistení pre klinické použitie. </w:t>
      </w:r>
    </w:p>
    <w:p w:rsidR="00284AAD" w:rsidRPr="00F143F2" w:rsidRDefault="00284AAD" w:rsidP="00D37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</w:p>
    <w:p w:rsidR="00D3717A" w:rsidRPr="00F143F2" w:rsidRDefault="00D3717A" w:rsidP="00D37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  <w:r w:rsidRPr="00F143F2">
        <w:rPr>
          <w:rFonts w:eastAsia="Calibri"/>
          <w:color w:val="000000"/>
          <w:szCs w:val="22"/>
          <w:lang w:val="sk-SK" w:eastAsia="sk-SK"/>
        </w:rPr>
        <w:t xml:space="preserve">Očné podávanie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bimatoprostu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opiciam v koncentrácii ≥ 0,3 mg/ml denne počas jedného roka </w:t>
      </w:r>
    </w:p>
    <w:p w:rsidR="00D3717A" w:rsidRPr="00F143F2" w:rsidRDefault="00D3717A" w:rsidP="00D37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  <w:r w:rsidRPr="00F143F2">
        <w:rPr>
          <w:rFonts w:eastAsia="Calibri"/>
          <w:color w:val="000000"/>
          <w:szCs w:val="22"/>
          <w:lang w:val="sk-SK" w:eastAsia="sk-SK"/>
        </w:rPr>
        <w:t xml:space="preserve">spôsobilo zvýšenie pigmentácie dúhovky a reverzibilný, od dávky závislý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periokulárny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efekt charakterizovaný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prominujúcou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hornou a/alebo dolnou ryhou a rozšírením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palpebrálnej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štrbiny. Zdá sa, že zvýšenie pigmentácie dúhovky je spôsobené zvýšenou stimuláciou produkcie melanínu v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melanocytoch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, a nie zvýšením počtu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melanocytov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. Žiadne funkčné ani mikroskopické zmeny vo vzťahu k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periokulárnemu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efektu neboli pozorované, mechanizmus účinku vzniku </w:t>
      </w: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periokulárnych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zmien nie je známy. </w:t>
      </w:r>
    </w:p>
    <w:p w:rsidR="00284AAD" w:rsidRPr="00F143F2" w:rsidRDefault="00284AAD" w:rsidP="00D37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</w:p>
    <w:p w:rsidR="003C309A" w:rsidRPr="00F143F2" w:rsidRDefault="00D3717A" w:rsidP="00D37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sk-SK" w:eastAsia="sk-SK"/>
        </w:rPr>
      </w:pP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Bimatoprost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nebol v sérii </w:t>
      </w:r>
      <w:r w:rsidRPr="00F143F2">
        <w:rPr>
          <w:rFonts w:eastAsia="Calibri"/>
          <w:i/>
          <w:iCs/>
          <w:color w:val="000000"/>
          <w:szCs w:val="22"/>
          <w:lang w:val="sk-SK" w:eastAsia="sk-SK"/>
        </w:rPr>
        <w:t xml:space="preserve">in </w:t>
      </w:r>
      <w:proofErr w:type="spellStart"/>
      <w:r w:rsidRPr="00F143F2">
        <w:rPr>
          <w:rFonts w:eastAsia="Calibri"/>
          <w:i/>
          <w:iCs/>
          <w:color w:val="000000"/>
          <w:szCs w:val="22"/>
          <w:lang w:val="sk-SK" w:eastAsia="sk-SK"/>
        </w:rPr>
        <w:t>vitro</w:t>
      </w:r>
      <w:proofErr w:type="spellEnd"/>
      <w:r w:rsidRPr="00F143F2">
        <w:rPr>
          <w:rFonts w:eastAsia="Calibri"/>
          <w:i/>
          <w:iCs/>
          <w:color w:val="000000"/>
          <w:szCs w:val="22"/>
          <w:lang w:val="sk-SK" w:eastAsia="sk-SK"/>
        </w:rPr>
        <w:t xml:space="preserve"> </w:t>
      </w:r>
      <w:r w:rsidRPr="00F143F2">
        <w:rPr>
          <w:rFonts w:eastAsia="Calibri"/>
          <w:color w:val="000000"/>
          <w:szCs w:val="22"/>
          <w:lang w:val="sk-SK" w:eastAsia="sk-SK"/>
        </w:rPr>
        <w:t xml:space="preserve">a </w:t>
      </w:r>
      <w:r w:rsidRPr="00F143F2">
        <w:rPr>
          <w:rFonts w:eastAsia="Calibri"/>
          <w:i/>
          <w:iCs/>
          <w:color w:val="000000"/>
          <w:szCs w:val="22"/>
          <w:lang w:val="sk-SK" w:eastAsia="sk-SK"/>
        </w:rPr>
        <w:t xml:space="preserve">in </w:t>
      </w:r>
      <w:proofErr w:type="spellStart"/>
      <w:r w:rsidRPr="00F143F2">
        <w:rPr>
          <w:rFonts w:eastAsia="Calibri"/>
          <w:i/>
          <w:iCs/>
          <w:color w:val="000000"/>
          <w:szCs w:val="22"/>
          <w:lang w:val="sk-SK" w:eastAsia="sk-SK"/>
        </w:rPr>
        <w:t>vivo</w:t>
      </w:r>
      <w:proofErr w:type="spellEnd"/>
      <w:r w:rsidRPr="00F143F2">
        <w:rPr>
          <w:rFonts w:eastAsia="Calibri"/>
          <w:i/>
          <w:iCs/>
          <w:color w:val="000000"/>
          <w:szCs w:val="22"/>
          <w:lang w:val="sk-SK" w:eastAsia="sk-SK"/>
        </w:rPr>
        <w:t xml:space="preserve"> </w:t>
      </w:r>
      <w:r w:rsidRPr="00F143F2">
        <w:rPr>
          <w:rFonts w:eastAsia="Calibri"/>
          <w:color w:val="000000"/>
          <w:szCs w:val="22"/>
          <w:lang w:val="sk-SK" w:eastAsia="sk-SK"/>
        </w:rPr>
        <w:t>štúdií mutagénny ani karcinogénny.</w:t>
      </w:r>
    </w:p>
    <w:p w:rsidR="00DB0CD5" w:rsidRPr="00F143F2" w:rsidRDefault="00DB0CD5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sk-SK" w:eastAsia="sk-SK"/>
        </w:rPr>
      </w:pPr>
    </w:p>
    <w:p w:rsidR="00284AAD" w:rsidRPr="00F143F2" w:rsidRDefault="00284AAD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proofErr w:type="spellStart"/>
      <w:r w:rsidRPr="00F143F2">
        <w:rPr>
          <w:szCs w:val="22"/>
          <w:lang w:val="sk-SK"/>
        </w:rPr>
        <w:t>Bimatoprost</w:t>
      </w:r>
      <w:proofErr w:type="spellEnd"/>
      <w:r w:rsidRPr="00F143F2">
        <w:rPr>
          <w:szCs w:val="22"/>
          <w:lang w:val="sk-SK"/>
        </w:rPr>
        <w:t xml:space="preserve"> </w:t>
      </w:r>
      <w:r w:rsidR="002F4079" w:rsidRPr="00F143F2">
        <w:rPr>
          <w:szCs w:val="22"/>
          <w:lang w:val="sk-SK"/>
        </w:rPr>
        <w:t xml:space="preserve">neovplyvňoval </w:t>
      </w:r>
      <w:proofErr w:type="spellStart"/>
      <w:r w:rsidR="002F4079" w:rsidRPr="00F143F2">
        <w:rPr>
          <w:szCs w:val="22"/>
          <w:lang w:val="sk-SK"/>
        </w:rPr>
        <w:t>fertilitu</w:t>
      </w:r>
      <w:proofErr w:type="spellEnd"/>
      <w:r w:rsidR="002F4079" w:rsidRPr="00F143F2" w:rsidDel="002F4079">
        <w:rPr>
          <w:szCs w:val="22"/>
          <w:lang w:val="sk-SK"/>
        </w:rPr>
        <w:t xml:space="preserve"> </w:t>
      </w:r>
      <w:r w:rsidRPr="00F143F2">
        <w:rPr>
          <w:szCs w:val="22"/>
          <w:lang w:val="sk-SK"/>
        </w:rPr>
        <w:t>u potkanov až do dávky 0,6 mg/kg/deň (najmenej 103 násobok predpokladanej humánnej expozície). V embryo/</w:t>
      </w:r>
      <w:proofErr w:type="spellStart"/>
      <w:r w:rsidRPr="00F143F2">
        <w:rPr>
          <w:szCs w:val="22"/>
          <w:lang w:val="sk-SK"/>
        </w:rPr>
        <w:t>fetálnej</w:t>
      </w:r>
      <w:proofErr w:type="spellEnd"/>
      <w:r w:rsidRPr="00F143F2">
        <w:rPr>
          <w:szCs w:val="22"/>
          <w:lang w:val="sk-SK"/>
        </w:rPr>
        <w:t xml:space="preserve"> vývojovej štúdii abortov nebol ale pozorovaný účinok na vývin myší ani potkanov pri dávkach, ktoré boli najmenej </w:t>
      </w:r>
      <w:proofErr w:type="spellStart"/>
      <w:r w:rsidRPr="00F143F2">
        <w:rPr>
          <w:szCs w:val="22"/>
          <w:lang w:val="sk-SK"/>
        </w:rPr>
        <w:t>860-krát</w:t>
      </w:r>
      <w:proofErr w:type="spellEnd"/>
      <w:r w:rsidRPr="00F143F2">
        <w:rPr>
          <w:szCs w:val="22"/>
          <w:lang w:val="sk-SK"/>
        </w:rPr>
        <w:t xml:space="preserve"> </w:t>
      </w:r>
      <w:r w:rsidR="00AC2326" w:rsidRPr="00F143F2">
        <w:rPr>
          <w:szCs w:val="22"/>
          <w:lang w:val="sk-SK"/>
        </w:rPr>
        <w:t>alebo</w:t>
      </w:r>
      <w:r w:rsidRPr="00F143F2">
        <w:rPr>
          <w:szCs w:val="22"/>
          <w:lang w:val="sk-SK"/>
        </w:rPr>
        <w:t xml:space="preserve"> </w:t>
      </w:r>
      <w:proofErr w:type="spellStart"/>
      <w:r w:rsidRPr="00F143F2">
        <w:rPr>
          <w:szCs w:val="22"/>
          <w:lang w:val="sk-SK"/>
        </w:rPr>
        <w:t>1700-krát</w:t>
      </w:r>
      <w:proofErr w:type="spellEnd"/>
      <w:r w:rsidRPr="00F143F2">
        <w:rPr>
          <w:szCs w:val="22"/>
          <w:lang w:val="sk-SK"/>
        </w:rPr>
        <w:t xml:space="preserve"> vyššie ako humánne</w:t>
      </w:r>
      <w:r w:rsidR="00AC2326" w:rsidRPr="00F143F2">
        <w:rPr>
          <w:szCs w:val="22"/>
          <w:lang w:val="sk-SK"/>
        </w:rPr>
        <w:t>, v uvedenom poradí</w:t>
      </w:r>
      <w:r w:rsidRPr="00F143F2">
        <w:rPr>
          <w:szCs w:val="22"/>
          <w:lang w:val="sk-SK"/>
        </w:rPr>
        <w:t xml:space="preserve">. Tieto dávky boli výsledne pri systémovej expozícii dávkami najmenej 33 alebo </w:t>
      </w:r>
      <w:proofErr w:type="spellStart"/>
      <w:r w:rsidRPr="00F143F2">
        <w:rPr>
          <w:szCs w:val="22"/>
          <w:lang w:val="sk-SK"/>
        </w:rPr>
        <w:t>97-krát</w:t>
      </w:r>
      <w:proofErr w:type="spellEnd"/>
      <w:r w:rsidRPr="00F143F2">
        <w:rPr>
          <w:szCs w:val="22"/>
          <w:lang w:val="sk-SK"/>
        </w:rPr>
        <w:t xml:space="preserve"> vyššími ako dávky určené pre človeka. V </w:t>
      </w:r>
      <w:proofErr w:type="spellStart"/>
      <w:r w:rsidRPr="00F143F2">
        <w:rPr>
          <w:szCs w:val="22"/>
          <w:lang w:val="sk-SK"/>
        </w:rPr>
        <w:t>peri</w:t>
      </w:r>
      <w:proofErr w:type="spellEnd"/>
      <w:r w:rsidRPr="00F143F2">
        <w:rPr>
          <w:szCs w:val="22"/>
          <w:lang w:val="sk-SK"/>
        </w:rPr>
        <w:t>/</w:t>
      </w:r>
      <w:proofErr w:type="spellStart"/>
      <w:r w:rsidRPr="00F143F2">
        <w:rPr>
          <w:szCs w:val="22"/>
          <w:lang w:val="sk-SK"/>
        </w:rPr>
        <w:t>postnatálnych</w:t>
      </w:r>
      <w:proofErr w:type="spellEnd"/>
      <w:r w:rsidRPr="00F143F2">
        <w:rPr>
          <w:szCs w:val="22"/>
          <w:lang w:val="sk-SK"/>
        </w:rPr>
        <w:t xml:space="preserve"> štúdiách u potkanov spôsobila materská toxicita redukciu </w:t>
      </w:r>
      <w:proofErr w:type="spellStart"/>
      <w:r w:rsidRPr="00F143F2">
        <w:rPr>
          <w:szCs w:val="22"/>
          <w:lang w:val="sk-SK"/>
        </w:rPr>
        <w:t>gestačného</w:t>
      </w:r>
      <w:proofErr w:type="spellEnd"/>
      <w:r w:rsidRPr="00F143F2">
        <w:rPr>
          <w:szCs w:val="22"/>
          <w:lang w:val="sk-SK"/>
        </w:rPr>
        <w:t xml:space="preserve"> času, </w:t>
      </w:r>
      <w:proofErr w:type="spellStart"/>
      <w:r w:rsidRPr="00F143F2">
        <w:rPr>
          <w:szCs w:val="22"/>
          <w:lang w:val="sk-SK"/>
        </w:rPr>
        <w:t>fetálnu</w:t>
      </w:r>
      <w:proofErr w:type="spellEnd"/>
      <w:r w:rsidRPr="00F143F2">
        <w:rPr>
          <w:szCs w:val="22"/>
          <w:lang w:val="sk-SK"/>
        </w:rPr>
        <w:t xml:space="preserve"> smrť a zníženie telesnej hmotnosti mláďat o ≥ 0,3 mg/kg/deň (najmenej </w:t>
      </w:r>
      <w:proofErr w:type="spellStart"/>
      <w:r w:rsidRPr="00F143F2">
        <w:rPr>
          <w:szCs w:val="22"/>
          <w:lang w:val="sk-SK"/>
        </w:rPr>
        <w:t>41-krát</w:t>
      </w:r>
      <w:proofErr w:type="spellEnd"/>
      <w:r w:rsidRPr="00F143F2">
        <w:rPr>
          <w:szCs w:val="22"/>
          <w:lang w:val="sk-SK"/>
        </w:rPr>
        <w:t xml:space="preserve"> vyššia ako predpokladaná humánna expozícia). </w:t>
      </w:r>
      <w:proofErr w:type="spellStart"/>
      <w:proofErr w:type="gramStart"/>
      <w:r w:rsidRPr="00F143F2">
        <w:rPr>
          <w:szCs w:val="22"/>
        </w:rPr>
        <w:t>Neurobehaviorálne</w:t>
      </w:r>
      <w:proofErr w:type="spellEnd"/>
      <w:r w:rsidRPr="00F143F2">
        <w:rPr>
          <w:szCs w:val="22"/>
        </w:rPr>
        <w:t xml:space="preserve"> </w:t>
      </w:r>
      <w:proofErr w:type="spellStart"/>
      <w:r w:rsidRPr="00F143F2">
        <w:rPr>
          <w:szCs w:val="22"/>
        </w:rPr>
        <w:t>funkcie</w:t>
      </w:r>
      <w:proofErr w:type="spellEnd"/>
      <w:r w:rsidRPr="00F143F2">
        <w:rPr>
          <w:szCs w:val="22"/>
        </w:rPr>
        <w:t xml:space="preserve"> </w:t>
      </w:r>
      <w:proofErr w:type="spellStart"/>
      <w:r w:rsidRPr="00F143F2">
        <w:rPr>
          <w:szCs w:val="22"/>
        </w:rPr>
        <w:t>potomkov</w:t>
      </w:r>
      <w:proofErr w:type="spellEnd"/>
      <w:r w:rsidRPr="00F143F2">
        <w:rPr>
          <w:szCs w:val="22"/>
        </w:rPr>
        <w:t xml:space="preserve"> </w:t>
      </w:r>
      <w:proofErr w:type="spellStart"/>
      <w:r w:rsidRPr="00F143F2">
        <w:rPr>
          <w:szCs w:val="22"/>
        </w:rPr>
        <w:t>neboli</w:t>
      </w:r>
      <w:proofErr w:type="spellEnd"/>
      <w:r w:rsidRPr="00F143F2">
        <w:rPr>
          <w:szCs w:val="22"/>
        </w:rPr>
        <w:t xml:space="preserve"> </w:t>
      </w:r>
      <w:proofErr w:type="spellStart"/>
      <w:r w:rsidRPr="00F143F2">
        <w:rPr>
          <w:szCs w:val="22"/>
        </w:rPr>
        <w:t>postihnuté</w:t>
      </w:r>
      <w:proofErr w:type="spellEnd"/>
      <w:r w:rsidRPr="00F143F2">
        <w:rPr>
          <w:szCs w:val="22"/>
        </w:rPr>
        <w:t>.</w:t>
      </w:r>
      <w:proofErr w:type="gramEnd"/>
    </w:p>
    <w:p w:rsidR="00284AAD" w:rsidRPr="00F143F2" w:rsidRDefault="00284AAD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sk-SK" w:eastAsia="sk-SK"/>
        </w:rPr>
      </w:pPr>
    </w:p>
    <w:p w:rsidR="00C534F3" w:rsidRPr="00F143F2" w:rsidRDefault="00C534F3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sk-SK" w:eastAsia="sk-SK"/>
        </w:rPr>
      </w:pPr>
    </w:p>
    <w:p w:rsidR="003C309A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F143F2">
        <w:rPr>
          <w:rFonts w:eastAsia="TimesNewRoman,Bold"/>
          <w:b/>
          <w:bCs/>
          <w:szCs w:val="22"/>
          <w:lang w:val="sk-SK" w:eastAsia="sk-SK"/>
        </w:rPr>
        <w:t>6.</w:t>
      </w:r>
      <w:r w:rsidRPr="00F143F2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F143F2">
        <w:rPr>
          <w:rFonts w:eastAsia="TimesNewRoman,Bold"/>
          <w:b/>
          <w:bCs/>
          <w:szCs w:val="22"/>
          <w:lang w:val="sk-SK" w:eastAsia="sk-SK"/>
        </w:rPr>
        <w:t>FARMACEUTICKÉ INFORMÁCIE</w:t>
      </w:r>
    </w:p>
    <w:p w:rsidR="00D96C10" w:rsidRPr="00F143F2" w:rsidRDefault="00D96C10" w:rsidP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F143F2" w:rsidRDefault="00D96C10" w:rsidP="00D96C1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F143F2">
        <w:rPr>
          <w:rFonts w:eastAsia="TimesNewRoman,Bold"/>
          <w:b/>
          <w:bCs/>
          <w:szCs w:val="22"/>
          <w:lang w:val="sk-SK" w:eastAsia="sk-SK"/>
        </w:rPr>
        <w:t>6.1</w:t>
      </w:r>
      <w:r w:rsidRPr="00F143F2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F143F2">
        <w:rPr>
          <w:rFonts w:eastAsia="TimesNewRoman,Bold"/>
          <w:b/>
          <w:bCs/>
          <w:szCs w:val="22"/>
          <w:lang w:val="sk-SK" w:eastAsia="sk-SK"/>
        </w:rPr>
        <w:t>Zoznam pomocných látok</w:t>
      </w:r>
    </w:p>
    <w:p w:rsidR="00D96C10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284AAD" w:rsidRPr="00F143F2" w:rsidRDefault="004375DE" w:rsidP="00284AA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Dodeka</w:t>
      </w:r>
      <w:r w:rsidR="00284AAD" w:rsidRPr="00F143F2">
        <w:rPr>
          <w:rFonts w:eastAsia="Calibri"/>
          <w:color w:val="000000"/>
          <w:szCs w:val="22"/>
          <w:lang w:val="sk-SK" w:eastAsia="sk-SK"/>
        </w:rPr>
        <w:t>hydrát</w:t>
      </w:r>
      <w:proofErr w:type="spellEnd"/>
      <w:r w:rsidR="00284AAD" w:rsidRPr="00F143F2">
        <w:rPr>
          <w:rFonts w:eastAsia="Calibri"/>
          <w:color w:val="000000"/>
          <w:szCs w:val="22"/>
          <w:lang w:val="sk-SK" w:eastAsia="sk-SK"/>
        </w:rPr>
        <w:t xml:space="preserve"> </w:t>
      </w:r>
      <w:proofErr w:type="spellStart"/>
      <w:r w:rsidR="00284AAD" w:rsidRPr="00F143F2">
        <w:rPr>
          <w:rFonts w:eastAsia="Calibri"/>
          <w:color w:val="000000"/>
          <w:szCs w:val="22"/>
          <w:lang w:val="sk-SK" w:eastAsia="sk-SK"/>
        </w:rPr>
        <w:t>hydrogenfosforečnanu</w:t>
      </w:r>
      <w:proofErr w:type="spellEnd"/>
      <w:r w:rsidR="00284AAD" w:rsidRPr="00F143F2">
        <w:rPr>
          <w:rFonts w:eastAsia="Calibri"/>
          <w:color w:val="000000"/>
          <w:szCs w:val="22"/>
          <w:lang w:val="sk-SK" w:eastAsia="sk-SK"/>
        </w:rPr>
        <w:t xml:space="preserve"> sodného </w:t>
      </w:r>
    </w:p>
    <w:p w:rsidR="00284AAD" w:rsidRPr="00F143F2" w:rsidRDefault="00284AAD" w:rsidP="00284AA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Monohydrát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kyseliny citrónovej </w:t>
      </w:r>
    </w:p>
    <w:p w:rsidR="00284AAD" w:rsidRPr="00F143F2" w:rsidRDefault="00284AAD" w:rsidP="00284AA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  <w:r w:rsidRPr="00F143F2">
        <w:rPr>
          <w:rFonts w:eastAsia="Calibri"/>
          <w:color w:val="000000"/>
          <w:szCs w:val="22"/>
          <w:lang w:val="sk-SK" w:eastAsia="sk-SK"/>
        </w:rPr>
        <w:t xml:space="preserve">Chlorid sodný </w:t>
      </w:r>
    </w:p>
    <w:p w:rsidR="00284AAD" w:rsidRPr="00F143F2" w:rsidRDefault="00284AAD" w:rsidP="00284AA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  <w:proofErr w:type="spellStart"/>
      <w:r w:rsidRPr="00F143F2">
        <w:rPr>
          <w:rFonts w:eastAsia="Calibri"/>
          <w:color w:val="000000"/>
          <w:szCs w:val="22"/>
          <w:lang w:val="sk-SK" w:eastAsia="sk-SK"/>
        </w:rPr>
        <w:t>Benzalkóniumchlorid</w:t>
      </w:r>
      <w:proofErr w:type="spellEnd"/>
      <w:r w:rsidRPr="00F143F2">
        <w:rPr>
          <w:rFonts w:eastAsia="Calibri"/>
          <w:color w:val="000000"/>
          <w:szCs w:val="22"/>
          <w:lang w:val="sk-SK" w:eastAsia="sk-SK"/>
        </w:rPr>
        <w:t xml:space="preserve"> </w:t>
      </w:r>
    </w:p>
    <w:p w:rsidR="00284AAD" w:rsidRPr="00F143F2" w:rsidRDefault="00284AAD" w:rsidP="00284AA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  <w:r w:rsidRPr="00F143F2">
        <w:rPr>
          <w:rFonts w:eastAsia="Calibri"/>
          <w:color w:val="000000"/>
          <w:szCs w:val="22"/>
          <w:lang w:val="sk-SK" w:eastAsia="sk-SK"/>
        </w:rPr>
        <w:t xml:space="preserve">Kyselina chlorovodíková a/alebo hydroxid sodný (na úpravu pH) </w:t>
      </w:r>
    </w:p>
    <w:p w:rsidR="00D96C10" w:rsidRPr="00F143F2" w:rsidRDefault="00284AAD" w:rsidP="00284AA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  <w:r w:rsidRPr="00F143F2">
        <w:rPr>
          <w:rFonts w:eastAsia="Calibri"/>
          <w:color w:val="000000"/>
          <w:szCs w:val="22"/>
          <w:lang w:val="sk-SK" w:eastAsia="sk-SK"/>
        </w:rPr>
        <w:t>Čistená voda</w:t>
      </w:r>
    </w:p>
    <w:p w:rsidR="00284AAD" w:rsidRPr="00F143F2" w:rsidRDefault="00284AAD" w:rsidP="00284AA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F143F2">
        <w:rPr>
          <w:rFonts w:eastAsia="TimesNewRoman,Bold"/>
          <w:b/>
          <w:bCs/>
          <w:szCs w:val="22"/>
          <w:lang w:val="sk-SK" w:eastAsia="sk-SK"/>
        </w:rPr>
        <w:t>6.2</w:t>
      </w:r>
      <w:r w:rsidRPr="00F143F2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F143F2">
        <w:rPr>
          <w:rFonts w:eastAsia="TimesNewRoman,Bold"/>
          <w:b/>
          <w:bCs/>
          <w:szCs w:val="22"/>
          <w:lang w:val="sk-SK" w:eastAsia="sk-SK"/>
        </w:rPr>
        <w:t>Inkompatibility</w:t>
      </w:r>
    </w:p>
    <w:p w:rsidR="00D96C10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F143F2" w:rsidRDefault="003C309A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F143F2">
        <w:rPr>
          <w:rFonts w:eastAsia="TimesNewRoman"/>
          <w:szCs w:val="22"/>
          <w:lang w:val="sk-SK" w:eastAsia="sk-SK"/>
        </w:rPr>
        <w:t>Neaplikovateľné.</w:t>
      </w:r>
    </w:p>
    <w:p w:rsidR="00D96C10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F143F2">
        <w:rPr>
          <w:rFonts w:eastAsia="TimesNewRoman,Bold"/>
          <w:b/>
          <w:bCs/>
          <w:szCs w:val="22"/>
          <w:lang w:val="sk-SK" w:eastAsia="sk-SK"/>
        </w:rPr>
        <w:t>6.3</w:t>
      </w:r>
      <w:r w:rsidRPr="00F143F2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F143F2">
        <w:rPr>
          <w:rFonts w:eastAsia="TimesNewRoman,Bold"/>
          <w:b/>
          <w:bCs/>
          <w:szCs w:val="22"/>
          <w:lang w:val="sk-SK" w:eastAsia="sk-SK"/>
        </w:rPr>
        <w:t>Čas použiteľnosti</w:t>
      </w:r>
    </w:p>
    <w:p w:rsidR="00D96C10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F143F2" w:rsidRDefault="0082492E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F143F2">
        <w:rPr>
          <w:rFonts w:eastAsia="TimesNewRoman"/>
          <w:szCs w:val="22"/>
          <w:lang w:val="sk-SK" w:eastAsia="sk-SK"/>
        </w:rPr>
        <w:t>2 roky</w:t>
      </w:r>
    </w:p>
    <w:p w:rsidR="0054284A" w:rsidRPr="00F143F2" w:rsidRDefault="0054284A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F143F2" w:rsidRDefault="00284AAD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F143F2">
        <w:rPr>
          <w:rFonts w:eastAsia="TimesNewRoman"/>
          <w:szCs w:val="22"/>
          <w:lang w:val="sk-SK" w:eastAsia="sk-SK"/>
        </w:rPr>
        <w:t>Spotrebovať do 4 týždňov</w:t>
      </w:r>
      <w:r w:rsidR="003C309A" w:rsidRPr="00F143F2">
        <w:rPr>
          <w:rFonts w:eastAsia="TimesNewRoman"/>
          <w:szCs w:val="22"/>
          <w:lang w:val="sk-SK" w:eastAsia="sk-SK"/>
        </w:rPr>
        <w:t xml:space="preserve"> po prvom otvorení.</w:t>
      </w:r>
    </w:p>
    <w:p w:rsidR="00D96C10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F143F2">
        <w:rPr>
          <w:rFonts w:eastAsia="TimesNewRoman,Bold"/>
          <w:b/>
          <w:bCs/>
          <w:szCs w:val="22"/>
          <w:lang w:val="sk-SK" w:eastAsia="sk-SK"/>
        </w:rPr>
        <w:t>6.4</w:t>
      </w:r>
      <w:r w:rsidRPr="00F143F2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F143F2">
        <w:rPr>
          <w:rFonts w:eastAsia="TimesNewRoman,Bold"/>
          <w:b/>
          <w:bCs/>
          <w:szCs w:val="22"/>
          <w:lang w:val="sk-SK" w:eastAsia="sk-SK"/>
        </w:rPr>
        <w:t>Špeciálne upozornenia na uchovávanie</w:t>
      </w:r>
    </w:p>
    <w:p w:rsidR="00D96C10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F143F2" w:rsidRDefault="003C309A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F143F2">
        <w:rPr>
          <w:rFonts w:eastAsia="TimesNewRoman"/>
          <w:szCs w:val="22"/>
          <w:lang w:val="sk-SK" w:eastAsia="sk-SK"/>
        </w:rPr>
        <w:t>Tento liek nevyžaduje žiadne špeciálne podmienky na uchovávanie.</w:t>
      </w:r>
    </w:p>
    <w:p w:rsidR="00D96C10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F143F2" w:rsidRDefault="00D96C10" w:rsidP="004F5B39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F143F2">
        <w:rPr>
          <w:rFonts w:eastAsia="TimesNewRoman,Bold"/>
          <w:b/>
          <w:bCs/>
          <w:szCs w:val="22"/>
          <w:lang w:val="sk-SK" w:eastAsia="sk-SK"/>
        </w:rPr>
        <w:lastRenderedPageBreak/>
        <w:t>6.5</w:t>
      </w:r>
      <w:r w:rsidRPr="00F143F2">
        <w:rPr>
          <w:rFonts w:eastAsia="TimesNewRoman,Bold"/>
          <w:b/>
          <w:bCs/>
          <w:szCs w:val="22"/>
          <w:lang w:val="sk-SK" w:eastAsia="sk-SK"/>
        </w:rPr>
        <w:tab/>
      </w:r>
      <w:bookmarkStart w:id="0" w:name="_GoBack"/>
      <w:r w:rsidR="003C309A" w:rsidRPr="00F143F2">
        <w:rPr>
          <w:rFonts w:eastAsia="TimesNewRoman,Bold"/>
          <w:b/>
          <w:bCs/>
          <w:szCs w:val="22"/>
          <w:lang w:val="sk-SK" w:eastAsia="sk-SK"/>
        </w:rPr>
        <w:t>Druh obalu a obsah balenia</w:t>
      </w:r>
    </w:p>
    <w:p w:rsidR="00D96C10" w:rsidRPr="00F143F2" w:rsidRDefault="00D96C10" w:rsidP="004F5B39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D96C10" w:rsidRPr="00F143F2" w:rsidRDefault="00284AAD" w:rsidP="004F5B39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F143F2">
        <w:rPr>
          <w:rFonts w:eastAsia="TimesNewRoman"/>
          <w:szCs w:val="22"/>
          <w:lang w:val="sk-SK" w:eastAsia="sk-SK"/>
        </w:rPr>
        <w:t xml:space="preserve">Biela nepriehľadná </w:t>
      </w:r>
      <w:bookmarkEnd w:id="0"/>
      <w:r w:rsidRPr="00F143F2">
        <w:rPr>
          <w:rFonts w:eastAsia="TimesNewRoman"/>
          <w:szCs w:val="22"/>
          <w:lang w:val="sk-SK" w:eastAsia="sk-SK"/>
        </w:rPr>
        <w:t xml:space="preserve">fľaštička </w:t>
      </w:r>
      <w:r w:rsidR="003C309A" w:rsidRPr="00F143F2">
        <w:rPr>
          <w:rFonts w:eastAsia="TimesNewRoman"/>
          <w:szCs w:val="22"/>
          <w:lang w:val="sk-SK" w:eastAsia="sk-SK"/>
        </w:rPr>
        <w:t>z polyetylénu s nízkou špecifickou hustotou, s</w:t>
      </w:r>
      <w:r w:rsidR="0054284A" w:rsidRPr="00F143F2">
        <w:rPr>
          <w:rFonts w:eastAsia="TimesNewRoman"/>
          <w:szCs w:val="22"/>
          <w:lang w:val="sk-SK" w:eastAsia="sk-SK"/>
        </w:rPr>
        <w:t xml:space="preserve"> bielym </w:t>
      </w:r>
      <w:r w:rsidRPr="00F143F2">
        <w:rPr>
          <w:rFonts w:eastAsia="TimesNewRoman"/>
          <w:szCs w:val="22"/>
          <w:lang w:val="sk-SK" w:eastAsia="sk-SK"/>
        </w:rPr>
        <w:t xml:space="preserve">nepriehľadným </w:t>
      </w:r>
      <w:r w:rsidR="0054284A" w:rsidRPr="00F143F2">
        <w:rPr>
          <w:rFonts w:eastAsia="TimesNewRoman"/>
          <w:szCs w:val="22"/>
          <w:lang w:val="sk-SK" w:eastAsia="sk-SK"/>
        </w:rPr>
        <w:t xml:space="preserve">kvapkadlom </w:t>
      </w:r>
      <w:r w:rsidRPr="00F143F2">
        <w:rPr>
          <w:rFonts w:eastAsia="TimesNewRoman"/>
          <w:szCs w:val="22"/>
          <w:lang w:val="sk-SK" w:eastAsia="sk-SK"/>
        </w:rPr>
        <w:t xml:space="preserve">z polyetylénu s nízkou špecifickou hustotou </w:t>
      </w:r>
      <w:r w:rsidR="0054284A" w:rsidRPr="00F143F2">
        <w:rPr>
          <w:rFonts w:eastAsia="TimesNewRoman"/>
          <w:szCs w:val="22"/>
          <w:lang w:val="sk-SK" w:eastAsia="sk-SK"/>
        </w:rPr>
        <w:t>a</w:t>
      </w:r>
      <w:r w:rsidRPr="00F143F2">
        <w:rPr>
          <w:rFonts w:eastAsia="TimesNewRoman"/>
          <w:szCs w:val="22"/>
          <w:lang w:val="sk-SK" w:eastAsia="sk-SK"/>
        </w:rPr>
        <w:t xml:space="preserve"> bielym nepriehľadným </w:t>
      </w:r>
      <w:proofErr w:type="spellStart"/>
      <w:r w:rsidR="0054284A" w:rsidRPr="00F143F2">
        <w:rPr>
          <w:rFonts w:eastAsia="TimesNewRoman"/>
          <w:szCs w:val="22"/>
          <w:lang w:val="sk-SK" w:eastAsia="sk-SK"/>
        </w:rPr>
        <w:t>skrutkovacím</w:t>
      </w:r>
      <w:proofErr w:type="spellEnd"/>
      <w:r w:rsidR="0054284A" w:rsidRPr="00F143F2">
        <w:rPr>
          <w:rFonts w:eastAsia="TimesNewRoman"/>
          <w:szCs w:val="22"/>
          <w:lang w:val="sk-SK" w:eastAsia="sk-SK"/>
        </w:rPr>
        <w:t xml:space="preserve"> uzáverom</w:t>
      </w:r>
      <w:r w:rsidRPr="00F143F2">
        <w:rPr>
          <w:rFonts w:eastAsia="TimesNewRoman"/>
          <w:szCs w:val="22"/>
          <w:lang w:val="sk-SK" w:eastAsia="sk-SK"/>
        </w:rPr>
        <w:t xml:space="preserve"> z polyetylénu z vysokou špecifickou hustotou</w:t>
      </w:r>
      <w:r w:rsidR="0054284A" w:rsidRPr="00F143F2">
        <w:rPr>
          <w:rFonts w:eastAsia="TimesNewRoman"/>
          <w:szCs w:val="22"/>
          <w:lang w:val="sk-SK" w:eastAsia="sk-SK"/>
        </w:rPr>
        <w:t xml:space="preserve">. </w:t>
      </w:r>
      <w:r w:rsidR="00A754B9" w:rsidRPr="00F143F2">
        <w:rPr>
          <w:szCs w:val="22"/>
          <w:lang w:val="sk-SK"/>
        </w:rPr>
        <w:t>Každá fľaštička obsahuje 3 mililitre roztoku.</w:t>
      </w:r>
    </w:p>
    <w:p w:rsidR="00284AAD" w:rsidRPr="00F143F2" w:rsidRDefault="00284AAD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093212" w:rsidRPr="00F143F2" w:rsidRDefault="00284AAD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F143F2">
        <w:rPr>
          <w:rFonts w:eastAsia="TimesNewRoman"/>
          <w:szCs w:val="22"/>
          <w:lang w:val="sk-SK" w:eastAsia="sk-SK"/>
        </w:rPr>
        <w:t>Balenie obsahuje</w:t>
      </w:r>
      <w:r w:rsidR="0054284A" w:rsidRPr="00F143F2">
        <w:rPr>
          <w:rFonts w:eastAsia="TimesNewRoman"/>
          <w:szCs w:val="22"/>
          <w:lang w:val="sk-SK" w:eastAsia="sk-SK"/>
        </w:rPr>
        <w:t xml:space="preserve"> 1</w:t>
      </w:r>
      <w:r w:rsidRPr="00F143F2">
        <w:rPr>
          <w:rFonts w:eastAsia="TimesNewRoman"/>
          <w:szCs w:val="22"/>
          <w:lang w:val="sk-SK" w:eastAsia="sk-SK"/>
        </w:rPr>
        <w:t xml:space="preserve">, 3 alebo </w:t>
      </w:r>
      <w:r w:rsidR="004375DE" w:rsidRPr="00F143F2">
        <w:rPr>
          <w:rFonts w:eastAsia="TimesNewRoman"/>
          <w:szCs w:val="22"/>
          <w:lang w:val="sk-SK" w:eastAsia="sk-SK"/>
        </w:rPr>
        <w:t xml:space="preserve">6 </w:t>
      </w:r>
      <w:r w:rsidRPr="00F143F2">
        <w:rPr>
          <w:rFonts w:eastAsia="TimesNewRoman"/>
          <w:szCs w:val="22"/>
          <w:lang w:val="sk-SK" w:eastAsia="sk-SK"/>
        </w:rPr>
        <w:t>fľaštičiek</w:t>
      </w:r>
      <w:r w:rsidR="003C309A" w:rsidRPr="00F143F2">
        <w:rPr>
          <w:rFonts w:eastAsia="TimesNewRoman"/>
          <w:szCs w:val="22"/>
          <w:lang w:val="sk-SK" w:eastAsia="sk-SK"/>
        </w:rPr>
        <w:t>.</w:t>
      </w:r>
    </w:p>
    <w:p w:rsidR="00093212" w:rsidRPr="00F143F2" w:rsidRDefault="0009321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D96C10" w:rsidRPr="00F143F2" w:rsidRDefault="0009321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F143F2">
        <w:rPr>
          <w:rFonts w:eastAsia="TimesNewRoman"/>
          <w:szCs w:val="22"/>
          <w:lang w:val="sk-SK" w:eastAsia="sk-SK"/>
        </w:rPr>
        <w:t>Na trh nemusia byť uvedené všetky veľkosti balenia.</w:t>
      </w:r>
      <w:r w:rsidR="003C309A" w:rsidRPr="00F143F2">
        <w:rPr>
          <w:rFonts w:eastAsia="TimesNewRoman"/>
          <w:szCs w:val="22"/>
          <w:lang w:val="sk-SK" w:eastAsia="sk-SK"/>
        </w:rPr>
        <w:t xml:space="preserve"> </w:t>
      </w:r>
    </w:p>
    <w:p w:rsidR="00D96C10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F143F2">
        <w:rPr>
          <w:rFonts w:eastAsia="TimesNewRoman,Bold"/>
          <w:b/>
          <w:bCs/>
          <w:szCs w:val="22"/>
          <w:lang w:val="sk-SK" w:eastAsia="sk-SK"/>
        </w:rPr>
        <w:t>6.6</w:t>
      </w:r>
      <w:r w:rsidRPr="00F143F2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F143F2">
        <w:rPr>
          <w:rFonts w:eastAsia="TimesNewRoman,Bold"/>
          <w:b/>
          <w:bCs/>
          <w:szCs w:val="22"/>
          <w:lang w:val="sk-SK" w:eastAsia="sk-SK"/>
        </w:rPr>
        <w:t>Špeciálne opatrenia na likvidáciu</w:t>
      </w:r>
    </w:p>
    <w:p w:rsidR="00D96C10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F143F2" w:rsidRDefault="003C309A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F143F2">
        <w:rPr>
          <w:rFonts w:eastAsia="TimesNewRoman"/>
          <w:szCs w:val="22"/>
          <w:lang w:val="sk-SK" w:eastAsia="sk-SK"/>
        </w:rPr>
        <w:t>Žiadne zvláštne požiadavky.</w:t>
      </w:r>
    </w:p>
    <w:p w:rsidR="00D96C10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093212" w:rsidRPr="00F143F2" w:rsidRDefault="00220E4C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Cs/>
          <w:szCs w:val="22"/>
          <w:lang w:val="sk-SK" w:eastAsia="sk-SK"/>
        </w:rPr>
      </w:pPr>
      <w:proofErr w:type="spellStart"/>
      <w:r w:rsidRPr="00CC2146">
        <w:rPr>
          <w:szCs w:val="22"/>
        </w:rPr>
        <w:t>Všetok</w:t>
      </w:r>
      <w:proofErr w:type="spellEnd"/>
      <w:r w:rsidRPr="00CC2146">
        <w:rPr>
          <w:szCs w:val="22"/>
        </w:rPr>
        <w:t xml:space="preserve"> </w:t>
      </w:r>
      <w:proofErr w:type="spellStart"/>
      <w:r w:rsidRPr="00CC2146">
        <w:rPr>
          <w:szCs w:val="22"/>
        </w:rPr>
        <w:t>nepoužitý</w:t>
      </w:r>
      <w:proofErr w:type="spellEnd"/>
      <w:r w:rsidRPr="00CC2146">
        <w:rPr>
          <w:szCs w:val="22"/>
        </w:rPr>
        <w:t xml:space="preserve"> </w:t>
      </w:r>
      <w:proofErr w:type="spellStart"/>
      <w:r w:rsidRPr="00CC2146">
        <w:rPr>
          <w:szCs w:val="22"/>
        </w:rPr>
        <w:t>liek</w:t>
      </w:r>
      <w:proofErr w:type="spellEnd"/>
      <w:r w:rsidRPr="00CC2146">
        <w:rPr>
          <w:szCs w:val="22"/>
        </w:rPr>
        <w:t xml:space="preserve"> </w:t>
      </w:r>
      <w:proofErr w:type="spellStart"/>
      <w:r w:rsidRPr="00CC2146">
        <w:rPr>
          <w:szCs w:val="22"/>
        </w:rPr>
        <w:t>alebo</w:t>
      </w:r>
      <w:proofErr w:type="spellEnd"/>
      <w:r w:rsidRPr="00CC2146">
        <w:rPr>
          <w:szCs w:val="22"/>
        </w:rPr>
        <w:t xml:space="preserve"> </w:t>
      </w:r>
      <w:proofErr w:type="spellStart"/>
      <w:r w:rsidRPr="00CC2146">
        <w:rPr>
          <w:szCs w:val="22"/>
        </w:rPr>
        <w:t>odpad</w:t>
      </w:r>
      <w:proofErr w:type="spellEnd"/>
      <w:r w:rsidRPr="00CC2146">
        <w:rPr>
          <w:szCs w:val="22"/>
        </w:rPr>
        <w:t xml:space="preserve"> </w:t>
      </w:r>
      <w:proofErr w:type="spellStart"/>
      <w:r w:rsidRPr="00CC2146">
        <w:rPr>
          <w:szCs w:val="22"/>
        </w:rPr>
        <w:t>vzniknutý</w:t>
      </w:r>
      <w:proofErr w:type="spellEnd"/>
      <w:r w:rsidRPr="00CC2146">
        <w:rPr>
          <w:szCs w:val="22"/>
        </w:rPr>
        <w:t xml:space="preserve"> z </w:t>
      </w:r>
      <w:proofErr w:type="spellStart"/>
      <w:r w:rsidRPr="00CC2146">
        <w:rPr>
          <w:szCs w:val="22"/>
        </w:rPr>
        <w:t>lieku</w:t>
      </w:r>
      <w:proofErr w:type="spellEnd"/>
      <w:r w:rsidRPr="00CC2146">
        <w:rPr>
          <w:szCs w:val="22"/>
        </w:rPr>
        <w:t xml:space="preserve"> </w:t>
      </w:r>
      <w:proofErr w:type="spellStart"/>
      <w:proofErr w:type="gramStart"/>
      <w:r w:rsidRPr="00CC2146">
        <w:rPr>
          <w:szCs w:val="22"/>
        </w:rPr>
        <w:t>sa</w:t>
      </w:r>
      <w:proofErr w:type="spellEnd"/>
      <w:proofErr w:type="gramEnd"/>
      <w:r w:rsidRPr="00CC2146">
        <w:rPr>
          <w:szCs w:val="22"/>
        </w:rPr>
        <w:t xml:space="preserve"> </w:t>
      </w:r>
      <w:proofErr w:type="spellStart"/>
      <w:r w:rsidRPr="00CC2146">
        <w:rPr>
          <w:szCs w:val="22"/>
        </w:rPr>
        <w:t>má</w:t>
      </w:r>
      <w:proofErr w:type="spellEnd"/>
      <w:r w:rsidRPr="00CC2146">
        <w:rPr>
          <w:szCs w:val="22"/>
        </w:rPr>
        <w:t xml:space="preserve"> </w:t>
      </w:r>
      <w:proofErr w:type="spellStart"/>
      <w:r w:rsidRPr="00CC2146">
        <w:rPr>
          <w:szCs w:val="22"/>
        </w:rPr>
        <w:t>zlikvidovať</w:t>
      </w:r>
      <w:proofErr w:type="spellEnd"/>
      <w:r w:rsidRPr="00CC2146">
        <w:rPr>
          <w:szCs w:val="22"/>
        </w:rPr>
        <w:t xml:space="preserve"> v </w:t>
      </w:r>
      <w:proofErr w:type="spellStart"/>
      <w:r w:rsidRPr="00CC2146">
        <w:rPr>
          <w:szCs w:val="22"/>
        </w:rPr>
        <w:t>súlade</w:t>
      </w:r>
      <w:proofErr w:type="spellEnd"/>
      <w:r w:rsidRPr="00CC2146">
        <w:rPr>
          <w:szCs w:val="22"/>
        </w:rPr>
        <w:t xml:space="preserve"> s </w:t>
      </w:r>
      <w:proofErr w:type="spellStart"/>
      <w:r w:rsidRPr="00CC2146">
        <w:rPr>
          <w:szCs w:val="22"/>
        </w:rPr>
        <w:t>národnými</w:t>
      </w:r>
      <w:proofErr w:type="spellEnd"/>
      <w:r w:rsidRPr="00CC2146">
        <w:rPr>
          <w:szCs w:val="22"/>
        </w:rPr>
        <w:t xml:space="preserve"> </w:t>
      </w:r>
      <w:proofErr w:type="spellStart"/>
      <w:r w:rsidRPr="00CC2146">
        <w:rPr>
          <w:szCs w:val="22"/>
        </w:rPr>
        <w:t>požiadavkami</w:t>
      </w:r>
      <w:proofErr w:type="spellEnd"/>
      <w:r w:rsidR="00093212" w:rsidRPr="00F143F2">
        <w:rPr>
          <w:rFonts w:eastAsia="TimesNewRoman,Bold"/>
          <w:bCs/>
          <w:szCs w:val="22"/>
          <w:lang w:val="sk-SK" w:eastAsia="sk-SK"/>
        </w:rPr>
        <w:t>.</w:t>
      </w:r>
    </w:p>
    <w:p w:rsidR="00DB0CD5" w:rsidRPr="00F143F2" w:rsidRDefault="00DB0CD5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C534F3" w:rsidRPr="00F143F2" w:rsidRDefault="00C534F3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F143F2">
        <w:rPr>
          <w:rFonts w:eastAsia="TimesNewRoman,Bold"/>
          <w:b/>
          <w:bCs/>
          <w:szCs w:val="22"/>
          <w:lang w:val="sk-SK" w:eastAsia="sk-SK"/>
        </w:rPr>
        <w:t>7.</w:t>
      </w:r>
      <w:r w:rsidRPr="00F143F2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F143F2">
        <w:rPr>
          <w:rFonts w:eastAsia="TimesNewRoman,Bold"/>
          <w:b/>
          <w:bCs/>
          <w:szCs w:val="22"/>
          <w:lang w:val="sk-SK" w:eastAsia="sk-SK"/>
        </w:rPr>
        <w:t>DRŽITEĽ ROZHODNUTIA O REGISTRÁCII</w:t>
      </w:r>
    </w:p>
    <w:p w:rsidR="00D96C10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D96C10" w:rsidRPr="00F143F2" w:rsidRDefault="00D96C10" w:rsidP="00D96C10">
      <w:pPr>
        <w:tabs>
          <w:tab w:val="left" w:pos="540"/>
        </w:tabs>
        <w:rPr>
          <w:szCs w:val="22"/>
        </w:rPr>
      </w:pPr>
      <w:proofErr w:type="spellStart"/>
      <w:r w:rsidRPr="00F143F2">
        <w:rPr>
          <w:szCs w:val="22"/>
          <w:lang w:val="sk-SK"/>
        </w:rPr>
        <w:t>Pharmaceutical</w:t>
      </w:r>
      <w:proofErr w:type="spellEnd"/>
      <w:r w:rsidRPr="00F143F2">
        <w:rPr>
          <w:szCs w:val="22"/>
          <w:lang w:val="sk-SK"/>
        </w:rPr>
        <w:t xml:space="preserve"> Works </w:t>
      </w:r>
      <w:proofErr w:type="spellStart"/>
      <w:r w:rsidRPr="00F143F2">
        <w:rPr>
          <w:szCs w:val="22"/>
        </w:rPr>
        <w:t>POLPHARMA</w:t>
      </w:r>
      <w:proofErr w:type="spellEnd"/>
      <w:r w:rsidRPr="00F143F2">
        <w:rPr>
          <w:szCs w:val="22"/>
        </w:rPr>
        <w:t xml:space="preserve"> SA</w:t>
      </w:r>
    </w:p>
    <w:p w:rsidR="00D96C10" w:rsidRPr="00F143F2" w:rsidRDefault="00D96C10" w:rsidP="00D96C10">
      <w:pPr>
        <w:tabs>
          <w:tab w:val="left" w:pos="540"/>
        </w:tabs>
        <w:rPr>
          <w:szCs w:val="22"/>
        </w:rPr>
      </w:pPr>
      <w:r w:rsidRPr="00F143F2">
        <w:rPr>
          <w:szCs w:val="22"/>
        </w:rPr>
        <w:t xml:space="preserve">19 </w:t>
      </w:r>
      <w:proofErr w:type="spellStart"/>
      <w:r w:rsidRPr="00F143F2">
        <w:rPr>
          <w:szCs w:val="22"/>
        </w:rPr>
        <w:t>Pelplińska</w:t>
      </w:r>
      <w:proofErr w:type="spellEnd"/>
      <w:r w:rsidRPr="00F143F2">
        <w:rPr>
          <w:szCs w:val="22"/>
        </w:rPr>
        <w:t xml:space="preserve"> Street, 83-200 </w:t>
      </w:r>
      <w:proofErr w:type="spellStart"/>
      <w:r w:rsidRPr="00F143F2">
        <w:rPr>
          <w:szCs w:val="22"/>
        </w:rPr>
        <w:t>Starogard</w:t>
      </w:r>
      <w:proofErr w:type="spellEnd"/>
      <w:r w:rsidRPr="00F143F2">
        <w:rPr>
          <w:szCs w:val="22"/>
        </w:rPr>
        <w:t xml:space="preserve"> </w:t>
      </w:r>
      <w:proofErr w:type="spellStart"/>
      <w:r w:rsidRPr="00F143F2">
        <w:rPr>
          <w:szCs w:val="22"/>
        </w:rPr>
        <w:t>Gdański</w:t>
      </w:r>
      <w:proofErr w:type="spellEnd"/>
      <w:r w:rsidRPr="00F143F2">
        <w:rPr>
          <w:szCs w:val="22"/>
        </w:rPr>
        <w:t xml:space="preserve">, </w:t>
      </w:r>
      <w:proofErr w:type="spellStart"/>
      <w:r w:rsidRPr="00F143F2">
        <w:rPr>
          <w:szCs w:val="22"/>
        </w:rPr>
        <w:t>Poľsko</w:t>
      </w:r>
      <w:proofErr w:type="spellEnd"/>
    </w:p>
    <w:p w:rsidR="003C309A" w:rsidRPr="00F143F2" w:rsidRDefault="003C309A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eastAsia="sk-SK"/>
        </w:rPr>
      </w:pPr>
    </w:p>
    <w:p w:rsidR="00DB0CD5" w:rsidRPr="00F143F2" w:rsidRDefault="00DB0CD5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eastAsia="sk-SK"/>
        </w:rPr>
      </w:pPr>
    </w:p>
    <w:p w:rsidR="003C309A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F143F2">
        <w:rPr>
          <w:rFonts w:eastAsia="TimesNewRoman,Bold"/>
          <w:b/>
          <w:bCs/>
          <w:szCs w:val="22"/>
          <w:lang w:val="sk-SK" w:eastAsia="sk-SK"/>
        </w:rPr>
        <w:t>8.</w:t>
      </w:r>
      <w:r w:rsidRPr="00F143F2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F143F2">
        <w:rPr>
          <w:rFonts w:eastAsia="TimesNewRoman,Bold"/>
          <w:b/>
          <w:bCs/>
          <w:szCs w:val="22"/>
          <w:lang w:val="sk-SK" w:eastAsia="sk-SK"/>
        </w:rPr>
        <w:t>REGISTRAČNÉ ČÍSLO</w:t>
      </w:r>
    </w:p>
    <w:p w:rsidR="003C309A" w:rsidRPr="00F143F2" w:rsidRDefault="003C309A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892179" w:rsidRPr="00F143F2" w:rsidRDefault="0052685F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F143F2">
        <w:rPr>
          <w:rFonts w:eastAsia="TimesNewRoman"/>
          <w:szCs w:val="22"/>
          <w:lang w:val="sk-SK" w:eastAsia="sk-SK"/>
        </w:rPr>
        <w:t>64/0029/14-S</w:t>
      </w:r>
    </w:p>
    <w:p w:rsidR="0052685F" w:rsidRPr="00F143F2" w:rsidRDefault="0052685F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DB0CD5" w:rsidRPr="00F143F2" w:rsidRDefault="00DB0CD5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F143F2">
        <w:rPr>
          <w:rFonts w:eastAsia="TimesNewRoman,Bold"/>
          <w:b/>
          <w:bCs/>
          <w:szCs w:val="22"/>
          <w:lang w:val="sk-SK" w:eastAsia="sk-SK"/>
        </w:rPr>
        <w:t>9.</w:t>
      </w:r>
      <w:r w:rsidRPr="00F143F2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F143F2">
        <w:rPr>
          <w:rFonts w:eastAsia="TimesNewRoman,Bold"/>
          <w:b/>
          <w:bCs/>
          <w:szCs w:val="22"/>
          <w:lang w:val="sk-SK" w:eastAsia="sk-SK"/>
        </w:rPr>
        <w:t>DÁTUM PRVEJ REGISTRÁCIE/ PREDĹŽENIA REGISTRÁCIE</w:t>
      </w:r>
    </w:p>
    <w:p w:rsidR="00D96C10" w:rsidRPr="00F143F2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952AC3" w:rsidRPr="00F143F2" w:rsidRDefault="00952AC3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F143F2">
        <w:rPr>
          <w:rFonts w:eastAsia="TimesNewRoman"/>
          <w:szCs w:val="22"/>
          <w:lang w:val="sk-SK" w:eastAsia="sk-SK"/>
        </w:rPr>
        <w:t>Dátum prvej registrácie:</w:t>
      </w:r>
      <w:r w:rsidR="006F201B" w:rsidRPr="00F143F2">
        <w:rPr>
          <w:rFonts w:eastAsia="TimesNewRoman"/>
          <w:szCs w:val="22"/>
          <w:lang w:val="sk-SK" w:eastAsia="sk-SK"/>
        </w:rPr>
        <w:t xml:space="preserve"> 23.</w:t>
      </w:r>
      <w:r w:rsidR="00207D5C" w:rsidRPr="00F143F2">
        <w:rPr>
          <w:rFonts w:eastAsia="TimesNewRoman"/>
          <w:szCs w:val="22"/>
          <w:lang w:val="sk-SK" w:eastAsia="sk-SK"/>
        </w:rPr>
        <w:t xml:space="preserve"> </w:t>
      </w:r>
      <w:r w:rsidR="006F201B" w:rsidRPr="00F143F2">
        <w:rPr>
          <w:rFonts w:eastAsia="TimesNewRoman"/>
          <w:szCs w:val="22"/>
          <w:lang w:val="sk-SK" w:eastAsia="sk-SK"/>
        </w:rPr>
        <w:t>januára 2014</w:t>
      </w:r>
    </w:p>
    <w:p w:rsidR="00CC2146" w:rsidRPr="00763EB3" w:rsidRDefault="00CC2146" w:rsidP="00CC2146">
      <w:pPr>
        <w:spacing w:line="240" w:lineRule="auto"/>
        <w:rPr>
          <w:szCs w:val="22"/>
        </w:rPr>
      </w:pPr>
      <w:r w:rsidRPr="00B13F68">
        <w:rPr>
          <w:noProof/>
        </w:rPr>
        <w:t>Dátum posledného predĺženia registr</w:t>
      </w:r>
      <w:r w:rsidRPr="003021DE">
        <w:rPr>
          <w:noProof/>
        </w:rPr>
        <w:t>ácie</w:t>
      </w:r>
      <w:r w:rsidRPr="00B13F68">
        <w:rPr>
          <w:noProof/>
        </w:rPr>
        <w:t>:</w:t>
      </w:r>
      <w:r>
        <w:rPr>
          <w:noProof/>
        </w:rPr>
        <w:t xml:space="preserve"> 28. júna 2018</w:t>
      </w:r>
    </w:p>
    <w:p w:rsidR="00BE16C9" w:rsidRPr="00F143F2" w:rsidRDefault="00BE16C9" w:rsidP="003C309A">
      <w:pPr>
        <w:spacing w:line="240" w:lineRule="auto"/>
        <w:rPr>
          <w:szCs w:val="22"/>
        </w:rPr>
      </w:pPr>
    </w:p>
    <w:p w:rsidR="00DB0CD5" w:rsidRPr="00F143F2" w:rsidRDefault="00DB0CD5" w:rsidP="003C309A">
      <w:pPr>
        <w:spacing w:line="240" w:lineRule="auto"/>
        <w:rPr>
          <w:szCs w:val="22"/>
        </w:rPr>
      </w:pPr>
    </w:p>
    <w:p w:rsidR="00D96C10" w:rsidRPr="00F143F2" w:rsidRDefault="00D96C10" w:rsidP="00D96C10">
      <w:pPr>
        <w:rPr>
          <w:b/>
          <w:szCs w:val="22"/>
        </w:rPr>
      </w:pPr>
      <w:r w:rsidRPr="00F143F2">
        <w:rPr>
          <w:b/>
          <w:szCs w:val="22"/>
        </w:rPr>
        <w:t>10.</w:t>
      </w:r>
      <w:r w:rsidRPr="00F143F2">
        <w:rPr>
          <w:b/>
          <w:szCs w:val="22"/>
        </w:rPr>
        <w:tab/>
      </w:r>
      <w:proofErr w:type="spellStart"/>
      <w:r w:rsidRPr="00F143F2">
        <w:rPr>
          <w:b/>
          <w:szCs w:val="22"/>
        </w:rPr>
        <w:t>DÁTUM</w:t>
      </w:r>
      <w:proofErr w:type="spellEnd"/>
      <w:r w:rsidRPr="00F143F2">
        <w:rPr>
          <w:b/>
          <w:szCs w:val="22"/>
        </w:rPr>
        <w:t xml:space="preserve"> </w:t>
      </w:r>
      <w:proofErr w:type="spellStart"/>
      <w:r w:rsidRPr="00F143F2">
        <w:rPr>
          <w:b/>
          <w:szCs w:val="22"/>
        </w:rPr>
        <w:t>REVÍZIE</w:t>
      </w:r>
      <w:proofErr w:type="spellEnd"/>
      <w:r w:rsidRPr="00F143F2">
        <w:rPr>
          <w:b/>
          <w:szCs w:val="22"/>
        </w:rPr>
        <w:t xml:space="preserve"> </w:t>
      </w:r>
      <w:proofErr w:type="spellStart"/>
      <w:r w:rsidRPr="00F143F2">
        <w:rPr>
          <w:b/>
          <w:szCs w:val="22"/>
        </w:rPr>
        <w:t>TEXTU</w:t>
      </w:r>
      <w:proofErr w:type="spellEnd"/>
    </w:p>
    <w:p w:rsidR="00D96C10" w:rsidRPr="00F143F2" w:rsidRDefault="00D96C10" w:rsidP="003C309A">
      <w:pPr>
        <w:spacing w:line="240" w:lineRule="auto"/>
        <w:rPr>
          <w:szCs w:val="22"/>
        </w:rPr>
      </w:pPr>
    </w:p>
    <w:p w:rsidR="00892179" w:rsidRPr="00F143F2" w:rsidRDefault="00220E4C" w:rsidP="003C309A">
      <w:pPr>
        <w:spacing w:line="240" w:lineRule="auto"/>
        <w:rPr>
          <w:szCs w:val="22"/>
        </w:rPr>
      </w:pPr>
      <w:r w:rsidRPr="00F143F2">
        <w:rPr>
          <w:szCs w:val="22"/>
        </w:rPr>
        <w:t>11/2018</w:t>
      </w:r>
    </w:p>
    <w:sectPr w:rsidR="00892179" w:rsidRPr="00F143F2" w:rsidSect="00991DD2">
      <w:headerReference w:type="default" r:id="rId13"/>
      <w:footerReference w:type="default" r:id="rId14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168" w:rsidRDefault="00B66168" w:rsidP="00667350">
      <w:pPr>
        <w:spacing w:line="240" w:lineRule="auto"/>
      </w:pPr>
      <w:r>
        <w:separator/>
      </w:r>
    </w:p>
  </w:endnote>
  <w:endnote w:type="continuationSeparator" w:id="0">
    <w:p w:rsidR="00B66168" w:rsidRDefault="00B66168" w:rsidP="006673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BD1" w:rsidRDefault="00C56BD1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5B39">
      <w:rPr>
        <w:noProof/>
      </w:rPr>
      <w:t>8</w:t>
    </w:r>
    <w:r>
      <w:fldChar w:fldCharType="end"/>
    </w:r>
  </w:p>
  <w:p w:rsidR="00C56BD1" w:rsidRDefault="00C56BD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168" w:rsidRDefault="00B66168" w:rsidP="00667350">
      <w:pPr>
        <w:spacing w:line="240" w:lineRule="auto"/>
      </w:pPr>
      <w:r>
        <w:separator/>
      </w:r>
    </w:p>
  </w:footnote>
  <w:footnote w:type="continuationSeparator" w:id="0">
    <w:p w:rsidR="00B66168" w:rsidRDefault="00B66168" w:rsidP="006673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D5C" w:rsidRPr="004F5B39" w:rsidRDefault="00207D5C">
    <w:pPr>
      <w:pStyle w:val="Hlavika"/>
      <w:rPr>
        <w:lang w:val="sk-SK"/>
      </w:rPr>
    </w:pPr>
    <w:r>
      <w:rPr>
        <w:lang w:val="sk-SK"/>
      </w:rPr>
      <w:t>Príloha č. 1 k notifikácii o zmene, ev. č. 2018/</w:t>
    </w:r>
    <w:proofErr w:type="spellStart"/>
    <w:r w:rsidR="00220E4C">
      <w:rPr>
        <w:lang w:val="sk-SK"/>
      </w:rPr>
      <w:t>06141-ZIB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1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zulc Filip">
    <w15:presenceInfo w15:providerId="AD" w15:userId="S-1-5-21-961251506-2497113354-3576970457-29527"/>
  </w15:person>
  <w15:person w15:author="z z">
    <w15:presenceInfo w15:providerId="Windows Live" w15:userId="c48568649115c7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4B8"/>
    <w:rsid w:val="00030505"/>
    <w:rsid w:val="00034765"/>
    <w:rsid w:val="00093212"/>
    <w:rsid w:val="000C370A"/>
    <w:rsid w:val="000D0D4C"/>
    <w:rsid w:val="00107A05"/>
    <w:rsid w:val="00111E92"/>
    <w:rsid w:val="0012691D"/>
    <w:rsid w:val="0014038B"/>
    <w:rsid w:val="00141C93"/>
    <w:rsid w:val="00144617"/>
    <w:rsid w:val="001447D6"/>
    <w:rsid w:val="00154AA0"/>
    <w:rsid w:val="001A7C26"/>
    <w:rsid w:val="001B1D93"/>
    <w:rsid w:val="001B24DC"/>
    <w:rsid w:val="001B580C"/>
    <w:rsid w:val="001C15E4"/>
    <w:rsid w:val="001C29FB"/>
    <w:rsid w:val="001D1873"/>
    <w:rsid w:val="001D6278"/>
    <w:rsid w:val="001D7B1E"/>
    <w:rsid w:val="00205214"/>
    <w:rsid w:val="00207D5C"/>
    <w:rsid w:val="00211657"/>
    <w:rsid w:val="00212733"/>
    <w:rsid w:val="00220E4C"/>
    <w:rsid w:val="00235D3C"/>
    <w:rsid w:val="00245347"/>
    <w:rsid w:val="00284AAD"/>
    <w:rsid w:val="002C79B1"/>
    <w:rsid w:val="002E66C3"/>
    <w:rsid w:val="002F299C"/>
    <w:rsid w:val="002F4079"/>
    <w:rsid w:val="00317B2F"/>
    <w:rsid w:val="003226A6"/>
    <w:rsid w:val="003236F9"/>
    <w:rsid w:val="0038533A"/>
    <w:rsid w:val="00391D91"/>
    <w:rsid w:val="003934BA"/>
    <w:rsid w:val="003935AE"/>
    <w:rsid w:val="00395529"/>
    <w:rsid w:val="003B0F44"/>
    <w:rsid w:val="003B6875"/>
    <w:rsid w:val="003C282F"/>
    <w:rsid w:val="003C309A"/>
    <w:rsid w:val="003F3F2B"/>
    <w:rsid w:val="003F745A"/>
    <w:rsid w:val="00401D7B"/>
    <w:rsid w:val="00403203"/>
    <w:rsid w:val="00407AC6"/>
    <w:rsid w:val="00414033"/>
    <w:rsid w:val="004375DE"/>
    <w:rsid w:val="00462D92"/>
    <w:rsid w:val="00494064"/>
    <w:rsid w:val="004B1DDC"/>
    <w:rsid w:val="004B476F"/>
    <w:rsid w:val="004C3B51"/>
    <w:rsid w:val="004E3244"/>
    <w:rsid w:val="004F5B39"/>
    <w:rsid w:val="00516A0E"/>
    <w:rsid w:val="0052685F"/>
    <w:rsid w:val="00535D3F"/>
    <w:rsid w:val="0054284A"/>
    <w:rsid w:val="00557C87"/>
    <w:rsid w:val="00557DE0"/>
    <w:rsid w:val="00561A5C"/>
    <w:rsid w:val="00566048"/>
    <w:rsid w:val="00585FEF"/>
    <w:rsid w:val="005923F3"/>
    <w:rsid w:val="005A574C"/>
    <w:rsid w:val="005A669F"/>
    <w:rsid w:val="005C3687"/>
    <w:rsid w:val="005E2511"/>
    <w:rsid w:val="005E6218"/>
    <w:rsid w:val="005E7346"/>
    <w:rsid w:val="005E7491"/>
    <w:rsid w:val="00610D23"/>
    <w:rsid w:val="006127D5"/>
    <w:rsid w:val="00650A3E"/>
    <w:rsid w:val="00667350"/>
    <w:rsid w:val="006E5078"/>
    <w:rsid w:val="006F201B"/>
    <w:rsid w:val="0071586E"/>
    <w:rsid w:val="00744655"/>
    <w:rsid w:val="007519C6"/>
    <w:rsid w:val="00763EB3"/>
    <w:rsid w:val="00776D5D"/>
    <w:rsid w:val="007D2D3F"/>
    <w:rsid w:val="007E7F5D"/>
    <w:rsid w:val="00812217"/>
    <w:rsid w:val="0082492E"/>
    <w:rsid w:val="00826FBF"/>
    <w:rsid w:val="0083684D"/>
    <w:rsid w:val="008434C9"/>
    <w:rsid w:val="00847043"/>
    <w:rsid w:val="00852289"/>
    <w:rsid w:val="00876014"/>
    <w:rsid w:val="00884D07"/>
    <w:rsid w:val="00892179"/>
    <w:rsid w:val="008A11F2"/>
    <w:rsid w:val="008B51AA"/>
    <w:rsid w:val="00914C57"/>
    <w:rsid w:val="009357A8"/>
    <w:rsid w:val="00952AC3"/>
    <w:rsid w:val="00962ED2"/>
    <w:rsid w:val="009644E5"/>
    <w:rsid w:val="009710D2"/>
    <w:rsid w:val="009776CA"/>
    <w:rsid w:val="009776FC"/>
    <w:rsid w:val="00991DD2"/>
    <w:rsid w:val="009A3150"/>
    <w:rsid w:val="009F0A9D"/>
    <w:rsid w:val="009F4CC8"/>
    <w:rsid w:val="00A1338F"/>
    <w:rsid w:val="00A14C1D"/>
    <w:rsid w:val="00A15B80"/>
    <w:rsid w:val="00A45C59"/>
    <w:rsid w:val="00A474B8"/>
    <w:rsid w:val="00A62208"/>
    <w:rsid w:val="00A67BF9"/>
    <w:rsid w:val="00A754B9"/>
    <w:rsid w:val="00A82E32"/>
    <w:rsid w:val="00A87D2D"/>
    <w:rsid w:val="00AB4440"/>
    <w:rsid w:val="00AB7244"/>
    <w:rsid w:val="00AC2326"/>
    <w:rsid w:val="00AD1D49"/>
    <w:rsid w:val="00AF778E"/>
    <w:rsid w:val="00B017BC"/>
    <w:rsid w:val="00B06655"/>
    <w:rsid w:val="00B2618B"/>
    <w:rsid w:val="00B26C33"/>
    <w:rsid w:val="00B51B94"/>
    <w:rsid w:val="00B55948"/>
    <w:rsid w:val="00B61B32"/>
    <w:rsid w:val="00B66168"/>
    <w:rsid w:val="00B90C74"/>
    <w:rsid w:val="00BE10C1"/>
    <w:rsid w:val="00BE16C9"/>
    <w:rsid w:val="00BE6234"/>
    <w:rsid w:val="00BF0E8A"/>
    <w:rsid w:val="00BF473D"/>
    <w:rsid w:val="00C147EC"/>
    <w:rsid w:val="00C23BCE"/>
    <w:rsid w:val="00C534F3"/>
    <w:rsid w:val="00C56BD1"/>
    <w:rsid w:val="00C56EBB"/>
    <w:rsid w:val="00C92FA9"/>
    <w:rsid w:val="00CA40BB"/>
    <w:rsid w:val="00CA47F0"/>
    <w:rsid w:val="00CC1029"/>
    <w:rsid w:val="00CC2146"/>
    <w:rsid w:val="00CC250E"/>
    <w:rsid w:val="00CD3C7A"/>
    <w:rsid w:val="00D023E5"/>
    <w:rsid w:val="00D14C3F"/>
    <w:rsid w:val="00D3717A"/>
    <w:rsid w:val="00D44D0A"/>
    <w:rsid w:val="00D83132"/>
    <w:rsid w:val="00D84784"/>
    <w:rsid w:val="00D96C10"/>
    <w:rsid w:val="00DB0CD5"/>
    <w:rsid w:val="00DC3C87"/>
    <w:rsid w:val="00DD7274"/>
    <w:rsid w:val="00DE5A6F"/>
    <w:rsid w:val="00E12A74"/>
    <w:rsid w:val="00E67A6E"/>
    <w:rsid w:val="00E80C15"/>
    <w:rsid w:val="00E82E37"/>
    <w:rsid w:val="00E83D08"/>
    <w:rsid w:val="00E960B1"/>
    <w:rsid w:val="00EB0EAA"/>
    <w:rsid w:val="00EB7029"/>
    <w:rsid w:val="00EC40FA"/>
    <w:rsid w:val="00EC6DE5"/>
    <w:rsid w:val="00F01758"/>
    <w:rsid w:val="00F143F2"/>
    <w:rsid w:val="00F31AA9"/>
    <w:rsid w:val="00F36835"/>
    <w:rsid w:val="00F5530C"/>
    <w:rsid w:val="00F70D61"/>
    <w:rsid w:val="00F91000"/>
    <w:rsid w:val="00F9722C"/>
    <w:rsid w:val="00FE09F7"/>
    <w:rsid w:val="00FE78FD"/>
    <w:rsid w:val="00FF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74B8"/>
    <w:pPr>
      <w:tabs>
        <w:tab w:val="left" w:pos="567"/>
      </w:tabs>
      <w:spacing w:line="260" w:lineRule="exact"/>
    </w:pPr>
    <w:rPr>
      <w:rFonts w:ascii="Times New Roman" w:eastAsia="Times New Roman" w:hAnsi="Times New Roman"/>
      <w:sz w:val="22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A474B8"/>
    <w:rPr>
      <w:color w:val="0000FF"/>
      <w:u w:val="single"/>
    </w:rPr>
  </w:style>
  <w:style w:type="paragraph" w:customStyle="1" w:styleId="EMEAEnBodyText">
    <w:name w:val="EMEA En Body Text"/>
    <w:basedOn w:val="Normlny"/>
    <w:rsid w:val="00A474B8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74B8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A474B8"/>
    <w:rPr>
      <w:rFonts w:ascii="Tahoma" w:eastAsia="Times New Roman" w:hAnsi="Tahoma" w:cs="Tahoma"/>
      <w:sz w:val="16"/>
      <w:szCs w:val="16"/>
      <w:lang w:val="en-GB"/>
    </w:rPr>
  </w:style>
  <w:style w:type="character" w:customStyle="1" w:styleId="Teksttreci">
    <w:name w:val="Tekst treści_"/>
    <w:link w:val="Teksttreci1"/>
    <w:uiPriority w:val="99"/>
    <w:rsid w:val="00A474B8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lny"/>
    <w:link w:val="Teksttreci"/>
    <w:uiPriority w:val="99"/>
    <w:rsid w:val="00A474B8"/>
    <w:pPr>
      <w:shd w:val="clear" w:color="auto" w:fill="FFFFFF"/>
      <w:tabs>
        <w:tab w:val="clear" w:pos="567"/>
      </w:tabs>
      <w:spacing w:before="300" w:after="600" w:line="240" w:lineRule="atLeast"/>
      <w:ind w:hanging="580"/>
    </w:pPr>
    <w:rPr>
      <w:rFonts w:eastAsia="Calibri"/>
      <w:sz w:val="21"/>
      <w:szCs w:val="21"/>
      <w:lang w:val="x-none" w:eastAsia="x-none"/>
    </w:rPr>
  </w:style>
  <w:style w:type="character" w:customStyle="1" w:styleId="Teksttreci0">
    <w:name w:val="Tekst treści"/>
    <w:uiPriority w:val="99"/>
    <w:rsid w:val="00A474B8"/>
    <w:rPr>
      <w:rFonts w:ascii="Times New Roman" w:hAnsi="Times New Roman" w:cs="Times New Roman"/>
      <w:spacing w:val="0"/>
      <w:sz w:val="21"/>
      <w:szCs w:val="21"/>
      <w:u w:val="single"/>
      <w:shd w:val="clear" w:color="auto" w:fill="FFFFFF"/>
    </w:rPr>
  </w:style>
  <w:style w:type="character" w:customStyle="1" w:styleId="Teksttreci4">
    <w:name w:val="Tekst treści4"/>
    <w:uiPriority w:val="99"/>
    <w:rsid w:val="00CA40BB"/>
    <w:rPr>
      <w:rFonts w:ascii="Times New Roman" w:hAnsi="Times New Roman" w:cs="Times New Roman"/>
      <w:spacing w:val="0"/>
      <w:sz w:val="21"/>
      <w:szCs w:val="21"/>
      <w:u w:val="single"/>
      <w:shd w:val="clear" w:color="auto" w:fill="FFFFFF"/>
    </w:rPr>
  </w:style>
  <w:style w:type="character" w:customStyle="1" w:styleId="TeksttreciKursywa">
    <w:name w:val="Tekst treści + Kursywa"/>
    <w:uiPriority w:val="99"/>
    <w:rsid w:val="00CA40BB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TeksttreciKursywa1">
    <w:name w:val="Tekst treści + Kursywa1"/>
    <w:uiPriority w:val="99"/>
    <w:rsid w:val="00DE5A6F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paragraph" w:customStyle="1" w:styleId="Odsekzoznamu1">
    <w:name w:val="Odsek zoznamu1"/>
    <w:basedOn w:val="Normlny"/>
    <w:uiPriority w:val="34"/>
    <w:qFormat/>
    <w:rsid w:val="00DE5A6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67350"/>
    <w:pPr>
      <w:tabs>
        <w:tab w:val="clear" w:pos="567"/>
        <w:tab w:val="center" w:pos="4536"/>
        <w:tab w:val="right" w:pos="9072"/>
      </w:tabs>
      <w:spacing w:line="240" w:lineRule="auto"/>
    </w:pPr>
    <w:rPr>
      <w:sz w:val="20"/>
      <w:lang w:eastAsia="x-none"/>
    </w:rPr>
  </w:style>
  <w:style w:type="character" w:customStyle="1" w:styleId="HlavikaChar">
    <w:name w:val="Hlavička Char"/>
    <w:link w:val="Hlavika"/>
    <w:uiPriority w:val="99"/>
    <w:rsid w:val="00667350"/>
    <w:rPr>
      <w:rFonts w:ascii="Times New Roman" w:eastAsia="Times New Roman" w:hAnsi="Times New Roman" w:cs="Times New Roman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667350"/>
    <w:pPr>
      <w:tabs>
        <w:tab w:val="clear" w:pos="567"/>
        <w:tab w:val="center" w:pos="4536"/>
        <w:tab w:val="right" w:pos="9072"/>
      </w:tabs>
      <w:spacing w:line="240" w:lineRule="auto"/>
    </w:pPr>
    <w:rPr>
      <w:sz w:val="20"/>
      <w:lang w:eastAsia="x-none"/>
    </w:rPr>
  </w:style>
  <w:style w:type="character" w:customStyle="1" w:styleId="PtaChar">
    <w:name w:val="Päta Char"/>
    <w:link w:val="Pta"/>
    <w:uiPriority w:val="99"/>
    <w:rsid w:val="00667350"/>
    <w:rPr>
      <w:rFonts w:ascii="Times New Roman" w:eastAsia="Times New Roman" w:hAnsi="Times New Roman" w:cs="Times New Roman"/>
      <w:szCs w:val="20"/>
      <w:lang w:val="en-GB"/>
    </w:rPr>
  </w:style>
  <w:style w:type="paragraph" w:styleId="Normlnywebov">
    <w:name w:val="Normal (Web)"/>
    <w:basedOn w:val="Normlny"/>
    <w:uiPriority w:val="99"/>
    <w:unhideWhenUsed/>
    <w:rsid w:val="005E6218"/>
    <w:pPr>
      <w:tabs>
        <w:tab w:val="clear" w:pos="567"/>
      </w:tabs>
      <w:spacing w:before="180" w:line="240" w:lineRule="auto"/>
    </w:pPr>
    <w:rPr>
      <w:sz w:val="24"/>
      <w:szCs w:val="24"/>
      <w:lang w:val="sk-SK" w:eastAsia="sk-SK"/>
    </w:rPr>
  </w:style>
  <w:style w:type="paragraph" w:customStyle="1" w:styleId="Default">
    <w:name w:val="Default"/>
    <w:rsid w:val="00235D3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CC2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uiPriority w:val="99"/>
    <w:semiHidden/>
    <w:unhideWhenUsed/>
    <w:rsid w:val="009F0A9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74B8"/>
    <w:pPr>
      <w:tabs>
        <w:tab w:val="left" w:pos="567"/>
      </w:tabs>
      <w:spacing w:line="260" w:lineRule="exact"/>
    </w:pPr>
    <w:rPr>
      <w:rFonts w:ascii="Times New Roman" w:eastAsia="Times New Roman" w:hAnsi="Times New Roman"/>
      <w:sz w:val="22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A474B8"/>
    <w:rPr>
      <w:color w:val="0000FF"/>
      <w:u w:val="single"/>
    </w:rPr>
  </w:style>
  <w:style w:type="paragraph" w:customStyle="1" w:styleId="EMEAEnBodyText">
    <w:name w:val="EMEA En Body Text"/>
    <w:basedOn w:val="Normlny"/>
    <w:rsid w:val="00A474B8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74B8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A474B8"/>
    <w:rPr>
      <w:rFonts w:ascii="Tahoma" w:eastAsia="Times New Roman" w:hAnsi="Tahoma" w:cs="Tahoma"/>
      <w:sz w:val="16"/>
      <w:szCs w:val="16"/>
      <w:lang w:val="en-GB"/>
    </w:rPr>
  </w:style>
  <w:style w:type="character" w:customStyle="1" w:styleId="Teksttreci">
    <w:name w:val="Tekst treści_"/>
    <w:link w:val="Teksttreci1"/>
    <w:uiPriority w:val="99"/>
    <w:rsid w:val="00A474B8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lny"/>
    <w:link w:val="Teksttreci"/>
    <w:uiPriority w:val="99"/>
    <w:rsid w:val="00A474B8"/>
    <w:pPr>
      <w:shd w:val="clear" w:color="auto" w:fill="FFFFFF"/>
      <w:tabs>
        <w:tab w:val="clear" w:pos="567"/>
      </w:tabs>
      <w:spacing w:before="300" w:after="600" w:line="240" w:lineRule="atLeast"/>
      <w:ind w:hanging="580"/>
    </w:pPr>
    <w:rPr>
      <w:rFonts w:eastAsia="Calibri"/>
      <w:sz w:val="21"/>
      <w:szCs w:val="21"/>
      <w:lang w:val="x-none" w:eastAsia="x-none"/>
    </w:rPr>
  </w:style>
  <w:style w:type="character" w:customStyle="1" w:styleId="Teksttreci0">
    <w:name w:val="Tekst treści"/>
    <w:uiPriority w:val="99"/>
    <w:rsid w:val="00A474B8"/>
    <w:rPr>
      <w:rFonts w:ascii="Times New Roman" w:hAnsi="Times New Roman" w:cs="Times New Roman"/>
      <w:spacing w:val="0"/>
      <w:sz w:val="21"/>
      <w:szCs w:val="21"/>
      <w:u w:val="single"/>
      <w:shd w:val="clear" w:color="auto" w:fill="FFFFFF"/>
    </w:rPr>
  </w:style>
  <w:style w:type="character" w:customStyle="1" w:styleId="Teksttreci4">
    <w:name w:val="Tekst treści4"/>
    <w:uiPriority w:val="99"/>
    <w:rsid w:val="00CA40BB"/>
    <w:rPr>
      <w:rFonts w:ascii="Times New Roman" w:hAnsi="Times New Roman" w:cs="Times New Roman"/>
      <w:spacing w:val="0"/>
      <w:sz w:val="21"/>
      <w:szCs w:val="21"/>
      <w:u w:val="single"/>
      <w:shd w:val="clear" w:color="auto" w:fill="FFFFFF"/>
    </w:rPr>
  </w:style>
  <w:style w:type="character" w:customStyle="1" w:styleId="TeksttreciKursywa">
    <w:name w:val="Tekst treści + Kursywa"/>
    <w:uiPriority w:val="99"/>
    <w:rsid w:val="00CA40BB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TeksttreciKursywa1">
    <w:name w:val="Tekst treści + Kursywa1"/>
    <w:uiPriority w:val="99"/>
    <w:rsid w:val="00DE5A6F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paragraph" w:customStyle="1" w:styleId="Odsekzoznamu1">
    <w:name w:val="Odsek zoznamu1"/>
    <w:basedOn w:val="Normlny"/>
    <w:uiPriority w:val="34"/>
    <w:qFormat/>
    <w:rsid w:val="00DE5A6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67350"/>
    <w:pPr>
      <w:tabs>
        <w:tab w:val="clear" w:pos="567"/>
        <w:tab w:val="center" w:pos="4536"/>
        <w:tab w:val="right" w:pos="9072"/>
      </w:tabs>
      <w:spacing w:line="240" w:lineRule="auto"/>
    </w:pPr>
    <w:rPr>
      <w:sz w:val="20"/>
      <w:lang w:eastAsia="x-none"/>
    </w:rPr>
  </w:style>
  <w:style w:type="character" w:customStyle="1" w:styleId="HlavikaChar">
    <w:name w:val="Hlavička Char"/>
    <w:link w:val="Hlavika"/>
    <w:uiPriority w:val="99"/>
    <w:rsid w:val="00667350"/>
    <w:rPr>
      <w:rFonts w:ascii="Times New Roman" w:eastAsia="Times New Roman" w:hAnsi="Times New Roman" w:cs="Times New Roman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667350"/>
    <w:pPr>
      <w:tabs>
        <w:tab w:val="clear" w:pos="567"/>
        <w:tab w:val="center" w:pos="4536"/>
        <w:tab w:val="right" w:pos="9072"/>
      </w:tabs>
      <w:spacing w:line="240" w:lineRule="auto"/>
    </w:pPr>
    <w:rPr>
      <w:sz w:val="20"/>
      <w:lang w:eastAsia="x-none"/>
    </w:rPr>
  </w:style>
  <w:style w:type="character" w:customStyle="1" w:styleId="PtaChar">
    <w:name w:val="Päta Char"/>
    <w:link w:val="Pta"/>
    <w:uiPriority w:val="99"/>
    <w:rsid w:val="00667350"/>
    <w:rPr>
      <w:rFonts w:ascii="Times New Roman" w:eastAsia="Times New Roman" w:hAnsi="Times New Roman" w:cs="Times New Roman"/>
      <w:szCs w:val="20"/>
      <w:lang w:val="en-GB"/>
    </w:rPr>
  </w:style>
  <w:style w:type="paragraph" w:styleId="Normlnywebov">
    <w:name w:val="Normal (Web)"/>
    <w:basedOn w:val="Normlny"/>
    <w:uiPriority w:val="99"/>
    <w:unhideWhenUsed/>
    <w:rsid w:val="005E6218"/>
    <w:pPr>
      <w:tabs>
        <w:tab w:val="clear" w:pos="567"/>
      </w:tabs>
      <w:spacing w:before="180" w:line="240" w:lineRule="auto"/>
    </w:pPr>
    <w:rPr>
      <w:sz w:val="24"/>
      <w:szCs w:val="24"/>
      <w:lang w:val="sk-SK" w:eastAsia="sk-SK"/>
    </w:rPr>
  </w:style>
  <w:style w:type="paragraph" w:customStyle="1" w:styleId="Default">
    <w:name w:val="Default"/>
    <w:rsid w:val="00235D3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CC2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uiPriority w:val="99"/>
    <w:semiHidden/>
    <w:unhideWhenUsed/>
    <w:rsid w:val="009F0A9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6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0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5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7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5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dure_number xmlns="82db5bd2-3f09-4eff-b4f8-de6a53cd5a02" xsi:nil="true"/>
    <IconOverlay xmlns="http://schemas.microsoft.com/sharepoint/v4" xsi:nil="true"/>
    <Trade_x0020_name xmlns="82db5bd2-3f09-4eff-b4f8-de6a53cd5a02">Bimatoprost Polpharma</Trade_x0020_nam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161AA78E4354FBC4919F68D2AA10E" ma:contentTypeVersion="28" ma:contentTypeDescription="Create a new document." ma:contentTypeScope="" ma:versionID="f07d9413f6c2f1fd6f62c9c779925026">
  <xsd:schema xmlns:xsd="http://www.w3.org/2001/XMLSchema" xmlns:xs="http://www.w3.org/2001/XMLSchema" xmlns:p="http://schemas.microsoft.com/office/2006/metadata/properties" xmlns:ns2="http://schemas.microsoft.com/sharepoint/v4" xmlns:ns3="82db5bd2-3f09-4eff-b4f8-de6a53cd5a02" targetNamespace="http://schemas.microsoft.com/office/2006/metadata/properties" ma:root="true" ma:fieldsID="21c383961ba268f75156adb0319cd7aa" ns2:_="" ns3:_="">
    <xsd:import namespace="http://schemas.microsoft.com/sharepoint/v4"/>
    <xsd:import namespace="82db5bd2-3f09-4eff-b4f8-de6a53cd5a02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Procedure_number" minOccurs="0"/>
                <xsd:element ref="ns3:Trade_x0020_na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b5bd2-3f09-4eff-b4f8-de6a53cd5a02" elementFormDefault="qualified">
    <xsd:import namespace="http://schemas.microsoft.com/office/2006/documentManagement/types"/>
    <xsd:import namespace="http://schemas.microsoft.com/office/infopath/2007/PartnerControls"/>
    <xsd:element name="Procedure_number" ma:index="9" nillable="true" ma:displayName="Procedure number" ma:internalName="Procedure_number">
      <xsd:simpleType>
        <xsd:restriction base="dms:Text">
          <xsd:maxLength value="255"/>
        </xsd:restriction>
      </xsd:simpleType>
    </xsd:element>
    <xsd:element name="Trade_x0020_name" ma:index="10" nillable="true" ma:displayName="Trade name" ma:internalName="Trade_x0020_name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4F2DF8-7F88-4C68-AA35-B816DC1CE21E}">
  <ds:schemaRefs>
    <ds:schemaRef ds:uri="http://schemas.microsoft.com/office/2006/documentManagement/types"/>
    <ds:schemaRef ds:uri="http://schemas.microsoft.com/sharepoint/v4"/>
    <ds:schemaRef ds:uri="http://www.w3.org/XML/1998/namespace"/>
    <ds:schemaRef ds:uri="http://schemas.microsoft.com/office/infopath/2007/PartnerControls"/>
    <ds:schemaRef ds:uri="http://purl.org/dc/elements/1.1/"/>
    <ds:schemaRef ds:uri="82db5bd2-3f09-4eff-b4f8-de6a53cd5a02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2EB1220-7151-4269-B841-F6B7304C17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325D0BD-84AE-4B3A-B024-35B99B525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82db5bd2-3f09-4eff-b4f8-de6a53cd5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068B4C-F871-473A-A4EC-892A347A75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3066</Words>
  <Characters>17478</Characters>
  <Application>Microsoft Office Word</Application>
  <DocSecurity>0</DocSecurity>
  <Lines>145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Polpharma</Company>
  <LinksUpToDate>false</LinksUpToDate>
  <CharactersWithSpaces>20503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gosia_e</dc:creator>
  <cp:lastModifiedBy>Natalia </cp:lastModifiedBy>
  <cp:revision>2</cp:revision>
  <dcterms:created xsi:type="dcterms:W3CDTF">2018-11-08T13:29:00Z</dcterms:created>
  <dcterms:modified xsi:type="dcterms:W3CDTF">2018-11-08T13:29:00Z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0x010100A46161AA78E4354FBC4919F68D2AA10E</vt:lpwstr>
  </property>
</Properties>
</file>