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C2" w:rsidRDefault="0094254B" w:rsidP="0094254B">
      <w:pPr>
        <w:pStyle w:val="StyleHeading1Centered"/>
      </w:pPr>
      <w:r w:rsidRPr="002D5990">
        <w:t>SÚHRN CHARAKTERISTICKÝCH VLASTNOSTÍ LIEKU</w:t>
      </w:r>
    </w:p>
    <w:p w:rsidR="002229C2" w:rsidRPr="002D5990" w:rsidRDefault="002229C2" w:rsidP="0094254B">
      <w:pPr>
        <w:pStyle w:val="StyleHeading1Centered"/>
      </w:pPr>
    </w:p>
    <w:p w:rsidR="0094254B" w:rsidRPr="002D5990" w:rsidRDefault="0094254B" w:rsidP="0094254B">
      <w:pPr>
        <w:pStyle w:val="Nadpis1"/>
      </w:pPr>
      <w:r w:rsidRPr="002D5990">
        <w:t>1.</w:t>
      </w:r>
      <w:r w:rsidRPr="002D5990">
        <w:tab/>
        <w:t>NÁZOV LIEKU</w:t>
      </w:r>
    </w:p>
    <w:p w:rsidR="0094254B" w:rsidRPr="002D5990" w:rsidRDefault="0094254B" w:rsidP="0094254B">
      <w:pPr>
        <w:pStyle w:val="BodyTextSPC"/>
      </w:pPr>
    </w:p>
    <w:p w:rsidR="0094254B" w:rsidRDefault="00650F28" w:rsidP="0094254B">
      <w:pPr>
        <w:pStyle w:val="BodyTextSPC"/>
      </w:pPr>
      <w:r>
        <w:t>Vivotif</w:t>
      </w:r>
    </w:p>
    <w:p w:rsidR="00047E41" w:rsidRDefault="00047E41" w:rsidP="0094254B">
      <w:pPr>
        <w:pStyle w:val="BodyTextSPC"/>
      </w:pPr>
      <w:r>
        <w:t>tvrdé gastrorezistentné kapsuly</w:t>
      </w:r>
    </w:p>
    <w:p w:rsidR="00387C9A" w:rsidRPr="002D5990" w:rsidRDefault="00387C9A" w:rsidP="0094254B">
      <w:pPr>
        <w:pStyle w:val="BodyTextSPC"/>
      </w:pP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Nadpis1"/>
      </w:pPr>
      <w:r w:rsidRPr="002D5990">
        <w:t>2.</w:t>
      </w:r>
      <w:r w:rsidRPr="002D5990">
        <w:tab/>
        <w:t>KVALITATÍVNE A KVANTITATÍVNE ZLOŽENIE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Každá kapsula obsahuje najmenej 2</w:t>
      </w:r>
      <w:r w:rsidR="00557901">
        <w:t xml:space="preserve"> </w:t>
      </w:r>
      <w:r w:rsidRPr="002D5990">
        <w:t>x</w:t>
      </w:r>
      <w:r w:rsidR="00557901">
        <w:t xml:space="preserve"> </w:t>
      </w:r>
      <w:r w:rsidRPr="002D5990">
        <w:t>10</w:t>
      </w:r>
      <w:r w:rsidRPr="002D5990">
        <w:rPr>
          <w:vertAlign w:val="superscript"/>
        </w:rPr>
        <w:t>9</w:t>
      </w:r>
      <w:r w:rsidRPr="002D5990">
        <w:t xml:space="preserve"> životaschopných buniek </w:t>
      </w:r>
      <w:r w:rsidRPr="002D5990">
        <w:rPr>
          <w:i/>
        </w:rPr>
        <w:t>Salmonella enterica</w:t>
      </w:r>
      <w:r w:rsidR="00594268" w:rsidRPr="00557901">
        <w:t>,</w:t>
      </w:r>
      <w:r w:rsidRPr="002D5990">
        <w:rPr>
          <w:i/>
        </w:rPr>
        <w:t xml:space="preserve"> </w:t>
      </w:r>
      <w:r w:rsidRPr="002D5990">
        <w:t xml:space="preserve">sérovar </w:t>
      </w:r>
      <w:r w:rsidRPr="00CC2765">
        <w:t>Typhi</w:t>
      </w:r>
      <w:r w:rsidRPr="002D5990">
        <w:t xml:space="preserve"> (skr. </w:t>
      </w:r>
      <w:r w:rsidRPr="002D5990">
        <w:rPr>
          <w:i/>
        </w:rPr>
        <w:t>S</w:t>
      </w:r>
      <w:r w:rsidRPr="002D5990">
        <w:t xml:space="preserve">. </w:t>
      </w:r>
      <w:r w:rsidRPr="00CC2765">
        <w:t>Typhi</w:t>
      </w:r>
      <w:r w:rsidRPr="002D5990">
        <w:t>) Ty21a.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Pomocné látky so známym účinkom: laktóza, sacharóza.</w:t>
      </w:r>
    </w:p>
    <w:p w:rsidR="0094254B" w:rsidRPr="002D5990" w:rsidRDefault="0094254B" w:rsidP="0094254B">
      <w:pPr>
        <w:pStyle w:val="BodyTextSPC"/>
      </w:pPr>
    </w:p>
    <w:p w:rsidR="0094254B" w:rsidRDefault="0094254B" w:rsidP="0094254B">
      <w:pPr>
        <w:pStyle w:val="BodyTextSPC"/>
      </w:pPr>
      <w:r w:rsidRPr="002D5990">
        <w:t>Úplný zoz</w:t>
      </w:r>
      <w:r w:rsidR="00C03010">
        <w:t>nam pomocných látok, pozri časť </w:t>
      </w:r>
      <w:r w:rsidRPr="002D5990">
        <w:t>6.1.</w:t>
      </w:r>
    </w:p>
    <w:p w:rsidR="00387C9A" w:rsidRPr="002D5990" w:rsidRDefault="00387C9A" w:rsidP="0094254B">
      <w:pPr>
        <w:pStyle w:val="BodyTextSPC"/>
      </w:pP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Nadpis1"/>
        <w:rPr>
          <w:caps/>
        </w:rPr>
      </w:pPr>
      <w:r w:rsidRPr="002D5990">
        <w:t>3.</w:t>
      </w:r>
      <w:r w:rsidRPr="002D5990">
        <w:tab/>
        <w:t>LIEKOVÁ FORMA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Tvrdé gastrorezistentné kapsuly.</w:t>
      </w:r>
    </w:p>
    <w:p w:rsidR="0094254B" w:rsidRPr="002D5990" w:rsidRDefault="0094254B" w:rsidP="0094254B">
      <w:pPr>
        <w:pStyle w:val="BodyTextSPC"/>
      </w:pPr>
    </w:p>
    <w:p w:rsidR="0094254B" w:rsidRDefault="0094254B" w:rsidP="0094254B">
      <w:pPr>
        <w:pStyle w:val="BodyTextSPC"/>
      </w:pPr>
      <w:r w:rsidRPr="002D5990">
        <w:t>Kapsuly sú dvojfarebné: bielej a lososovoružovej farby.</w:t>
      </w:r>
    </w:p>
    <w:p w:rsidR="005A5C56" w:rsidRPr="002D5990" w:rsidRDefault="005A5C56" w:rsidP="0094254B">
      <w:pPr>
        <w:pStyle w:val="BodyTextSPC"/>
      </w:pP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Nadpis1"/>
      </w:pPr>
      <w:r w:rsidRPr="002D5990">
        <w:rPr>
          <w:caps/>
        </w:rPr>
        <w:t>4.</w:t>
      </w:r>
      <w:r w:rsidRPr="002D5990">
        <w:rPr>
          <w:caps/>
        </w:rPr>
        <w:tab/>
      </w:r>
      <w:r w:rsidRPr="002D5990">
        <w:t>KLINICKÉ ÚDAJE</w:t>
      </w:r>
    </w:p>
    <w:p w:rsidR="0094254B" w:rsidRPr="002D5990" w:rsidRDefault="0094254B" w:rsidP="0094254B">
      <w:pPr>
        <w:suppressAutoHyphens/>
        <w:spacing w:line="240" w:lineRule="auto"/>
        <w:ind w:left="567" w:hanging="567"/>
        <w:rPr>
          <w:caps/>
          <w:szCs w:val="22"/>
        </w:rPr>
      </w:pPr>
    </w:p>
    <w:p w:rsidR="0094254B" w:rsidRPr="002D5990" w:rsidRDefault="0094254B" w:rsidP="0094254B">
      <w:pPr>
        <w:pStyle w:val="Heading2SPC"/>
      </w:pPr>
      <w:r w:rsidRPr="002D5990">
        <w:t>4.1</w:t>
      </w:r>
      <w:r w:rsidRPr="002D5990">
        <w:tab/>
        <w:t>Terapeutické indikácie</w:t>
      </w:r>
    </w:p>
    <w:p w:rsidR="0094254B" w:rsidRPr="002D5990" w:rsidRDefault="0094254B" w:rsidP="0094254B">
      <w:pPr>
        <w:pStyle w:val="BodyTextSPC"/>
      </w:pPr>
    </w:p>
    <w:p w:rsidR="0094254B" w:rsidRDefault="00650F28" w:rsidP="0094254B">
      <w:pPr>
        <w:pStyle w:val="BodyTextSPC"/>
      </w:pPr>
      <w:r>
        <w:t>Vivotif</w:t>
      </w:r>
      <w:r w:rsidR="0094254B" w:rsidRPr="002D5990">
        <w:t xml:space="preserve"> je indikovaný </w:t>
      </w:r>
      <w:r w:rsidR="00594268" w:rsidRPr="002D5990">
        <w:t xml:space="preserve">na aktívnu perorálnu imunizáciu proti </w:t>
      </w:r>
      <w:r w:rsidR="00B66693">
        <w:t>brušnému týfusu</w:t>
      </w:r>
      <w:r w:rsidR="00594268">
        <w:t xml:space="preserve"> spôsoben</w:t>
      </w:r>
      <w:r w:rsidR="00CF2D08">
        <w:t>ému</w:t>
      </w:r>
      <w:r w:rsidR="00594268">
        <w:t xml:space="preserve"> druhom </w:t>
      </w:r>
      <w:r w:rsidR="00594268" w:rsidRPr="003B4637">
        <w:rPr>
          <w:i/>
        </w:rPr>
        <w:t>Salmonella enterica</w:t>
      </w:r>
      <w:r w:rsidR="00594268">
        <w:t xml:space="preserve">, sérovar </w:t>
      </w:r>
      <w:r w:rsidR="00594268" w:rsidRPr="00CC2765">
        <w:t>Typhi</w:t>
      </w:r>
      <w:r w:rsidR="00594268">
        <w:t xml:space="preserve"> (</w:t>
      </w:r>
      <w:r w:rsidR="00594268" w:rsidRPr="003B4637">
        <w:rPr>
          <w:i/>
        </w:rPr>
        <w:t>S</w:t>
      </w:r>
      <w:r w:rsidR="00594268">
        <w:t xml:space="preserve">. </w:t>
      </w:r>
      <w:r w:rsidR="00594268" w:rsidRPr="00CC2765">
        <w:t>Typhi</w:t>
      </w:r>
      <w:r w:rsidR="00594268">
        <w:t xml:space="preserve">) u </w:t>
      </w:r>
      <w:r w:rsidR="005A5C56">
        <w:t>dospelý</w:t>
      </w:r>
      <w:r w:rsidR="00594268">
        <w:t>ch</w:t>
      </w:r>
      <w:r w:rsidR="005A5C56">
        <w:t xml:space="preserve"> a de</w:t>
      </w:r>
      <w:r w:rsidR="00594268">
        <w:t>tí</w:t>
      </w:r>
      <w:r w:rsidR="005A5C56" w:rsidRPr="002D5990">
        <w:t xml:space="preserve"> </w:t>
      </w:r>
      <w:r w:rsidR="0094254B" w:rsidRPr="002D5990">
        <w:t>vo veku päť rokov a starší</w:t>
      </w:r>
      <w:r w:rsidR="00594268">
        <w:t>ch</w:t>
      </w:r>
      <w:r w:rsidR="0094254B" w:rsidRPr="002D5990">
        <w:t>.</w:t>
      </w:r>
    </w:p>
    <w:p w:rsidR="005A5C56" w:rsidRDefault="005A5C56" w:rsidP="0094254B">
      <w:pPr>
        <w:pStyle w:val="BodyTextSPC"/>
      </w:pPr>
    </w:p>
    <w:p w:rsidR="005A5C56" w:rsidRPr="002D5990" w:rsidRDefault="0069784A" w:rsidP="0094254B">
      <w:pPr>
        <w:pStyle w:val="BodyTextSPC"/>
      </w:pPr>
      <w:r>
        <w:t>Táto vakcína sa má používať v súlade s oficiálnymi odporúčaniami.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4.2</w:t>
      </w:r>
      <w:r w:rsidRPr="002D5990">
        <w:tab/>
        <w:t>Dávkovanie a spôsob podávania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rPr>
          <w:szCs w:val="22"/>
          <w:u w:val="single"/>
        </w:rPr>
      </w:pPr>
      <w:r w:rsidRPr="002D5990">
        <w:rPr>
          <w:u w:val="single"/>
        </w:rPr>
        <w:t>Dávkovanie</w:t>
      </w:r>
    </w:p>
    <w:p w:rsidR="0094254B" w:rsidRPr="002D5990" w:rsidRDefault="0094254B" w:rsidP="0094254B">
      <w:pPr>
        <w:pStyle w:val="BodyTextSPC"/>
      </w:pPr>
    </w:p>
    <w:p w:rsidR="0094254B" w:rsidRPr="002D5990" w:rsidRDefault="0069784A" w:rsidP="0094254B">
      <w:pPr>
        <w:pStyle w:val="BodyTextSPC"/>
      </w:pPr>
      <w:r>
        <w:t>J</w:t>
      </w:r>
      <w:r w:rsidRPr="002D5990">
        <w:t xml:space="preserve">edna kapsula </w:t>
      </w:r>
      <w:r w:rsidR="00594268">
        <w:t>Vivotifu</w:t>
      </w:r>
      <w:r w:rsidRPr="002D5990">
        <w:t xml:space="preserve"> </w:t>
      </w:r>
      <w:r>
        <w:t>sa užíva v</w:t>
      </w:r>
      <w:r w:rsidRPr="002D5990">
        <w:t xml:space="preserve"> </w:t>
      </w:r>
      <w:r w:rsidR="0094254B" w:rsidRPr="002D5990">
        <w:t>1., 3. a 5. deň.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Kompletná vakcinácia pozostáva z požitia troch kapsúl tak, ako je popísané vyššie. Optimálna imunitná odpoveď sa nemusí dosiahnuť, pokiaľ sa nedokončí celá vakcinačná schéma.</w:t>
      </w:r>
    </w:p>
    <w:p w:rsidR="0094254B" w:rsidRPr="002D5990" w:rsidRDefault="0094254B" w:rsidP="0094254B">
      <w:pPr>
        <w:pStyle w:val="BodyTextSPC"/>
        <w:rPr>
          <w:szCs w:val="22"/>
        </w:rPr>
      </w:pPr>
    </w:p>
    <w:p w:rsidR="0094254B" w:rsidRPr="002D5990" w:rsidRDefault="0094254B" w:rsidP="0094254B">
      <w:pPr>
        <w:pStyle w:val="BodyTextSPC"/>
      </w:pPr>
      <w:r w:rsidRPr="002D5990">
        <w:t xml:space="preserve">Ochrana pred </w:t>
      </w:r>
      <w:r w:rsidR="00B66693">
        <w:t>brušným týfusom</w:t>
      </w:r>
      <w:r w:rsidRPr="002D5990">
        <w:t xml:space="preserve"> začína približne sedem až desať dní po požití tretej dávky vakcíny.</w:t>
      </w:r>
      <w:r w:rsidR="00AF68BE">
        <w:t xml:space="preserve"> Cel</w:t>
      </w:r>
      <w:r w:rsidR="00C44773">
        <w:t>ú</w:t>
      </w:r>
      <w:r w:rsidR="00AF68BE">
        <w:t xml:space="preserve"> </w:t>
      </w:r>
      <w:r w:rsidR="00AF68BE" w:rsidRPr="00C44773">
        <w:t>vakcin</w:t>
      </w:r>
      <w:r w:rsidR="00C44773" w:rsidRPr="00C44773">
        <w:t>a</w:t>
      </w:r>
      <w:r w:rsidR="00C44773">
        <w:t>čnú schému</w:t>
      </w:r>
      <w:r w:rsidR="00AF68BE">
        <w:t xml:space="preserve"> je potrebné ukončiť minimálne týždeň pred cestou do endemickej oblasti.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rPr>
          <w:i/>
        </w:rPr>
      </w:pPr>
      <w:r w:rsidRPr="002D5990">
        <w:rPr>
          <w:i/>
        </w:rPr>
        <w:t>Revakcinácia</w:t>
      </w:r>
    </w:p>
    <w:p w:rsidR="0094254B" w:rsidRPr="002D5990" w:rsidRDefault="0094254B" w:rsidP="0094254B">
      <w:pPr>
        <w:pStyle w:val="BodyTextSPC"/>
      </w:pPr>
    </w:p>
    <w:p w:rsidR="0094254B" w:rsidRPr="002D5990" w:rsidRDefault="00AF68BE" w:rsidP="0094254B">
      <w:pPr>
        <w:pStyle w:val="BodyTextSPC"/>
      </w:pPr>
      <w:r>
        <w:t>Všetkým j</w:t>
      </w:r>
      <w:r w:rsidR="0094254B" w:rsidRPr="002D5990">
        <w:t>ednotlivcom sa revakcinácia odporúča tri roky po poslednej vakcinácii.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 xml:space="preserve">Revakcinácia pozostáva z požitia troch kapsúl v 1., 3. a 5. deň tak, ako </w:t>
      </w:r>
      <w:r w:rsidR="00594268">
        <w:t>podľa</w:t>
      </w:r>
      <w:r w:rsidRPr="002D5990">
        <w:t xml:space="preserve"> pôvodnej vakcin</w:t>
      </w:r>
      <w:r w:rsidR="00594268">
        <w:t>ačnej schémy</w:t>
      </w:r>
      <w:r w:rsidRPr="002D5990">
        <w:t>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keepNext/>
        <w:keepLines/>
        <w:rPr>
          <w:i/>
          <w:szCs w:val="22"/>
        </w:rPr>
      </w:pPr>
      <w:r w:rsidRPr="002D5990">
        <w:rPr>
          <w:i/>
        </w:rPr>
        <w:lastRenderedPageBreak/>
        <w:t>Pediatrická populácia</w:t>
      </w:r>
    </w:p>
    <w:p w:rsidR="0094254B" w:rsidRPr="002D5990" w:rsidRDefault="0094254B" w:rsidP="0094254B">
      <w:pPr>
        <w:pStyle w:val="BodyTextSPC"/>
        <w:keepNext/>
        <w:keepLines/>
      </w:pPr>
    </w:p>
    <w:p w:rsidR="0094254B" w:rsidRDefault="0069784A" w:rsidP="0094254B">
      <w:pPr>
        <w:pStyle w:val="BodyTextSPC"/>
        <w:keepNext/>
        <w:keepLines/>
      </w:pPr>
      <w:r>
        <w:t xml:space="preserve">Dávkovanie u detí je rovnaké ako u dospelých. </w:t>
      </w:r>
      <w:r w:rsidR="0094254B" w:rsidRPr="002D5990">
        <w:t xml:space="preserve">Bezpečnosť a účinnosť u detí mladších ako päť rokov neboli stanovené. </w:t>
      </w:r>
    </w:p>
    <w:p w:rsidR="0069784A" w:rsidRDefault="0069784A" w:rsidP="0094254B">
      <w:pPr>
        <w:pStyle w:val="BodyTextSPC"/>
        <w:keepNext/>
        <w:keepLines/>
      </w:pPr>
    </w:p>
    <w:p w:rsidR="0069784A" w:rsidRDefault="0069784A" w:rsidP="0094254B">
      <w:pPr>
        <w:pStyle w:val="BodyTextSPC"/>
        <w:keepNext/>
        <w:keepLines/>
        <w:rPr>
          <w:u w:val="single"/>
        </w:rPr>
      </w:pPr>
      <w:r>
        <w:rPr>
          <w:u w:val="single"/>
        </w:rPr>
        <w:t>Spôsob podávania</w:t>
      </w:r>
    </w:p>
    <w:p w:rsidR="0069784A" w:rsidRDefault="0069784A" w:rsidP="0094254B">
      <w:pPr>
        <w:pStyle w:val="BodyTextSPC"/>
        <w:keepNext/>
        <w:keepLines/>
        <w:rPr>
          <w:u w:val="single"/>
        </w:rPr>
      </w:pPr>
    </w:p>
    <w:p w:rsidR="0069784A" w:rsidRPr="003B4637" w:rsidRDefault="0069784A" w:rsidP="0094254B">
      <w:pPr>
        <w:pStyle w:val="BodyTextSPC"/>
        <w:keepNext/>
        <w:keepLines/>
        <w:rPr>
          <w:u w:val="single"/>
        </w:rPr>
      </w:pPr>
      <w:r>
        <w:t>J</w:t>
      </w:r>
      <w:r w:rsidRPr="002D5990">
        <w:t xml:space="preserve">edna kapsula </w:t>
      </w:r>
      <w:r w:rsidR="00D55BFD">
        <w:t>Vivotifu</w:t>
      </w:r>
      <w:r w:rsidRPr="002D5990">
        <w:t xml:space="preserve"> </w:t>
      </w:r>
      <w:r>
        <w:t xml:space="preserve">sa </w:t>
      </w:r>
      <w:r w:rsidRPr="002D5990">
        <w:t>zapije studenou alebo vlažnou vodou (teplota neprevyšujúca 37</w:t>
      </w:r>
      <w:r w:rsidR="00557901">
        <w:t xml:space="preserve"> </w:t>
      </w:r>
      <w:r w:rsidRPr="002D5990">
        <w:t xml:space="preserve">°C) na prázdny žalúdok a najmenej jednu hodinu pred ďalším jedlom. Kapsula vakcíny sa nemá žuvať a má sa prehltnúť čo najskôr po </w:t>
      </w:r>
      <w:r w:rsidR="00D55BFD">
        <w:t>v</w:t>
      </w:r>
      <w:r w:rsidRPr="002D5990">
        <w:t>ložení do úst.</w:t>
      </w:r>
    </w:p>
    <w:p w:rsidR="0094254B" w:rsidRPr="002D5990" w:rsidRDefault="0094254B" w:rsidP="004C543D">
      <w:pPr>
        <w:pStyle w:val="BodyTextSPC"/>
      </w:pPr>
    </w:p>
    <w:p w:rsidR="0094254B" w:rsidRPr="002D5990" w:rsidRDefault="0094254B" w:rsidP="004C543D">
      <w:pPr>
        <w:pStyle w:val="Heading2SPC"/>
        <w:keepNext/>
      </w:pPr>
      <w:r w:rsidRPr="002D5990">
        <w:t>4.3</w:t>
      </w:r>
      <w:r w:rsidRPr="002D5990">
        <w:tab/>
        <w:t>Kontraindikácie</w:t>
      </w:r>
    </w:p>
    <w:p w:rsidR="0094254B" w:rsidRPr="002D5990" w:rsidRDefault="0094254B" w:rsidP="004C543D">
      <w:pPr>
        <w:pStyle w:val="BodyTextSPC"/>
        <w:keepNext/>
      </w:pPr>
    </w:p>
    <w:p w:rsidR="0094254B" w:rsidRPr="002D5990" w:rsidRDefault="0094254B" w:rsidP="004C543D">
      <w:pPr>
        <w:pStyle w:val="BodyTextSPC"/>
        <w:keepNext/>
      </w:pPr>
      <w:r w:rsidRPr="002D5990">
        <w:t>Precitlivenosť na liečivo alebo na ktorúkoľvek z po</w:t>
      </w:r>
      <w:r w:rsidR="00DB6964">
        <w:t>mocných látok uvedených v časti </w:t>
      </w:r>
      <w:r w:rsidRPr="002D5990">
        <w:t>6.1.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Alergická reakcia po predošlom požití vakcíny.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Vrodená alebo získaná imunodeficiencia (vrátane pacientov, ktorí dostávajú imunosupresíva alebo antimitotické lieky).</w:t>
      </w:r>
    </w:p>
    <w:p w:rsidR="0094254B" w:rsidRPr="002D5990" w:rsidRDefault="0094254B" w:rsidP="0094254B">
      <w:pPr>
        <w:pStyle w:val="BodyTextSPC"/>
      </w:pPr>
    </w:p>
    <w:p w:rsidR="0094254B" w:rsidRDefault="0094254B" w:rsidP="0094254B">
      <w:pPr>
        <w:pStyle w:val="BodyTextSPC"/>
      </w:pPr>
      <w:r w:rsidRPr="002D5990">
        <w:t>Akútne horúčkové ochorenie alebo akútne gastrointestinálne ochorenie. Vakcinácia sa má odložiť</w:t>
      </w:r>
      <w:r w:rsidR="0057670A">
        <w:t>,</w:t>
      </w:r>
      <w:r w:rsidRPr="002D5990">
        <w:t xml:space="preserve"> až kým sa pacient nezotaví.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4.4</w:t>
      </w:r>
      <w:r w:rsidRPr="002D5990">
        <w:tab/>
        <w:t>Osobitné upozornenia a opatrenia pri používaní</w:t>
      </w:r>
    </w:p>
    <w:p w:rsidR="0094254B" w:rsidRPr="002D5990" w:rsidRDefault="0094254B" w:rsidP="0094254B">
      <w:pPr>
        <w:pStyle w:val="BodyTextSPC"/>
      </w:pPr>
    </w:p>
    <w:p w:rsidR="0094254B" w:rsidRPr="002D5990" w:rsidRDefault="00650F28" w:rsidP="00C03010">
      <w:pPr>
        <w:tabs>
          <w:tab w:val="clear" w:pos="567"/>
        </w:tabs>
        <w:spacing w:line="240" w:lineRule="auto"/>
        <w:ind w:right="-2"/>
        <w:rPr>
          <w:bCs/>
          <w:szCs w:val="22"/>
        </w:rPr>
      </w:pPr>
      <w:r>
        <w:t>Vivotif</w:t>
      </w:r>
      <w:r w:rsidR="0094254B" w:rsidRPr="002D5990">
        <w:t xml:space="preserve"> neposkytuje 100</w:t>
      </w:r>
      <w:r w:rsidR="00C03010">
        <w:t> </w:t>
      </w:r>
      <w:r w:rsidR="0094254B" w:rsidRPr="002D5990">
        <w:t xml:space="preserve">% ochranu pred </w:t>
      </w:r>
      <w:r w:rsidR="00B66693">
        <w:t>brušným týfusom</w:t>
      </w:r>
      <w:r w:rsidR="0094254B" w:rsidRPr="002D5990">
        <w:t>. Zaočkované osoby majú dodržiavať hygienické odporúčania a byť opatrné pri konzumácii jedla a vody v oblastiach postihnutých týfusom.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012BB7">
      <w:pPr>
        <w:pStyle w:val="BodyTextSPC"/>
      </w:pPr>
      <w:r w:rsidRPr="002D5990">
        <w:t xml:space="preserve">Kapsuly obsahujú laktózu a sacharózu. Pacienti so zriedkavými dedičnými problémami </w:t>
      </w:r>
      <w:r w:rsidR="00150FB3" w:rsidRPr="00150FB3">
        <w:t xml:space="preserve">galaktózovej intolerancie, </w:t>
      </w:r>
      <w:r w:rsidR="00561B1B">
        <w:t>vroden</w:t>
      </w:r>
      <w:r w:rsidR="007E73C7">
        <w:t>ým</w:t>
      </w:r>
      <w:r w:rsidR="00561B1B" w:rsidRPr="00150FB3">
        <w:t xml:space="preserve"> </w:t>
      </w:r>
      <w:r w:rsidR="00150FB3" w:rsidRPr="00150FB3">
        <w:t>deficit</w:t>
      </w:r>
      <w:r w:rsidR="007E73C7">
        <w:t>om</w:t>
      </w:r>
      <w:r w:rsidR="00150FB3" w:rsidRPr="00150FB3">
        <w:t xml:space="preserve"> laktázy</w:t>
      </w:r>
      <w:r w:rsidR="00561B1B">
        <w:t>,</w:t>
      </w:r>
      <w:r w:rsidR="00150FB3" w:rsidRPr="00150FB3">
        <w:t xml:space="preserve"> glukózo-galaktózov</w:t>
      </w:r>
      <w:r w:rsidR="00012BB7">
        <w:t>ou</w:t>
      </w:r>
      <w:r w:rsidR="00150FB3" w:rsidRPr="00150FB3">
        <w:t xml:space="preserve"> malabsorpci</w:t>
      </w:r>
      <w:r w:rsidR="00012BB7">
        <w:t>ou</w:t>
      </w:r>
      <w:r w:rsidR="00561B1B">
        <w:t xml:space="preserve">, </w:t>
      </w:r>
      <w:r w:rsidR="00012BB7">
        <w:t xml:space="preserve">intoleranciou </w:t>
      </w:r>
      <w:r w:rsidR="00561B1B">
        <w:t>fruktóz</w:t>
      </w:r>
      <w:r w:rsidR="00012BB7">
        <w:t>y</w:t>
      </w:r>
      <w:r w:rsidR="00561B1B">
        <w:t xml:space="preserve"> alebo </w:t>
      </w:r>
      <w:r w:rsidR="00012BB7">
        <w:t>deficitu sacharázy a izomaltázy</w:t>
      </w:r>
      <w:r w:rsidR="00150FB3" w:rsidRPr="00150FB3">
        <w:t xml:space="preserve"> nesmú</w:t>
      </w:r>
      <w:r w:rsidR="00150FB3">
        <w:t xml:space="preserve"> </w:t>
      </w:r>
      <w:r w:rsidRPr="002D5990">
        <w:t>užívať túto vakcínu.</w:t>
      </w:r>
    </w:p>
    <w:p w:rsidR="00387C9A" w:rsidRPr="002D5990" w:rsidRDefault="00387C9A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4.5</w:t>
      </w:r>
      <w:r w:rsidRPr="002D5990">
        <w:tab/>
        <w:t>Liekové a iné interakcie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 xml:space="preserve">Vakcinácia </w:t>
      </w:r>
      <w:r w:rsidR="00DB7DF2">
        <w:t>Vivotifom</w:t>
      </w:r>
      <w:r w:rsidRPr="002D5990">
        <w:t xml:space="preserve"> sa má odložiť počas liečby antibiotikami alebo antibakteriálnymi sulfónamidmi a aspoň tri dni pred touto liečbou a po nej</w:t>
      </w:r>
      <w:r w:rsidR="00DB7DF2">
        <w:t xml:space="preserve"> z dôvodu</w:t>
      </w:r>
      <w:r w:rsidRPr="002D5990">
        <w:t xml:space="preserve"> možnej inhibíci</w:t>
      </w:r>
      <w:r w:rsidR="00DB7DF2">
        <w:t>e</w:t>
      </w:r>
      <w:r w:rsidRPr="002D5990">
        <w:t xml:space="preserve"> rastu organizmov vakcín</w:t>
      </w:r>
      <w:r w:rsidR="007E73C7">
        <w:t>y</w:t>
      </w:r>
      <w:r w:rsidRPr="002D5990">
        <w:t xml:space="preserve"> a potenciálne</w:t>
      </w:r>
      <w:r w:rsidR="00DB7DF2">
        <w:t>ho</w:t>
      </w:r>
      <w:r w:rsidRPr="002D5990">
        <w:t xml:space="preserve"> zoslabeni</w:t>
      </w:r>
      <w:r w:rsidR="00DB7DF2">
        <w:t>a</w:t>
      </w:r>
      <w:r w:rsidRPr="002D5990">
        <w:t xml:space="preserve"> imunitnej odpovede. </w:t>
      </w:r>
      <w:r w:rsidR="00DB7DF2">
        <w:t>V</w:t>
      </w:r>
      <w:r w:rsidR="00DB7DF2" w:rsidRPr="002D5990">
        <w:t xml:space="preserve"> prípade dlhodobo pôsobiacich antibiotík (napr. azitromycín)</w:t>
      </w:r>
      <w:r w:rsidR="00DB7DF2">
        <w:t xml:space="preserve"> j</w:t>
      </w:r>
      <w:r w:rsidRPr="002D5990">
        <w:t>e potrebné zvážiť dlhší interval.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Kombinácia s liekmi na profylaxiu malárie</w:t>
      </w:r>
      <w:r w:rsidR="007E73C7">
        <w:t>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477682">
      <w:pPr>
        <w:pStyle w:val="BodyTextSPC"/>
      </w:pPr>
      <w:r w:rsidRPr="002D5990">
        <w:t xml:space="preserve">Ak je potrebná profylaxia malárie, odporúča sa dokončiť vakcináciu </w:t>
      </w:r>
      <w:r w:rsidR="00275B68">
        <w:t>Vivotifom</w:t>
      </w:r>
      <w:r w:rsidRPr="002D5990">
        <w:t xml:space="preserve"> pred podaním liekov na profylaxiu malárie. V tomto prípade je potrebné dodržať aspoň trojdňový interval medzi poslednou dávkou </w:t>
      </w:r>
      <w:r w:rsidR="00A037E8">
        <w:t>Vivot</w:t>
      </w:r>
      <w:r w:rsidR="00252E53">
        <w:t>ifu</w:t>
      </w:r>
      <w:r w:rsidRPr="002D5990">
        <w:t xml:space="preserve"> a začiatkom profylaxie malárie. </w:t>
      </w:r>
    </w:p>
    <w:p w:rsidR="0094254B" w:rsidRPr="002D5990" w:rsidRDefault="0094254B" w:rsidP="0094254B">
      <w:pPr>
        <w:pStyle w:val="BodyTextSPC"/>
      </w:pPr>
    </w:p>
    <w:p w:rsidR="0094254B" w:rsidRPr="002D5990" w:rsidRDefault="00650F28" w:rsidP="0094254B">
      <w:pPr>
        <w:pStyle w:val="BodyTextSPC"/>
      </w:pPr>
      <w:r>
        <w:t>Vivotif</w:t>
      </w:r>
      <w:r w:rsidR="0094254B" w:rsidRPr="002D5990">
        <w:t xml:space="preserve"> možno podať súbežne s vakcínou proti žltej horúčke, vakcínou proti cholere typu CVD 103-HgR a perorálnou </w:t>
      </w:r>
      <w:r w:rsidR="00DB6964">
        <w:t xml:space="preserve">vakcínou proti poliomyelitíde. </w:t>
      </w:r>
      <w:r w:rsidR="0094254B" w:rsidRPr="002D5990">
        <w:t xml:space="preserve">Nie sú k dispozícii žiadne údaje o interakciách medzi </w:t>
      </w:r>
      <w:r w:rsidR="00252E53">
        <w:t>Vivotifom</w:t>
      </w:r>
      <w:r w:rsidR="0094254B" w:rsidRPr="002D5990">
        <w:t xml:space="preserve"> a inými živými oslabenými vakcínami.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4.6</w:t>
      </w:r>
      <w:r w:rsidRPr="002D5990">
        <w:tab/>
        <w:t>Fertilita, gravidita a laktácia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rPr>
          <w:szCs w:val="22"/>
          <w:u w:val="single"/>
        </w:rPr>
      </w:pPr>
      <w:r w:rsidRPr="002D5990">
        <w:rPr>
          <w:u w:val="single"/>
        </w:rPr>
        <w:t>Gravidita</w:t>
      </w:r>
    </w:p>
    <w:p w:rsidR="0094254B" w:rsidRPr="002D5990" w:rsidRDefault="0094254B" w:rsidP="0021665B">
      <w:pPr>
        <w:pStyle w:val="BodyTextSPC"/>
      </w:pPr>
      <w:r w:rsidRPr="002D5990">
        <w:t xml:space="preserve">S </w:t>
      </w:r>
      <w:r w:rsidR="00252E53">
        <w:t>Vivotifom</w:t>
      </w:r>
      <w:r w:rsidRPr="002D5990">
        <w:t xml:space="preserve"> sa nevykonali reprodukčné štúdie na zvieratách. Nie je známe, či </w:t>
      </w:r>
      <w:r w:rsidR="00650F28">
        <w:t>Vivotif</w:t>
      </w:r>
      <w:r w:rsidRPr="002D5990">
        <w:t xml:space="preserve"> poškodzuje plod po podaní </w:t>
      </w:r>
      <w:r w:rsidR="00252E53">
        <w:t>gravidným</w:t>
      </w:r>
      <w:r w:rsidRPr="002D5990">
        <w:t xml:space="preserve"> ženám alebo či má vplyv na reprodukčnú </w:t>
      </w:r>
      <w:r w:rsidR="00477682">
        <w:t xml:space="preserve">schopnosť. </w:t>
      </w:r>
      <w:r w:rsidR="00650F28">
        <w:t>Vivotif</w:t>
      </w:r>
      <w:r w:rsidR="00AF68BE">
        <w:t xml:space="preserve"> sa nemá podávať počas tehotenstva, pokiaľ nie je jednoznačne potrebný, ako napríklad v prípadoch zvýšeného rizika infekcie.</w:t>
      </w:r>
    </w:p>
    <w:p w:rsidR="0094254B" w:rsidRPr="002D5990" w:rsidRDefault="0094254B" w:rsidP="0094254B">
      <w:pPr>
        <w:pStyle w:val="BodyTextSPC"/>
      </w:pPr>
    </w:p>
    <w:p w:rsidR="0094254B" w:rsidRPr="002D5990" w:rsidRDefault="008B49E0" w:rsidP="0094254B">
      <w:pPr>
        <w:pStyle w:val="BodyTextSPC"/>
        <w:rPr>
          <w:szCs w:val="22"/>
          <w:u w:val="single"/>
        </w:rPr>
      </w:pPr>
      <w:r>
        <w:rPr>
          <w:noProof/>
          <w:szCs w:val="22"/>
          <w:u w:val="single"/>
        </w:rPr>
        <w:t>Dojčenie</w:t>
      </w:r>
    </w:p>
    <w:p w:rsidR="0094254B" w:rsidRDefault="00252E53" w:rsidP="00704478">
      <w:pPr>
        <w:pStyle w:val="BodyTextSPC"/>
      </w:pPr>
      <w:r>
        <w:t>Nie sú k dispozícii</w:t>
      </w:r>
      <w:r w:rsidR="0094254B" w:rsidRPr="002D5990">
        <w:t xml:space="preserve"> údaje týkajúce sa podávania </w:t>
      </w:r>
      <w:r w:rsidR="00DD7519">
        <w:t>Vivotifu</w:t>
      </w:r>
      <w:r w:rsidR="0094254B" w:rsidRPr="002D5990">
        <w:t xml:space="preserve"> dojčiacim matkám. </w:t>
      </w:r>
      <w:r w:rsidR="0094254B" w:rsidRPr="002D5990">
        <w:rPr>
          <w:i/>
        </w:rPr>
        <w:t>S</w:t>
      </w:r>
      <w:r w:rsidR="0094254B" w:rsidRPr="002D5990">
        <w:t xml:space="preserve">. </w:t>
      </w:r>
      <w:r w:rsidR="0094254B" w:rsidRPr="00CC2765">
        <w:t>Typhi</w:t>
      </w:r>
      <w:r w:rsidR="0094254B" w:rsidRPr="002D5990">
        <w:t xml:space="preserve"> Ty21a sa systémovo nevstrebáva, a preto sa neočakáva, že sa bude vylučovať do ľudského mlieka. </w:t>
      </w:r>
      <w:r w:rsidR="00650F28">
        <w:t>Vivotif</w:t>
      </w:r>
      <w:r w:rsidR="00AF68BE">
        <w:t xml:space="preserve"> sa nemá podávať počas dojčenia, pokiaľ nie je jednoznačne potrebný, ako napríklad v prípadoch zvýšeného rizika infekcie.</w:t>
      </w:r>
    </w:p>
    <w:p w:rsidR="00A551E9" w:rsidRDefault="00A551E9" w:rsidP="00704478">
      <w:pPr>
        <w:pStyle w:val="BodyTextSPC"/>
      </w:pPr>
    </w:p>
    <w:p w:rsidR="00A551E9" w:rsidRDefault="00A551E9" w:rsidP="00704478">
      <w:pPr>
        <w:pStyle w:val="BodyTextSPC"/>
        <w:rPr>
          <w:u w:val="single"/>
        </w:rPr>
      </w:pPr>
      <w:r>
        <w:rPr>
          <w:u w:val="single"/>
        </w:rPr>
        <w:t>Fertilita</w:t>
      </w:r>
    </w:p>
    <w:p w:rsidR="00A551E9" w:rsidRDefault="00A551E9" w:rsidP="00704478">
      <w:pPr>
        <w:pStyle w:val="BodyTextSPC"/>
        <w:rPr>
          <w:u w:val="single"/>
        </w:rPr>
      </w:pPr>
    </w:p>
    <w:p w:rsidR="00A551E9" w:rsidRPr="00A551E9" w:rsidRDefault="00A551E9" w:rsidP="00704478">
      <w:pPr>
        <w:pStyle w:val="BodyTextSPC"/>
      </w:pPr>
      <w:r>
        <w:t xml:space="preserve">Nie je známe, či </w:t>
      </w:r>
      <w:r w:rsidR="00650F28">
        <w:t>Vivotif</w:t>
      </w:r>
      <w:r>
        <w:t xml:space="preserve"> môže ovplyvniť schopnosť reprodukcie.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4.7</w:t>
      </w:r>
      <w:r w:rsidRPr="002D5990">
        <w:tab/>
        <w:t>Ovplyvnenie schopnosti viesť vozidlá a obsluhovať stroje</w:t>
      </w:r>
    </w:p>
    <w:p w:rsidR="0094254B" w:rsidRPr="002D5990" w:rsidRDefault="0094254B" w:rsidP="0094254B">
      <w:pPr>
        <w:pStyle w:val="BodyTextSPC"/>
      </w:pPr>
    </w:p>
    <w:p w:rsidR="0094254B" w:rsidRPr="002D5990" w:rsidRDefault="00A551E9" w:rsidP="0094254B">
      <w:pPr>
        <w:pStyle w:val="BodyTextSPC"/>
      </w:pPr>
      <w:r>
        <w:t>Ne</w:t>
      </w:r>
      <w:r w:rsidR="00DD7519">
        <w:t>uskutočnili</w:t>
      </w:r>
      <w:r>
        <w:t xml:space="preserve"> sa žiadne štúdie </w:t>
      </w:r>
      <w:r w:rsidR="00DD7519">
        <w:t>na posúdenie vplyvu na</w:t>
      </w:r>
      <w:r>
        <w:t xml:space="preserve"> schopnos</w:t>
      </w:r>
      <w:r w:rsidR="00DD7519">
        <w:t>ť</w:t>
      </w:r>
      <w:r>
        <w:t xml:space="preserve"> viesť vozidlá </w:t>
      </w:r>
      <w:r w:rsidR="00226C3F">
        <w:t>alebo obsluhovať stroje. Niektoré z nežiaducich účinkov uvedených v časti 4.8 môžu však dočasne ovplyvniť schopnosť viesť vozidlá alebo obsluhovať stroje.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4.8</w:t>
      </w:r>
      <w:r w:rsidRPr="002D5990">
        <w:tab/>
        <w:t>Nežiaduce účinky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rPr>
          <w:u w:val="single"/>
        </w:rPr>
      </w:pPr>
      <w:r w:rsidRPr="002D5990">
        <w:rPr>
          <w:u w:val="single"/>
        </w:rPr>
        <w:t>Súhrn bezpečnostného profilu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Počas klinických skúšaní bolo podaných viac ako 1</w:t>
      </w:r>
      <w:r w:rsidR="00477682">
        <w:t xml:space="preserve">,4 milióna kapsúl </w:t>
      </w:r>
      <w:r w:rsidR="00DD7519">
        <w:t>Vivotifu</w:t>
      </w:r>
      <w:r w:rsidR="00477682">
        <w:t xml:space="preserve">. </w:t>
      </w:r>
      <w:r w:rsidRPr="002D5990">
        <w:t>Počet distribuovaných dávok od prvej registrácie presahuje 100 miliónov.</w:t>
      </w:r>
      <w:r w:rsidR="00226C3F">
        <w:t xml:space="preserve"> Najčastejšími nežiaducimi reakciami boli bolesť brucha, nauzea, bolesť hlavy, horúčka, hnačka, vracanie a kožná vyrážka. Väčšina nežiaducich reakcií bola miernej povahy. Bol hlásený jeden ojedinelý prípad nefatálneho anafylaktického šoku, považovaný za alergickú reakciu na vakcínu.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477682">
      <w:pPr>
        <w:pStyle w:val="BodyTextSPC"/>
      </w:pPr>
      <w:r w:rsidRPr="002D5990">
        <w:t>Používan</w:t>
      </w:r>
      <w:r w:rsidR="00A907BD">
        <w:t>á klasifikácia</w:t>
      </w:r>
      <w:r w:rsidRPr="002D5990">
        <w:t xml:space="preserve"> </w:t>
      </w:r>
      <w:r w:rsidR="00A907BD" w:rsidRPr="00A907BD">
        <w:t xml:space="preserve">nežiaducich reakcií </w:t>
      </w:r>
      <w:r w:rsidRPr="002D5990">
        <w:t>podľa frekvencie je nasledovn</w:t>
      </w:r>
      <w:r w:rsidR="00A907BD">
        <w:t>á</w:t>
      </w:r>
      <w:r w:rsidRPr="002D5990">
        <w:t>: Veľmi časté (</w:t>
      </w:r>
      <w:r w:rsidRPr="002D5990">
        <w:rPr>
          <w:cs/>
        </w:rPr>
        <w:t>≥</w:t>
      </w:r>
      <w:r w:rsidR="00477682">
        <w:t> </w:t>
      </w:r>
      <w:r w:rsidRPr="002D5990">
        <w:t>1/10), časté (</w:t>
      </w:r>
      <w:r w:rsidRPr="002D5990">
        <w:rPr>
          <w:cs/>
        </w:rPr>
        <w:t>≥</w:t>
      </w:r>
      <w:r w:rsidR="00477682">
        <w:t> </w:t>
      </w:r>
      <w:r w:rsidRPr="002D5990">
        <w:t>1/100 až &lt; 1/10), menej časté (</w:t>
      </w:r>
      <w:r w:rsidRPr="002D5990">
        <w:rPr>
          <w:cs/>
        </w:rPr>
        <w:t>≥</w:t>
      </w:r>
      <w:r w:rsidR="00477682">
        <w:t> </w:t>
      </w:r>
      <w:r w:rsidRPr="002D5990">
        <w:t>1/1</w:t>
      </w:r>
      <w:r w:rsidR="00477682">
        <w:t> </w:t>
      </w:r>
      <w:r w:rsidRPr="002D5990">
        <w:t>000 až &lt; 1/100), zriedkavé (</w:t>
      </w:r>
      <w:r w:rsidRPr="002D5990">
        <w:rPr>
          <w:cs/>
        </w:rPr>
        <w:t>≥</w:t>
      </w:r>
      <w:r w:rsidRPr="002D5990">
        <w:t> 1/10</w:t>
      </w:r>
      <w:r w:rsidR="00477682">
        <w:t> </w:t>
      </w:r>
      <w:r w:rsidRPr="002D5990">
        <w:t>000 až &lt; 1/1</w:t>
      </w:r>
      <w:r w:rsidR="00477682">
        <w:t> </w:t>
      </w:r>
      <w:r w:rsidRPr="002D5990">
        <w:t>000), veľmi zriedkavé (&lt; 1/10</w:t>
      </w:r>
      <w:r w:rsidR="00477682">
        <w:t> </w:t>
      </w:r>
      <w:r w:rsidRPr="002D5990">
        <w:t>000), neznáme (z dostupných údajov).</w:t>
      </w:r>
    </w:p>
    <w:p w:rsidR="0094254B" w:rsidRPr="002D5990" w:rsidRDefault="0094254B" w:rsidP="0094254B">
      <w:pPr>
        <w:pStyle w:val="BodyTextSPC"/>
      </w:pPr>
    </w:p>
    <w:p w:rsidR="00576481" w:rsidRPr="007133E5" w:rsidRDefault="00576481" w:rsidP="00576481">
      <w:pPr>
        <w:pStyle w:val="BodyTextSPC"/>
        <w:rPr>
          <w:u w:val="single"/>
        </w:rPr>
      </w:pPr>
      <w:r w:rsidRPr="007133E5">
        <w:rPr>
          <w:u w:val="single"/>
        </w:rPr>
        <w:t>Tabu</w:t>
      </w:r>
      <w:r>
        <w:rPr>
          <w:u w:val="single"/>
        </w:rPr>
        <w:t>ľkový súhrn nežiaducich reakcií</w:t>
      </w:r>
    </w:p>
    <w:p w:rsidR="00576481" w:rsidRDefault="00576481" w:rsidP="00576481">
      <w:pPr>
        <w:pStyle w:val="BodyTextSPC"/>
      </w:pPr>
    </w:p>
    <w:p w:rsidR="00576481" w:rsidRDefault="00576481" w:rsidP="00576481">
      <w:pPr>
        <w:pStyle w:val="BodyTextSPC"/>
      </w:pPr>
      <w:r>
        <w:t>V klinických skúšaniach došlo k nasledovným nežiaducim reakciám: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2"/>
      </w:tblGrid>
      <w:tr w:rsidR="00576481" w:rsidRPr="00F87635" w:rsidTr="00BA1350">
        <w:tc>
          <w:tcPr>
            <w:tcW w:w="4650" w:type="dxa"/>
            <w:shd w:val="clear" w:color="auto" w:fill="auto"/>
          </w:tcPr>
          <w:p w:rsidR="00576481" w:rsidRPr="00F87635" w:rsidRDefault="00576481" w:rsidP="00576481">
            <w:pPr>
              <w:pStyle w:val="BodyTextSPC"/>
              <w:rPr>
                <w:b/>
              </w:rPr>
            </w:pPr>
            <w:r>
              <w:rPr>
                <w:b/>
              </w:rPr>
              <w:t>Nežiaduce reakcie</w:t>
            </w:r>
          </w:p>
        </w:tc>
        <w:tc>
          <w:tcPr>
            <w:tcW w:w="4651" w:type="dxa"/>
            <w:shd w:val="clear" w:color="auto" w:fill="auto"/>
          </w:tcPr>
          <w:p w:rsidR="00576481" w:rsidRPr="00F87635" w:rsidRDefault="00576481" w:rsidP="00576481">
            <w:pPr>
              <w:pStyle w:val="BodyTextSPC"/>
              <w:rPr>
                <w:b/>
              </w:rPr>
            </w:pPr>
            <w:r w:rsidRPr="00F87635">
              <w:rPr>
                <w:b/>
              </w:rPr>
              <w:t>Fre</w:t>
            </w:r>
            <w:r>
              <w:rPr>
                <w:b/>
              </w:rPr>
              <w:t>kvencia</w:t>
            </w:r>
          </w:p>
        </w:tc>
      </w:tr>
      <w:tr w:rsidR="00576481" w:rsidTr="00BA1350">
        <w:tc>
          <w:tcPr>
            <w:tcW w:w="9301" w:type="dxa"/>
            <w:gridSpan w:val="2"/>
            <w:shd w:val="clear" w:color="auto" w:fill="auto"/>
          </w:tcPr>
          <w:p w:rsidR="00576481" w:rsidRDefault="00576481" w:rsidP="00576481">
            <w:pPr>
              <w:pStyle w:val="BodyTextSPC"/>
            </w:pPr>
            <w:r>
              <w:rPr>
                <w:i/>
              </w:rPr>
              <w:t>Poruchy nervového systému</w:t>
            </w:r>
          </w:p>
        </w:tc>
      </w:tr>
      <w:tr w:rsidR="00576481" w:rsidTr="00BA1350">
        <w:tc>
          <w:tcPr>
            <w:tcW w:w="4650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>
              <w:t>Bolesť hlavy</w:t>
            </w:r>
          </w:p>
        </w:tc>
        <w:tc>
          <w:tcPr>
            <w:tcW w:w="4651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>
              <w:t>Časté</w:t>
            </w:r>
          </w:p>
        </w:tc>
      </w:tr>
      <w:tr w:rsidR="00576481" w:rsidTr="00BA1350">
        <w:tc>
          <w:tcPr>
            <w:tcW w:w="9301" w:type="dxa"/>
            <w:gridSpan w:val="2"/>
            <w:shd w:val="clear" w:color="auto" w:fill="auto"/>
          </w:tcPr>
          <w:p w:rsidR="00576481" w:rsidRDefault="00576481" w:rsidP="00BA1350">
            <w:pPr>
              <w:pStyle w:val="BodyTextSPC"/>
            </w:pPr>
            <w:r w:rsidRPr="003B4637">
              <w:rPr>
                <w:i/>
              </w:rPr>
              <w:t>Poruchy gastrointestinálneho traktu</w:t>
            </w:r>
          </w:p>
        </w:tc>
      </w:tr>
      <w:tr w:rsidR="00576481" w:rsidTr="00BA1350">
        <w:tc>
          <w:tcPr>
            <w:tcW w:w="4650" w:type="dxa"/>
            <w:shd w:val="clear" w:color="auto" w:fill="auto"/>
          </w:tcPr>
          <w:p w:rsidR="00576481" w:rsidRPr="004B3D84" w:rsidRDefault="00576481" w:rsidP="00BA1350">
            <w:pPr>
              <w:pStyle w:val="BodyTextSPC"/>
            </w:pPr>
            <w:r w:rsidRPr="002D5990">
              <w:t>Bolesť brucha, nauzea, vracanie, hnačka</w:t>
            </w:r>
          </w:p>
        </w:tc>
        <w:tc>
          <w:tcPr>
            <w:tcW w:w="4651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>
              <w:t>Časté</w:t>
            </w:r>
          </w:p>
        </w:tc>
      </w:tr>
      <w:tr w:rsidR="00576481" w:rsidRPr="00F87635" w:rsidTr="00BA1350">
        <w:tc>
          <w:tcPr>
            <w:tcW w:w="9301" w:type="dxa"/>
            <w:gridSpan w:val="2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</w:rPr>
            </w:pPr>
            <w:r w:rsidRPr="003B4637">
              <w:rPr>
                <w:i/>
              </w:rPr>
              <w:t>Poruchy kože a podkožného tkaniva</w:t>
            </w:r>
          </w:p>
        </w:tc>
      </w:tr>
      <w:tr w:rsidR="00576481" w:rsidTr="00BA1350">
        <w:tc>
          <w:tcPr>
            <w:tcW w:w="4650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 w:rsidRPr="002D5990">
              <w:t>Vyrážky</w:t>
            </w:r>
          </w:p>
        </w:tc>
        <w:tc>
          <w:tcPr>
            <w:tcW w:w="4651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>
              <w:t>Časté</w:t>
            </w:r>
          </w:p>
        </w:tc>
      </w:tr>
      <w:tr w:rsidR="00576481" w:rsidRPr="00F87635" w:rsidTr="00BA1350">
        <w:tc>
          <w:tcPr>
            <w:tcW w:w="9301" w:type="dxa"/>
            <w:gridSpan w:val="2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</w:rPr>
            </w:pPr>
            <w:r w:rsidRPr="003B4637">
              <w:rPr>
                <w:i/>
              </w:rPr>
              <w:t>Celkové poruchy a reakcie v mieste podania</w:t>
            </w:r>
          </w:p>
        </w:tc>
      </w:tr>
      <w:tr w:rsidR="00576481" w:rsidTr="00BA1350">
        <w:tc>
          <w:tcPr>
            <w:tcW w:w="4650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>
              <w:t>Horúčka</w:t>
            </w:r>
          </w:p>
        </w:tc>
        <w:tc>
          <w:tcPr>
            <w:tcW w:w="4651" w:type="dxa"/>
            <w:shd w:val="clear" w:color="auto" w:fill="auto"/>
          </w:tcPr>
          <w:p w:rsidR="00576481" w:rsidRDefault="00576481" w:rsidP="00BA1350">
            <w:pPr>
              <w:pStyle w:val="BodyTextSPC"/>
            </w:pPr>
            <w:r>
              <w:t>Časté</w:t>
            </w:r>
          </w:p>
        </w:tc>
      </w:tr>
    </w:tbl>
    <w:p w:rsidR="00576481" w:rsidRDefault="00576481" w:rsidP="00576481">
      <w:pPr>
        <w:pStyle w:val="BodyTextSPC"/>
      </w:pPr>
    </w:p>
    <w:p w:rsidR="00576481" w:rsidRDefault="00576481" w:rsidP="00576481">
      <w:pPr>
        <w:pStyle w:val="BodyTextSPC"/>
      </w:pPr>
      <w:r w:rsidRPr="002D5990">
        <w:t>Nasledovné nežiaduce reakcie boli hlásené počas sledovania po uvedení na trh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F87635" w:rsidRDefault="00576481" w:rsidP="00130361">
            <w:pPr>
              <w:pStyle w:val="BodyTextSPC"/>
              <w:rPr>
                <w:b/>
                <w:lang w:eastAsia="de-DE"/>
              </w:rPr>
            </w:pPr>
            <w:r>
              <w:rPr>
                <w:b/>
              </w:rPr>
              <w:t>Nežiaduce reakcie</w:t>
            </w:r>
            <w:r w:rsidRPr="00F87635">
              <w:rPr>
                <w:b/>
                <w:lang w:eastAsia="de-DE"/>
              </w:rPr>
              <w:t>*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  <w:lang w:eastAsia="de-DE"/>
              </w:rPr>
            </w:pPr>
            <w:r w:rsidRPr="003B4637">
              <w:rPr>
                <w:i/>
              </w:rPr>
              <w:t>Poruchy imunitného systému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Default="00576481" w:rsidP="00BA1350">
            <w:pPr>
              <w:pStyle w:val="BodyTextSPC"/>
              <w:rPr>
                <w:lang w:eastAsia="de-DE"/>
              </w:rPr>
            </w:pPr>
            <w:r w:rsidRPr="002D5990">
              <w:t>Precitlivenosť, anafylaktická reakcia</w:t>
            </w:r>
            <w:r w:rsidR="00333797">
              <w:t xml:space="preserve"> vrátane šoku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  <w:lang w:eastAsia="de-DE"/>
              </w:rPr>
            </w:pPr>
            <w:r w:rsidRPr="003B4637">
              <w:rPr>
                <w:i/>
              </w:rPr>
              <w:t>Poruchy metabolizmu a výživy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Default="00576481" w:rsidP="00BA1350">
            <w:pPr>
              <w:pStyle w:val="BodyTextSPC"/>
              <w:rPr>
                <w:lang w:eastAsia="de-DE"/>
              </w:rPr>
            </w:pPr>
            <w:r w:rsidRPr="002D5990">
              <w:t>Znížená chuť do jedla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  <w:lang w:eastAsia="de-DE"/>
              </w:rPr>
            </w:pPr>
            <w:r w:rsidRPr="003B4637">
              <w:rPr>
                <w:i/>
              </w:rPr>
              <w:t>Poruchy nervového systému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Default="00576481" w:rsidP="00BA1350">
            <w:pPr>
              <w:pStyle w:val="BodyTextSPC"/>
              <w:rPr>
                <w:lang w:eastAsia="de-DE"/>
              </w:rPr>
            </w:pPr>
            <w:r w:rsidRPr="002D5990">
              <w:t>Parestézia, točenie hlavy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  <w:lang w:eastAsia="de-DE"/>
              </w:rPr>
            </w:pPr>
            <w:r w:rsidRPr="003B4637">
              <w:rPr>
                <w:i/>
              </w:rPr>
              <w:t>Poruchy gastrointestinálneho traktu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Pr="00CB6974" w:rsidRDefault="00576481" w:rsidP="00576481">
            <w:pPr>
              <w:pStyle w:val="BodyTextSPC"/>
            </w:pPr>
            <w:r w:rsidRPr="002D5990">
              <w:t xml:space="preserve">Flatulencia, </w:t>
            </w:r>
            <w:r>
              <w:t>d</w:t>
            </w:r>
            <w:r w:rsidRPr="002D5990">
              <w:t>istenzia</w:t>
            </w:r>
            <w:r>
              <w:t xml:space="preserve"> brucha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576481" w:rsidRDefault="00576481" w:rsidP="00BA1350">
            <w:pPr>
              <w:pStyle w:val="BodyTextSPC"/>
              <w:rPr>
                <w:i/>
              </w:rPr>
            </w:pPr>
            <w:r w:rsidRPr="003B4637">
              <w:rPr>
                <w:i/>
              </w:rPr>
              <w:t>Poruchy kože a podkožného tkaniva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Pr="00CB6974" w:rsidRDefault="00ED2D61" w:rsidP="00BA1350">
            <w:pPr>
              <w:pStyle w:val="BodyTextSPC"/>
            </w:pPr>
            <w:r w:rsidRPr="002D5990">
              <w:lastRenderedPageBreak/>
              <w:t>Dermatitída, svrbenie, žihľavka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ED2D61" w:rsidRDefault="00ED2D61" w:rsidP="00BA1350">
            <w:pPr>
              <w:pStyle w:val="BodyTextSPC"/>
              <w:rPr>
                <w:i/>
              </w:rPr>
            </w:pPr>
            <w:r w:rsidRPr="003B4637">
              <w:rPr>
                <w:i/>
              </w:rPr>
              <w:t>Poruchy kostrovej a svalovej sústavy a spojivového tkaniva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Pr="00CB6974" w:rsidRDefault="00ED2D61" w:rsidP="00BA1350">
            <w:pPr>
              <w:pStyle w:val="BodyTextSPC"/>
            </w:pPr>
            <w:r w:rsidRPr="002D5990">
              <w:t>Artralgia, myalgia, bolesť chrbta</w:t>
            </w:r>
          </w:p>
        </w:tc>
      </w:tr>
      <w:tr w:rsidR="00576481" w:rsidRPr="00F87635" w:rsidTr="00BA1350">
        <w:tc>
          <w:tcPr>
            <w:tcW w:w="9301" w:type="dxa"/>
            <w:shd w:val="clear" w:color="auto" w:fill="auto"/>
          </w:tcPr>
          <w:p w:rsidR="00576481" w:rsidRPr="00ED2D61" w:rsidRDefault="00ED2D61" w:rsidP="00BA1350">
            <w:pPr>
              <w:pStyle w:val="BodyTextSPC"/>
              <w:rPr>
                <w:i/>
              </w:rPr>
            </w:pPr>
            <w:r w:rsidRPr="003B4637">
              <w:rPr>
                <w:i/>
              </w:rPr>
              <w:t>Celkové poruchy a reakcie v mieste podania</w:t>
            </w:r>
          </w:p>
        </w:tc>
      </w:tr>
      <w:tr w:rsidR="00576481" w:rsidTr="00BA1350">
        <w:tc>
          <w:tcPr>
            <w:tcW w:w="9301" w:type="dxa"/>
            <w:shd w:val="clear" w:color="auto" w:fill="auto"/>
          </w:tcPr>
          <w:p w:rsidR="00576481" w:rsidRPr="00CB6974" w:rsidRDefault="00ED2D61" w:rsidP="00BA1350">
            <w:pPr>
              <w:pStyle w:val="BodyTextSPC"/>
            </w:pPr>
            <w:r w:rsidRPr="002D5990">
              <w:t>Asténia, malátnosť, únava, triaška, ochorenie podobné chrípke</w:t>
            </w:r>
          </w:p>
        </w:tc>
      </w:tr>
    </w:tbl>
    <w:p w:rsidR="00576481" w:rsidRDefault="00576481" w:rsidP="00576481">
      <w:pPr>
        <w:pStyle w:val="BodyTextSPC"/>
        <w:rPr>
          <w:lang w:eastAsia="de-DE"/>
        </w:rPr>
      </w:pPr>
      <w:r>
        <w:rPr>
          <w:lang w:eastAsia="de-DE"/>
        </w:rPr>
        <w:t>*</w:t>
      </w:r>
      <w:r w:rsidR="00ED2D61">
        <w:rPr>
          <w:lang w:eastAsia="de-DE"/>
        </w:rPr>
        <w:t>Keďže sú tieto reakcie hlásené spontánne po uvedení lieku na trh z populácie neznámej veľkosti, nie je možné určiť ich frekvenciu. Preto je frekvencia týchto reakcií neznáma.</w:t>
      </w:r>
    </w:p>
    <w:p w:rsidR="0094254B" w:rsidRDefault="0094254B" w:rsidP="0094254B">
      <w:pPr>
        <w:pStyle w:val="BodyTextSPC"/>
      </w:pPr>
    </w:p>
    <w:p w:rsidR="00333797" w:rsidRPr="00333797" w:rsidRDefault="00333797" w:rsidP="0094254B">
      <w:pPr>
        <w:pStyle w:val="BodyTextSPC"/>
        <w:rPr>
          <w:u w:val="single"/>
        </w:rPr>
      </w:pPr>
      <w:r w:rsidRPr="00333797">
        <w:rPr>
          <w:u w:val="single"/>
        </w:rPr>
        <w:t>Pediatrická populácia</w:t>
      </w:r>
    </w:p>
    <w:p w:rsidR="00333797" w:rsidRDefault="00333797" w:rsidP="0094254B">
      <w:pPr>
        <w:pStyle w:val="BodyTextSPC"/>
      </w:pPr>
      <w:r>
        <w:t>Očakáva sa, že frekvencia, typ a závažnosť nežiaducich reakcií u detí budú rovnaké ako u dospelých.</w:t>
      </w:r>
    </w:p>
    <w:p w:rsidR="00333797" w:rsidRPr="002D5990" w:rsidRDefault="00333797" w:rsidP="0094254B">
      <w:pPr>
        <w:pStyle w:val="BodyTextSPC"/>
      </w:pPr>
    </w:p>
    <w:p w:rsidR="0094254B" w:rsidRPr="002D5990" w:rsidRDefault="0094254B" w:rsidP="0094254B">
      <w:pPr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2D5990">
        <w:rPr>
          <w:u w:val="single"/>
        </w:rPr>
        <w:t>Hlásenie podozrení na nežiaduce reakcie</w:t>
      </w:r>
    </w:p>
    <w:p w:rsidR="0094254B" w:rsidRDefault="0094254B" w:rsidP="0094254B">
      <w:pPr>
        <w:pStyle w:val="BodyTextSPC"/>
      </w:pPr>
      <w:r w:rsidRPr="002D5990"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650F28">
        <w:t xml:space="preserve">na </w:t>
      </w:r>
      <w:r w:rsidR="00167582" w:rsidRPr="00557901">
        <w:rPr>
          <w:highlight w:val="lightGray"/>
        </w:rPr>
        <w:t>národné centrum hlásenia uvedené v</w:t>
      </w:r>
      <w:r w:rsidR="00167582" w:rsidRPr="00557901">
        <w:rPr>
          <w:rFonts w:ascii="Open Sans" w:hAnsi="Open Sans"/>
          <w:b/>
          <w:bCs/>
          <w:color w:val="3A3A3B"/>
          <w:sz w:val="21"/>
          <w:szCs w:val="21"/>
          <w:highlight w:val="lightGray"/>
          <w:shd w:val="clear" w:color="auto" w:fill="FFFFFF"/>
        </w:rPr>
        <w:t> </w:t>
      </w:r>
      <w:hyperlink r:id="rId8" w:history="1">
        <w:r w:rsidR="00167582" w:rsidRPr="00557901">
          <w:rPr>
            <w:rStyle w:val="Hypertextovprepojenie"/>
            <w:bCs/>
            <w:color w:val="0A80F1"/>
            <w:szCs w:val="22"/>
            <w:highlight w:val="lightGray"/>
            <w:shd w:val="clear" w:color="auto" w:fill="FFFFFF"/>
          </w:rPr>
          <w:t>Prílohe V</w:t>
        </w:r>
      </w:hyperlink>
      <w:r w:rsidR="00167582" w:rsidRPr="00557901">
        <w:rPr>
          <w:highlight w:val="lightGray"/>
        </w:rPr>
        <w:t>.</w:t>
      </w:r>
    </w:p>
    <w:p w:rsidR="00167582" w:rsidRPr="002D5990" w:rsidRDefault="00167582" w:rsidP="0094254B">
      <w:pPr>
        <w:pStyle w:val="BodyTextSPC"/>
      </w:pPr>
    </w:p>
    <w:p w:rsidR="0094254B" w:rsidRPr="002D5990" w:rsidRDefault="0094254B" w:rsidP="0094254B">
      <w:pPr>
        <w:spacing w:line="240" w:lineRule="auto"/>
        <w:ind w:left="567" w:hanging="567"/>
        <w:outlineLvl w:val="0"/>
        <w:rPr>
          <w:szCs w:val="22"/>
        </w:rPr>
      </w:pPr>
      <w:r w:rsidRPr="002D5990">
        <w:rPr>
          <w:b/>
        </w:rPr>
        <w:t>4.9</w:t>
      </w:r>
      <w:r w:rsidRPr="002D5990">
        <w:rPr>
          <w:b/>
        </w:rPr>
        <w:tab/>
        <w:t>Predávkovanie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6802AA">
      <w:pPr>
        <w:pStyle w:val="BodyTextSPC"/>
      </w:pPr>
      <w:r w:rsidRPr="002D5990">
        <w:t xml:space="preserve">Boli </w:t>
      </w:r>
      <w:r w:rsidR="00167582">
        <w:t>zaznamenané</w:t>
      </w:r>
      <w:r w:rsidRPr="002D5990">
        <w:t xml:space="preserve"> </w:t>
      </w:r>
      <w:r w:rsidR="00ED62BA">
        <w:t>príležitostné</w:t>
      </w:r>
      <w:r w:rsidRPr="002D5990">
        <w:t xml:space="preserve"> hlásenia o predávkovaní, </w:t>
      </w:r>
      <w:r w:rsidR="006802AA">
        <w:t>t</w:t>
      </w:r>
      <w:r w:rsidRPr="002D5990">
        <w:t>.</w:t>
      </w:r>
      <w:r w:rsidR="00167582">
        <w:t xml:space="preserve"> </w:t>
      </w:r>
      <w:r w:rsidR="006802AA">
        <w:t>j.</w:t>
      </w:r>
      <w:r w:rsidRPr="002D5990">
        <w:t xml:space="preserve"> užitie dvoch alebo viacerých kapsúl súčasne. Hlásené príznaky sa nelíšili od príznakov pri odporúčanom dávkovaní. </w:t>
      </w:r>
    </w:p>
    <w:p w:rsidR="0094254B" w:rsidRDefault="0094254B" w:rsidP="0094254B">
      <w:pPr>
        <w:pStyle w:val="BodyTextSPC"/>
      </w:pPr>
    </w:p>
    <w:p w:rsidR="00ED2D61" w:rsidRPr="002D5990" w:rsidRDefault="00ED2D61" w:rsidP="0094254B">
      <w:pPr>
        <w:pStyle w:val="BodyTextSPC"/>
      </w:pPr>
    </w:p>
    <w:p w:rsidR="0094254B" w:rsidRPr="002D5990" w:rsidRDefault="0094254B" w:rsidP="0094254B">
      <w:pPr>
        <w:pStyle w:val="Nadpis1"/>
        <w:rPr>
          <w:bCs/>
          <w:caps/>
        </w:rPr>
      </w:pPr>
      <w:r w:rsidRPr="002D5990">
        <w:rPr>
          <w:caps/>
        </w:rPr>
        <w:t>5.</w:t>
      </w:r>
      <w:r w:rsidRPr="002D5990">
        <w:rPr>
          <w:caps/>
        </w:rPr>
        <w:tab/>
        <w:t>FARMAKOLOGICKÉ VLASTNOSTI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5.1</w:t>
      </w:r>
      <w:r w:rsidRPr="002D5990">
        <w:tab/>
        <w:t>Farmakodynamické vlastnosti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Farma</w:t>
      </w:r>
      <w:r w:rsidR="006802AA">
        <w:t xml:space="preserve">koterapeutická skupina: </w:t>
      </w:r>
      <w:r w:rsidR="00472536">
        <w:t>b</w:t>
      </w:r>
      <w:r w:rsidRPr="002D5990">
        <w:t>akteriálne očkovacie látky, ATC kód: J07AP01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rPr>
          <w:u w:val="single"/>
        </w:rPr>
      </w:pPr>
      <w:r w:rsidRPr="002D5990">
        <w:rPr>
          <w:u w:val="single"/>
        </w:rPr>
        <w:t>Mechanizmus účinku</w:t>
      </w:r>
    </w:p>
    <w:p w:rsidR="0094254B" w:rsidRPr="002D5990" w:rsidRDefault="0094254B" w:rsidP="0094254B">
      <w:pPr>
        <w:pStyle w:val="BodyTextSPC"/>
        <w:rPr>
          <w:u w:val="single"/>
        </w:rPr>
      </w:pPr>
    </w:p>
    <w:p w:rsidR="0094254B" w:rsidRPr="002D5990" w:rsidRDefault="0094254B" w:rsidP="0094254B">
      <w:pPr>
        <w:pStyle w:val="BodyTextSPC"/>
      </w:pPr>
      <w:r w:rsidRPr="002D5990">
        <w:t xml:space="preserve">Na rozdiel od virulentnej </w:t>
      </w:r>
      <w:r w:rsidRPr="002D5990">
        <w:rPr>
          <w:i/>
        </w:rPr>
        <w:t>S</w:t>
      </w:r>
      <w:r w:rsidRPr="002D5990">
        <w:t xml:space="preserve">. </w:t>
      </w:r>
      <w:r w:rsidRPr="00CC2765">
        <w:t>Typhi</w:t>
      </w:r>
      <w:r w:rsidRPr="002D5990">
        <w:t xml:space="preserve">, ktorá môže spôsobiť systémové ochorenie, vakcínový kmeň Ty21a je oslabený následkom neprítomnosti </w:t>
      </w:r>
      <w:r w:rsidR="002F268C">
        <w:t xml:space="preserve">Vi </w:t>
      </w:r>
      <w:r w:rsidRPr="002D5990">
        <w:t xml:space="preserve">kapsulárneho polysacharidového faktora virulencie a </w:t>
      </w:r>
      <w:r w:rsidR="002F268C" w:rsidRPr="002D5990">
        <w:t>mutáci</w:t>
      </w:r>
      <w:r w:rsidR="002F268C">
        <w:t>ou</w:t>
      </w:r>
      <w:r w:rsidR="002F268C" w:rsidRPr="002D5990">
        <w:t xml:space="preserve"> </w:t>
      </w:r>
      <w:r w:rsidRPr="002D5990">
        <w:rPr>
          <w:i/>
        </w:rPr>
        <w:t>galE</w:t>
      </w:r>
      <w:r w:rsidRPr="002D5990">
        <w:t>, ktorá spôsobuje nevratné zmen</w:t>
      </w:r>
      <w:r w:rsidR="006802AA">
        <w:t xml:space="preserve">y v biosyntéze bunkovej steny. </w:t>
      </w:r>
      <w:r w:rsidRPr="002D5990">
        <w:t xml:space="preserve">Mutácia </w:t>
      </w:r>
      <w:r w:rsidRPr="002D5990">
        <w:rPr>
          <w:i/>
        </w:rPr>
        <w:t>galE</w:t>
      </w:r>
      <w:r w:rsidRPr="002D5990">
        <w:t xml:space="preserve"> limituje replikáciu </w:t>
      </w:r>
      <w:r w:rsidRPr="002D5990">
        <w:rPr>
          <w:i/>
        </w:rPr>
        <w:t>in vivo</w:t>
      </w:r>
      <w:r w:rsidRPr="002D5990">
        <w:t xml:space="preserve"> prostredníctvom akumulácie toxických metabolitov, ktoré spôs</w:t>
      </w:r>
      <w:r w:rsidR="006802AA">
        <w:t xml:space="preserve">obujú lýzu bakteriálnej bunky. </w:t>
      </w:r>
      <w:r w:rsidRPr="002D5990">
        <w:t xml:space="preserve">Vakcínový kmeň Ty21a tak zostáva </w:t>
      </w:r>
      <w:r w:rsidR="00E033F6">
        <w:t>lokálne</w:t>
      </w:r>
      <w:r w:rsidRPr="002D5990">
        <w:t xml:space="preserve"> v čreve a po požití obvyklej dávky ho nemožno zis</w:t>
      </w:r>
      <w:r w:rsidR="006802AA">
        <w:t xml:space="preserve">tiť systémovo alebo v stolici. </w:t>
      </w:r>
      <w:r w:rsidRPr="002D5990">
        <w:t xml:space="preserve">Ty21a spúšťa humorálnu a bunkovú imunitu </w:t>
      </w:r>
      <w:r w:rsidR="00E033F6">
        <w:t>lokálne</w:t>
      </w:r>
      <w:r w:rsidRPr="002D5990">
        <w:t xml:space="preserve"> aj systémovo. </w:t>
      </w:r>
      <w:r w:rsidR="00ED2D61">
        <w:t xml:space="preserve">Konkrétne, Ty21a indukuje IgA </w:t>
      </w:r>
      <w:r w:rsidR="00CF2D08">
        <w:t>proti</w:t>
      </w:r>
      <w:r w:rsidR="00ED2D61">
        <w:t xml:space="preserve"> O</w:t>
      </w:r>
      <w:r w:rsidR="00E033F6">
        <w:t> </w:t>
      </w:r>
      <w:r w:rsidR="00ED2D61">
        <w:t>antigén</w:t>
      </w:r>
      <w:r w:rsidR="00CF2D08">
        <w:t>u</w:t>
      </w:r>
      <w:r w:rsidR="00E033F6">
        <w:t xml:space="preserve"> druhu </w:t>
      </w:r>
      <w:r w:rsidR="00E033F6" w:rsidRPr="00BA7430">
        <w:rPr>
          <w:i/>
        </w:rPr>
        <w:t>Salmonella</w:t>
      </w:r>
      <w:r w:rsidR="00D45E93">
        <w:t>, ako aj bunky vylučujúce protilátky (</w:t>
      </w:r>
      <w:r w:rsidR="00D45E93" w:rsidRPr="00D972E5">
        <w:t>antibody-secreting cells</w:t>
      </w:r>
      <w:r w:rsidR="00D45E93">
        <w:t xml:space="preserve">, ASCs) a polyfunkčné CD4+ a CD8+ </w:t>
      </w:r>
      <w:r w:rsidR="00FC4B53">
        <w:t xml:space="preserve">T </w:t>
      </w:r>
      <w:r w:rsidR="00D45E93" w:rsidRPr="00FC4B53">
        <w:t>bunky s fenotypom</w:t>
      </w:r>
      <w:r w:rsidR="00D45E93">
        <w:t xml:space="preserve">, ktorý sa udomácňuje v črevách. Odpovede </w:t>
      </w:r>
      <w:r w:rsidR="00AB5C4A">
        <w:t xml:space="preserve">vo forme </w:t>
      </w:r>
      <w:r w:rsidR="00D45E93">
        <w:t xml:space="preserve">IgA a CD8+ </w:t>
      </w:r>
      <w:r w:rsidR="00763182">
        <w:t>sa dajú zistiť v gastrointestinálnom trakte do 2 rokov po vakcinácii s Ty21a.</w:t>
      </w:r>
    </w:p>
    <w:p w:rsidR="0094254B" w:rsidRPr="002D5990" w:rsidRDefault="0094254B" w:rsidP="0094254B">
      <w:pPr>
        <w:pStyle w:val="BodyTextSPC"/>
      </w:pPr>
    </w:p>
    <w:p w:rsidR="0094254B" w:rsidRDefault="00763182" w:rsidP="006802AA">
      <w:pPr>
        <w:pStyle w:val="BodyTextSPC"/>
      </w:pPr>
      <w:r>
        <w:t>B</w:t>
      </w:r>
      <w:r w:rsidR="0094254B" w:rsidRPr="002D5990">
        <w:t xml:space="preserve">ola vykonaná štúdia </w:t>
      </w:r>
      <w:r w:rsidR="00AB5C4A">
        <w:t>s umýselne vyvolanou</w:t>
      </w:r>
      <w:r w:rsidR="0094254B" w:rsidRPr="002D5990">
        <w:t xml:space="preserve"> infekci</w:t>
      </w:r>
      <w:r w:rsidR="00AB5C4A">
        <w:t>ou</w:t>
      </w:r>
      <w:r w:rsidR="0094254B" w:rsidRPr="002D5990">
        <w:t xml:space="preserve"> bez kontroly placebom </w:t>
      </w:r>
      <w:r>
        <w:t xml:space="preserve">so včasnou formuláciou a dávkovacím režimom Ty21a </w:t>
      </w:r>
      <w:r w:rsidR="0094254B" w:rsidRPr="002D5990">
        <w:t xml:space="preserve">na jedincoch v Spojených štátoch, ktorá po vakcinácii preukázala </w:t>
      </w:r>
      <w:r>
        <w:t xml:space="preserve">87 % </w:t>
      </w:r>
      <w:r w:rsidR="0094254B" w:rsidRPr="002D5990">
        <w:t xml:space="preserve">ochranu pred virulentnou </w:t>
      </w:r>
      <w:r w:rsidR="0094254B" w:rsidRPr="002D5990">
        <w:rPr>
          <w:i/>
        </w:rPr>
        <w:t>S</w:t>
      </w:r>
      <w:r w:rsidR="0094254B" w:rsidRPr="002D5990">
        <w:t xml:space="preserve">. </w:t>
      </w:r>
      <w:r w:rsidR="0094254B" w:rsidRPr="00CC2765">
        <w:t>Typhi</w:t>
      </w:r>
      <w:r w:rsidR="0094254B" w:rsidRPr="002D5990">
        <w:t>.</w:t>
      </w:r>
    </w:p>
    <w:p w:rsidR="00763182" w:rsidRDefault="00763182" w:rsidP="006802AA">
      <w:pPr>
        <w:pStyle w:val="BodyTextSPC"/>
      </w:pPr>
    </w:p>
    <w:p w:rsidR="00763182" w:rsidRPr="002D5990" w:rsidRDefault="00763182" w:rsidP="006802AA">
      <w:pPr>
        <w:pStyle w:val="BodyTextSPC"/>
      </w:pPr>
      <w:r>
        <w:t xml:space="preserve">V randomizovaných kontrolovaných klinických skúšaniach nebola preukázaná klinická ochrana pred inými črevnými mikroorganizmami spôsobujúcimi horúčku, vrátane </w:t>
      </w:r>
      <w:r w:rsidRPr="003B4637">
        <w:rPr>
          <w:i/>
        </w:rPr>
        <w:t>S.</w:t>
      </w:r>
      <w:r>
        <w:t xml:space="preserve"> </w:t>
      </w:r>
      <w:r w:rsidRPr="00CC2765">
        <w:t>Paratyphi</w:t>
      </w:r>
      <w:r w:rsidRPr="009E574A">
        <w:t>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6802AA">
      <w:pPr>
        <w:pStyle w:val="BodyTextSPC"/>
      </w:pPr>
      <w:r w:rsidRPr="002D5990">
        <w:t>V skúšaní v teréne sa ukázalo, že dávkovacia schéma troch dávok gastrorezistentných kapsúl užívaných každý druhý deň má ochrannú účinnosť 71</w:t>
      </w:r>
      <w:r w:rsidR="006802AA">
        <w:t> </w:t>
      </w:r>
      <w:r w:rsidRPr="002D5990">
        <w:t>% (95</w:t>
      </w:r>
      <w:r w:rsidR="006802AA">
        <w:t> </w:t>
      </w:r>
      <w:r w:rsidR="005E56CF">
        <w:t>% IS 35 % - 87 </w:t>
      </w:r>
      <w:r w:rsidRPr="002D5990">
        <w:t>%) počas prvého roka po vakcinácii, 67</w:t>
      </w:r>
      <w:r w:rsidR="006802AA">
        <w:t> </w:t>
      </w:r>
      <w:r w:rsidRPr="002D5990">
        <w:t>% (95</w:t>
      </w:r>
      <w:r w:rsidR="006802AA">
        <w:t> </w:t>
      </w:r>
      <w:r w:rsidR="005E56CF">
        <w:t>% IS 47 </w:t>
      </w:r>
      <w:r w:rsidRPr="002D5990">
        <w:t>% - 79</w:t>
      </w:r>
      <w:r w:rsidR="006802AA">
        <w:t> </w:t>
      </w:r>
      <w:r w:rsidRPr="002D5990">
        <w:t>%)</w:t>
      </w:r>
      <w:r w:rsidR="005E56CF">
        <w:t xml:space="preserve"> počas trojročného </w:t>
      </w:r>
      <w:r w:rsidR="00B11AC3">
        <w:t xml:space="preserve">sledovania </w:t>
      </w:r>
      <w:r w:rsidR="005E56CF">
        <w:t>a ochranu 62 </w:t>
      </w:r>
      <w:r w:rsidRPr="002D5990">
        <w:t>% (95</w:t>
      </w:r>
      <w:r w:rsidR="006802AA">
        <w:t> </w:t>
      </w:r>
      <w:r w:rsidRPr="002D5990">
        <w:t>% IS 48</w:t>
      </w:r>
      <w:r w:rsidR="006802AA">
        <w:t> </w:t>
      </w:r>
      <w:r w:rsidRPr="002D5990">
        <w:t>% - 73</w:t>
      </w:r>
      <w:r w:rsidR="006802AA">
        <w:t> </w:t>
      </w:r>
      <w:r w:rsidRPr="002D5990">
        <w:t xml:space="preserve">%) počas sedemročného sledovania. </w:t>
      </w:r>
    </w:p>
    <w:p w:rsidR="0094254B" w:rsidRPr="002D5990" w:rsidRDefault="0094254B" w:rsidP="0094254B">
      <w:pPr>
        <w:pStyle w:val="BodyTextSPC"/>
      </w:pPr>
    </w:p>
    <w:p w:rsidR="0094254B" w:rsidRDefault="0094254B" w:rsidP="006802AA">
      <w:pPr>
        <w:pStyle w:val="BodyTextSPC"/>
      </w:pPr>
      <w:r w:rsidRPr="002D5990">
        <w:t xml:space="preserve">Celý cyklus vakcinácie pozostáva z požitia troch kapsúl v 1., 3. a 5. deň. Optimálna imunitná odpoveď sa nemusí dosiahnuť, pokiaľ sa nedokončí celá vakcinačná schéma. Ukázalo sa, že dve dávky majú </w:t>
      </w:r>
      <w:r w:rsidRPr="002D5990">
        <w:lastRenderedPageBreak/>
        <w:t>účinnosť 59</w:t>
      </w:r>
      <w:r w:rsidR="006802AA">
        <w:t> </w:t>
      </w:r>
      <w:r w:rsidRPr="002D5990">
        <w:t>% (95</w:t>
      </w:r>
      <w:r w:rsidR="006802AA">
        <w:t> </w:t>
      </w:r>
      <w:r w:rsidRPr="002D5990">
        <w:t>% IS 41</w:t>
      </w:r>
      <w:r w:rsidR="006802AA">
        <w:t> </w:t>
      </w:r>
      <w:r w:rsidRPr="002D5990">
        <w:t>% - 71</w:t>
      </w:r>
      <w:r w:rsidR="006802AA">
        <w:t> </w:t>
      </w:r>
      <w:r w:rsidRPr="002D5990">
        <w:t>%)</w:t>
      </w:r>
      <w:r w:rsidR="005E56CF">
        <w:t xml:space="preserve"> a jedna dávka mala účinnosť 29 </w:t>
      </w:r>
      <w:r w:rsidRPr="002D5990">
        <w:t>% (95</w:t>
      </w:r>
      <w:r w:rsidR="006802AA">
        <w:t> </w:t>
      </w:r>
      <w:r w:rsidRPr="002D5990">
        <w:t>% IS 4</w:t>
      </w:r>
      <w:r w:rsidR="006802AA">
        <w:t> </w:t>
      </w:r>
      <w:r w:rsidRPr="002D5990">
        <w:t>% - 47</w:t>
      </w:r>
      <w:r w:rsidR="006802AA">
        <w:t> </w:t>
      </w:r>
      <w:r w:rsidRPr="002D5990">
        <w:t xml:space="preserve">%) počas dvojročného sledovania.  </w:t>
      </w:r>
    </w:p>
    <w:p w:rsidR="00CE292D" w:rsidRDefault="00CE292D" w:rsidP="006802AA">
      <w:pPr>
        <w:pStyle w:val="BodyTextSPC"/>
      </w:pPr>
    </w:p>
    <w:p w:rsidR="00CE292D" w:rsidRPr="002D5990" w:rsidRDefault="00CE292D" w:rsidP="006802AA">
      <w:pPr>
        <w:pStyle w:val="BodyTextSPC"/>
      </w:pPr>
      <w:r>
        <w:t xml:space="preserve">Revakcinačné štúdie </w:t>
      </w:r>
      <w:r w:rsidR="00B11AC3">
        <w:t>u</w:t>
      </w:r>
      <w:r>
        <w:t xml:space="preserve"> zdravých dobrovoľníko</w:t>
      </w:r>
      <w:r w:rsidR="00B11AC3">
        <w:t>v</w:t>
      </w:r>
      <w:r>
        <w:t xml:space="preserve"> preukázali, že </w:t>
      </w:r>
      <w:r w:rsidR="00B11AC3">
        <w:t>lokálna</w:t>
      </w:r>
      <w:r>
        <w:t xml:space="preserve"> humorálna a</w:t>
      </w:r>
      <w:r w:rsidR="00B11AC3">
        <w:t> </w:t>
      </w:r>
      <w:r>
        <w:t>bunk</w:t>
      </w:r>
      <w:r w:rsidR="00B11AC3">
        <w:t>ami sprostredkovaná</w:t>
      </w:r>
      <w:r>
        <w:t xml:space="preserve"> imunita indukovan</w:t>
      </w:r>
      <w:r w:rsidR="00B11AC3">
        <w:t>á</w:t>
      </w:r>
      <w:r>
        <w:t xml:space="preserve"> primárnou vakcináciou pretrváva počas aspoň troch rokov. </w:t>
      </w:r>
      <w:r w:rsidR="00FC0610">
        <w:t xml:space="preserve">Klinická významnosť týchto pozorovaní nie je jasná, pretože nie je k dispozícii žiaden imunologický korelát ochrany. </w:t>
      </w:r>
      <w:r>
        <w:t xml:space="preserve">Terénna štúdia vykonaná v oblasti s endemickým výskytom týfusu preukázala 62 % ochranu (95 % IS 48 % - 73 %) </w:t>
      </w:r>
      <w:r w:rsidR="00FC0610">
        <w:t xml:space="preserve">počas siedmich </w:t>
      </w:r>
      <w:r>
        <w:t>rokov po vakcinácii.</w:t>
      </w:r>
    </w:p>
    <w:p w:rsidR="0094254B" w:rsidRPr="002D5990" w:rsidRDefault="0094254B" w:rsidP="0094254B">
      <w:pPr>
        <w:pStyle w:val="BodyTextSPC"/>
      </w:pPr>
    </w:p>
    <w:p w:rsidR="0094254B" w:rsidRPr="00557901" w:rsidRDefault="0094254B" w:rsidP="00557901">
      <w:pPr>
        <w:pStyle w:val="BodyTextSPC"/>
      </w:pPr>
      <w:r w:rsidRPr="00557901">
        <w:rPr>
          <w:b/>
        </w:rPr>
        <w:t>5.2</w:t>
      </w:r>
      <w:r w:rsidRPr="00557901">
        <w:rPr>
          <w:b/>
        </w:rPr>
        <w:tab/>
        <w:t>Farmakokinetické vlastnosti</w:t>
      </w:r>
    </w:p>
    <w:p w:rsidR="0094254B" w:rsidRPr="002D5990" w:rsidRDefault="0094254B" w:rsidP="0094254B">
      <w:pPr>
        <w:pStyle w:val="BodyTextSPC"/>
      </w:pPr>
    </w:p>
    <w:p w:rsidR="0094254B" w:rsidRPr="002D5990" w:rsidRDefault="0021665B" w:rsidP="0094254B">
      <w:pPr>
        <w:pStyle w:val="BodyTextSPC"/>
      </w:pPr>
      <w:r>
        <w:t>Neaplikovateľné</w:t>
      </w:r>
      <w:r w:rsidR="0094254B" w:rsidRPr="002D5990">
        <w:t xml:space="preserve">. </w:t>
      </w:r>
    </w:p>
    <w:p w:rsidR="0094254B" w:rsidRPr="002D5990" w:rsidRDefault="0094254B" w:rsidP="0094254B">
      <w:pPr>
        <w:pStyle w:val="BodyTextSPC"/>
        <w:rPr>
          <w:b/>
          <w:szCs w:val="22"/>
        </w:rPr>
      </w:pPr>
    </w:p>
    <w:p w:rsidR="0094254B" w:rsidRPr="002D5990" w:rsidRDefault="0094254B" w:rsidP="0094254B">
      <w:pPr>
        <w:pStyle w:val="Heading2SPC"/>
      </w:pPr>
      <w:r w:rsidRPr="002D5990">
        <w:t>5.3</w:t>
      </w:r>
      <w:r w:rsidRPr="002D5990">
        <w:tab/>
        <w:t>Predklinické údaje o bezpečnosti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 xml:space="preserve">Pre </w:t>
      </w:r>
      <w:r w:rsidR="00650F28">
        <w:t>Vivotif</w:t>
      </w:r>
      <w:r w:rsidRPr="002D5990">
        <w:t xml:space="preserve"> nie sú k dispozícii žiadne predklinické údaje o bezpečnosti.</w:t>
      </w:r>
    </w:p>
    <w:p w:rsidR="0094254B" w:rsidRDefault="0094254B" w:rsidP="0094254B">
      <w:pPr>
        <w:pStyle w:val="BodyTextSPC"/>
      </w:pPr>
    </w:p>
    <w:p w:rsidR="0021665B" w:rsidRPr="002D5990" w:rsidRDefault="0021665B" w:rsidP="0094254B">
      <w:pPr>
        <w:pStyle w:val="BodyTextSPC"/>
      </w:pPr>
    </w:p>
    <w:p w:rsidR="0094254B" w:rsidRPr="002D5990" w:rsidRDefault="0094254B" w:rsidP="0094254B">
      <w:pPr>
        <w:pStyle w:val="Nadpis1"/>
      </w:pPr>
      <w:r w:rsidRPr="002D5990">
        <w:t>6.</w:t>
      </w:r>
      <w:r w:rsidRPr="002D5990">
        <w:tab/>
        <w:t>FARMACEUTICKÉ INFORMÁCIE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6.1</w:t>
      </w:r>
      <w:r w:rsidRPr="002D5990">
        <w:tab/>
        <w:t>Zoznam pomocných látok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 xml:space="preserve">Pomocné látky obsiahnuté v tomto </w:t>
      </w:r>
      <w:r w:rsidR="00B47AFE">
        <w:t>lieku</w:t>
      </w:r>
      <w:r w:rsidRPr="002D5990">
        <w:t xml:space="preserve"> sú nasledovné: 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Sacharóza</w:t>
      </w:r>
    </w:p>
    <w:p w:rsidR="0094254B" w:rsidRPr="002D5990" w:rsidRDefault="0094254B" w:rsidP="0094254B">
      <w:pPr>
        <w:pStyle w:val="BodyTextSPC"/>
      </w:pPr>
      <w:r w:rsidRPr="002D5990">
        <w:t>Kyselina askorbová (E300)</w:t>
      </w:r>
    </w:p>
    <w:p w:rsidR="0094254B" w:rsidRPr="002D5990" w:rsidRDefault="0094254B" w:rsidP="0094254B">
      <w:pPr>
        <w:pStyle w:val="BodyTextSPC"/>
      </w:pPr>
      <w:r w:rsidRPr="002D5990">
        <w:t xml:space="preserve">Kyslý kazeínový hydrolyzát </w:t>
      </w:r>
    </w:p>
    <w:p w:rsidR="0094254B" w:rsidRPr="002D5990" w:rsidRDefault="0094254B" w:rsidP="0094254B">
      <w:pPr>
        <w:pStyle w:val="BodyTextSPC"/>
      </w:pPr>
      <w:r w:rsidRPr="002D5990">
        <w:t>Bezvodá laktóza</w:t>
      </w:r>
    </w:p>
    <w:p w:rsidR="0094254B" w:rsidRPr="002D5990" w:rsidRDefault="0094254B" w:rsidP="0094254B">
      <w:pPr>
        <w:pStyle w:val="BodyTextSPC"/>
      </w:pPr>
      <w:r w:rsidRPr="002D5990">
        <w:t>Stearan horečnatý (E470)</w:t>
      </w:r>
    </w:p>
    <w:p w:rsidR="0094254B" w:rsidRPr="002D5990" w:rsidRDefault="0094254B" w:rsidP="0094254B">
      <w:pPr>
        <w:pStyle w:val="BodyTextSPC"/>
      </w:pPr>
    </w:p>
    <w:p w:rsidR="0094254B" w:rsidRPr="002D5990" w:rsidRDefault="0021665B" w:rsidP="0094254B">
      <w:pPr>
        <w:pStyle w:val="BodyTextSPC"/>
        <w:rPr>
          <w:i/>
        </w:rPr>
      </w:pPr>
      <w:r>
        <w:rPr>
          <w:i/>
        </w:rPr>
        <w:t>Obal k</w:t>
      </w:r>
      <w:r w:rsidR="0094254B" w:rsidRPr="002D5990">
        <w:rPr>
          <w:i/>
        </w:rPr>
        <w:t>apsul</w:t>
      </w:r>
      <w:r>
        <w:rPr>
          <w:i/>
        </w:rPr>
        <w:t>y</w:t>
      </w:r>
      <w:r w:rsidR="0094254B" w:rsidRPr="002D5990">
        <w:rPr>
          <w:i/>
        </w:rPr>
        <w:t>:</w:t>
      </w:r>
    </w:p>
    <w:p w:rsidR="0094254B" w:rsidRPr="002D5990" w:rsidRDefault="0094254B" w:rsidP="0094254B">
      <w:pPr>
        <w:pStyle w:val="BodyTextSPC"/>
      </w:pPr>
      <w:r w:rsidRPr="002D5990">
        <w:t xml:space="preserve">Želatína </w:t>
      </w:r>
    </w:p>
    <w:p w:rsidR="0094254B" w:rsidRPr="002D5990" w:rsidRDefault="0094254B" w:rsidP="0094254B">
      <w:pPr>
        <w:pStyle w:val="BodyTextSPC"/>
      </w:pPr>
      <w:r w:rsidRPr="002D5990">
        <w:t>Oxid titaničitý (E171)</w:t>
      </w:r>
    </w:p>
    <w:p w:rsidR="0094254B" w:rsidRPr="002D5990" w:rsidRDefault="0094254B" w:rsidP="0094254B">
      <w:pPr>
        <w:pStyle w:val="BodyTextSPC"/>
      </w:pPr>
      <w:r w:rsidRPr="002D5990">
        <w:t>Erytrozín (E127)</w:t>
      </w:r>
    </w:p>
    <w:p w:rsidR="0094254B" w:rsidRPr="002D5990" w:rsidRDefault="00BA7759" w:rsidP="0094254B">
      <w:pPr>
        <w:pStyle w:val="BodyTextSPC"/>
      </w:pPr>
      <w:r w:rsidRPr="00BA7430">
        <w:rPr>
          <w:caps/>
        </w:rPr>
        <w:t>ž</w:t>
      </w:r>
      <w:r w:rsidRPr="00BA7759">
        <w:t xml:space="preserve">ltý </w:t>
      </w:r>
      <w:r>
        <w:t>o</w:t>
      </w:r>
      <w:r w:rsidR="0094254B" w:rsidRPr="002D5990">
        <w:t>xid želez</w:t>
      </w:r>
      <w:r>
        <w:t>itý</w:t>
      </w:r>
      <w:r w:rsidR="0094254B" w:rsidRPr="002D5990">
        <w:t xml:space="preserve"> (E172)</w:t>
      </w:r>
    </w:p>
    <w:p w:rsidR="0094254B" w:rsidRPr="002D5990" w:rsidRDefault="00BA7759" w:rsidP="0094254B">
      <w:pPr>
        <w:pStyle w:val="BodyTextSPC"/>
      </w:pPr>
      <w:r w:rsidRPr="00BA7430">
        <w:rPr>
          <w:caps/>
        </w:rPr>
        <w:t>č</w:t>
      </w:r>
      <w:r w:rsidRPr="00BA7759">
        <w:t xml:space="preserve">ervený </w:t>
      </w:r>
      <w:r>
        <w:t>o</w:t>
      </w:r>
      <w:r w:rsidR="0094254B" w:rsidRPr="002D5990">
        <w:t>xid želez</w:t>
      </w:r>
      <w:r>
        <w:t>itý</w:t>
      </w:r>
      <w:r w:rsidR="0094254B" w:rsidRPr="002D5990">
        <w:t xml:space="preserve"> (E172)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  <w:rPr>
          <w:i/>
        </w:rPr>
      </w:pPr>
      <w:r w:rsidRPr="002D5990">
        <w:rPr>
          <w:i/>
        </w:rPr>
        <w:t>Povlak kapsuly:</w:t>
      </w:r>
    </w:p>
    <w:p w:rsidR="0094254B" w:rsidRPr="002D5990" w:rsidRDefault="0094254B" w:rsidP="0094254B">
      <w:pPr>
        <w:pStyle w:val="BodyTextSPC"/>
      </w:pPr>
      <w:r w:rsidRPr="002D5990">
        <w:t>Ftalát hydroxypropylmetylcelulózy</w:t>
      </w:r>
    </w:p>
    <w:p w:rsidR="0094254B" w:rsidRPr="002D5990" w:rsidRDefault="0094254B" w:rsidP="0094254B">
      <w:pPr>
        <w:pStyle w:val="BodyTextSPC"/>
      </w:pPr>
      <w:r w:rsidRPr="002D5990">
        <w:t>Etylénglykol</w:t>
      </w:r>
    </w:p>
    <w:p w:rsidR="0094254B" w:rsidRPr="002D5990" w:rsidRDefault="0094254B" w:rsidP="0094254B">
      <w:pPr>
        <w:pStyle w:val="BodyTextSPC"/>
      </w:pPr>
      <w:r w:rsidRPr="002D5990">
        <w:t>Dietylftalát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 xml:space="preserve">Táto vakcína tiež obsahuje inaktívne baktérie druhu </w:t>
      </w:r>
      <w:r w:rsidRPr="002D5990">
        <w:rPr>
          <w:i/>
        </w:rPr>
        <w:t>Salmonella</w:t>
      </w:r>
      <w:r w:rsidRPr="00BA7430">
        <w:rPr>
          <w:i/>
        </w:rPr>
        <w:t xml:space="preserve"> </w:t>
      </w:r>
      <w:r w:rsidRPr="00CC2765">
        <w:t>Typhi</w:t>
      </w:r>
      <w:r w:rsidRPr="002D5990">
        <w:t xml:space="preserve"> Ty21a.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6.2</w:t>
      </w:r>
      <w:r w:rsidRPr="002D5990">
        <w:tab/>
        <w:t>Inkompatibility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Neaplikovateľné.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6.3</w:t>
      </w:r>
      <w:r w:rsidRPr="002D5990">
        <w:tab/>
        <w:t>Čas použiteľnosti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18 mesiacov.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6.4</w:t>
      </w:r>
      <w:r w:rsidRPr="002D5990">
        <w:tab/>
        <w:t>Špeciálne upozornenia na uchovávanie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>Uchovávajte v chladničke (2</w:t>
      </w:r>
      <w:r w:rsidR="00557901">
        <w:t xml:space="preserve"> </w:t>
      </w:r>
      <w:r w:rsidRPr="002D5990">
        <w:sym w:font="Symbol" w:char="F0B0"/>
      </w:r>
      <w:r w:rsidRPr="002D5990">
        <w:t xml:space="preserve">C </w:t>
      </w:r>
      <w:r w:rsidRPr="002D5990">
        <w:rPr>
          <w:cs/>
        </w:rPr>
        <w:t xml:space="preserve">– </w:t>
      </w:r>
      <w:r w:rsidRPr="002D5990">
        <w:t>8</w:t>
      </w:r>
      <w:r w:rsidR="00557901">
        <w:t xml:space="preserve"> </w:t>
      </w:r>
      <w:r w:rsidRPr="002D5990">
        <w:sym w:font="Symbol" w:char="F0B0"/>
      </w:r>
      <w:r w:rsidRPr="002D5990">
        <w:t xml:space="preserve">C). </w:t>
      </w:r>
      <w:r w:rsidR="00C44773">
        <w:t>Blistrové</w:t>
      </w:r>
      <w:r w:rsidRPr="002D5990">
        <w:t xml:space="preserve"> balenie uchovávajte vo vonkajšom obale na ochranu pred svetlom.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r w:rsidRPr="002D5990">
        <w:t>6.5</w:t>
      </w:r>
      <w:r w:rsidRPr="002D5990">
        <w:tab/>
        <w:t>Druh obalu a obsah balenia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  <w:r w:rsidRPr="002D5990">
        <w:t xml:space="preserve">Papierová škatuľka s jedným </w:t>
      </w:r>
      <w:r w:rsidR="00C44773">
        <w:t>blistrovým</w:t>
      </w:r>
      <w:r w:rsidRPr="002D5990">
        <w:t xml:space="preserve"> balením. Každé </w:t>
      </w:r>
      <w:r w:rsidR="00C44773">
        <w:t>blistrové</w:t>
      </w:r>
      <w:r w:rsidRPr="002D5990">
        <w:t xml:space="preserve"> balenie obsahuje tri kapsuly.</w:t>
      </w:r>
      <w:r w:rsidR="0021665B">
        <w:t xml:space="preserve"> Veľkosť balenia: 3 dávky.</w:t>
      </w:r>
    </w:p>
    <w:p w:rsidR="0094254B" w:rsidRPr="002D5990" w:rsidRDefault="00C44773" w:rsidP="0094254B">
      <w:pPr>
        <w:pStyle w:val="BodyTextSPC"/>
      </w:pPr>
      <w:r>
        <w:t>Blistrové</w:t>
      </w:r>
      <w:r w:rsidR="0094254B" w:rsidRPr="002D5990">
        <w:t xml:space="preserve"> balenie je zložené z plastového filmu (PVC/PE/PVDC) a hliníkovej fólie.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Heading2SPC"/>
      </w:pPr>
      <w:bookmarkStart w:id="0" w:name="OLE_LINK1"/>
      <w:r w:rsidRPr="002D5990">
        <w:t>6.6</w:t>
      </w:r>
      <w:r w:rsidRPr="002D5990">
        <w:tab/>
        <w:t>Špeciálne opatrenia na likvidáciu</w:t>
      </w:r>
    </w:p>
    <w:p w:rsidR="0094254B" w:rsidRPr="002D5990" w:rsidRDefault="0094254B" w:rsidP="0094254B">
      <w:pPr>
        <w:pStyle w:val="BodyTextSPC"/>
      </w:pPr>
    </w:p>
    <w:p w:rsidR="0094254B" w:rsidRDefault="0094254B" w:rsidP="0094254B">
      <w:pPr>
        <w:pStyle w:val="BodyTextSPC"/>
        <w:rPr>
          <w:szCs w:val="22"/>
        </w:rPr>
      </w:pPr>
      <w:r w:rsidRPr="002D5990">
        <w:t>Žiadne zvláštne požiadavky</w:t>
      </w:r>
      <w:r w:rsidR="0021665B">
        <w:t xml:space="preserve"> na likvidáciu</w:t>
      </w:r>
      <w:r w:rsidRPr="002D5990">
        <w:t>.</w:t>
      </w:r>
      <w:r w:rsidR="0021665B">
        <w:t xml:space="preserve"> </w:t>
      </w:r>
      <w:r w:rsidR="0021665B" w:rsidRPr="00C03EA6">
        <w:rPr>
          <w:szCs w:val="22"/>
        </w:rPr>
        <w:t>Všetok nepoužitý liek alebo odpad</w:t>
      </w:r>
      <w:r w:rsidR="0021665B">
        <w:rPr>
          <w:szCs w:val="22"/>
        </w:rPr>
        <w:t xml:space="preserve"> </w:t>
      </w:r>
      <w:r w:rsidR="0021665B" w:rsidRPr="00C03EA6">
        <w:rPr>
          <w:szCs w:val="22"/>
        </w:rPr>
        <w:t>vzniknutý z lieku sa má zlikvidovať v súlade s národnými požiadavkami</w:t>
      </w:r>
      <w:r w:rsidR="0021665B" w:rsidRPr="003021DE">
        <w:rPr>
          <w:szCs w:val="22"/>
        </w:rPr>
        <w:t>.</w:t>
      </w:r>
    </w:p>
    <w:p w:rsidR="0021665B" w:rsidRPr="002D5990" w:rsidRDefault="0021665B" w:rsidP="0094254B">
      <w:pPr>
        <w:pStyle w:val="BodyTextSPC"/>
      </w:pPr>
    </w:p>
    <w:bookmarkEnd w:id="0"/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spacing w:line="240" w:lineRule="auto"/>
        <w:ind w:left="567" w:hanging="567"/>
        <w:rPr>
          <w:szCs w:val="22"/>
        </w:rPr>
      </w:pPr>
      <w:r w:rsidRPr="002D5990">
        <w:rPr>
          <w:b/>
        </w:rPr>
        <w:t>7.</w:t>
      </w:r>
      <w:r w:rsidRPr="002D5990">
        <w:rPr>
          <w:b/>
        </w:rPr>
        <w:tab/>
        <w:t>DRŽITEĽ ROZHODNUTIA O REGISTRÁCII</w:t>
      </w:r>
    </w:p>
    <w:p w:rsidR="0094254B" w:rsidRPr="002D5990" w:rsidRDefault="0094254B" w:rsidP="0094254B">
      <w:pPr>
        <w:pStyle w:val="BodyTextSPC"/>
      </w:pPr>
    </w:p>
    <w:p w:rsidR="0021665B" w:rsidRDefault="0021665B" w:rsidP="0094254B">
      <w:pPr>
        <w:pStyle w:val="BodyTextSPC"/>
      </w:pPr>
      <w:r>
        <w:t>PaxVax Ltd., 1 Victoria Square, Birmingham, B1 1BD, Spojené kráľovstvo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spacing w:line="240" w:lineRule="auto"/>
        <w:rPr>
          <w:b/>
          <w:szCs w:val="22"/>
        </w:rPr>
      </w:pPr>
      <w:r w:rsidRPr="002D5990">
        <w:rPr>
          <w:b/>
        </w:rPr>
        <w:t>8.</w:t>
      </w:r>
      <w:r w:rsidRPr="002D5990">
        <w:rPr>
          <w:b/>
        </w:rPr>
        <w:tab/>
        <w:t>REGISTRAČNÉ ČÍSLO</w:t>
      </w:r>
    </w:p>
    <w:p w:rsidR="00CC2765" w:rsidRDefault="00CC2765" w:rsidP="0094254B">
      <w:pPr>
        <w:pStyle w:val="BodyTextSPC"/>
      </w:pPr>
    </w:p>
    <w:p w:rsidR="0094254B" w:rsidRPr="002D5990" w:rsidRDefault="00CC2765" w:rsidP="0094254B">
      <w:pPr>
        <w:pStyle w:val="BodyTextSPC"/>
      </w:pPr>
      <w:r w:rsidRPr="00CC2765">
        <w:t>59/0364/18-S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spacing w:line="240" w:lineRule="auto"/>
        <w:ind w:left="567" w:hanging="567"/>
        <w:rPr>
          <w:szCs w:val="22"/>
        </w:rPr>
      </w:pPr>
      <w:r w:rsidRPr="002D5990">
        <w:rPr>
          <w:b/>
        </w:rPr>
        <w:t>9.</w:t>
      </w:r>
      <w:r w:rsidRPr="002D5990">
        <w:rPr>
          <w:b/>
        </w:rPr>
        <w:tab/>
        <w:t>DÁTUM PRVEJ REGISTRÁCIE/ PREDĹŽENIA REGISTRÁCIE</w:t>
      </w:r>
    </w:p>
    <w:p w:rsidR="0094254B" w:rsidRPr="002D5990" w:rsidRDefault="0094254B" w:rsidP="0094254B">
      <w:pPr>
        <w:pStyle w:val="BodyTextSPC"/>
      </w:pPr>
    </w:p>
    <w:p w:rsidR="0021665B" w:rsidRDefault="0021665B" w:rsidP="0094254B">
      <w:pPr>
        <w:pStyle w:val="BodyTextSPC"/>
        <w:rPr>
          <w:noProof/>
        </w:rPr>
      </w:pPr>
      <w:r w:rsidRPr="00B13F68">
        <w:rPr>
          <w:noProof/>
        </w:rPr>
        <w:t xml:space="preserve">Dátum prvej registrácie: </w:t>
      </w: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pStyle w:val="BodyTextSPC"/>
      </w:pPr>
    </w:p>
    <w:p w:rsidR="0094254B" w:rsidRPr="002D5990" w:rsidRDefault="0094254B" w:rsidP="0094254B">
      <w:pPr>
        <w:spacing w:line="240" w:lineRule="auto"/>
        <w:ind w:left="567" w:hanging="567"/>
        <w:rPr>
          <w:b/>
          <w:szCs w:val="22"/>
        </w:rPr>
      </w:pPr>
      <w:r w:rsidRPr="002D5990">
        <w:rPr>
          <w:b/>
        </w:rPr>
        <w:t>10.</w:t>
      </w:r>
      <w:r w:rsidRPr="002D5990">
        <w:rPr>
          <w:b/>
        </w:rPr>
        <w:tab/>
        <w:t>DÁTUM REVÍZIE TEXTU</w:t>
      </w:r>
    </w:p>
    <w:p w:rsidR="0094254B" w:rsidRDefault="0094254B" w:rsidP="0094254B">
      <w:pPr>
        <w:pStyle w:val="BodyTextSPC"/>
      </w:pPr>
    </w:p>
    <w:p w:rsidR="00440ED0" w:rsidRPr="002D5990" w:rsidRDefault="00440ED0" w:rsidP="0094254B">
      <w:pPr>
        <w:pStyle w:val="BodyTextSPC"/>
      </w:pPr>
      <w:r>
        <w:t>1</w:t>
      </w:r>
      <w:r w:rsidR="00CC2765">
        <w:t>1</w:t>
      </w:r>
      <w:bookmarkStart w:id="1" w:name="_GoBack"/>
      <w:bookmarkEnd w:id="1"/>
      <w:r>
        <w:t>/2018</w:t>
      </w:r>
    </w:p>
    <w:p w:rsidR="0094254B" w:rsidRPr="002D5990" w:rsidRDefault="0094254B" w:rsidP="0094254B">
      <w:pPr>
        <w:pStyle w:val="BodyTextSPC"/>
      </w:pPr>
    </w:p>
    <w:p w:rsidR="0094254B" w:rsidRPr="007B42D3" w:rsidRDefault="0094254B" w:rsidP="0094254B">
      <w:pPr>
        <w:pStyle w:val="Nadpis1"/>
        <w:ind w:left="0" w:firstLine="0"/>
      </w:pPr>
    </w:p>
    <w:sectPr w:rsidR="0094254B" w:rsidRPr="007B42D3" w:rsidSect="00BA7430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FE" w:rsidRDefault="00F23AFE">
      <w:r>
        <w:separator/>
      </w:r>
    </w:p>
  </w:endnote>
  <w:endnote w:type="continuationSeparator" w:id="0">
    <w:p w:rsidR="00F23AFE" w:rsidRDefault="00F23AFE">
      <w:r>
        <w:continuationSeparator/>
      </w:r>
    </w:p>
  </w:endnote>
  <w:endnote w:type="continuationNotice" w:id="1">
    <w:p w:rsidR="00F23AFE" w:rsidRDefault="00F23A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141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2229C2" w:rsidRPr="00BA7430" w:rsidRDefault="002229C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A7430">
          <w:rPr>
            <w:rFonts w:ascii="Times New Roman" w:hAnsi="Times New Roman"/>
            <w:sz w:val="18"/>
            <w:szCs w:val="18"/>
          </w:rPr>
          <w:fldChar w:fldCharType="begin"/>
        </w:r>
        <w:r w:rsidRPr="00BA743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A7430">
          <w:rPr>
            <w:rFonts w:ascii="Times New Roman" w:hAnsi="Times New Roman"/>
            <w:sz w:val="18"/>
            <w:szCs w:val="18"/>
          </w:rPr>
          <w:fldChar w:fldCharType="separate"/>
        </w:r>
        <w:r w:rsidR="00CC2765">
          <w:rPr>
            <w:rFonts w:ascii="Times New Roman" w:hAnsi="Times New Roman"/>
            <w:sz w:val="18"/>
            <w:szCs w:val="18"/>
          </w:rPr>
          <w:t>1</w:t>
        </w:r>
        <w:r w:rsidRPr="00BA743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2229C2" w:rsidRDefault="002229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FE" w:rsidRDefault="00F23AFE">
      <w:r>
        <w:separator/>
      </w:r>
    </w:p>
  </w:footnote>
  <w:footnote w:type="continuationSeparator" w:id="0">
    <w:p w:rsidR="00F23AFE" w:rsidRDefault="00F23AFE">
      <w:r>
        <w:continuationSeparator/>
      </w:r>
    </w:p>
  </w:footnote>
  <w:footnote w:type="continuationNotice" w:id="1">
    <w:p w:rsidR="00F23AFE" w:rsidRDefault="00F23A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C2" w:rsidRPr="002229C2" w:rsidRDefault="002229C2" w:rsidP="002229C2">
    <w:pPr>
      <w:tabs>
        <w:tab w:val="clear" w:pos="567"/>
      </w:tabs>
      <w:spacing w:line="240" w:lineRule="auto"/>
      <w:ind w:left="567" w:hanging="567"/>
      <w:rPr>
        <w:sz w:val="18"/>
        <w:szCs w:val="18"/>
      </w:rPr>
    </w:pPr>
    <w:r w:rsidRPr="002229C2">
      <w:rPr>
        <w:sz w:val="18"/>
        <w:szCs w:val="18"/>
      </w:rPr>
      <w:t>Schválený text k rozhodn</w:t>
    </w:r>
    <w:r w:rsidR="00B66693">
      <w:rPr>
        <w:sz w:val="18"/>
        <w:szCs w:val="18"/>
      </w:rPr>
      <w:t>utiu o registrácii, ev. č.: 2017/01796</w:t>
    </w:r>
    <w:r w:rsidRPr="002229C2">
      <w:rPr>
        <w:sz w:val="18"/>
        <w:szCs w:val="18"/>
      </w:rPr>
      <w:t>-REG</w:t>
    </w:r>
  </w:p>
  <w:p w:rsidR="002229C2" w:rsidRDefault="002229C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9C2" w:rsidRPr="002229C2" w:rsidRDefault="002229C2" w:rsidP="002229C2">
    <w:pPr>
      <w:tabs>
        <w:tab w:val="clear" w:pos="567"/>
      </w:tabs>
      <w:spacing w:line="240" w:lineRule="auto"/>
      <w:ind w:left="567" w:hanging="567"/>
      <w:rPr>
        <w:sz w:val="18"/>
        <w:szCs w:val="18"/>
      </w:rPr>
    </w:pPr>
    <w:r w:rsidRPr="002229C2">
      <w:rPr>
        <w:sz w:val="18"/>
        <w:szCs w:val="18"/>
      </w:rPr>
      <w:t>Schválený text k rozhodnutiu o registrácii, ev. č.: 2016/06159-REG</w:t>
    </w:r>
  </w:p>
  <w:p w:rsidR="0094254B" w:rsidRDefault="009425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1DDA8F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C609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38E9D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6E8F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AEAFB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C6C99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4E8F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D8F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03827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7D77B94"/>
    <w:multiLevelType w:val="hybridMultilevel"/>
    <w:tmpl w:val="82568298"/>
    <w:lvl w:ilvl="0" w:tplc="B0E27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9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0C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AD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2667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E5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6F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EF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6F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44CC1"/>
    <w:multiLevelType w:val="hybridMultilevel"/>
    <w:tmpl w:val="7FF2C56E"/>
    <w:lvl w:ilvl="0" w:tplc="CC36CE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322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F61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A6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A2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8E9E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E3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202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266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C9F"/>
    <w:multiLevelType w:val="hybridMultilevel"/>
    <w:tmpl w:val="D690FB28"/>
    <w:lvl w:ilvl="0" w:tplc="62E2F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2E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80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8E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211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C1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8D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1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CE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2072"/>
    <w:multiLevelType w:val="hybridMultilevel"/>
    <w:tmpl w:val="C280221A"/>
    <w:lvl w:ilvl="0" w:tplc="52A05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A9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A6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1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CB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C7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28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EF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E361A"/>
    <w:multiLevelType w:val="hybridMultilevel"/>
    <w:tmpl w:val="6BF2BFC2"/>
    <w:lvl w:ilvl="0" w:tplc="69C2C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25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25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4E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CC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68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20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8F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0B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66D5606"/>
    <w:multiLevelType w:val="hybridMultilevel"/>
    <w:tmpl w:val="E166B19E"/>
    <w:lvl w:ilvl="0" w:tplc="6456A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C2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897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61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E5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846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44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0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D6D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1A0A69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E762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3AE2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40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A95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EA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C0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5A5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669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02280C6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A3AEB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1619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6665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34F4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9298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9D0BC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1619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E652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34A2CA5"/>
    <w:multiLevelType w:val="hybridMultilevel"/>
    <w:tmpl w:val="BDA61ACC"/>
    <w:lvl w:ilvl="0" w:tplc="1BA0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63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E9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C1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48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46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286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EE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82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6" w15:restartNumberingAfterBreak="0">
    <w:nsid w:val="4F220462"/>
    <w:multiLevelType w:val="hybridMultilevel"/>
    <w:tmpl w:val="C0DEA0B2"/>
    <w:lvl w:ilvl="0" w:tplc="697C27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9CA1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F810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6CC9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04B4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A2D5F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F428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90C9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2A19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D94BFD"/>
    <w:multiLevelType w:val="hybridMultilevel"/>
    <w:tmpl w:val="C8AE63FA"/>
    <w:lvl w:ilvl="0" w:tplc="B8C4A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ECA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41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22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AD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23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81A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E0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E7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C0A8F"/>
    <w:multiLevelType w:val="hybridMultilevel"/>
    <w:tmpl w:val="F900292A"/>
    <w:lvl w:ilvl="0" w:tplc="77A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EF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09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A6B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D1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2F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A5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65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A6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58B56C73"/>
    <w:multiLevelType w:val="hybridMultilevel"/>
    <w:tmpl w:val="5BA42128"/>
    <w:lvl w:ilvl="0" w:tplc="41FE42D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41236F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9A64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F2DC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3A99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9AC2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7EE5B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8EC9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A2FE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212BBD"/>
    <w:multiLevelType w:val="hybridMultilevel"/>
    <w:tmpl w:val="4790B2B0"/>
    <w:lvl w:ilvl="0" w:tplc="AAE4A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CB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62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5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04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CA1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82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6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EF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48A3CB8"/>
    <w:multiLevelType w:val="hybridMultilevel"/>
    <w:tmpl w:val="2DC06604"/>
    <w:lvl w:ilvl="0" w:tplc="EA66F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24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C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04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0BA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013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A3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C4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D2C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69E95A54"/>
    <w:multiLevelType w:val="hybridMultilevel"/>
    <w:tmpl w:val="3C18EFB0"/>
    <w:lvl w:ilvl="0" w:tplc="8F5C263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399C71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C00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08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6C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E6B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0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0D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DAC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 w15:restartNumberingAfterBreak="0">
    <w:nsid w:val="6F9337D0"/>
    <w:multiLevelType w:val="hybridMultilevel"/>
    <w:tmpl w:val="B6C885E6"/>
    <w:lvl w:ilvl="0" w:tplc="CEF06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698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5A2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47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ACDE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D09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07A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7AB4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B50F1"/>
    <w:multiLevelType w:val="hybridMultilevel"/>
    <w:tmpl w:val="64CEA6CC"/>
    <w:lvl w:ilvl="0" w:tplc="B06A4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3C387E" w:tentative="1">
      <w:start w:val="1"/>
      <w:numFmt w:val="lowerLetter"/>
      <w:lvlText w:val="%2."/>
      <w:lvlJc w:val="left"/>
      <w:pPr>
        <w:ind w:left="1440" w:hanging="360"/>
      </w:pPr>
    </w:lvl>
    <w:lvl w:ilvl="2" w:tplc="B4884512" w:tentative="1">
      <w:start w:val="1"/>
      <w:numFmt w:val="lowerRoman"/>
      <w:lvlText w:val="%3."/>
      <w:lvlJc w:val="right"/>
      <w:pPr>
        <w:ind w:left="2160" w:hanging="180"/>
      </w:pPr>
    </w:lvl>
    <w:lvl w:ilvl="3" w:tplc="0F98A1F4" w:tentative="1">
      <w:start w:val="1"/>
      <w:numFmt w:val="decimal"/>
      <w:lvlText w:val="%4."/>
      <w:lvlJc w:val="left"/>
      <w:pPr>
        <w:ind w:left="2880" w:hanging="360"/>
      </w:pPr>
    </w:lvl>
    <w:lvl w:ilvl="4" w:tplc="BC86DBA2" w:tentative="1">
      <w:start w:val="1"/>
      <w:numFmt w:val="lowerLetter"/>
      <w:lvlText w:val="%5."/>
      <w:lvlJc w:val="left"/>
      <w:pPr>
        <w:ind w:left="3600" w:hanging="360"/>
      </w:pPr>
    </w:lvl>
    <w:lvl w:ilvl="5" w:tplc="5C9C30EE" w:tentative="1">
      <w:start w:val="1"/>
      <w:numFmt w:val="lowerRoman"/>
      <w:lvlText w:val="%6."/>
      <w:lvlJc w:val="right"/>
      <w:pPr>
        <w:ind w:left="4320" w:hanging="180"/>
      </w:pPr>
    </w:lvl>
    <w:lvl w:ilvl="6" w:tplc="9F260440" w:tentative="1">
      <w:start w:val="1"/>
      <w:numFmt w:val="decimal"/>
      <w:lvlText w:val="%7."/>
      <w:lvlJc w:val="left"/>
      <w:pPr>
        <w:ind w:left="5040" w:hanging="360"/>
      </w:pPr>
    </w:lvl>
    <w:lvl w:ilvl="7" w:tplc="898C2FFC" w:tentative="1">
      <w:start w:val="1"/>
      <w:numFmt w:val="lowerLetter"/>
      <w:lvlText w:val="%8."/>
      <w:lvlJc w:val="left"/>
      <w:pPr>
        <w:ind w:left="5760" w:hanging="360"/>
      </w:pPr>
    </w:lvl>
    <w:lvl w:ilvl="8" w:tplc="20966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20"/>
  </w:num>
  <w:num w:numId="7">
    <w:abstractNumId w:val="11"/>
  </w:num>
  <w:num w:numId="8">
    <w:abstractNumId w:val="13"/>
  </w:num>
  <w:num w:numId="9">
    <w:abstractNumId w:val="30"/>
  </w:num>
  <w:num w:numId="10">
    <w:abstractNumId w:val="1"/>
  </w:num>
  <w:num w:numId="11">
    <w:abstractNumId w:val="27"/>
  </w:num>
  <w:num w:numId="12">
    <w:abstractNumId w:val="12"/>
  </w:num>
  <w:num w:numId="13">
    <w:abstractNumId w:val="8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8"/>
  </w:num>
  <w:num w:numId="17">
    <w:abstractNumId w:val="15"/>
  </w:num>
  <w:num w:numId="18">
    <w:abstractNumId w:val="19"/>
  </w:num>
  <w:num w:numId="19">
    <w:abstractNumId w:val="31"/>
  </w:num>
  <w:num w:numId="20">
    <w:abstractNumId w:val="22"/>
  </w:num>
  <w:num w:numId="21">
    <w:abstractNumId w:val="29"/>
  </w:num>
  <w:num w:numId="22">
    <w:abstractNumId w:val="26"/>
  </w:num>
  <w:num w:numId="23">
    <w:abstractNumId w:val="10"/>
  </w:num>
  <w:num w:numId="24">
    <w:abstractNumId w:val="29"/>
  </w:num>
  <w:num w:numId="25">
    <w:abstractNumId w:val="4"/>
  </w:num>
  <w:num w:numId="26">
    <w:abstractNumId w:val="5"/>
  </w:num>
  <w:num w:numId="27">
    <w:abstractNumId w:val="6"/>
  </w:num>
  <w:num w:numId="28">
    <w:abstractNumId w:val="16"/>
  </w:num>
  <w:num w:numId="29">
    <w:abstractNumId w:val="18"/>
  </w:num>
  <w:num w:numId="30">
    <w:abstractNumId w:val="9"/>
  </w:num>
  <w:num w:numId="31">
    <w:abstractNumId w:val="3"/>
  </w:num>
  <w:num w:numId="32">
    <w:abstractNumId w:val="14"/>
  </w:num>
  <w:num w:numId="33">
    <w:abstractNumId w:val="7"/>
  </w:num>
  <w:num w:numId="34">
    <w:abstractNumId w:val="17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2847"/>
    <w:rsid w:val="00007A98"/>
    <w:rsid w:val="00012BB7"/>
    <w:rsid w:val="0001598B"/>
    <w:rsid w:val="00047E41"/>
    <w:rsid w:val="000C6FE2"/>
    <w:rsid w:val="000F7207"/>
    <w:rsid w:val="00130361"/>
    <w:rsid w:val="00150FB3"/>
    <w:rsid w:val="0015462F"/>
    <w:rsid w:val="00160749"/>
    <w:rsid w:val="00167582"/>
    <w:rsid w:val="001B4D24"/>
    <w:rsid w:val="001C4355"/>
    <w:rsid w:val="00214C6E"/>
    <w:rsid w:val="0021665B"/>
    <w:rsid w:val="002229C2"/>
    <w:rsid w:val="00226C3F"/>
    <w:rsid w:val="00252E53"/>
    <w:rsid w:val="0025510F"/>
    <w:rsid w:val="00275B68"/>
    <w:rsid w:val="00290B4C"/>
    <w:rsid w:val="002B0CAE"/>
    <w:rsid w:val="002C6426"/>
    <w:rsid w:val="002D5990"/>
    <w:rsid w:val="002F1C8B"/>
    <w:rsid w:val="002F268C"/>
    <w:rsid w:val="00312D04"/>
    <w:rsid w:val="0031440C"/>
    <w:rsid w:val="00333797"/>
    <w:rsid w:val="003629A0"/>
    <w:rsid w:val="00387C9A"/>
    <w:rsid w:val="003A1104"/>
    <w:rsid w:val="003B4637"/>
    <w:rsid w:val="003B5578"/>
    <w:rsid w:val="003D0E73"/>
    <w:rsid w:val="00440ED0"/>
    <w:rsid w:val="004679C4"/>
    <w:rsid w:val="00472536"/>
    <w:rsid w:val="00477682"/>
    <w:rsid w:val="004C1AF1"/>
    <w:rsid w:val="004C543D"/>
    <w:rsid w:val="005438DA"/>
    <w:rsid w:val="00557901"/>
    <w:rsid w:val="00561B1B"/>
    <w:rsid w:val="00576481"/>
    <w:rsid w:val="0057670A"/>
    <w:rsid w:val="00592B81"/>
    <w:rsid w:val="00594227"/>
    <w:rsid w:val="00594268"/>
    <w:rsid w:val="005A45CE"/>
    <w:rsid w:val="005A5C56"/>
    <w:rsid w:val="005E449F"/>
    <w:rsid w:val="005E56CF"/>
    <w:rsid w:val="00613014"/>
    <w:rsid w:val="00650F28"/>
    <w:rsid w:val="006636A9"/>
    <w:rsid w:val="00664E12"/>
    <w:rsid w:val="0066700C"/>
    <w:rsid w:val="006802AA"/>
    <w:rsid w:val="00683575"/>
    <w:rsid w:val="00690C9F"/>
    <w:rsid w:val="0069784A"/>
    <w:rsid w:val="006C6167"/>
    <w:rsid w:val="00704478"/>
    <w:rsid w:val="00731315"/>
    <w:rsid w:val="00741912"/>
    <w:rsid w:val="00742F45"/>
    <w:rsid w:val="00763182"/>
    <w:rsid w:val="00796EC7"/>
    <w:rsid w:val="007A108B"/>
    <w:rsid w:val="007A2BE2"/>
    <w:rsid w:val="007E73C7"/>
    <w:rsid w:val="00812D16"/>
    <w:rsid w:val="008B49E0"/>
    <w:rsid w:val="008F1D9B"/>
    <w:rsid w:val="0094254B"/>
    <w:rsid w:val="009A0F1D"/>
    <w:rsid w:val="009E574A"/>
    <w:rsid w:val="00A037E8"/>
    <w:rsid w:val="00A5021E"/>
    <w:rsid w:val="00A551E9"/>
    <w:rsid w:val="00A620E8"/>
    <w:rsid w:val="00A71DEC"/>
    <w:rsid w:val="00A907BD"/>
    <w:rsid w:val="00AB5C4A"/>
    <w:rsid w:val="00AC19E2"/>
    <w:rsid w:val="00AF68BE"/>
    <w:rsid w:val="00B11AC3"/>
    <w:rsid w:val="00B47AFE"/>
    <w:rsid w:val="00B66693"/>
    <w:rsid w:val="00BA1350"/>
    <w:rsid w:val="00BA7430"/>
    <w:rsid w:val="00BA7759"/>
    <w:rsid w:val="00C03010"/>
    <w:rsid w:val="00C07F63"/>
    <w:rsid w:val="00C3089B"/>
    <w:rsid w:val="00C44773"/>
    <w:rsid w:val="00C94B53"/>
    <w:rsid w:val="00CC2765"/>
    <w:rsid w:val="00CC395E"/>
    <w:rsid w:val="00CE292D"/>
    <w:rsid w:val="00CF2D08"/>
    <w:rsid w:val="00D30759"/>
    <w:rsid w:val="00D45E93"/>
    <w:rsid w:val="00D55BFD"/>
    <w:rsid w:val="00D732DB"/>
    <w:rsid w:val="00DB6964"/>
    <w:rsid w:val="00DB7DF2"/>
    <w:rsid w:val="00DD1C12"/>
    <w:rsid w:val="00DD471F"/>
    <w:rsid w:val="00DD7519"/>
    <w:rsid w:val="00E033F6"/>
    <w:rsid w:val="00EC0A7F"/>
    <w:rsid w:val="00ED2D3A"/>
    <w:rsid w:val="00ED2D61"/>
    <w:rsid w:val="00ED62BA"/>
    <w:rsid w:val="00F006D6"/>
    <w:rsid w:val="00F05335"/>
    <w:rsid w:val="00F23AFE"/>
    <w:rsid w:val="00FC0610"/>
    <w:rsid w:val="00FC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C8627CE-DE81-4C17-BA92-10A72116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1509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81417D"/>
    <w:pPr>
      <w:suppressAutoHyphens/>
      <w:spacing w:line="240" w:lineRule="auto"/>
      <w:ind w:left="567" w:hanging="567"/>
      <w:outlineLvl w:val="0"/>
    </w:pPr>
    <w:rPr>
      <w:b/>
      <w:noProof/>
      <w:szCs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93696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42D9F"/>
    <w:pPr>
      <w:keepNext/>
      <w:tabs>
        <w:tab w:val="clear" w:pos="567"/>
      </w:tabs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autoRedefine/>
    <w:semiHidden/>
    <w:unhideWhenUsed/>
    <w:qFormat/>
    <w:rsid w:val="00E42D9F"/>
    <w:pPr>
      <w:keepNext/>
      <w:tabs>
        <w:tab w:val="clear" w:pos="567"/>
        <w:tab w:val="num" w:pos="864"/>
      </w:tabs>
      <w:spacing w:line="240" w:lineRule="auto"/>
      <w:ind w:left="864" w:hanging="864"/>
      <w:outlineLvl w:val="3"/>
    </w:pPr>
    <w:rPr>
      <w:rFonts w:ascii="Arial" w:hAnsi="Arial"/>
      <w:u w:val="singl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42D9F"/>
    <w:pPr>
      <w:keepNext/>
      <w:tabs>
        <w:tab w:val="clear" w:pos="567"/>
        <w:tab w:val="left" w:pos="1560"/>
      </w:tabs>
      <w:spacing w:line="240" w:lineRule="auto"/>
      <w:jc w:val="center"/>
      <w:outlineLvl w:val="4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rsid w:val="00812D16"/>
    <w:rPr>
      <w:sz w:val="20"/>
    </w:rPr>
  </w:style>
  <w:style w:type="character" w:styleId="Hypertextovprepojenie">
    <w:name w:val="Hyperlink"/>
    <w:rsid w:val="00812D16"/>
    <w:rPr>
      <w:color w:val="0000FF"/>
      <w:u w:val="single"/>
      <w:lang w:val="sk-SK" w:eastAsia="sk-SK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ar-SA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sk-SK" w:eastAsia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ar-SA"/>
    </w:rPr>
  </w:style>
  <w:style w:type="character" w:styleId="Odkaznakomentr">
    <w:name w:val="annotation reference"/>
    <w:uiPriority w:val="99"/>
    <w:rsid w:val="00BC6DC2"/>
    <w:rPr>
      <w:sz w:val="16"/>
      <w:szCs w:val="16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uiPriority w:val="99"/>
    <w:semiHidden/>
    <w:rsid w:val="00BC6DC2"/>
    <w:rPr>
      <w:rFonts w:eastAsia="Times New Roman"/>
      <w:lang w:val="sk-SK"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B21BE7"/>
    <w:rPr>
      <w:rFonts w:eastAsia="Times New Roman"/>
      <w:sz w:val="22"/>
      <w:lang w:val="sk-SK" w:eastAsia="sk-SK"/>
    </w:rPr>
  </w:style>
  <w:style w:type="paragraph" w:styleId="Zkladntext2">
    <w:name w:val="Body Text 2"/>
    <w:basedOn w:val="Normlny"/>
    <w:link w:val="Zkladntext2Char"/>
    <w:rsid w:val="00B81F74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81F74"/>
    <w:rPr>
      <w:rFonts w:eastAsia="Times New Roman"/>
      <w:sz w:val="22"/>
      <w:lang w:val="sk-SK" w:eastAsia="sk-SK"/>
    </w:rPr>
  </w:style>
  <w:style w:type="character" w:customStyle="1" w:styleId="Nadpis3Char">
    <w:name w:val="Nadpis 3 Char"/>
    <w:link w:val="Nadpis3"/>
    <w:semiHidden/>
    <w:rsid w:val="00E42D9F"/>
    <w:rPr>
      <w:rFonts w:ascii="Arial" w:eastAsia="Times New Roman" w:hAnsi="Arial"/>
      <w:b/>
      <w:bCs/>
      <w:sz w:val="26"/>
      <w:szCs w:val="26"/>
      <w:lang w:val="sk-SK" w:eastAsia="sk-SK"/>
    </w:rPr>
  </w:style>
  <w:style w:type="character" w:customStyle="1" w:styleId="Nadpis4Char">
    <w:name w:val="Nadpis 4 Char"/>
    <w:link w:val="Nadpis4"/>
    <w:semiHidden/>
    <w:rsid w:val="00E42D9F"/>
    <w:rPr>
      <w:rFonts w:ascii="Arial" w:eastAsia="Times New Roman" w:hAnsi="Arial"/>
      <w:sz w:val="22"/>
      <w:u w:val="single"/>
      <w:lang w:val="sk-SK" w:eastAsia="sk-SK"/>
    </w:rPr>
  </w:style>
  <w:style w:type="character" w:customStyle="1" w:styleId="Nadpis5Char">
    <w:name w:val="Nadpis 5 Char"/>
    <w:link w:val="Nadpis5"/>
    <w:semiHidden/>
    <w:rsid w:val="00E42D9F"/>
    <w:rPr>
      <w:rFonts w:ascii="Arial" w:eastAsia="Times New Roman" w:hAnsi="Arial"/>
      <w:sz w:val="24"/>
      <w:lang w:val="sk-SK" w:eastAsia="sk-SK"/>
    </w:rPr>
  </w:style>
  <w:style w:type="character" w:customStyle="1" w:styleId="PtaChar">
    <w:name w:val="Päta Char"/>
    <w:link w:val="Pta"/>
    <w:uiPriority w:val="99"/>
    <w:rsid w:val="00E42D9F"/>
    <w:rPr>
      <w:rFonts w:ascii="Arial" w:eastAsia="Times New Roman" w:hAnsi="Arial"/>
      <w:noProof/>
      <w:sz w:val="16"/>
      <w:lang w:val="sk-SK" w:eastAsia="sk-SK"/>
    </w:rPr>
  </w:style>
  <w:style w:type="character" w:customStyle="1" w:styleId="Nadpis1Char">
    <w:name w:val="Nadpis 1 Char"/>
    <w:link w:val="Nadpis1"/>
    <w:rsid w:val="0081417D"/>
    <w:rPr>
      <w:rFonts w:eastAsia="Times New Roman"/>
      <w:b/>
      <w:noProof/>
      <w:sz w:val="22"/>
      <w:szCs w:val="22"/>
      <w:lang w:val="sk-SK" w:eastAsia="sk-SK"/>
    </w:rPr>
  </w:style>
  <w:style w:type="character" w:customStyle="1" w:styleId="Nadpis2Char">
    <w:name w:val="Nadpis 2 Char"/>
    <w:link w:val="Nadpis2"/>
    <w:semiHidden/>
    <w:rsid w:val="0093696F"/>
    <w:rPr>
      <w:rFonts w:ascii="Calibri Light" w:eastAsia="Times New Roman" w:hAnsi="Calibri Light" w:cs="Times New Roman"/>
      <w:b/>
      <w:bCs/>
      <w:i/>
      <w:iCs/>
      <w:sz w:val="28"/>
      <w:szCs w:val="28"/>
      <w:lang w:val="sk-SK" w:eastAsia="sk-SK"/>
    </w:rPr>
  </w:style>
  <w:style w:type="paragraph" w:customStyle="1" w:styleId="Paragraph">
    <w:name w:val="Paragraph"/>
    <w:link w:val="ParagraphChar"/>
    <w:qFormat/>
    <w:rsid w:val="00220643"/>
    <w:pPr>
      <w:spacing w:before="240" w:after="240" w:line="300" w:lineRule="exact"/>
    </w:pPr>
    <w:rPr>
      <w:rFonts w:eastAsia="Times New Roman"/>
      <w:sz w:val="24"/>
      <w:szCs w:val="22"/>
      <w:lang w:val="sk-SK" w:eastAsia="sk-SK"/>
    </w:rPr>
  </w:style>
  <w:style w:type="character" w:customStyle="1" w:styleId="ParagraphChar">
    <w:name w:val="Paragraph Char"/>
    <w:link w:val="Paragraph"/>
    <w:rsid w:val="00220643"/>
    <w:rPr>
      <w:rFonts w:eastAsia="Times New Roman"/>
      <w:sz w:val="24"/>
      <w:szCs w:val="22"/>
      <w:lang w:val="sk-SK" w:eastAsia="sk-SK" w:bidi="ar-SA"/>
    </w:rPr>
  </w:style>
  <w:style w:type="paragraph" w:customStyle="1" w:styleId="TableCellLeft">
    <w:name w:val="Table Cell Left"/>
    <w:link w:val="TableCellLeftChar"/>
    <w:qFormat/>
    <w:rsid w:val="00FB0FE3"/>
    <w:pPr>
      <w:spacing w:after="60"/>
    </w:pPr>
    <w:rPr>
      <w:rFonts w:eastAsia="Times New Roman"/>
      <w:szCs w:val="22"/>
      <w:lang w:val="sk-SK" w:eastAsia="sk-SK"/>
    </w:rPr>
  </w:style>
  <w:style w:type="character" w:customStyle="1" w:styleId="TableCellLeftChar">
    <w:name w:val="Table Cell Left Char"/>
    <w:link w:val="TableCellLeft"/>
    <w:rsid w:val="00FB0FE3"/>
    <w:rPr>
      <w:rFonts w:eastAsia="Times New Roman"/>
      <w:szCs w:val="22"/>
      <w:lang w:val="sk-SK" w:eastAsia="sk-SK" w:bidi="ar-SA"/>
    </w:rPr>
  </w:style>
  <w:style w:type="paragraph" w:customStyle="1" w:styleId="TableText">
    <w:name w:val="Table Text"/>
    <w:qFormat/>
    <w:rsid w:val="00FB0FE3"/>
    <w:pPr>
      <w:tabs>
        <w:tab w:val="left" w:pos="288"/>
        <w:tab w:val="left" w:pos="576"/>
        <w:tab w:val="left" w:pos="864"/>
      </w:tabs>
    </w:pPr>
    <w:rPr>
      <w:rFonts w:eastAsia="Times New Roman"/>
      <w:lang w:val="sk-SK" w:eastAsia="sk-SK"/>
    </w:rPr>
  </w:style>
  <w:style w:type="paragraph" w:customStyle="1" w:styleId="TableCellTitle">
    <w:name w:val="Table Cell Title"/>
    <w:qFormat/>
    <w:rsid w:val="00FB0FE3"/>
    <w:pPr>
      <w:spacing w:after="60"/>
      <w:jc w:val="center"/>
    </w:pPr>
    <w:rPr>
      <w:rFonts w:eastAsia="Times New Roman"/>
      <w:b/>
      <w:szCs w:val="22"/>
      <w:lang w:val="sk-SK" w:eastAsia="sk-SK"/>
    </w:rPr>
  </w:style>
  <w:style w:type="paragraph" w:customStyle="1" w:styleId="TableTitle">
    <w:name w:val="Table Title"/>
    <w:next w:val="Paragraph"/>
    <w:qFormat/>
    <w:rsid w:val="00FB0FE3"/>
    <w:pPr>
      <w:keepNext/>
      <w:keepLines/>
      <w:tabs>
        <w:tab w:val="left" w:pos="2160"/>
      </w:tabs>
      <w:spacing w:before="240" w:after="240"/>
      <w:ind w:left="2160" w:hanging="2160"/>
      <w:outlineLvl w:val="7"/>
    </w:pPr>
    <w:rPr>
      <w:rFonts w:eastAsia="Times New Roman"/>
      <w:b/>
      <w:sz w:val="24"/>
      <w:szCs w:val="22"/>
      <w:lang w:val="sk-SK" w:eastAsia="sk-SK"/>
    </w:rPr>
  </w:style>
  <w:style w:type="table" w:styleId="Mriekatabuky">
    <w:name w:val="Table Grid"/>
    <w:basedOn w:val="Normlnatabuka"/>
    <w:uiPriority w:val="59"/>
    <w:rsid w:val="0022571A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6C39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TableFootnote">
    <w:name w:val="Table Footnote"/>
    <w:basedOn w:val="Normlny"/>
    <w:qFormat/>
    <w:rsid w:val="00F95B58"/>
    <w:pPr>
      <w:tabs>
        <w:tab w:val="clear" w:pos="567"/>
      </w:tabs>
      <w:spacing w:line="240" w:lineRule="auto"/>
      <w:ind w:left="360" w:hanging="360"/>
    </w:pPr>
    <w:rPr>
      <w:sz w:val="20"/>
      <w:szCs w:val="24"/>
    </w:rPr>
  </w:style>
  <w:style w:type="paragraph" w:styleId="Textvysvetlivky">
    <w:name w:val="endnote text"/>
    <w:basedOn w:val="Normlny"/>
    <w:link w:val="TextvysvetlivkyChar"/>
    <w:rsid w:val="00882B51"/>
    <w:pPr>
      <w:spacing w:line="240" w:lineRule="auto"/>
    </w:pPr>
  </w:style>
  <w:style w:type="character" w:customStyle="1" w:styleId="TextvysvetlivkyChar">
    <w:name w:val="Text vysvetlivky Char"/>
    <w:link w:val="Textvysvetlivky"/>
    <w:rsid w:val="00882B51"/>
    <w:rPr>
      <w:rFonts w:eastAsia="Times New Roman"/>
      <w:sz w:val="22"/>
      <w:lang w:val="sk-SK" w:eastAsia="sk-SK"/>
    </w:rPr>
  </w:style>
  <w:style w:type="paragraph" w:customStyle="1" w:styleId="StyleParagraph11ptLinespacingsingle">
    <w:name w:val="Style Paragraph + 11 pt Line spacing:  single"/>
    <w:basedOn w:val="Paragraph"/>
    <w:rsid w:val="00B364C2"/>
    <w:pPr>
      <w:spacing w:line="240" w:lineRule="auto"/>
    </w:pPr>
    <w:rPr>
      <w:sz w:val="22"/>
      <w:szCs w:val="20"/>
    </w:rPr>
  </w:style>
  <w:style w:type="paragraph" w:customStyle="1" w:styleId="BodyTextSPC">
    <w:name w:val="Body Text SPC"/>
    <w:basedOn w:val="Normlny"/>
    <w:rsid w:val="00AE07E0"/>
    <w:pPr>
      <w:spacing w:line="240" w:lineRule="auto"/>
    </w:pPr>
  </w:style>
  <w:style w:type="paragraph" w:customStyle="1" w:styleId="Heading2SPC">
    <w:name w:val="Heading 2 SPC"/>
    <w:basedOn w:val="Normlny"/>
    <w:qFormat/>
    <w:rsid w:val="0081417D"/>
    <w:pPr>
      <w:spacing w:line="240" w:lineRule="auto"/>
      <w:outlineLvl w:val="0"/>
    </w:pPr>
    <w:rPr>
      <w:b/>
      <w:noProof/>
    </w:rPr>
  </w:style>
  <w:style w:type="paragraph" w:customStyle="1" w:styleId="StyleHeading1Centered">
    <w:name w:val="Style Heading 1 + Centered"/>
    <w:basedOn w:val="Nadpis1"/>
    <w:rsid w:val="004843BA"/>
    <w:pPr>
      <w:jc w:val="center"/>
    </w:pPr>
    <w:rPr>
      <w:bCs/>
      <w:szCs w:val="20"/>
    </w:rPr>
  </w:style>
  <w:style w:type="character" w:styleId="PouitHypertextovPrepojenie">
    <w:name w:val="FollowedHyperlink"/>
    <w:rsid w:val="002F268C"/>
    <w:rPr>
      <w:color w:val="800080"/>
      <w:u w:val="single"/>
    </w:rPr>
  </w:style>
  <w:style w:type="character" w:customStyle="1" w:styleId="HlavikaChar">
    <w:name w:val="Hlavička Char"/>
    <w:link w:val="Hlavika"/>
    <w:uiPriority w:val="99"/>
    <w:rsid w:val="00690C9F"/>
    <w:rPr>
      <w:rFonts w:ascii="Arial" w:eastAsia="Times New Roman" w:hAnsi="Arial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DEC1-539F-4E86-9676-4602DD98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1565</Words>
  <Characters>9934</Characters>
  <Application>Microsoft Office Word</Application>
  <DocSecurity>0</DocSecurity>
  <Lines>82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SW0030271</vt:lpstr>
      <vt:lpstr>SW0030271</vt:lpstr>
      <vt:lpstr>SW0030271</vt:lpstr>
    </vt:vector>
  </TitlesOfParts>
  <Manager/>
  <Company/>
  <LinksUpToDate>false</LinksUpToDate>
  <CharactersWithSpaces>11477</CharactersWithSpaces>
  <SharedDoc>false</SharedDoc>
  <HLinks>
    <vt:vector size="24" baseType="variant">
      <vt:variant>
        <vt:i4>3145768</vt:i4>
      </vt:variant>
      <vt:variant>
        <vt:i4>9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SW0030271</dc:title>
  <dc:subject>Typhoral SmPC - SK updates</dc:subject>
  <dc:creator>Fojtikova Vladimira</dc:creator>
  <cp:keywords/>
  <cp:lastModifiedBy>Lacková, Beáta</cp:lastModifiedBy>
  <cp:revision>5</cp:revision>
  <cp:lastPrinted>2017-11-27T09:52:00Z</cp:lastPrinted>
  <dcterms:created xsi:type="dcterms:W3CDTF">2018-10-24T15:54:00Z</dcterms:created>
  <dcterms:modified xsi:type="dcterms:W3CDTF">2018-11-06T15:25:00Z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</Properties>
</file>