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AA5D" w14:textId="77777777" w:rsidR="00286863" w:rsidRPr="00E20352" w:rsidRDefault="00286863">
      <w:pPr>
        <w:pStyle w:val="Nzov"/>
        <w:rPr>
          <w:sz w:val="22"/>
          <w:szCs w:val="22"/>
          <w:u w:val="none"/>
        </w:rPr>
      </w:pPr>
      <w:r w:rsidRPr="00E20352">
        <w:rPr>
          <w:sz w:val="22"/>
          <w:szCs w:val="22"/>
          <w:u w:val="none"/>
        </w:rPr>
        <w:t>SÚHRN CHARAK</w:t>
      </w:r>
      <w:r w:rsidR="00DF58D6" w:rsidRPr="00E20352">
        <w:rPr>
          <w:sz w:val="22"/>
          <w:szCs w:val="22"/>
          <w:u w:val="none"/>
        </w:rPr>
        <w:t>TERISTICKÝCH VLASTNOSTÍ LIEKU</w:t>
      </w:r>
    </w:p>
    <w:p w14:paraId="6A857D16" w14:textId="77777777" w:rsidR="00286863" w:rsidRPr="00E20352" w:rsidRDefault="00286863">
      <w:pPr>
        <w:rPr>
          <w:sz w:val="22"/>
          <w:szCs w:val="22"/>
          <w:lang w:val="sk-SK"/>
        </w:rPr>
      </w:pPr>
    </w:p>
    <w:p w14:paraId="1E1CA3E3" w14:textId="77777777" w:rsidR="00286863" w:rsidRPr="00E20352" w:rsidRDefault="00286863">
      <w:pPr>
        <w:rPr>
          <w:sz w:val="22"/>
          <w:szCs w:val="22"/>
          <w:lang w:val="sk-SK"/>
        </w:rPr>
      </w:pPr>
    </w:p>
    <w:p w14:paraId="4BC80EB6" w14:textId="77777777" w:rsidR="00286863" w:rsidRPr="00E20352" w:rsidRDefault="006B6586" w:rsidP="00EF6005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1.</w:t>
      </w:r>
      <w:r w:rsidRPr="00E20352">
        <w:rPr>
          <w:b/>
          <w:sz w:val="22"/>
          <w:szCs w:val="22"/>
          <w:lang w:val="sk-SK"/>
        </w:rPr>
        <w:tab/>
      </w:r>
      <w:r w:rsidR="000923FC">
        <w:rPr>
          <w:b/>
          <w:sz w:val="22"/>
          <w:szCs w:val="22"/>
          <w:lang w:val="sk-SK"/>
        </w:rPr>
        <w:tab/>
      </w:r>
      <w:r w:rsidR="00286863" w:rsidRPr="00E20352">
        <w:rPr>
          <w:b/>
          <w:sz w:val="22"/>
          <w:szCs w:val="22"/>
          <w:lang w:val="sk-SK"/>
        </w:rPr>
        <w:t>NÁZOV LIEKU</w:t>
      </w:r>
    </w:p>
    <w:p w14:paraId="54E92E63" w14:textId="77777777" w:rsidR="00286863" w:rsidRPr="00E20352" w:rsidRDefault="00286863" w:rsidP="00DC5896">
      <w:pPr>
        <w:pStyle w:val="Nadpis1"/>
        <w:rPr>
          <w:szCs w:val="22"/>
        </w:rPr>
      </w:pPr>
    </w:p>
    <w:p w14:paraId="10A576BE" w14:textId="77777777" w:rsidR="00286863" w:rsidRDefault="00286863" w:rsidP="00DC5896">
      <w:pPr>
        <w:pStyle w:val="Nadpis1"/>
        <w:rPr>
          <w:b w:val="0"/>
          <w:szCs w:val="22"/>
        </w:rPr>
      </w:pPr>
      <w:r w:rsidRPr="00E20352">
        <w:rPr>
          <w:b w:val="0"/>
          <w:szCs w:val="22"/>
        </w:rPr>
        <w:t xml:space="preserve">TIAPRIDAL tbl </w:t>
      </w:r>
    </w:p>
    <w:p w14:paraId="36C90448" w14:textId="77777777" w:rsidR="00AA7A12" w:rsidRPr="00EF6005" w:rsidRDefault="00AA7A12" w:rsidP="00EF6005">
      <w:pPr>
        <w:rPr>
          <w:sz w:val="22"/>
          <w:szCs w:val="22"/>
          <w:lang w:val="sk-SK"/>
        </w:rPr>
      </w:pPr>
      <w:r w:rsidRPr="00EF6005">
        <w:rPr>
          <w:sz w:val="22"/>
          <w:szCs w:val="22"/>
          <w:lang w:val="sk-SK"/>
        </w:rPr>
        <w:t>100</w:t>
      </w:r>
      <w:r>
        <w:rPr>
          <w:sz w:val="22"/>
          <w:szCs w:val="22"/>
          <w:lang w:val="sk-SK"/>
        </w:rPr>
        <w:t xml:space="preserve"> </w:t>
      </w:r>
      <w:r w:rsidRPr="00EF6005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 xml:space="preserve"> tablety </w:t>
      </w:r>
    </w:p>
    <w:p w14:paraId="58B60CE8" w14:textId="77777777" w:rsidR="00AA7A12" w:rsidRDefault="00AA7A12" w:rsidP="00EF6005">
      <w:pPr>
        <w:rPr>
          <w:lang w:val="sk-SK"/>
        </w:rPr>
      </w:pPr>
    </w:p>
    <w:p w14:paraId="5B19F673" w14:textId="77777777" w:rsidR="00286863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TIAPRIDAL inj </w:t>
      </w:r>
    </w:p>
    <w:p w14:paraId="0E106F46" w14:textId="77777777" w:rsidR="00DA2A0C" w:rsidRPr="00E20352" w:rsidRDefault="00DA2A0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100 mg</w:t>
      </w:r>
      <w:r w:rsidR="009276F2">
        <w:rPr>
          <w:sz w:val="22"/>
          <w:szCs w:val="22"/>
          <w:lang w:val="sk-SK"/>
        </w:rPr>
        <w:t>/2 ml</w:t>
      </w:r>
      <w:r>
        <w:rPr>
          <w:sz w:val="22"/>
          <w:szCs w:val="22"/>
          <w:lang w:val="sk-SK"/>
        </w:rPr>
        <w:t xml:space="preserve"> injekčný roztok</w:t>
      </w:r>
    </w:p>
    <w:p w14:paraId="27898D93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308FC45" w14:textId="77777777" w:rsidR="00AF717A" w:rsidRPr="00E20352" w:rsidRDefault="00AF717A" w:rsidP="00DC5896">
      <w:pPr>
        <w:rPr>
          <w:sz w:val="22"/>
          <w:szCs w:val="22"/>
          <w:lang w:val="sk-SK"/>
        </w:rPr>
      </w:pPr>
    </w:p>
    <w:p w14:paraId="6AC2C1EC" w14:textId="77777777" w:rsidR="00286863" w:rsidRPr="00E20352" w:rsidRDefault="00286863" w:rsidP="00EF6005">
      <w:pPr>
        <w:numPr>
          <w:ilvl w:val="0"/>
          <w:numId w:val="32"/>
        </w:numPr>
        <w:tabs>
          <w:tab w:val="clear" w:pos="64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KVALITATÍVNE A KVANTITATÍVNE ZLOŽENIE</w:t>
      </w:r>
    </w:p>
    <w:p w14:paraId="4C96794A" w14:textId="77777777" w:rsidR="00AF717A" w:rsidRPr="00E20352" w:rsidRDefault="00AF717A" w:rsidP="00DC5896">
      <w:pPr>
        <w:rPr>
          <w:b/>
          <w:sz w:val="22"/>
          <w:szCs w:val="22"/>
          <w:lang w:val="sk-SK"/>
        </w:rPr>
      </w:pPr>
    </w:p>
    <w:p w14:paraId="43B7DDB4" w14:textId="77777777" w:rsidR="00286863" w:rsidRPr="00E20352" w:rsidRDefault="006B6586" w:rsidP="00DC5896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</w:t>
      </w:r>
    </w:p>
    <w:p w14:paraId="7FC129B7" w14:textId="77777777" w:rsidR="00286863" w:rsidRPr="00E20352" w:rsidRDefault="0015562B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Jedna tableta obsahuje </w:t>
      </w:r>
      <w:r w:rsidR="00065B40">
        <w:rPr>
          <w:sz w:val="22"/>
          <w:szCs w:val="22"/>
          <w:lang w:val="sk-SK"/>
        </w:rPr>
        <w:t>111,1</w:t>
      </w:r>
      <w:r w:rsidR="009F5A48">
        <w:rPr>
          <w:sz w:val="22"/>
          <w:szCs w:val="22"/>
          <w:lang w:val="sk-SK"/>
        </w:rPr>
        <w:t>0</w:t>
      </w:r>
      <w:r w:rsidR="0064578B" w:rsidRPr="00E20352">
        <w:rPr>
          <w:sz w:val="22"/>
          <w:szCs w:val="22"/>
          <w:lang w:val="sk-SK"/>
        </w:rPr>
        <w:t xml:space="preserve"> mg </w:t>
      </w:r>
      <w:r w:rsidR="0064578B">
        <w:rPr>
          <w:sz w:val="22"/>
          <w:szCs w:val="22"/>
          <w:lang w:val="sk-SK"/>
        </w:rPr>
        <w:t>t</w:t>
      </w:r>
      <w:r w:rsidR="00CD340D" w:rsidRPr="00E20352">
        <w:rPr>
          <w:sz w:val="22"/>
          <w:szCs w:val="22"/>
          <w:lang w:val="sk-SK"/>
        </w:rPr>
        <w:t>iapridiumchlorid</w:t>
      </w:r>
      <w:r w:rsidR="0064578B">
        <w:rPr>
          <w:sz w:val="22"/>
          <w:szCs w:val="22"/>
          <w:lang w:val="sk-SK"/>
        </w:rPr>
        <w:t>u</w:t>
      </w:r>
      <w:r w:rsidR="00286863" w:rsidRPr="00E20352">
        <w:rPr>
          <w:sz w:val="22"/>
          <w:szCs w:val="22"/>
          <w:lang w:val="sk-SK"/>
        </w:rPr>
        <w:t xml:space="preserve"> </w:t>
      </w:r>
      <w:r w:rsidR="002F724E" w:rsidRPr="00E20352">
        <w:rPr>
          <w:sz w:val="22"/>
          <w:szCs w:val="22"/>
          <w:lang w:val="sk-SK"/>
        </w:rPr>
        <w:t xml:space="preserve">(čo zodpovedá 100 mg </w:t>
      </w:r>
      <w:r w:rsidR="00286863" w:rsidRPr="00E20352">
        <w:rPr>
          <w:sz w:val="22"/>
          <w:szCs w:val="22"/>
          <w:lang w:val="sk-SK"/>
        </w:rPr>
        <w:t>tiapridu)</w:t>
      </w:r>
      <w:r w:rsidR="000B5D56" w:rsidRPr="00E20352">
        <w:rPr>
          <w:sz w:val="22"/>
          <w:szCs w:val="22"/>
          <w:lang w:val="sk-SK"/>
        </w:rPr>
        <w:t>.</w:t>
      </w:r>
    </w:p>
    <w:p w14:paraId="306A3DD4" w14:textId="77777777" w:rsidR="00D95406" w:rsidRDefault="00D95406" w:rsidP="00CC3297">
      <w:pPr>
        <w:rPr>
          <w:sz w:val="22"/>
          <w:szCs w:val="22"/>
          <w:lang w:val="sk-SK"/>
        </w:rPr>
      </w:pPr>
    </w:p>
    <w:p w14:paraId="76D2BAAA" w14:textId="77777777" w:rsidR="00CC3297" w:rsidRPr="00E20352" w:rsidRDefault="00CC3297" w:rsidP="00CC3297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Úplný zoznam pomocných látok, pozri časť 6.1.</w:t>
      </w:r>
    </w:p>
    <w:p w14:paraId="0D5004FF" w14:textId="77777777" w:rsidR="00286863" w:rsidRPr="00E20352" w:rsidRDefault="00286863" w:rsidP="00DC5896">
      <w:pPr>
        <w:rPr>
          <w:b/>
          <w:i/>
          <w:sz w:val="22"/>
          <w:szCs w:val="22"/>
          <w:lang w:val="sk-SK"/>
        </w:rPr>
      </w:pPr>
    </w:p>
    <w:p w14:paraId="51DC5A37" w14:textId="77777777" w:rsidR="00286863" w:rsidRPr="00E20352" w:rsidRDefault="00286863" w:rsidP="00DC5896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</w:t>
      </w:r>
    </w:p>
    <w:p w14:paraId="0D7DD6EF" w14:textId="27994147" w:rsidR="00286863" w:rsidRDefault="00A416A1" w:rsidP="00DC5896">
      <w:pPr>
        <w:pStyle w:val="Zkladntext2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Jedna ampulka injekčného roztoku (2 ml) obsahuje </w:t>
      </w:r>
      <w:r w:rsidRPr="00E20352">
        <w:rPr>
          <w:szCs w:val="22"/>
          <w:lang w:val="sk-SK"/>
        </w:rPr>
        <w:t xml:space="preserve">111,10 mg </w:t>
      </w:r>
      <w:r w:rsidR="00EB48F5">
        <w:rPr>
          <w:szCs w:val="22"/>
          <w:lang w:val="sk-SK"/>
        </w:rPr>
        <w:t>t</w:t>
      </w:r>
      <w:r w:rsidR="00CD340D" w:rsidRPr="00E20352">
        <w:rPr>
          <w:szCs w:val="22"/>
          <w:lang w:val="sk-SK"/>
        </w:rPr>
        <w:t>iapridium</w:t>
      </w:r>
      <w:r w:rsidR="00286863" w:rsidRPr="00E20352">
        <w:rPr>
          <w:szCs w:val="22"/>
          <w:lang w:val="sk-SK"/>
        </w:rPr>
        <w:t>chlorid</w:t>
      </w:r>
      <w:r w:rsidR="0064578B">
        <w:rPr>
          <w:szCs w:val="22"/>
          <w:lang w:val="sk-SK"/>
        </w:rPr>
        <w:t>u</w:t>
      </w:r>
      <w:r w:rsidR="00286863" w:rsidRPr="00E20352">
        <w:rPr>
          <w:szCs w:val="22"/>
          <w:lang w:val="sk-SK"/>
        </w:rPr>
        <w:t xml:space="preserve"> </w:t>
      </w:r>
      <w:r w:rsidR="00907B53" w:rsidRPr="00E20352">
        <w:rPr>
          <w:szCs w:val="22"/>
          <w:lang w:val="sk-SK"/>
        </w:rPr>
        <w:t>(čo zodpovedá 100</w:t>
      </w:r>
      <w:r w:rsidR="00877A7F">
        <w:rPr>
          <w:szCs w:val="22"/>
          <w:lang w:val="sk-SK"/>
        </w:rPr>
        <w:t> </w:t>
      </w:r>
      <w:r w:rsidR="00907B53" w:rsidRPr="00E20352">
        <w:rPr>
          <w:szCs w:val="22"/>
          <w:lang w:val="sk-SK"/>
        </w:rPr>
        <w:t xml:space="preserve">mg </w:t>
      </w:r>
      <w:r w:rsidR="00286863" w:rsidRPr="00E20352">
        <w:rPr>
          <w:szCs w:val="22"/>
          <w:lang w:val="sk-SK"/>
        </w:rPr>
        <w:t>tiapridu).</w:t>
      </w:r>
    </w:p>
    <w:p w14:paraId="2FAB5855" w14:textId="26175DDE" w:rsidR="00F619A2" w:rsidRPr="00F619A2" w:rsidRDefault="00F619A2" w:rsidP="00F619A2">
      <w:pPr>
        <w:pStyle w:val="Zkladntext2"/>
        <w:rPr>
          <w:b/>
          <w:i/>
          <w:szCs w:val="22"/>
          <w:lang w:val="sk-SK"/>
        </w:rPr>
      </w:pPr>
      <w:r w:rsidRPr="00F619A2">
        <w:rPr>
          <w:szCs w:val="22"/>
          <w:u w:val="single"/>
          <w:lang w:val="cs-CZ"/>
        </w:rPr>
        <w:t>Pomocná látka so známym účinkom:</w:t>
      </w:r>
      <w:r w:rsidRPr="00F619A2">
        <w:rPr>
          <w:szCs w:val="22"/>
          <w:lang w:val="cs-CZ"/>
        </w:rPr>
        <w:t xml:space="preserve"> </w:t>
      </w:r>
      <w:r w:rsidR="00583B88">
        <w:rPr>
          <w:szCs w:val="22"/>
        </w:rPr>
        <w:t>jedna ampulka (2ml) obsahuje 2 mg sodíka</w:t>
      </w:r>
      <w:r w:rsidRPr="00F619A2">
        <w:rPr>
          <w:szCs w:val="22"/>
          <w:lang w:val="cs-CZ"/>
        </w:rPr>
        <w:t>.</w:t>
      </w:r>
    </w:p>
    <w:p w14:paraId="508F102F" w14:textId="77777777" w:rsidR="00286863" w:rsidRPr="00CC3297" w:rsidRDefault="00286863" w:rsidP="00DC5896">
      <w:pPr>
        <w:rPr>
          <w:b/>
          <w:i/>
          <w:sz w:val="22"/>
          <w:szCs w:val="22"/>
          <w:lang w:val="sk-SK"/>
        </w:rPr>
      </w:pPr>
    </w:p>
    <w:p w14:paraId="1B6CCAB8" w14:textId="77777777" w:rsidR="00907B53" w:rsidRPr="00E20352" w:rsidRDefault="006B6586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Úplný zoznam pomocných látok,</w:t>
      </w:r>
      <w:r w:rsidR="00907B53" w:rsidRPr="00E20352">
        <w:rPr>
          <w:sz w:val="22"/>
          <w:szCs w:val="22"/>
          <w:lang w:val="sk-SK"/>
        </w:rPr>
        <w:t xml:space="preserve"> pozri časť 6.1.</w:t>
      </w:r>
    </w:p>
    <w:p w14:paraId="37A9C10C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65FB8CA" w14:textId="77777777" w:rsidR="006B6586" w:rsidRPr="00E20352" w:rsidRDefault="006B6586" w:rsidP="00DC5896">
      <w:pPr>
        <w:rPr>
          <w:sz w:val="22"/>
          <w:szCs w:val="22"/>
          <w:lang w:val="sk-SK"/>
        </w:rPr>
      </w:pPr>
    </w:p>
    <w:p w14:paraId="2140BF2D" w14:textId="77777777" w:rsidR="00286863" w:rsidRPr="00E20352" w:rsidRDefault="00286863" w:rsidP="00EF6005">
      <w:pPr>
        <w:numPr>
          <w:ilvl w:val="0"/>
          <w:numId w:val="32"/>
        </w:numPr>
        <w:tabs>
          <w:tab w:val="clear" w:pos="64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LIEKOVÁ FORMA</w:t>
      </w:r>
    </w:p>
    <w:p w14:paraId="4BF2F81D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43255769" w14:textId="77777777" w:rsidR="00286863" w:rsidRPr="00E20352" w:rsidRDefault="000B5D56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Tableta.</w:t>
      </w:r>
    </w:p>
    <w:p w14:paraId="0A97400C" w14:textId="6978D979" w:rsidR="00A174FF" w:rsidRDefault="00A174FF" w:rsidP="00A174FF">
      <w:pPr>
        <w:rPr>
          <w:sz w:val="22"/>
          <w:szCs w:val="22"/>
          <w:lang w:val="sk-SK"/>
        </w:rPr>
      </w:pPr>
      <w:r w:rsidRPr="00EF6005">
        <w:rPr>
          <w:sz w:val="22"/>
          <w:szCs w:val="22"/>
          <w:lang w:val="sk-SK"/>
        </w:rPr>
        <w:t xml:space="preserve">Tablety </w:t>
      </w:r>
      <w:r w:rsidR="00921271" w:rsidRPr="00EF6005">
        <w:rPr>
          <w:sz w:val="22"/>
          <w:szCs w:val="22"/>
          <w:lang w:val="sk-SK"/>
        </w:rPr>
        <w:t xml:space="preserve">sú </w:t>
      </w:r>
      <w:r w:rsidR="002F3739">
        <w:rPr>
          <w:sz w:val="22"/>
          <w:szCs w:val="22"/>
          <w:lang w:val="sk-SK"/>
        </w:rPr>
        <w:t xml:space="preserve">takmer biele, okrúhle, ploché, </w:t>
      </w:r>
      <w:r w:rsidRPr="00EF6005">
        <w:rPr>
          <w:sz w:val="22"/>
          <w:szCs w:val="22"/>
          <w:lang w:val="sk-SK"/>
        </w:rPr>
        <w:t>na vrchnej strane s deliacim krížom a s vyrytým znakom „T</w:t>
      </w:r>
      <w:r w:rsidR="00877A7F">
        <w:rPr>
          <w:sz w:val="22"/>
          <w:szCs w:val="22"/>
          <w:lang w:val="sk-SK"/>
        </w:rPr>
        <w:t> </w:t>
      </w:r>
      <w:r w:rsidRPr="00EF6005">
        <w:rPr>
          <w:sz w:val="22"/>
          <w:szCs w:val="22"/>
          <w:lang w:val="sk-SK"/>
        </w:rPr>
        <w:t>100“ na druhej strane.</w:t>
      </w:r>
    </w:p>
    <w:p w14:paraId="6780CB39" w14:textId="77777777" w:rsidR="00B0734A" w:rsidRPr="00E20352" w:rsidRDefault="00B0734A" w:rsidP="00A174F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Tableta sa môže rozdeliť na rovnaké dávky.</w:t>
      </w:r>
    </w:p>
    <w:p w14:paraId="530132C1" w14:textId="77777777" w:rsidR="00A174FF" w:rsidRDefault="00A174FF" w:rsidP="00DC5896">
      <w:pPr>
        <w:rPr>
          <w:sz w:val="22"/>
          <w:szCs w:val="22"/>
          <w:lang w:val="sk-SK"/>
        </w:rPr>
      </w:pPr>
    </w:p>
    <w:p w14:paraId="70050947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Injekčný roztok</w:t>
      </w:r>
      <w:r w:rsidR="000B5D56" w:rsidRPr="00E20352">
        <w:rPr>
          <w:sz w:val="22"/>
          <w:szCs w:val="22"/>
          <w:lang w:val="sk-SK"/>
        </w:rPr>
        <w:t>.</w:t>
      </w:r>
    </w:p>
    <w:p w14:paraId="0C41C99B" w14:textId="77777777" w:rsidR="00A174FF" w:rsidRPr="00E20352" w:rsidRDefault="00A174FF" w:rsidP="00A174FF">
      <w:pPr>
        <w:rPr>
          <w:sz w:val="22"/>
          <w:szCs w:val="22"/>
          <w:lang w:val="sk-SK"/>
        </w:rPr>
      </w:pPr>
      <w:r w:rsidRPr="00F42D7D">
        <w:rPr>
          <w:sz w:val="22"/>
          <w:szCs w:val="22"/>
          <w:lang w:val="sk-SK"/>
        </w:rPr>
        <w:t>Č</w:t>
      </w:r>
      <w:r w:rsidRPr="00E20352">
        <w:rPr>
          <w:sz w:val="22"/>
          <w:szCs w:val="22"/>
          <w:lang w:val="sk-SK"/>
        </w:rPr>
        <w:t>íry bezfarebný roztok</w:t>
      </w:r>
      <w:r>
        <w:rPr>
          <w:sz w:val="22"/>
          <w:szCs w:val="22"/>
          <w:lang w:val="sk-SK"/>
        </w:rPr>
        <w:t>.</w:t>
      </w:r>
    </w:p>
    <w:p w14:paraId="52DFE67F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29A6FE6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29C3BBA0" w14:textId="77777777" w:rsidR="00286863" w:rsidRPr="00E20352" w:rsidRDefault="00286863" w:rsidP="00EF6005">
      <w:pPr>
        <w:numPr>
          <w:ilvl w:val="0"/>
          <w:numId w:val="32"/>
        </w:numPr>
        <w:tabs>
          <w:tab w:val="clear" w:pos="64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KLINICKÉ ÚDAJE</w:t>
      </w:r>
    </w:p>
    <w:p w14:paraId="5501A059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3A714B27" w14:textId="77777777" w:rsidR="00286863" w:rsidRPr="00E20352" w:rsidRDefault="00286863" w:rsidP="00EF6005">
      <w:pPr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4.1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Terapeutické indikácie</w:t>
      </w:r>
    </w:p>
    <w:p w14:paraId="275CE253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316344BF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Poruchy správania u dementných pacientov.</w:t>
      </w:r>
    </w:p>
    <w:p w14:paraId="48512EE0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D8018E5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Poruchy správania pri abstinencii alkoholu:</w:t>
      </w:r>
    </w:p>
    <w:p w14:paraId="6647FB01" w14:textId="5C3BF044" w:rsidR="007207F7" w:rsidRDefault="00286863" w:rsidP="003A53D3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akútny </w:t>
      </w:r>
      <w:r w:rsidR="001772DA" w:rsidRPr="00E20352">
        <w:rPr>
          <w:sz w:val="22"/>
          <w:szCs w:val="22"/>
          <w:lang w:val="sk-SK"/>
        </w:rPr>
        <w:t xml:space="preserve">delirantný </w:t>
      </w:r>
      <w:r w:rsidRPr="00E20352">
        <w:rPr>
          <w:sz w:val="22"/>
          <w:szCs w:val="22"/>
          <w:lang w:val="sk-SK"/>
        </w:rPr>
        <w:t>syndróm</w:t>
      </w:r>
      <w:r w:rsidR="00F3554D">
        <w:rPr>
          <w:sz w:val="22"/>
          <w:szCs w:val="22"/>
          <w:lang w:val="sk-SK"/>
        </w:rPr>
        <w:t xml:space="preserve"> </w:t>
      </w:r>
    </w:p>
    <w:p w14:paraId="72755244" w14:textId="027D3D78" w:rsidR="00286863" w:rsidRPr="003A53D3" w:rsidRDefault="00286863" w:rsidP="003A53D3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A53D3">
        <w:rPr>
          <w:sz w:val="22"/>
          <w:szCs w:val="22"/>
          <w:lang w:val="sk-SK"/>
        </w:rPr>
        <w:t>abstinenčný syndróm</w:t>
      </w:r>
    </w:p>
    <w:p w14:paraId="19E1F30A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C3595B0" w14:textId="77777777" w:rsidR="00C42F9E" w:rsidRPr="00E20352" w:rsidRDefault="00C42F9E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Závažná chorea pri Huntingtonovej chorobe.</w:t>
      </w:r>
    </w:p>
    <w:p w14:paraId="7EBC2640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131450A0" w14:textId="77777777" w:rsidR="008550F0" w:rsidRDefault="00286863" w:rsidP="00D22313">
      <w:pPr>
        <w:keepNext/>
        <w:ind w:left="567" w:hanging="567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lastRenderedPageBreak/>
        <w:t>4.2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Dávkovanie a spôsob podávania</w:t>
      </w:r>
    </w:p>
    <w:p w14:paraId="0D65C8D8" w14:textId="77777777" w:rsidR="00286863" w:rsidRPr="00E20352" w:rsidRDefault="00286863" w:rsidP="001F544E">
      <w:pPr>
        <w:pStyle w:val="Nadpis1"/>
        <w:rPr>
          <w:szCs w:val="22"/>
        </w:rPr>
      </w:pPr>
    </w:p>
    <w:p w14:paraId="14D6BB39" w14:textId="19ABD320" w:rsidR="00CD1969" w:rsidRDefault="00EB15FC" w:rsidP="001F544E">
      <w:pPr>
        <w:pStyle w:val="Nadpis3"/>
        <w:jc w:val="left"/>
        <w:rPr>
          <w:sz w:val="22"/>
          <w:szCs w:val="22"/>
          <w:u w:val="single"/>
          <w:lang w:val="sk-SK"/>
        </w:rPr>
      </w:pPr>
      <w:r w:rsidRPr="00D22313">
        <w:rPr>
          <w:sz w:val="22"/>
          <w:szCs w:val="22"/>
          <w:u w:val="single"/>
          <w:lang w:val="sk-SK"/>
        </w:rPr>
        <w:t>Poruchy správania u</w:t>
      </w:r>
      <w:r w:rsidR="00A62ABC">
        <w:rPr>
          <w:sz w:val="22"/>
          <w:szCs w:val="22"/>
          <w:u w:val="single"/>
          <w:lang w:val="sk-SK"/>
        </w:rPr>
        <w:t xml:space="preserve"> dementných </w:t>
      </w:r>
      <w:r w:rsidRPr="00D22313">
        <w:rPr>
          <w:sz w:val="22"/>
          <w:szCs w:val="22"/>
          <w:u w:val="single"/>
          <w:lang w:val="sk-SK"/>
        </w:rPr>
        <w:t>pacientov</w:t>
      </w:r>
      <w:r w:rsidR="00CD1969">
        <w:rPr>
          <w:sz w:val="22"/>
          <w:szCs w:val="22"/>
          <w:u w:val="single"/>
          <w:lang w:val="sk-SK"/>
        </w:rPr>
        <w:t xml:space="preserve"> </w:t>
      </w:r>
    </w:p>
    <w:p w14:paraId="01EF3E07" w14:textId="7DCE2949" w:rsidR="00286863" w:rsidRPr="00E20352" w:rsidRDefault="00286863" w:rsidP="001F544E">
      <w:pPr>
        <w:pStyle w:val="Nadpis3"/>
        <w:jc w:val="left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200-400 mg/deň</w:t>
      </w:r>
    </w:p>
    <w:p w14:paraId="522B40C6" w14:textId="77777777" w:rsidR="008550F0" w:rsidRDefault="00286863" w:rsidP="00D22313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Tablety:</w:t>
      </w:r>
      <w:r w:rsidRPr="00E20352">
        <w:rPr>
          <w:sz w:val="22"/>
          <w:szCs w:val="22"/>
          <w:lang w:val="sk-SK"/>
        </w:rPr>
        <w:t xml:space="preserve"> </w:t>
      </w:r>
      <w:r w:rsidR="00F12D73">
        <w:rPr>
          <w:sz w:val="22"/>
          <w:szCs w:val="22"/>
          <w:lang w:val="sk-SK"/>
        </w:rPr>
        <w:t>začiatočná</w:t>
      </w:r>
      <w:r w:rsidR="00E310B6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 xml:space="preserve">dávka 50 mg (t.j. </w:t>
      </w:r>
      <w:r w:rsidR="00F12D73">
        <w:rPr>
          <w:sz w:val="22"/>
          <w:szCs w:val="22"/>
          <w:lang w:val="sk-SK"/>
        </w:rPr>
        <w:t>½</w:t>
      </w:r>
      <w:r w:rsidR="00DC5896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tablety) dvakrát denne, s postupným zvyšovaním počas 2-3 dní na 100 mg (t.j. 1 tableta) 3</w:t>
      </w:r>
      <w:r w:rsidR="00A51325" w:rsidRPr="00E20352">
        <w:rPr>
          <w:sz w:val="22"/>
          <w:szCs w:val="22"/>
          <w:lang w:val="sk-SK"/>
        </w:rPr>
        <w:t>-</w:t>
      </w:r>
      <w:r w:rsidRPr="00E20352">
        <w:rPr>
          <w:sz w:val="22"/>
          <w:szCs w:val="22"/>
          <w:lang w:val="sk-SK"/>
        </w:rPr>
        <w:t>krát denne. Priemerná dávka je 300 mg/deň (t.j. 3 tablety denne)</w:t>
      </w:r>
      <w:r w:rsidR="00013A18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maximálna odporúčaná dávka je 400 mg/deň (t.j. 4 tablety denne).</w:t>
      </w:r>
    </w:p>
    <w:p w14:paraId="6060C88B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BFA5A74" w14:textId="6912D7BE" w:rsidR="00286863" w:rsidRPr="00D22313" w:rsidRDefault="00286863" w:rsidP="007207F7">
      <w:pPr>
        <w:rPr>
          <w:sz w:val="22"/>
          <w:szCs w:val="22"/>
          <w:u w:val="single"/>
          <w:lang w:val="sk-SK"/>
        </w:rPr>
      </w:pPr>
      <w:r w:rsidRPr="00D22313">
        <w:rPr>
          <w:sz w:val="22"/>
          <w:szCs w:val="22"/>
          <w:u w:val="single"/>
          <w:lang w:val="sk-SK"/>
        </w:rPr>
        <w:t>Poruchy správania</w:t>
      </w:r>
      <w:r w:rsidR="00EB15FC" w:rsidRPr="00D22313">
        <w:rPr>
          <w:sz w:val="22"/>
          <w:szCs w:val="22"/>
          <w:u w:val="single"/>
          <w:lang w:val="sk-SK"/>
        </w:rPr>
        <w:t xml:space="preserve"> pri abstinencii alkoholu</w:t>
      </w:r>
    </w:p>
    <w:p w14:paraId="4E6D0BCD" w14:textId="77777777" w:rsidR="008550F0" w:rsidRDefault="00286863" w:rsidP="00D22313">
      <w:pPr>
        <w:keepNext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Tablety:</w:t>
      </w:r>
      <w:r w:rsidRPr="00E20352">
        <w:rPr>
          <w:sz w:val="22"/>
          <w:szCs w:val="22"/>
          <w:lang w:val="sk-SK"/>
        </w:rPr>
        <w:t xml:space="preserve"> 300-400 mg/deň (t.j. 3-4 tablety denne)</w:t>
      </w:r>
      <w:r w:rsidR="00B27033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počas 1-2 mesiacov.</w:t>
      </w:r>
    </w:p>
    <w:p w14:paraId="486A9475" w14:textId="77777777" w:rsidR="00286863" w:rsidRPr="00E20352" w:rsidRDefault="00286863" w:rsidP="00DC5896">
      <w:pPr>
        <w:numPr>
          <w:ilvl w:val="0"/>
          <w:numId w:val="5"/>
        </w:num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roztok:</w:t>
      </w:r>
      <w:r w:rsidRPr="00E20352">
        <w:rPr>
          <w:sz w:val="22"/>
          <w:szCs w:val="22"/>
          <w:lang w:val="sk-SK"/>
        </w:rPr>
        <w:t xml:space="preserve"> i.m. alebo i.v.: 300-400 mg/deň (t.j. 3-4 ampulky denne).</w:t>
      </w:r>
    </w:p>
    <w:p w14:paraId="3BCE364E" w14:textId="77777777" w:rsidR="00286863" w:rsidRPr="00E20352" w:rsidRDefault="00286863" w:rsidP="00DC5896">
      <w:pPr>
        <w:ind w:left="360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Pri delíriu a predelíriu: 400-1200 mg/deň (jedna injekcia každých 4-6 hodín, t.j. 4-12 injekcií denne) </w:t>
      </w:r>
      <w:r w:rsidR="00FA3498" w:rsidRPr="00E20352">
        <w:rPr>
          <w:sz w:val="22"/>
          <w:szCs w:val="22"/>
          <w:lang w:val="sk-SK"/>
        </w:rPr>
        <w:t>možno zvýšiť</w:t>
      </w:r>
      <w:r w:rsidRPr="00E20352">
        <w:rPr>
          <w:sz w:val="22"/>
          <w:szCs w:val="22"/>
          <w:lang w:val="sk-SK"/>
        </w:rPr>
        <w:t xml:space="preserve"> na 1800 mg/deň.</w:t>
      </w:r>
    </w:p>
    <w:p w14:paraId="71061417" w14:textId="77777777" w:rsidR="00286863" w:rsidRPr="00E20352" w:rsidRDefault="00286863" w:rsidP="00F65CC3">
      <w:pPr>
        <w:pStyle w:val="Nadpis1"/>
        <w:keepNext w:val="0"/>
        <w:rPr>
          <w:szCs w:val="22"/>
        </w:rPr>
      </w:pPr>
    </w:p>
    <w:p w14:paraId="113DBAAF" w14:textId="23983979" w:rsidR="002619D6" w:rsidRPr="00D22313" w:rsidRDefault="00A62ABC" w:rsidP="00DC5896">
      <w:pPr>
        <w:rPr>
          <w:sz w:val="22"/>
          <w:szCs w:val="22"/>
          <w:u w:val="single"/>
          <w:lang w:val="sk-SK"/>
        </w:rPr>
      </w:pPr>
      <w:r w:rsidRPr="00E20352">
        <w:rPr>
          <w:sz w:val="22"/>
          <w:szCs w:val="22"/>
          <w:lang w:val="sk-SK"/>
        </w:rPr>
        <w:t xml:space="preserve">Závažná chorea pri </w:t>
      </w:r>
      <w:r w:rsidR="00EB15FC" w:rsidRPr="00D22313">
        <w:rPr>
          <w:sz w:val="22"/>
          <w:szCs w:val="22"/>
          <w:u w:val="single"/>
          <w:lang w:val="sk-SK"/>
        </w:rPr>
        <w:t>Huntingtonov</w:t>
      </w:r>
      <w:r>
        <w:rPr>
          <w:sz w:val="22"/>
          <w:szCs w:val="22"/>
          <w:u w:val="single"/>
          <w:lang w:val="sk-SK"/>
        </w:rPr>
        <w:t>ej</w:t>
      </w:r>
      <w:r w:rsidR="00EB15FC" w:rsidRPr="00D22313">
        <w:rPr>
          <w:sz w:val="22"/>
          <w:szCs w:val="22"/>
          <w:u w:val="single"/>
          <w:lang w:val="sk-SK"/>
        </w:rPr>
        <w:t xml:space="preserve"> </w:t>
      </w:r>
      <w:r>
        <w:rPr>
          <w:sz w:val="22"/>
          <w:szCs w:val="22"/>
          <w:u w:val="single"/>
          <w:lang w:val="sk-SK"/>
        </w:rPr>
        <w:t>chorobe</w:t>
      </w:r>
    </w:p>
    <w:p w14:paraId="082F76A9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300-1200 mg/deň</w:t>
      </w:r>
    </w:p>
    <w:p w14:paraId="1FE7F5E2" w14:textId="77777777" w:rsidR="00286863" w:rsidRPr="00E20352" w:rsidRDefault="00CE45AB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Začiatočná</w:t>
      </w:r>
      <w:r w:rsidR="00286863" w:rsidRPr="00E20352">
        <w:rPr>
          <w:sz w:val="22"/>
          <w:szCs w:val="22"/>
          <w:lang w:val="sk-SK"/>
        </w:rPr>
        <w:t xml:space="preserve"> dávka: do 1200 mg/deň, t.j. 12 tabliet, rozdelených </w:t>
      </w:r>
      <w:r w:rsidR="00B27033" w:rsidRPr="00E20352">
        <w:rPr>
          <w:sz w:val="22"/>
          <w:szCs w:val="22"/>
          <w:lang w:val="sk-SK"/>
        </w:rPr>
        <w:t>do</w:t>
      </w:r>
      <w:r w:rsidR="00286863" w:rsidRPr="00E20352">
        <w:rPr>
          <w:sz w:val="22"/>
          <w:szCs w:val="22"/>
          <w:lang w:val="sk-SK"/>
        </w:rPr>
        <w:t xml:space="preserve"> najmenej troch dávok, s postupným znižovaním na bežnú udržiavaciu dávku podľa individuálnej reakcie.</w:t>
      </w:r>
    </w:p>
    <w:p w14:paraId="20D09354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CB0C824" w14:textId="21E1912E" w:rsidR="002619D6" w:rsidRPr="00D22313" w:rsidRDefault="00526AAA" w:rsidP="00DC589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Pediatrická populácia</w:t>
      </w:r>
    </w:p>
    <w:p w14:paraId="24FB09FC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Bežná dávka je 100-150 mg/deň, maximálne 300 mg/deň.</w:t>
      </w:r>
    </w:p>
    <w:p w14:paraId="4DBADA98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1460CF17" w14:textId="658B4A5B" w:rsidR="002619D6" w:rsidRDefault="002619D6" w:rsidP="00DC5896">
      <w:pPr>
        <w:rPr>
          <w:b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Porucha funkcie obličiek</w:t>
      </w:r>
    </w:p>
    <w:p w14:paraId="60F55EF9" w14:textId="77777777" w:rsidR="00286863" w:rsidRPr="00E20352" w:rsidRDefault="00561DEE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Dávka </w:t>
      </w:r>
      <w:r w:rsidR="00FF2911" w:rsidRPr="00E20352">
        <w:rPr>
          <w:sz w:val="22"/>
          <w:szCs w:val="22"/>
          <w:lang w:val="sk-SK"/>
        </w:rPr>
        <w:t>sa má znížiť</w:t>
      </w:r>
      <w:r w:rsidR="00286863" w:rsidRPr="00E20352">
        <w:rPr>
          <w:sz w:val="22"/>
          <w:szCs w:val="22"/>
          <w:lang w:val="sk-SK"/>
        </w:rPr>
        <w:t xml:space="preserve"> na 75</w:t>
      </w:r>
      <w:r w:rsidR="00954AF9" w:rsidRPr="00E20352">
        <w:rPr>
          <w:sz w:val="22"/>
          <w:szCs w:val="22"/>
          <w:lang w:val="sk-SK"/>
        </w:rPr>
        <w:t> </w:t>
      </w:r>
      <w:r w:rsidR="00286863" w:rsidRPr="00E20352">
        <w:rPr>
          <w:sz w:val="22"/>
          <w:szCs w:val="22"/>
          <w:lang w:val="sk-SK"/>
        </w:rPr>
        <w:t>% normáln</w:t>
      </w:r>
      <w:r w:rsidR="00013A18" w:rsidRPr="00E20352">
        <w:rPr>
          <w:sz w:val="22"/>
          <w:szCs w:val="22"/>
          <w:lang w:val="sk-SK"/>
        </w:rPr>
        <w:t>ej dávky u pacientov s klírensom</w:t>
      </w:r>
      <w:r w:rsidR="00286863" w:rsidRPr="00E20352">
        <w:rPr>
          <w:sz w:val="22"/>
          <w:szCs w:val="22"/>
          <w:lang w:val="sk-SK"/>
        </w:rPr>
        <w:t xml:space="preserve"> kreatinínu</w:t>
      </w:r>
      <w:r w:rsidR="00286863" w:rsidRPr="00E20352">
        <w:rPr>
          <w:b/>
          <w:sz w:val="22"/>
          <w:szCs w:val="22"/>
          <w:lang w:val="sk-SK"/>
        </w:rPr>
        <w:t xml:space="preserve"> </w:t>
      </w:r>
      <w:r w:rsidR="00954AF9" w:rsidRPr="00E20352">
        <w:rPr>
          <w:sz w:val="22"/>
          <w:szCs w:val="22"/>
          <w:lang w:val="sk-SK"/>
        </w:rPr>
        <w:t>30-60 ml/min, na 50 </w:t>
      </w:r>
      <w:r w:rsidR="00286863" w:rsidRPr="00E20352">
        <w:rPr>
          <w:sz w:val="22"/>
          <w:szCs w:val="22"/>
          <w:lang w:val="sk-SK"/>
        </w:rPr>
        <w:t>% normálne</w:t>
      </w:r>
      <w:r w:rsidR="00013A18" w:rsidRPr="00E20352">
        <w:rPr>
          <w:sz w:val="22"/>
          <w:szCs w:val="22"/>
          <w:lang w:val="sk-SK"/>
        </w:rPr>
        <w:t xml:space="preserve">j dávky u pacientov s klírensom </w:t>
      </w:r>
      <w:r w:rsidR="00954AF9" w:rsidRPr="00E20352">
        <w:rPr>
          <w:sz w:val="22"/>
          <w:szCs w:val="22"/>
          <w:lang w:val="sk-SK"/>
        </w:rPr>
        <w:t>kreatinínu 10-30 ml/min a na 25 </w:t>
      </w:r>
      <w:r w:rsidR="00286863" w:rsidRPr="00E20352">
        <w:rPr>
          <w:sz w:val="22"/>
          <w:szCs w:val="22"/>
          <w:lang w:val="sk-SK"/>
        </w:rPr>
        <w:t xml:space="preserve">% </w:t>
      </w:r>
      <w:r w:rsidR="00614CC4" w:rsidRPr="00E20352">
        <w:rPr>
          <w:sz w:val="22"/>
          <w:szCs w:val="22"/>
          <w:lang w:val="sk-SK"/>
        </w:rPr>
        <w:t>normálnej dávky u pacientov s klírensom</w:t>
      </w:r>
      <w:r w:rsidR="00954AF9" w:rsidRPr="00E20352">
        <w:rPr>
          <w:sz w:val="22"/>
          <w:szCs w:val="22"/>
          <w:lang w:val="sk-SK"/>
        </w:rPr>
        <w:t xml:space="preserve"> kreatinínu menej ako 10 </w:t>
      </w:r>
      <w:r w:rsidR="00286863" w:rsidRPr="00E20352">
        <w:rPr>
          <w:sz w:val="22"/>
          <w:szCs w:val="22"/>
          <w:lang w:val="sk-SK"/>
        </w:rPr>
        <w:t>ml/min.</w:t>
      </w:r>
    </w:p>
    <w:p w14:paraId="40496A72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5B857825" w14:textId="2BB06B30" w:rsidR="002619D6" w:rsidRDefault="002619D6" w:rsidP="00DC5896">
      <w:pPr>
        <w:rPr>
          <w:b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Porucha funkcie pečene</w:t>
      </w:r>
    </w:p>
    <w:p w14:paraId="2A5F1064" w14:textId="2BF0460A" w:rsidR="00286863" w:rsidRDefault="00561DEE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Liek </w:t>
      </w:r>
      <w:r w:rsidR="00286863" w:rsidRPr="00E20352">
        <w:rPr>
          <w:sz w:val="22"/>
          <w:szCs w:val="22"/>
          <w:lang w:val="sk-SK"/>
        </w:rPr>
        <w:t xml:space="preserve">je </w:t>
      </w:r>
      <w:r w:rsidR="007C27D5">
        <w:rPr>
          <w:sz w:val="22"/>
          <w:szCs w:val="22"/>
          <w:lang w:val="sk-SK"/>
        </w:rPr>
        <w:t>minimálne</w:t>
      </w:r>
      <w:r w:rsidR="00286863" w:rsidRPr="00E20352">
        <w:rPr>
          <w:sz w:val="22"/>
          <w:szCs w:val="22"/>
          <w:lang w:val="sk-SK"/>
        </w:rPr>
        <w:t xml:space="preserve"> metabolizovaný, preto nie je potrebn</w:t>
      </w:r>
      <w:r w:rsidR="002619D6">
        <w:rPr>
          <w:sz w:val="22"/>
          <w:szCs w:val="22"/>
          <w:lang w:val="sk-SK"/>
        </w:rPr>
        <w:t>é</w:t>
      </w:r>
      <w:r w:rsidR="00286863" w:rsidRPr="00E20352">
        <w:rPr>
          <w:sz w:val="22"/>
          <w:szCs w:val="22"/>
          <w:lang w:val="sk-SK"/>
        </w:rPr>
        <w:t xml:space="preserve"> </w:t>
      </w:r>
      <w:r w:rsidR="002619D6">
        <w:rPr>
          <w:sz w:val="22"/>
          <w:szCs w:val="22"/>
          <w:lang w:val="sk-SK"/>
        </w:rPr>
        <w:t>zníženie</w:t>
      </w:r>
      <w:r w:rsidR="00286863" w:rsidRPr="00E20352">
        <w:rPr>
          <w:sz w:val="22"/>
          <w:szCs w:val="22"/>
          <w:lang w:val="sk-SK"/>
        </w:rPr>
        <w:t xml:space="preserve"> dávky.</w:t>
      </w:r>
    </w:p>
    <w:p w14:paraId="1C0483DA" w14:textId="77777777" w:rsidR="007E2CFB" w:rsidRDefault="007E2CFB" w:rsidP="00DC5896">
      <w:pPr>
        <w:rPr>
          <w:sz w:val="22"/>
          <w:szCs w:val="22"/>
          <w:lang w:val="sk-SK"/>
        </w:rPr>
      </w:pPr>
    </w:p>
    <w:p w14:paraId="74430C85" w14:textId="77777777" w:rsidR="007E2CFB" w:rsidRPr="00D22313" w:rsidRDefault="00EB15FC" w:rsidP="00DC5896">
      <w:pPr>
        <w:rPr>
          <w:sz w:val="22"/>
          <w:szCs w:val="22"/>
          <w:u w:val="single"/>
          <w:lang w:val="sk-SK"/>
        </w:rPr>
      </w:pPr>
      <w:r w:rsidRPr="00D22313">
        <w:rPr>
          <w:sz w:val="22"/>
          <w:szCs w:val="22"/>
          <w:u w:val="single"/>
          <w:lang w:val="sk-SK"/>
        </w:rPr>
        <w:t>Spôsob podávania</w:t>
      </w:r>
    </w:p>
    <w:p w14:paraId="4B4451B6" w14:textId="3BBBB7AA" w:rsidR="007E2CFB" w:rsidRPr="00E20352" w:rsidRDefault="006751F7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Tablety: n</w:t>
      </w:r>
      <w:r w:rsidR="007E2CFB">
        <w:rPr>
          <w:sz w:val="22"/>
          <w:szCs w:val="22"/>
          <w:lang w:val="sk-SK"/>
        </w:rPr>
        <w:t>a vnútorné použitie.</w:t>
      </w:r>
    </w:p>
    <w:p w14:paraId="16FF95A7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61CD5AC" w14:textId="2B81B9EB" w:rsidR="00F22C3D" w:rsidRPr="00E20352" w:rsidRDefault="00F22C3D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Injekčný roztok: </w:t>
      </w:r>
      <w:r w:rsidR="006751F7">
        <w:rPr>
          <w:sz w:val="22"/>
          <w:szCs w:val="22"/>
          <w:lang w:val="sk-SK"/>
        </w:rPr>
        <w:t>na intramuskulárne alebo intravenózne podanie. U</w:t>
      </w:r>
      <w:r w:rsidRPr="00E20352">
        <w:rPr>
          <w:sz w:val="22"/>
          <w:szCs w:val="22"/>
          <w:lang w:val="sk-SK"/>
        </w:rPr>
        <w:t xml:space="preserve">prednostňuje sa i.m. podanie pred i.v. podaním, pretože </w:t>
      </w:r>
      <w:r w:rsidR="00C632FD" w:rsidRPr="00E20352">
        <w:rPr>
          <w:sz w:val="22"/>
          <w:szCs w:val="22"/>
          <w:lang w:val="sk-SK"/>
        </w:rPr>
        <w:t xml:space="preserve">sa spája s menším výskytom </w:t>
      </w:r>
      <w:r w:rsidRPr="00E20352">
        <w:rPr>
          <w:sz w:val="22"/>
          <w:szCs w:val="22"/>
          <w:lang w:val="sk-SK"/>
        </w:rPr>
        <w:t>nežiaducich účinkov.</w:t>
      </w:r>
    </w:p>
    <w:p w14:paraId="7B3E158D" w14:textId="77777777" w:rsidR="00F22C3D" w:rsidRPr="00E20352" w:rsidRDefault="00F22C3D" w:rsidP="00DC5896">
      <w:pPr>
        <w:rPr>
          <w:b/>
          <w:sz w:val="22"/>
          <w:szCs w:val="22"/>
          <w:lang w:val="sk-SK"/>
        </w:rPr>
      </w:pPr>
    </w:p>
    <w:p w14:paraId="17CDBBE9" w14:textId="77777777" w:rsidR="00286863" w:rsidRPr="00E20352" w:rsidRDefault="00286863" w:rsidP="00EF6005">
      <w:pPr>
        <w:numPr>
          <w:ilvl w:val="1"/>
          <w:numId w:val="34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u w:val="single"/>
          <w:lang w:val="sk-SK"/>
        </w:rPr>
      </w:pPr>
      <w:r w:rsidRPr="00E20352">
        <w:rPr>
          <w:b/>
          <w:sz w:val="22"/>
          <w:szCs w:val="22"/>
          <w:lang w:val="sk-SK"/>
        </w:rPr>
        <w:t>Kontraindikácie</w:t>
      </w:r>
    </w:p>
    <w:p w14:paraId="4AAE8C85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2551B0F8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Precitlivenosť na </w:t>
      </w:r>
      <w:r w:rsidR="00D960B2" w:rsidRPr="00E20352">
        <w:rPr>
          <w:sz w:val="22"/>
          <w:szCs w:val="22"/>
          <w:lang w:val="sk-SK"/>
        </w:rPr>
        <w:t>liečivo</w:t>
      </w:r>
      <w:r w:rsidRPr="00E20352">
        <w:rPr>
          <w:sz w:val="22"/>
          <w:szCs w:val="22"/>
          <w:lang w:val="sk-SK"/>
        </w:rPr>
        <w:t xml:space="preserve"> alebo </w:t>
      </w:r>
      <w:r w:rsidR="00D960B2" w:rsidRPr="00E20352">
        <w:rPr>
          <w:sz w:val="22"/>
          <w:szCs w:val="22"/>
          <w:lang w:val="sk-SK"/>
        </w:rPr>
        <w:t>na</w:t>
      </w:r>
      <w:r w:rsidR="005F5B52">
        <w:rPr>
          <w:sz w:val="22"/>
          <w:szCs w:val="22"/>
          <w:lang w:val="sk-SK"/>
        </w:rPr>
        <w:t xml:space="preserve"> </w:t>
      </w:r>
      <w:r w:rsidR="0008017D" w:rsidRPr="00E20352">
        <w:rPr>
          <w:sz w:val="22"/>
          <w:szCs w:val="22"/>
          <w:lang w:val="sk-SK"/>
        </w:rPr>
        <w:t>ktorúkoľvek</w:t>
      </w:r>
      <w:r w:rsidR="00D960B2" w:rsidRPr="00E20352">
        <w:rPr>
          <w:sz w:val="22"/>
          <w:szCs w:val="22"/>
          <w:lang w:val="sk-SK"/>
        </w:rPr>
        <w:t xml:space="preserve"> z pomocných látok</w:t>
      </w:r>
      <w:r w:rsidR="00614CC4" w:rsidRPr="00E20352">
        <w:rPr>
          <w:sz w:val="22"/>
          <w:szCs w:val="22"/>
          <w:lang w:val="sk-SK"/>
        </w:rPr>
        <w:t xml:space="preserve"> </w:t>
      </w:r>
      <w:r w:rsidR="0008017D" w:rsidRPr="00E20352">
        <w:rPr>
          <w:sz w:val="22"/>
          <w:szCs w:val="22"/>
          <w:lang w:val="sk-SK"/>
        </w:rPr>
        <w:t>uvedených v časti 6.1</w:t>
      </w:r>
      <w:r w:rsidR="00D960B2" w:rsidRPr="00E20352">
        <w:rPr>
          <w:sz w:val="22"/>
          <w:szCs w:val="22"/>
          <w:lang w:val="sk-SK"/>
        </w:rPr>
        <w:t>.</w:t>
      </w:r>
    </w:p>
    <w:p w14:paraId="49FEEE17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Súčasné prolaktín-dependentné tumory napr. tumor hypofýzy – prolaktinóm a rakovina prsníka</w:t>
      </w:r>
      <w:r w:rsidR="00161FB8" w:rsidRPr="00E20352">
        <w:rPr>
          <w:sz w:val="22"/>
          <w:szCs w:val="22"/>
          <w:lang w:val="sk-SK"/>
        </w:rPr>
        <w:t>.</w:t>
      </w:r>
      <w:r w:rsidRPr="00E20352">
        <w:rPr>
          <w:sz w:val="22"/>
          <w:szCs w:val="22"/>
          <w:lang w:val="sk-SK"/>
        </w:rPr>
        <w:t xml:space="preserve"> </w:t>
      </w:r>
    </w:p>
    <w:p w14:paraId="5400B395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Feochromocytóm</w:t>
      </w:r>
      <w:r w:rsidR="00A51325" w:rsidRPr="00E20352">
        <w:rPr>
          <w:sz w:val="22"/>
          <w:szCs w:val="22"/>
          <w:lang w:val="sk-SK"/>
        </w:rPr>
        <w:t>.</w:t>
      </w:r>
    </w:p>
    <w:p w14:paraId="39F6430E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Súčasné podávanie s levodopou </w:t>
      </w:r>
      <w:r w:rsidR="00926E54" w:rsidRPr="00E20352">
        <w:rPr>
          <w:sz w:val="22"/>
          <w:szCs w:val="22"/>
          <w:lang w:val="sk-SK"/>
        </w:rPr>
        <w:t xml:space="preserve">alebo inými dopaminergnými liekmi </w:t>
      </w:r>
      <w:r w:rsidRPr="00E20352">
        <w:rPr>
          <w:sz w:val="22"/>
          <w:szCs w:val="22"/>
          <w:lang w:val="sk-SK"/>
        </w:rPr>
        <w:t xml:space="preserve">(pozri </w:t>
      </w:r>
      <w:r w:rsidR="009A0C1E" w:rsidRPr="00E20352">
        <w:rPr>
          <w:sz w:val="22"/>
          <w:szCs w:val="22"/>
          <w:lang w:val="sk-SK"/>
        </w:rPr>
        <w:t xml:space="preserve">časť </w:t>
      </w:r>
      <w:r w:rsidRPr="00E20352">
        <w:rPr>
          <w:sz w:val="22"/>
          <w:szCs w:val="22"/>
          <w:lang w:val="sk-SK"/>
        </w:rPr>
        <w:t>4.5)</w:t>
      </w:r>
      <w:r w:rsidR="00A51325" w:rsidRPr="00E20352">
        <w:rPr>
          <w:sz w:val="22"/>
          <w:szCs w:val="22"/>
          <w:lang w:val="sk-SK"/>
        </w:rPr>
        <w:t>.</w:t>
      </w:r>
    </w:p>
    <w:p w14:paraId="37774774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5FCFF09" w14:textId="77777777" w:rsidR="00286863" w:rsidRPr="00E20352" w:rsidRDefault="00677F7D" w:rsidP="00EF6005">
      <w:pPr>
        <w:numPr>
          <w:ilvl w:val="1"/>
          <w:numId w:val="34"/>
        </w:numPr>
        <w:tabs>
          <w:tab w:val="clear" w:pos="360"/>
          <w:tab w:val="num" w:pos="709"/>
        </w:tabs>
        <w:rPr>
          <w:b/>
          <w:sz w:val="22"/>
          <w:szCs w:val="22"/>
          <w:u w:val="single"/>
          <w:lang w:val="sk-SK"/>
        </w:rPr>
      </w:pPr>
      <w:r w:rsidRPr="00E20352">
        <w:rPr>
          <w:b/>
          <w:sz w:val="22"/>
          <w:szCs w:val="22"/>
          <w:lang w:val="sk-SK"/>
        </w:rPr>
        <w:t>Osobitné upozornenia a opatrenia pri používaní</w:t>
      </w:r>
      <w:r w:rsidR="00286863" w:rsidRPr="00E20352">
        <w:rPr>
          <w:b/>
          <w:sz w:val="22"/>
          <w:szCs w:val="22"/>
          <w:lang w:val="sk-SK"/>
        </w:rPr>
        <w:t xml:space="preserve"> </w:t>
      </w:r>
    </w:p>
    <w:p w14:paraId="05D0EA91" w14:textId="77777777" w:rsidR="00677F7D" w:rsidRPr="00E20352" w:rsidRDefault="00677F7D" w:rsidP="00DC5896">
      <w:pPr>
        <w:rPr>
          <w:b/>
          <w:sz w:val="22"/>
          <w:szCs w:val="22"/>
          <w:lang w:val="sk-SK"/>
        </w:rPr>
      </w:pPr>
    </w:p>
    <w:p w14:paraId="3AC37E8A" w14:textId="2AC638F3" w:rsidR="00286863" w:rsidRPr="00E20352" w:rsidRDefault="00286863" w:rsidP="00DC5896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sym w:font="Symbol" w:char="F0B7"/>
      </w:r>
      <w:r w:rsidR="00B27033" w:rsidRPr="00E20352">
        <w:rPr>
          <w:b/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Rovnako ako pri iných neuroleptikách, môže sa vyskytnúť neuroleptický malígny syndróm</w:t>
      </w:r>
      <w:r w:rsidR="006D54D7" w:rsidRPr="00E20352">
        <w:rPr>
          <w:sz w:val="22"/>
          <w:szCs w:val="22"/>
          <w:lang w:val="sk-SK"/>
        </w:rPr>
        <w:t>, komplikácia s možnými smrteľnými následkami,</w:t>
      </w:r>
      <w:r w:rsidR="00B27033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charakterizovaný hypertermiou, svalovou rigiditou a autonómnou dysfunkciou</w:t>
      </w:r>
      <w:r w:rsidR="00EF350C">
        <w:rPr>
          <w:sz w:val="22"/>
          <w:szCs w:val="22"/>
          <w:lang w:val="sk-SK"/>
        </w:rPr>
        <w:t xml:space="preserve"> (pozri časť 4.8)</w:t>
      </w:r>
      <w:r w:rsidR="00EF350C" w:rsidRPr="00E20352">
        <w:rPr>
          <w:sz w:val="22"/>
          <w:szCs w:val="22"/>
          <w:lang w:val="sk-SK"/>
        </w:rPr>
        <w:t>.</w:t>
      </w:r>
      <w:r w:rsidR="00EF350C">
        <w:rPr>
          <w:sz w:val="22"/>
          <w:szCs w:val="22"/>
          <w:lang w:val="sk-SK"/>
        </w:rPr>
        <w:t xml:space="preserve"> Zaznamenané boli prípady s atypickými príznakmi ako chýbajúca svalová rigidita alebo hypert</w:t>
      </w:r>
      <w:r w:rsidR="00237D0E">
        <w:rPr>
          <w:sz w:val="22"/>
          <w:szCs w:val="22"/>
          <w:lang w:val="sk-SK"/>
        </w:rPr>
        <w:t>ó</w:t>
      </w:r>
      <w:r w:rsidR="00EF350C">
        <w:rPr>
          <w:sz w:val="22"/>
          <w:szCs w:val="22"/>
          <w:lang w:val="sk-SK"/>
        </w:rPr>
        <w:t>nia a zníženie horúčky</w:t>
      </w:r>
      <w:r w:rsidRPr="00E20352">
        <w:rPr>
          <w:sz w:val="22"/>
          <w:szCs w:val="22"/>
          <w:lang w:val="sk-SK"/>
        </w:rPr>
        <w:t xml:space="preserve">. V prípade hypertermie neznámeho pôvodu </w:t>
      </w:r>
      <w:r w:rsidR="00936DC9" w:rsidRPr="00E20352">
        <w:rPr>
          <w:sz w:val="22"/>
          <w:szCs w:val="22"/>
          <w:lang w:val="sk-SK"/>
        </w:rPr>
        <w:t>sa má</w:t>
      </w:r>
      <w:r w:rsidRPr="00E20352">
        <w:rPr>
          <w:sz w:val="22"/>
          <w:szCs w:val="22"/>
          <w:lang w:val="sk-SK"/>
        </w:rPr>
        <w:t xml:space="preserve"> užívanie tiapridu prerušiť.</w:t>
      </w:r>
    </w:p>
    <w:p w14:paraId="78DA4102" w14:textId="77777777" w:rsidR="00286863" w:rsidRPr="00E20352" w:rsidRDefault="00286863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Okrem výnimočných prípadov, tiaprid </w:t>
      </w:r>
      <w:r w:rsidR="00FF2911" w:rsidRPr="00E20352">
        <w:rPr>
          <w:sz w:val="22"/>
          <w:szCs w:val="22"/>
          <w:lang w:val="sk-SK"/>
        </w:rPr>
        <w:t>nemajú</w:t>
      </w:r>
      <w:r w:rsidRPr="00E20352">
        <w:rPr>
          <w:sz w:val="22"/>
          <w:szCs w:val="22"/>
          <w:lang w:val="sk-SK"/>
        </w:rPr>
        <w:t xml:space="preserve"> užívať pacienti s Parkinsonovou chorobou.</w:t>
      </w:r>
    </w:p>
    <w:p w14:paraId="67FCD180" w14:textId="727D3A6D" w:rsidR="00286863" w:rsidRPr="00E20352" w:rsidRDefault="00286863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Neuroleptiká môžu znižovať prah epileptických záchvatov</w:t>
      </w:r>
      <w:r w:rsidR="00FE4A58">
        <w:rPr>
          <w:sz w:val="22"/>
          <w:szCs w:val="22"/>
          <w:lang w:val="sk-SK"/>
        </w:rPr>
        <w:t xml:space="preserve"> (pozri časť 4.8).</w:t>
      </w:r>
      <w:r w:rsidRPr="00E20352">
        <w:rPr>
          <w:sz w:val="22"/>
          <w:szCs w:val="22"/>
          <w:lang w:val="sk-SK"/>
        </w:rPr>
        <w:t xml:space="preserve"> </w:t>
      </w:r>
      <w:r w:rsidR="00FE4A58">
        <w:rPr>
          <w:sz w:val="22"/>
          <w:szCs w:val="22"/>
          <w:lang w:val="sk-SK"/>
        </w:rPr>
        <w:t>P</w:t>
      </w:r>
      <w:r w:rsidRPr="00E20352">
        <w:rPr>
          <w:sz w:val="22"/>
          <w:szCs w:val="22"/>
          <w:lang w:val="sk-SK"/>
        </w:rPr>
        <w:t xml:space="preserve">acienti s epilepsiou </w:t>
      </w:r>
      <w:r w:rsidR="00FF2911" w:rsidRPr="00E20352">
        <w:rPr>
          <w:sz w:val="22"/>
          <w:szCs w:val="22"/>
          <w:lang w:val="sk-SK"/>
        </w:rPr>
        <w:t>majú</w:t>
      </w:r>
      <w:r w:rsidRPr="00E20352">
        <w:rPr>
          <w:sz w:val="22"/>
          <w:szCs w:val="22"/>
          <w:lang w:val="sk-SK"/>
        </w:rPr>
        <w:t xml:space="preserve"> byť </w:t>
      </w:r>
      <w:r w:rsidR="00FE4A58">
        <w:rPr>
          <w:sz w:val="22"/>
          <w:szCs w:val="22"/>
          <w:lang w:val="sk-SK"/>
        </w:rPr>
        <w:t xml:space="preserve">preto </w:t>
      </w:r>
      <w:r w:rsidRPr="00E20352">
        <w:rPr>
          <w:sz w:val="22"/>
          <w:szCs w:val="22"/>
          <w:lang w:val="sk-SK"/>
        </w:rPr>
        <w:t>počas liečby tiapridom starostlivo monitorovaní.</w:t>
      </w:r>
    </w:p>
    <w:p w14:paraId="68FE0B5E" w14:textId="49375212" w:rsidR="00286863" w:rsidRPr="00E20352" w:rsidRDefault="00286863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V prípade obličkovej insuficiencie </w:t>
      </w:r>
      <w:r w:rsidR="00FF2911" w:rsidRPr="00E20352">
        <w:rPr>
          <w:sz w:val="22"/>
          <w:szCs w:val="22"/>
          <w:lang w:val="sk-SK"/>
        </w:rPr>
        <w:t xml:space="preserve">sa má </w:t>
      </w:r>
      <w:r w:rsidR="00FE4A58">
        <w:rPr>
          <w:sz w:val="22"/>
          <w:szCs w:val="22"/>
          <w:lang w:val="sk-SK"/>
        </w:rPr>
        <w:t>kvôli možnému riziku bezvedomia v dôsledku predávkovania</w:t>
      </w:r>
      <w:r w:rsidR="00FE4A58" w:rsidRPr="00E20352">
        <w:rPr>
          <w:sz w:val="22"/>
          <w:szCs w:val="22"/>
          <w:lang w:val="sk-SK"/>
        </w:rPr>
        <w:t xml:space="preserve"> </w:t>
      </w:r>
      <w:r w:rsidR="00FF2911" w:rsidRPr="00E20352">
        <w:rPr>
          <w:sz w:val="22"/>
          <w:szCs w:val="22"/>
          <w:lang w:val="sk-SK"/>
        </w:rPr>
        <w:t>dávka</w:t>
      </w:r>
      <w:r w:rsidR="00FE4A58">
        <w:rPr>
          <w:sz w:val="22"/>
          <w:szCs w:val="22"/>
          <w:lang w:val="sk-SK"/>
        </w:rPr>
        <w:t xml:space="preserve"> znížiť</w:t>
      </w:r>
      <w:r w:rsidRPr="00E20352">
        <w:rPr>
          <w:sz w:val="22"/>
          <w:szCs w:val="22"/>
          <w:lang w:val="sk-SK"/>
        </w:rPr>
        <w:t xml:space="preserve"> (pozri </w:t>
      </w:r>
      <w:r w:rsidR="009A0C1E" w:rsidRPr="00E20352">
        <w:rPr>
          <w:sz w:val="22"/>
          <w:szCs w:val="22"/>
          <w:lang w:val="sk-SK"/>
        </w:rPr>
        <w:t xml:space="preserve">časť </w:t>
      </w:r>
      <w:r w:rsidRPr="00E20352">
        <w:rPr>
          <w:sz w:val="22"/>
          <w:szCs w:val="22"/>
          <w:lang w:val="sk-SK"/>
        </w:rPr>
        <w:t>4.2</w:t>
      </w:r>
      <w:r w:rsidR="00FE4A58">
        <w:rPr>
          <w:sz w:val="22"/>
          <w:szCs w:val="22"/>
          <w:lang w:val="sk-SK"/>
        </w:rPr>
        <w:t xml:space="preserve"> a 4.9</w:t>
      </w:r>
      <w:r w:rsidR="00614CC4" w:rsidRPr="00E20352">
        <w:rPr>
          <w:sz w:val="22"/>
          <w:szCs w:val="22"/>
          <w:lang w:val="sk-SK"/>
        </w:rPr>
        <w:t>).</w:t>
      </w:r>
    </w:p>
    <w:p w14:paraId="7506F641" w14:textId="6A545AB9" w:rsidR="00286863" w:rsidRPr="00E20352" w:rsidRDefault="00991EEB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lastRenderedPageBreak/>
        <w:t>Rovnako</w:t>
      </w:r>
      <w:r w:rsidR="00286863" w:rsidRPr="00E20352">
        <w:rPr>
          <w:sz w:val="22"/>
          <w:szCs w:val="22"/>
          <w:lang w:val="sk-SK"/>
        </w:rPr>
        <w:t xml:space="preserve"> ako pri iných neuroleptikách, </w:t>
      </w:r>
      <w:r w:rsidR="00FF2911" w:rsidRPr="00E20352">
        <w:rPr>
          <w:sz w:val="22"/>
          <w:szCs w:val="22"/>
          <w:lang w:val="sk-SK"/>
        </w:rPr>
        <w:t>sa má</w:t>
      </w:r>
      <w:r w:rsidR="00286863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 xml:space="preserve">tiaprid u geriatrických pacientov </w:t>
      </w:r>
      <w:r w:rsidR="00286863" w:rsidRPr="00E20352">
        <w:rPr>
          <w:sz w:val="22"/>
          <w:szCs w:val="22"/>
          <w:lang w:val="sk-SK"/>
        </w:rPr>
        <w:t>podávať s veľkou opatrnosťou</w:t>
      </w:r>
      <w:r w:rsidRPr="00E20352">
        <w:rPr>
          <w:sz w:val="22"/>
          <w:szCs w:val="22"/>
          <w:lang w:val="sk-SK"/>
        </w:rPr>
        <w:t>,</w:t>
      </w:r>
      <w:r w:rsidR="00286863" w:rsidRPr="00E20352">
        <w:rPr>
          <w:sz w:val="22"/>
          <w:szCs w:val="22"/>
          <w:lang w:val="sk-SK"/>
        </w:rPr>
        <w:t xml:space="preserve"> kvôli možnému riziku </w:t>
      </w:r>
      <w:r w:rsidR="00FE4A58">
        <w:rPr>
          <w:sz w:val="22"/>
          <w:szCs w:val="22"/>
          <w:lang w:val="sk-SK"/>
        </w:rPr>
        <w:t>zníženia úrovne vedomia a kómy</w:t>
      </w:r>
      <w:r w:rsidR="00286863" w:rsidRPr="00E20352">
        <w:rPr>
          <w:sz w:val="22"/>
          <w:szCs w:val="22"/>
          <w:lang w:val="sk-SK"/>
        </w:rPr>
        <w:t>.</w:t>
      </w:r>
    </w:p>
    <w:p w14:paraId="2722050A" w14:textId="41295169" w:rsidR="00CB36BA" w:rsidRPr="00E20352" w:rsidRDefault="009E7F6B" w:rsidP="00CB36BA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bookmarkStart w:id="0" w:name="OLE_LINK1"/>
      <w:bookmarkStart w:id="1" w:name="OLE_LINK2"/>
      <w:r w:rsidRPr="00E20352">
        <w:rPr>
          <w:sz w:val="22"/>
          <w:szCs w:val="22"/>
          <w:lang w:val="sk-SK"/>
        </w:rPr>
        <w:t>Starší pacienti s demenciou</w:t>
      </w:r>
    </w:p>
    <w:p w14:paraId="5F2819FC" w14:textId="77777777" w:rsidR="009E7F6B" w:rsidRPr="00E20352" w:rsidRDefault="001456F4" w:rsidP="00B0185E">
      <w:pPr>
        <w:tabs>
          <w:tab w:val="left" w:pos="284"/>
          <w:tab w:val="left" w:pos="3969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 s</w:t>
      </w:r>
      <w:r w:rsidR="00AD70BE" w:rsidRPr="00E20352">
        <w:rPr>
          <w:sz w:val="22"/>
          <w:szCs w:val="22"/>
          <w:lang w:val="sk-SK"/>
        </w:rPr>
        <w:t>tarší</w:t>
      </w:r>
      <w:r w:rsidRPr="00E20352">
        <w:rPr>
          <w:sz w:val="22"/>
          <w:szCs w:val="22"/>
          <w:lang w:val="sk-SK"/>
        </w:rPr>
        <w:t>ch pacientov</w:t>
      </w:r>
      <w:r w:rsidR="00AD70BE" w:rsidRPr="00E20352">
        <w:rPr>
          <w:sz w:val="22"/>
          <w:szCs w:val="22"/>
          <w:lang w:val="sk-SK"/>
        </w:rPr>
        <w:t xml:space="preserve"> </w:t>
      </w:r>
      <w:r w:rsidR="0047636D" w:rsidRPr="00E20352">
        <w:rPr>
          <w:sz w:val="22"/>
          <w:szCs w:val="22"/>
          <w:lang w:val="sk-SK"/>
        </w:rPr>
        <w:t>s psychózou súvisiacou s demenciou</w:t>
      </w:r>
      <w:r w:rsidRPr="00E20352">
        <w:rPr>
          <w:sz w:val="22"/>
          <w:szCs w:val="22"/>
          <w:lang w:val="sk-SK"/>
        </w:rPr>
        <w:t>, ktorí sú</w:t>
      </w:r>
      <w:r w:rsidR="00AD70BE" w:rsidRPr="00E20352">
        <w:rPr>
          <w:sz w:val="22"/>
          <w:szCs w:val="22"/>
          <w:lang w:val="sk-SK"/>
        </w:rPr>
        <w:t xml:space="preserve"> liečení antipsychotikami</w:t>
      </w:r>
      <w:r w:rsidRPr="00E20352">
        <w:rPr>
          <w:sz w:val="22"/>
          <w:szCs w:val="22"/>
          <w:lang w:val="sk-SK"/>
        </w:rPr>
        <w:t>, je zvýšené</w:t>
      </w:r>
      <w:r w:rsidR="00AD70BE" w:rsidRPr="00E20352">
        <w:rPr>
          <w:sz w:val="22"/>
          <w:szCs w:val="22"/>
          <w:lang w:val="sk-SK"/>
        </w:rPr>
        <w:t xml:space="preserve"> riziko smrti. </w:t>
      </w:r>
      <w:r w:rsidR="00F8620C" w:rsidRPr="00E20352">
        <w:rPr>
          <w:sz w:val="22"/>
          <w:szCs w:val="22"/>
          <w:lang w:val="sk-SK"/>
        </w:rPr>
        <w:t>Analýzy sedemnástich placebom-kontrolovaných štúdií (</w:t>
      </w:r>
      <w:r w:rsidR="00B0185E" w:rsidRPr="00E20352">
        <w:rPr>
          <w:sz w:val="22"/>
          <w:szCs w:val="22"/>
          <w:lang w:val="sk-SK"/>
        </w:rPr>
        <w:t>modálne</w:t>
      </w:r>
      <w:r w:rsidR="00053754" w:rsidRPr="00E20352">
        <w:rPr>
          <w:sz w:val="22"/>
          <w:szCs w:val="22"/>
          <w:lang w:val="sk-SK"/>
        </w:rPr>
        <w:t xml:space="preserve"> trvanie 10 týždňov), </w:t>
      </w:r>
      <w:r w:rsidR="00E91293" w:rsidRPr="00E20352">
        <w:rPr>
          <w:sz w:val="22"/>
          <w:szCs w:val="22"/>
          <w:lang w:val="sk-SK"/>
        </w:rPr>
        <w:t xml:space="preserve">prevažne u pacientov užívajúcich atypické antipsychotiká, odhalili 1,6 až 1,7-násobne väčšie riziko smrti u pacientov liečených liekmi ako u pacientov liečených placebom. </w:t>
      </w:r>
      <w:r w:rsidR="00C86126" w:rsidRPr="00E20352">
        <w:rPr>
          <w:sz w:val="22"/>
          <w:szCs w:val="22"/>
          <w:lang w:val="sk-SK"/>
        </w:rPr>
        <w:t>Počas priebehu typickej 10 týždňovej kontrolovanej štúdie nastala smrť u približne 4,5</w:t>
      </w:r>
      <w:r w:rsidR="00954AF9" w:rsidRPr="00E20352">
        <w:rPr>
          <w:sz w:val="22"/>
          <w:szCs w:val="22"/>
          <w:lang w:val="sk-SK"/>
        </w:rPr>
        <w:t> </w:t>
      </w:r>
      <w:r w:rsidR="00C86126" w:rsidRPr="00E20352">
        <w:rPr>
          <w:sz w:val="22"/>
          <w:szCs w:val="22"/>
          <w:lang w:val="sk-SK"/>
        </w:rPr>
        <w:t>% liekmi liečených pacientov, kým</w:t>
      </w:r>
      <w:r w:rsidR="002D76AB" w:rsidRPr="00E20352">
        <w:rPr>
          <w:sz w:val="22"/>
          <w:szCs w:val="22"/>
          <w:lang w:val="sk-SK"/>
        </w:rPr>
        <w:t xml:space="preserve"> v skupine s placebom nastala u 2,6</w:t>
      </w:r>
      <w:r w:rsidR="00954AF9" w:rsidRPr="00E20352">
        <w:rPr>
          <w:sz w:val="22"/>
          <w:szCs w:val="22"/>
          <w:lang w:val="sk-SK"/>
        </w:rPr>
        <w:t> </w:t>
      </w:r>
      <w:r w:rsidR="002D76AB" w:rsidRPr="00E20352">
        <w:rPr>
          <w:sz w:val="22"/>
          <w:szCs w:val="22"/>
          <w:lang w:val="sk-SK"/>
        </w:rPr>
        <w:t>% pacientov.</w:t>
      </w:r>
      <w:r w:rsidR="00494ED0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I</w:t>
      </w:r>
      <w:r w:rsidR="00B0185E" w:rsidRPr="00E20352">
        <w:rPr>
          <w:sz w:val="22"/>
          <w:szCs w:val="22"/>
          <w:lang w:val="sk-SK"/>
        </w:rPr>
        <w:t> </w:t>
      </w:r>
      <w:r w:rsidRPr="00E20352">
        <w:rPr>
          <w:sz w:val="22"/>
          <w:szCs w:val="22"/>
          <w:lang w:val="sk-SK"/>
        </w:rPr>
        <w:t>keď</w:t>
      </w:r>
      <w:r w:rsidR="00B0185E" w:rsidRPr="00E20352">
        <w:rPr>
          <w:sz w:val="22"/>
          <w:szCs w:val="22"/>
          <w:lang w:val="sk-SK"/>
        </w:rPr>
        <w:t xml:space="preserve"> sa</w:t>
      </w:r>
      <w:r w:rsidR="00494ED0" w:rsidRPr="00E20352">
        <w:rPr>
          <w:sz w:val="22"/>
          <w:szCs w:val="22"/>
          <w:lang w:val="sk-SK"/>
        </w:rPr>
        <w:t xml:space="preserve"> príčiny smrti, ku ktorým došlo počas klinických skúšaní s atypickými antipsychotikami líšili, najčastejšie </w:t>
      </w:r>
      <w:r w:rsidRPr="00E20352">
        <w:rPr>
          <w:sz w:val="22"/>
          <w:szCs w:val="22"/>
          <w:lang w:val="sk-SK"/>
        </w:rPr>
        <w:t>boli</w:t>
      </w:r>
      <w:r w:rsidR="00494ED0" w:rsidRPr="00E20352">
        <w:rPr>
          <w:sz w:val="22"/>
          <w:szCs w:val="22"/>
          <w:lang w:val="sk-SK"/>
        </w:rPr>
        <w:t xml:space="preserve"> buď kardiovaskulárne</w:t>
      </w:r>
      <w:r w:rsidRPr="00E20352">
        <w:rPr>
          <w:sz w:val="22"/>
          <w:szCs w:val="22"/>
          <w:lang w:val="sk-SK"/>
        </w:rPr>
        <w:t xml:space="preserve">ho </w:t>
      </w:r>
      <w:r w:rsidR="00494ED0" w:rsidRPr="00E20352">
        <w:rPr>
          <w:sz w:val="22"/>
          <w:szCs w:val="22"/>
          <w:lang w:val="sk-SK"/>
        </w:rPr>
        <w:t xml:space="preserve">(napr. zlyhanie srdca, náhla smrť) alebo </w:t>
      </w:r>
      <w:r w:rsidRPr="00E20352">
        <w:rPr>
          <w:sz w:val="22"/>
          <w:szCs w:val="22"/>
          <w:lang w:val="sk-SK"/>
        </w:rPr>
        <w:t>infekčného</w:t>
      </w:r>
      <w:r w:rsidR="00494ED0" w:rsidRPr="00E20352">
        <w:rPr>
          <w:sz w:val="22"/>
          <w:szCs w:val="22"/>
          <w:lang w:val="sk-SK"/>
        </w:rPr>
        <w:t xml:space="preserve"> </w:t>
      </w:r>
      <w:r w:rsidR="00B0185E" w:rsidRPr="00E20352">
        <w:rPr>
          <w:sz w:val="22"/>
          <w:szCs w:val="22"/>
          <w:lang w:val="sk-SK"/>
        </w:rPr>
        <w:t xml:space="preserve">charakteru </w:t>
      </w:r>
      <w:r w:rsidR="00494ED0" w:rsidRPr="00E20352">
        <w:rPr>
          <w:sz w:val="22"/>
          <w:szCs w:val="22"/>
          <w:lang w:val="sk-SK"/>
        </w:rPr>
        <w:t>(napr. pneum</w:t>
      </w:r>
      <w:r w:rsidRPr="00E20352">
        <w:rPr>
          <w:sz w:val="22"/>
          <w:szCs w:val="22"/>
          <w:lang w:val="sk-SK"/>
        </w:rPr>
        <w:t>ónia).</w:t>
      </w:r>
      <w:r w:rsidR="00DD5022" w:rsidRPr="00E20352">
        <w:rPr>
          <w:sz w:val="22"/>
          <w:szCs w:val="22"/>
          <w:lang w:val="sk-SK"/>
        </w:rPr>
        <w:t xml:space="preserve"> Observačné štúdie naznačujú, že </w:t>
      </w:r>
      <w:r w:rsidR="000C4E21" w:rsidRPr="00E20352">
        <w:rPr>
          <w:sz w:val="22"/>
          <w:szCs w:val="22"/>
          <w:lang w:val="sk-SK"/>
        </w:rPr>
        <w:t>podobne ako atypické antipsychotiká, aj liečba s konvenčnými antipsychotikami môže zvyšovať úmrtnosť.</w:t>
      </w:r>
      <w:r w:rsidR="00727F99" w:rsidRPr="00E20352">
        <w:rPr>
          <w:sz w:val="22"/>
          <w:szCs w:val="22"/>
          <w:lang w:val="sk-SK"/>
        </w:rPr>
        <w:t xml:space="preserve"> </w:t>
      </w:r>
      <w:r w:rsidR="00B0185E" w:rsidRPr="00E20352">
        <w:rPr>
          <w:sz w:val="22"/>
          <w:szCs w:val="22"/>
          <w:lang w:val="sk-SK"/>
        </w:rPr>
        <w:t>Rozsah, v ktorom môžu byť zistenia zvýšenej mortality v observačných štúdiách pripísané antipsychotikám</w:t>
      </w:r>
      <w:r w:rsidR="00727F99" w:rsidRPr="00E20352">
        <w:rPr>
          <w:sz w:val="22"/>
          <w:szCs w:val="22"/>
          <w:lang w:val="sk-SK"/>
        </w:rPr>
        <w:t>,</w:t>
      </w:r>
      <w:r w:rsidR="00B0185E" w:rsidRPr="00E20352">
        <w:rPr>
          <w:sz w:val="22"/>
          <w:szCs w:val="22"/>
          <w:lang w:val="sk-SK"/>
        </w:rPr>
        <w:t xml:space="preserve"> </w:t>
      </w:r>
      <w:r w:rsidR="00727F99" w:rsidRPr="00E20352">
        <w:rPr>
          <w:sz w:val="22"/>
          <w:szCs w:val="22"/>
          <w:lang w:val="sk-SK"/>
        </w:rPr>
        <w:t>a nie</w:t>
      </w:r>
      <w:r w:rsidR="00B0185E" w:rsidRPr="00E20352">
        <w:rPr>
          <w:sz w:val="22"/>
          <w:szCs w:val="22"/>
          <w:lang w:val="sk-SK"/>
        </w:rPr>
        <w:t xml:space="preserve"> niektorým vlastnostiam pacientov, nie je jasný.</w:t>
      </w:r>
      <w:r w:rsidR="000C4E21" w:rsidRPr="00E20352">
        <w:rPr>
          <w:sz w:val="22"/>
          <w:szCs w:val="22"/>
          <w:lang w:val="sk-SK"/>
        </w:rPr>
        <w:t xml:space="preserve"> </w:t>
      </w:r>
    </w:p>
    <w:bookmarkEnd w:id="0"/>
    <w:bookmarkEnd w:id="1"/>
    <w:p w14:paraId="2079D215" w14:textId="77777777" w:rsidR="00286863" w:rsidRPr="00E20352" w:rsidRDefault="00936DC9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</w:t>
      </w:r>
      <w:r w:rsidR="00286863" w:rsidRPr="00E20352">
        <w:rPr>
          <w:sz w:val="22"/>
          <w:szCs w:val="22"/>
          <w:lang w:val="sk-SK"/>
        </w:rPr>
        <w:t xml:space="preserve">žívanie tiapridu </w:t>
      </w:r>
      <w:r w:rsidRPr="00E20352">
        <w:rPr>
          <w:sz w:val="22"/>
          <w:szCs w:val="22"/>
          <w:lang w:val="sk-SK"/>
        </w:rPr>
        <w:t xml:space="preserve">u detí </w:t>
      </w:r>
      <w:r w:rsidR="00286863" w:rsidRPr="00E20352">
        <w:rPr>
          <w:sz w:val="22"/>
          <w:szCs w:val="22"/>
          <w:lang w:val="sk-SK"/>
        </w:rPr>
        <w:t xml:space="preserve">nebolo dôsledne sledované. Preto </w:t>
      </w:r>
      <w:r w:rsidRPr="00E20352">
        <w:rPr>
          <w:sz w:val="22"/>
          <w:szCs w:val="22"/>
          <w:lang w:val="sk-SK"/>
        </w:rPr>
        <w:t xml:space="preserve">pri predpisovaní </w:t>
      </w:r>
      <w:r w:rsidR="007041BC" w:rsidRPr="00E20352">
        <w:rPr>
          <w:sz w:val="22"/>
          <w:szCs w:val="22"/>
          <w:lang w:val="sk-SK"/>
        </w:rPr>
        <w:t xml:space="preserve">lieku </w:t>
      </w:r>
      <w:r w:rsidRPr="00E20352">
        <w:rPr>
          <w:sz w:val="22"/>
          <w:szCs w:val="22"/>
          <w:lang w:val="sk-SK"/>
        </w:rPr>
        <w:t xml:space="preserve">deťom </w:t>
      </w:r>
      <w:r w:rsidR="007041BC" w:rsidRPr="00E20352">
        <w:rPr>
          <w:sz w:val="22"/>
          <w:szCs w:val="22"/>
          <w:lang w:val="sk-SK"/>
        </w:rPr>
        <w:t>je potrebná opatrnosť</w:t>
      </w:r>
      <w:r w:rsidR="00286863" w:rsidRPr="00E20352">
        <w:rPr>
          <w:sz w:val="22"/>
          <w:szCs w:val="22"/>
          <w:lang w:val="sk-SK"/>
        </w:rPr>
        <w:t xml:space="preserve"> (</w:t>
      </w:r>
      <w:r w:rsidR="009A0C1E" w:rsidRPr="00E20352">
        <w:rPr>
          <w:sz w:val="22"/>
          <w:szCs w:val="22"/>
          <w:lang w:val="sk-SK"/>
        </w:rPr>
        <w:t xml:space="preserve">pozri časť </w:t>
      </w:r>
      <w:r w:rsidR="00286863" w:rsidRPr="00E20352">
        <w:rPr>
          <w:sz w:val="22"/>
          <w:szCs w:val="22"/>
          <w:lang w:val="sk-SK"/>
        </w:rPr>
        <w:t>4.2).</w:t>
      </w:r>
    </w:p>
    <w:p w14:paraId="7C7D3AEE" w14:textId="7AF85160" w:rsidR="00DA714C" w:rsidRPr="00E20352" w:rsidRDefault="00DA714C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Predĺženie Q</w:t>
      </w:r>
      <w:r w:rsidR="005B0E19" w:rsidRPr="00E20352">
        <w:rPr>
          <w:sz w:val="22"/>
          <w:szCs w:val="22"/>
          <w:lang w:val="sk-SK"/>
        </w:rPr>
        <w:t>T</w:t>
      </w:r>
      <w:r w:rsidRPr="00E20352">
        <w:rPr>
          <w:sz w:val="22"/>
          <w:szCs w:val="22"/>
          <w:lang w:val="sk-SK"/>
        </w:rPr>
        <w:t xml:space="preserve"> intervalu</w:t>
      </w:r>
    </w:p>
    <w:p w14:paraId="6B4AAB5A" w14:textId="77777777" w:rsidR="00DA714C" w:rsidRPr="00E20352" w:rsidRDefault="00DA714C" w:rsidP="00DC589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Tiaprid môže indukovať predĺženie QT intervalu. </w:t>
      </w:r>
      <w:r w:rsidR="007041BC" w:rsidRPr="00E20352">
        <w:rPr>
          <w:sz w:val="22"/>
          <w:szCs w:val="22"/>
          <w:lang w:val="sk-SK"/>
        </w:rPr>
        <w:t>Je známe, že t</w:t>
      </w:r>
      <w:r w:rsidRPr="00E20352">
        <w:rPr>
          <w:sz w:val="22"/>
          <w:szCs w:val="22"/>
          <w:lang w:val="sk-SK"/>
        </w:rPr>
        <w:t xml:space="preserve">ento účinok </w:t>
      </w:r>
      <w:r w:rsidR="007041BC" w:rsidRPr="00E20352">
        <w:rPr>
          <w:sz w:val="22"/>
          <w:szCs w:val="22"/>
          <w:lang w:val="sk-SK"/>
        </w:rPr>
        <w:t>zvyšuje</w:t>
      </w:r>
      <w:r w:rsidRPr="00E20352">
        <w:rPr>
          <w:sz w:val="22"/>
          <w:szCs w:val="22"/>
          <w:lang w:val="sk-SK"/>
        </w:rPr>
        <w:t xml:space="preserve"> rizik</w:t>
      </w:r>
      <w:r w:rsidR="007041BC" w:rsidRPr="00E20352">
        <w:rPr>
          <w:sz w:val="22"/>
          <w:szCs w:val="22"/>
          <w:lang w:val="sk-SK"/>
        </w:rPr>
        <w:t>o</w:t>
      </w:r>
      <w:r w:rsidRPr="00E20352">
        <w:rPr>
          <w:sz w:val="22"/>
          <w:szCs w:val="22"/>
          <w:lang w:val="sk-SK"/>
        </w:rPr>
        <w:t xml:space="preserve"> závažnej </w:t>
      </w:r>
      <w:r w:rsidR="006026C2" w:rsidRPr="00E20352">
        <w:rPr>
          <w:sz w:val="22"/>
          <w:szCs w:val="22"/>
          <w:lang w:val="sk-SK"/>
        </w:rPr>
        <w:t>ventrikulárnej</w:t>
      </w:r>
      <w:r w:rsidR="007041BC" w:rsidRPr="00E20352">
        <w:rPr>
          <w:sz w:val="22"/>
          <w:szCs w:val="22"/>
          <w:lang w:val="sk-SK"/>
        </w:rPr>
        <w:t xml:space="preserve"> arytmie,</w:t>
      </w:r>
      <w:r w:rsidR="006026C2" w:rsidRPr="00E20352">
        <w:rPr>
          <w:sz w:val="22"/>
          <w:szCs w:val="22"/>
          <w:lang w:val="sk-SK"/>
        </w:rPr>
        <w:t xml:space="preserve"> ako je </w:t>
      </w:r>
      <w:r w:rsidR="006026C2" w:rsidRPr="00E20352">
        <w:rPr>
          <w:i/>
          <w:sz w:val="22"/>
          <w:szCs w:val="22"/>
          <w:lang w:val="sk-SK"/>
        </w:rPr>
        <w:t>torsade</w:t>
      </w:r>
      <w:r w:rsidR="00AA35F4" w:rsidRPr="00E20352">
        <w:rPr>
          <w:i/>
          <w:sz w:val="22"/>
          <w:szCs w:val="22"/>
          <w:lang w:val="sk-SK"/>
        </w:rPr>
        <w:t>s</w:t>
      </w:r>
      <w:r w:rsidR="006026C2" w:rsidRPr="00E20352">
        <w:rPr>
          <w:i/>
          <w:sz w:val="22"/>
          <w:szCs w:val="22"/>
          <w:lang w:val="sk-SK"/>
        </w:rPr>
        <w:t xml:space="preserve"> de pointes</w:t>
      </w:r>
      <w:r w:rsidR="006026C2" w:rsidRPr="00E20352">
        <w:rPr>
          <w:sz w:val="22"/>
          <w:szCs w:val="22"/>
          <w:lang w:val="sk-SK"/>
        </w:rPr>
        <w:t xml:space="preserve"> (pozri </w:t>
      </w:r>
      <w:r w:rsidR="009A0C1E" w:rsidRPr="00E20352">
        <w:rPr>
          <w:sz w:val="22"/>
          <w:szCs w:val="22"/>
          <w:lang w:val="sk-SK"/>
        </w:rPr>
        <w:t xml:space="preserve">časť </w:t>
      </w:r>
      <w:r w:rsidR="006026C2" w:rsidRPr="00E20352">
        <w:rPr>
          <w:sz w:val="22"/>
          <w:szCs w:val="22"/>
          <w:lang w:val="sk-SK"/>
        </w:rPr>
        <w:t>4.8).</w:t>
      </w:r>
      <w:r w:rsidR="003432AD" w:rsidRPr="00E20352">
        <w:rPr>
          <w:sz w:val="22"/>
          <w:szCs w:val="22"/>
          <w:lang w:val="sk-SK"/>
        </w:rPr>
        <w:t xml:space="preserve"> Odporúča sa, pred akýmkoľvek podaním, a ak je to možné v súlade s klinickým stavom</w:t>
      </w:r>
      <w:r w:rsidR="00927D74" w:rsidRPr="00E20352">
        <w:rPr>
          <w:sz w:val="22"/>
          <w:szCs w:val="22"/>
          <w:lang w:val="sk-SK"/>
        </w:rPr>
        <w:t xml:space="preserve"> pacienta</w:t>
      </w:r>
      <w:r w:rsidR="003432AD" w:rsidRPr="00E20352">
        <w:rPr>
          <w:sz w:val="22"/>
          <w:szCs w:val="22"/>
          <w:lang w:val="sk-SK"/>
        </w:rPr>
        <w:t xml:space="preserve">, monitorovať faktory, ktoré môžu podporovať výskyt </w:t>
      </w:r>
      <w:r w:rsidR="00013E93" w:rsidRPr="00E20352">
        <w:rPr>
          <w:sz w:val="22"/>
          <w:szCs w:val="22"/>
          <w:lang w:val="sk-SK"/>
        </w:rPr>
        <w:t>tejto poruchy rytmu ako napríklad:</w:t>
      </w:r>
    </w:p>
    <w:p w14:paraId="2A9C954E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bradykardia</w:t>
      </w:r>
      <w:r w:rsidR="00A0550E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men</w:t>
      </w:r>
      <w:r w:rsidR="00A0550E" w:rsidRPr="00E20352">
        <w:rPr>
          <w:sz w:val="22"/>
          <w:szCs w:val="22"/>
          <w:lang w:val="sk-SK"/>
        </w:rPr>
        <w:t>ej</w:t>
      </w:r>
      <w:r w:rsidRPr="00E20352">
        <w:rPr>
          <w:sz w:val="22"/>
          <w:szCs w:val="22"/>
          <w:lang w:val="sk-SK"/>
        </w:rPr>
        <w:t xml:space="preserve"> ako 55 úderov</w:t>
      </w:r>
      <w:r w:rsidR="00A0550E" w:rsidRPr="00E20352">
        <w:rPr>
          <w:sz w:val="22"/>
          <w:szCs w:val="22"/>
          <w:lang w:val="sk-SK"/>
        </w:rPr>
        <w:t xml:space="preserve"> za </w:t>
      </w:r>
      <w:r w:rsidRPr="00E20352">
        <w:rPr>
          <w:sz w:val="22"/>
          <w:szCs w:val="22"/>
          <w:lang w:val="sk-SK"/>
        </w:rPr>
        <w:t>minútu</w:t>
      </w:r>
    </w:p>
    <w:p w14:paraId="5418A3AE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elektrolytická nerovnováha</w:t>
      </w:r>
      <w:r w:rsidR="007469DB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</w:t>
      </w:r>
      <w:r w:rsidR="007469DB" w:rsidRPr="00E20352">
        <w:rPr>
          <w:sz w:val="22"/>
          <w:szCs w:val="22"/>
          <w:lang w:val="sk-SK"/>
        </w:rPr>
        <w:t>najmä</w:t>
      </w:r>
      <w:r w:rsidRPr="00E20352">
        <w:rPr>
          <w:sz w:val="22"/>
          <w:szCs w:val="22"/>
          <w:lang w:val="sk-SK"/>
        </w:rPr>
        <w:t xml:space="preserve"> hypokal</w:t>
      </w:r>
      <w:r w:rsidR="00DC5896" w:rsidRPr="00E20352">
        <w:rPr>
          <w:sz w:val="22"/>
          <w:szCs w:val="22"/>
          <w:lang w:val="sk-SK"/>
        </w:rPr>
        <w:t>i</w:t>
      </w:r>
      <w:r w:rsidRPr="00E20352">
        <w:rPr>
          <w:sz w:val="22"/>
          <w:szCs w:val="22"/>
          <w:lang w:val="sk-SK"/>
        </w:rPr>
        <w:t>émia</w:t>
      </w:r>
    </w:p>
    <w:p w14:paraId="504C3BF4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kongenitálne predĺženie QT intervalu</w:t>
      </w:r>
    </w:p>
    <w:p w14:paraId="17A4CF24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="00FB7E95" w:rsidRPr="00E20352">
        <w:rPr>
          <w:sz w:val="22"/>
          <w:szCs w:val="22"/>
          <w:lang w:val="sk-SK"/>
        </w:rPr>
        <w:t>súbežná</w:t>
      </w:r>
      <w:r w:rsidRPr="00E20352">
        <w:rPr>
          <w:sz w:val="22"/>
          <w:szCs w:val="22"/>
          <w:lang w:val="sk-SK"/>
        </w:rPr>
        <w:t xml:space="preserve"> liečba liekmi pravdepodobne spôsobujúcimi zjavnú bradykardiu (&lt; 55 úderov/min), </w:t>
      </w:r>
      <w:r w:rsidR="002C5620" w:rsidRPr="00E20352">
        <w:rPr>
          <w:sz w:val="22"/>
          <w:szCs w:val="22"/>
          <w:lang w:val="sk-SK"/>
        </w:rPr>
        <w:t>elektrolytickú nerovnováhu, zníženú intrakardiálnu kondukciu alebo predĺženie QT intervalu</w:t>
      </w:r>
      <w:r w:rsidR="0071050F" w:rsidRPr="00E20352">
        <w:rPr>
          <w:sz w:val="22"/>
          <w:szCs w:val="22"/>
          <w:lang w:val="sk-SK"/>
        </w:rPr>
        <w:t xml:space="preserve"> (pozri časť 4.5).</w:t>
      </w:r>
    </w:p>
    <w:p w14:paraId="28AB6734" w14:textId="77777777" w:rsidR="00DA714C" w:rsidRPr="00E20352" w:rsidRDefault="0071050F" w:rsidP="00DC589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Tiaprid sa má predpisovať s opatrnosťou pacientom s pretrvávajúcimi rizikovými faktormi, ktoré môžu </w:t>
      </w:r>
      <w:r w:rsidR="000372CB" w:rsidRPr="00E20352">
        <w:rPr>
          <w:sz w:val="22"/>
          <w:szCs w:val="22"/>
          <w:lang w:val="sk-SK"/>
        </w:rPr>
        <w:t>predurčovať</w:t>
      </w:r>
      <w:r w:rsidRPr="00E20352">
        <w:rPr>
          <w:sz w:val="22"/>
          <w:szCs w:val="22"/>
          <w:lang w:val="sk-SK"/>
        </w:rPr>
        <w:t xml:space="preserve"> k predĺženiu QT intervalu.</w:t>
      </w:r>
    </w:p>
    <w:p w14:paraId="52A30889" w14:textId="2356D0AE" w:rsidR="00A12A82" w:rsidRPr="00E20352" w:rsidRDefault="00A12A82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Mŕtvica</w:t>
      </w:r>
    </w:p>
    <w:p w14:paraId="538B5705" w14:textId="77777777" w:rsidR="00A12A82" w:rsidRPr="00E20352" w:rsidRDefault="00A12A82" w:rsidP="00DC589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V randomizovaných klinických štúdiách v porovnaní s placebom, vykonaných na pop</w:t>
      </w:r>
      <w:r w:rsidR="00DC5896" w:rsidRPr="00E20352">
        <w:rPr>
          <w:sz w:val="22"/>
          <w:szCs w:val="22"/>
          <w:lang w:val="sk-SK"/>
        </w:rPr>
        <w:t>u</w:t>
      </w:r>
      <w:r w:rsidRPr="00E20352">
        <w:rPr>
          <w:sz w:val="22"/>
          <w:szCs w:val="22"/>
          <w:lang w:val="sk-SK"/>
        </w:rPr>
        <w:t xml:space="preserve">lácii starších pacientov s demenciou a liečených </w:t>
      </w:r>
      <w:r w:rsidR="00716993" w:rsidRPr="00E20352">
        <w:rPr>
          <w:sz w:val="22"/>
          <w:szCs w:val="22"/>
          <w:lang w:val="sk-SK"/>
        </w:rPr>
        <w:t>niektorými</w:t>
      </w:r>
      <w:r w:rsidRPr="00E20352">
        <w:rPr>
          <w:sz w:val="22"/>
          <w:szCs w:val="22"/>
          <w:lang w:val="sk-SK"/>
        </w:rPr>
        <w:t xml:space="preserve"> atypickými antipsychotikami</w:t>
      </w:r>
      <w:r w:rsidR="00DC5896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sa pozorovalo 3-násobné zvýšenie riz</w:t>
      </w:r>
      <w:r w:rsidR="004909FA" w:rsidRPr="00E20352">
        <w:rPr>
          <w:sz w:val="22"/>
          <w:szCs w:val="22"/>
          <w:lang w:val="sk-SK"/>
        </w:rPr>
        <w:t>i</w:t>
      </w:r>
      <w:r w:rsidRPr="00E20352">
        <w:rPr>
          <w:sz w:val="22"/>
          <w:szCs w:val="22"/>
          <w:lang w:val="sk-SK"/>
        </w:rPr>
        <w:t xml:space="preserve">ka cerebrovaskulárnych </w:t>
      </w:r>
      <w:r w:rsidR="00DC5896" w:rsidRPr="00E20352">
        <w:rPr>
          <w:sz w:val="22"/>
          <w:szCs w:val="22"/>
          <w:lang w:val="sk-SK"/>
        </w:rPr>
        <w:t>príhod.</w:t>
      </w:r>
      <w:r w:rsidR="00AC051E" w:rsidRPr="00E20352">
        <w:rPr>
          <w:sz w:val="22"/>
          <w:szCs w:val="22"/>
          <w:lang w:val="sk-SK"/>
        </w:rPr>
        <w:t xml:space="preserve"> Mechanizmus zvýšenia tohto rizika nie je známy. Nemožno vylúčiť zvýšenie rizika pri iných antipsychotikách alebo</w:t>
      </w:r>
      <w:r w:rsidR="00C0472A" w:rsidRPr="00E20352">
        <w:rPr>
          <w:sz w:val="22"/>
          <w:szCs w:val="22"/>
          <w:lang w:val="sk-SK"/>
        </w:rPr>
        <w:t xml:space="preserve"> pri</w:t>
      </w:r>
      <w:r w:rsidR="00AC051E" w:rsidRPr="00E20352">
        <w:rPr>
          <w:sz w:val="22"/>
          <w:szCs w:val="22"/>
          <w:lang w:val="sk-SK"/>
        </w:rPr>
        <w:t xml:space="preserve"> inej populáci</w:t>
      </w:r>
      <w:r w:rsidR="00C0472A" w:rsidRPr="00E20352">
        <w:rPr>
          <w:sz w:val="22"/>
          <w:szCs w:val="22"/>
          <w:lang w:val="sk-SK"/>
        </w:rPr>
        <w:t>i</w:t>
      </w:r>
      <w:r w:rsidR="00AC051E" w:rsidRPr="00E20352">
        <w:rPr>
          <w:sz w:val="22"/>
          <w:szCs w:val="22"/>
          <w:lang w:val="sk-SK"/>
        </w:rPr>
        <w:t xml:space="preserve"> pacientov. Tiaprid sa má užívať s opatrnosťou u pacientov s rizikovými faktormi mŕtvice.</w:t>
      </w:r>
    </w:p>
    <w:p w14:paraId="23964032" w14:textId="54905FFA" w:rsidR="005E7F86" w:rsidRPr="00E20352" w:rsidRDefault="000D38FA" w:rsidP="005E7F86">
      <w:pPr>
        <w:numPr>
          <w:ilvl w:val="0"/>
          <w:numId w:val="36"/>
        </w:numPr>
        <w:tabs>
          <w:tab w:val="left" w:pos="284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Venózna trombembólia</w:t>
      </w:r>
    </w:p>
    <w:p w14:paraId="56298EC9" w14:textId="2478B43A" w:rsidR="005E7F86" w:rsidRDefault="005E7F86" w:rsidP="005E7F8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V súvislosti s užívaním antipsychotík boli zaznamenané prípady venózne</w:t>
      </w:r>
      <w:r w:rsidR="00453F7E">
        <w:rPr>
          <w:sz w:val="22"/>
          <w:szCs w:val="22"/>
          <w:lang w:val="sk-SK"/>
        </w:rPr>
        <w:t>j</w:t>
      </w:r>
      <w:r w:rsidRPr="00E20352">
        <w:rPr>
          <w:sz w:val="22"/>
          <w:szCs w:val="22"/>
          <w:lang w:val="sk-SK"/>
        </w:rPr>
        <w:t xml:space="preserve"> trombemb</w:t>
      </w:r>
      <w:r w:rsidR="00453F7E">
        <w:rPr>
          <w:sz w:val="22"/>
          <w:szCs w:val="22"/>
          <w:lang w:val="sk-SK"/>
        </w:rPr>
        <w:t>ólie (VTE)</w:t>
      </w:r>
      <w:r w:rsidRPr="00E20352">
        <w:rPr>
          <w:sz w:val="22"/>
          <w:szCs w:val="22"/>
          <w:lang w:val="sk-SK"/>
        </w:rPr>
        <w:t xml:space="preserve">, niekedy fatálne. </w:t>
      </w:r>
      <w:r w:rsidR="00926E54" w:rsidRPr="00E20352">
        <w:rPr>
          <w:sz w:val="22"/>
          <w:szCs w:val="22"/>
          <w:lang w:val="sk-SK"/>
        </w:rPr>
        <w:t xml:space="preserve">Vzhľadom na to, že u pacientov liečených antipsychotikami sú často prítomné získané rizikové faktory pre VTE, musia byť všetky identifikované pred a počas liečby tiapridom a musia sa prijať preventívne opatrenia. </w:t>
      </w:r>
      <w:r w:rsidRPr="00E20352">
        <w:rPr>
          <w:sz w:val="22"/>
          <w:szCs w:val="22"/>
          <w:lang w:val="sk-SK"/>
        </w:rPr>
        <w:t>P</w:t>
      </w:r>
      <w:r w:rsidR="00B0185E" w:rsidRPr="00E20352">
        <w:rPr>
          <w:sz w:val="22"/>
          <w:szCs w:val="22"/>
          <w:lang w:val="sk-SK"/>
        </w:rPr>
        <w:t xml:space="preserve">ri užívaní Tiapridalu </w:t>
      </w:r>
      <w:r w:rsidRPr="00E20352">
        <w:rPr>
          <w:sz w:val="22"/>
          <w:szCs w:val="22"/>
          <w:lang w:val="sk-SK"/>
        </w:rPr>
        <w:t>u pacientov s rizikovými faktormi pre trombemb</w:t>
      </w:r>
      <w:r w:rsidR="00453F7E">
        <w:rPr>
          <w:sz w:val="22"/>
          <w:szCs w:val="22"/>
          <w:lang w:val="sk-SK"/>
        </w:rPr>
        <w:t>óliu</w:t>
      </w:r>
      <w:r w:rsidR="00926E54" w:rsidRPr="00E20352">
        <w:rPr>
          <w:sz w:val="22"/>
          <w:szCs w:val="22"/>
          <w:lang w:val="sk-SK"/>
        </w:rPr>
        <w:t xml:space="preserve"> je</w:t>
      </w:r>
      <w:r w:rsidRPr="00E20352">
        <w:rPr>
          <w:sz w:val="22"/>
          <w:szCs w:val="22"/>
          <w:lang w:val="sk-SK"/>
        </w:rPr>
        <w:t xml:space="preserve"> potrebná opatrnosť (pozri časť 4.8).</w:t>
      </w:r>
    </w:p>
    <w:p w14:paraId="13579FF2" w14:textId="77777777" w:rsidR="00812298" w:rsidRDefault="00812298" w:rsidP="00812298">
      <w:pPr>
        <w:numPr>
          <w:ilvl w:val="0"/>
          <w:numId w:val="36"/>
        </w:numPr>
        <w:tabs>
          <w:tab w:val="left" w:pos="284"/>
          <w:tab w:val="left" w:pos="3969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Karcinóm prsníka</w:t>
      </w:r>
    </w:p>
    <w:p w14:paraId="239FC21C" w14:textId="77777777" w:rsidR="00812298" w:rsidRPr="00E20352" w:rsidRDefault="00812298" w:rsidP="00EF6005">
      <w:pPr>
        <w:tabs>
          <w:tab w:val="left" w:pos="284"/>
          <w:tab w:val="left" w:pos="3969"/>
        </w:tabs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Tiaprid môže zvyšovať hladiny prolaktínu. Preto je potrebná opatrnosť a pacienti s anamnézou alebo rodinnou anamnézou karcinómu prsníka musia byť počas liečby </w:t>
      </w:r>
      <w:r w:rsidR="003C6C3C">
        <w:rPr>
          <w:sz w:val="22"/>
          <w:szCs w:val="22"/>
          <w:lang w:val="sk-SK"/>
        </w:rPr>
        <w:t xml:space="preserve">tiapridom </w:t>
      </w:r>
      <w:r>
        <w:rPr>
          <w:sz w:val="22"/>
          <w:szCs w:val="22"/>
          <w:lang w:val="sk-SK"/>
        </w:rPr>
        <w:t>dôsledne sledovaní.</w:t>
      </w:r>
    </w:p>
    <w:p w14:paraId="42E672AE" w14:textId="77777777" w:rsidR="006751F7" w:rsidRDefault="002708E1" w:rsidP="006751F7">
      <w:pPr>
        <w:numPr>
          <w:ilvl w:val="0"/>
          <w:numId w:val="37"/>
        </w:num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V súvislosti s antipsychotikami, vrátane </w:t>
      </w:r>
      <w:r w:rsidR="00D604AF" w:rsidRPr="00E20352">
        <w:rPr>
          <w:sz w:val="22"/>
          <w:szCs w:val="22"/>
          <w:lang w:val="sk-SK"/>
        </w:rPr>
        <w:t>tiapridu</w:t>
      </w:r>
      <w:r w:rsidRPr="00E20352">
        <w:rPr>
          <w:sz w:val="22"/>
          <w:szCs w:val="22"/>
          <w:lang w:val="sk-SK"/>
        </w:rPr>
        <w:t>, sa zaznamenala leukopénia, neutropénia a agranulocytóza. Neobjasnené infekcie alebo horúčka môžu byť prejavom krvných dyskrázií (pozri časť 4.8) a vyžadujú okamžité hematologické vyšetrenie.</w:t>
      </w:r>
    </w:p>
    <w:p w14:paraId="1DCA5421" w14:textId="77777777" w:rsidR="008550F0" w:rsidRDefault="008550F0" w:rsidP="00D22313">
      <w:pPr>
        <w:rPr>
          <w:sz w:val="22"/>
          <w:szCs w:val="22"/>
          <w:lang w:val="sk-SK"/>
        </w:rPr>
      </w:pPr>
    </w:p>
    <w:p w14:paraId="760A446F" w14:textId="77777777" w:rsidR="006751F7" w:rsidRPr="006751F7" w:rsidRDefault="006751F7" w:rsidP="006751F7">
      <w:pPr>
        <w:rPr>
          <w:sz w:val="22"/>
          <w:szCs w:val="22"/>
          <w:lang w:val="sk-SK"/>
        </w:rPr>
      </w:pPr>
      <w:r w:rsidRPr="006751F7">
        <w:rPr>
          <w:sz w:val="22"/>
          <w:szCs w:val="22"/>
          <w:lang w:val="sk-SK"/>
        </w:rPr>
        <w:t>Liek TIAPRIDAL inj obsahuje menej ako 1 mmol sodíka (23 mg) v ampulke, t.j. v podstate zanedbateľné množstvo sodíka.</w:t>
      </w:r>
    </w:p>
    <w:p w14:paraId="02F05D59" w14:textId="77777777" w:rsidR="008550F0" w:rsidRDefault="008550F0" w:rsidP="00D22313">
      <w:pPr>
        <w:rPr>
          <w:sz w:val="22"/>
          <w:szCs w:val="22"/>
          <w:lang w:val="sk-SK"/>
        </w:rPr>
      </w:pPr>
    </w:p>
    <w:p w14:paraId="5A39DF18" w14:textId="77777777" w:rsidR="00A8090A" w:rsidRPr="00E20352" w:rsidRDefault="00A8090A" w:rsidP="00DC5896">
      <w:pPr>
        <w:rPr>
          <w:b/>
          <w:sz w:val="22"/>
          <w:szCs w:val="22"/>
          <w:lang w:val="sk-SK"/>
        </w:rPr>
      </w:pPr>
    </w:p>
    <w:p w14:paraId="79308BA9" w14:textId="77777777" w:rsidR="00286863" w:rsidRPr="00E20352" w:rsidRDefault="00286863" w:rsidP="00EF6005">
      <w:pPr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4.5</w:t>
      </w:r>
      <w:r w:rsidR="000923FC">
        <w:rPr>
          <w:b/>
          <w:sz w:val="22"/>
          <w:szCs w:val="22"/>
          <w:lang w:val="sk-SK"/>
        </w:rPr>
        <w:tab/>
      </w:r>
      <w:r w:rsidR="00677F7D" w:rsidRPr="00E20352">
        <w:rPr>
          <w:b/>
          <w:sz w:val="22"/>
          <w:szCs w:val="22"/>
          <w:lang w:val="sk-SK"/>
        </w:rPr>
        <w:t>Liekové a iné interakcie</w:t>
      </w:r>
    </w:p>
    <w:p w14:paraId="566AD179" w14:textId="77777777" w:rsidR="00286863" w:rsidRPr="00E20352" w:rsidRDefault="00286863" w:rsidP="00DC5896">
      <w:pPr>
        <w:pStyle w:val="Nadpis1"/>
        <w:rPr>
          <w:szCs w:val="22"/>
        </w:rPr>
      </w:pPr>
    </w:p>
    <w:p w14:paraId="5AF2EB31" w14:textId="77777777" w:rsidR="00286863" w:rsidRPr="00E20352" w:rsidRDefault="00286863" w:rsidP="00DC5896">
      <w:pPr>
        <w:pStyle w:val="Nadpis1"/>
        <w:rPr>
          <w:szCs w:val="22"/>
        </w:rPr>
      </w:pPr>
      <w:r w:rsidRPr="00E20352">
        <w:rPr>
          <w:szCs w:val="22"/>
        </w:rPr>
        <w:t>Kontraindikované kombinácie</w:t>
      </w:r>
    </w:p>
    <w:p w14:paraId="3435A7A5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096D2D8D" w14:textId="77777777" w:rsidR="00286863" w:rsidRPr="00E20352" w:rsidRDefault="000909D1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Dopaminergné</w:t>
      </w:r>
      <w:r w:rsidR="001E7310" w:rsidRPr="00E20352">
        <w:rPr>
          <w:sz w:val="22"/>
          <w:szCs w:val="22"/>
          <w:lang w:val="sk-SK"/>
        </w:rPr>
        <w:t xml:space="preserve"> agonisty</w:t>
      </w:r>
      <w:r w:rsidR="00926E54" w:rsidRPr="00E20352">
        <w:rPr>
          <w:sz w:val="22"/>
          <w:szCs w:val="22"/>
          <w:lang w:val="sk-SK"/>
        </w:rPr>
        <w:t>, s výnimkou pacientov s Parkinsonovou chorobou (kabergolín, chinagolid), vzhľadom na</w:t>
      </w:r>
      <w:r w:rsidR="00286863" w:rsidRPr="00E20352">
        <w:rPr>
          <w:sz w:val="22"/>
          <w:szCs w:val="22"/>
          <w:lang w:val="sk-SK"/>
        </w:rPr>
        <w:t xml:space="preserve"> recipročný antagonizmus </w:t>
      </w:r>
      <w:r w:rsidR="00926E54" w:rsidRPr="00E20352">
        <w:rPr>
          <w:sz w:val="22"/>
          <w:szCs w:val="22"/>
          <w:lang w:val="sk-SK"/>
        </w:rPr>
        <w:t>dopaminergných agonistov</w:t>
      </w:r>
      <w:r w:rsidR="00286863" w:rsidRPr="00E20352">
        <w:rPr>
          <w:sz w:val="22"/>
          <w:szCs w:val="22"/>
          <w:lang w:val="sk-SK"/>
        </w:rPr>
        <w:t xml:space="preserve"> a</w:t>
      </w:r>
      <w:r w:rsidR="00161FB8" w:rsidRPr="00E20352">
        <w:rPr>
          <w:sz w:val="22"/>
          <w:szCs w:val="22"/>
          <w:lang w:val="sk-SK"/>
        </w:rPr>
        <w:t> </w:t>
      </w:r>
      <w:r w:rsidR="00286863" w:rsidRPr="00E20352">
        <w:rPr>
          <w:sz w:val="22"/>
          <w:szCs w:val="22"/>
          <w:lang w:val="sk-SK"/>
        </w:rPr>
        <w:t>neuroleptík</w:t>
      </w:r>
      <w:r w:rsidR="00161FB8" w:rsidRPr="00E20352">
        <w:rPr>
          <w:sz w:val="22"/>
          <w:szCs w:val="22"/>
          <w:lang w:val="sk-SK"/>
        </w:rPr>
        <w:t>.</w:t>
      </w:r>
      <w:r w:rsidR="00286863" w:rsidRPr="00E20352">
        <w:rPr>
          <w:sz w:val="22"/>
          <w:szCs w:val="22"/>
          <w:lang w:val="sk-SK"/>
        </w:rPr>
        <w:t xml:space="preserve"> </w:t>
      </w:r>
    </w:p>
    <w:p w14:paraId="3C792E13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FE95D0E" w14:textId="77777777" w:rsidR="00286863" w:rsidRPr="00E20352" w:rsidRDefault="00286863" w:rsidP="00DB5788">
      <w:pPr>
        <w:pStyle w:val="Nadpis1"/>
        <w:rPr>
          <w:szCs w:val="22"/>
        </w:rPr>
      </w:pPr>
      <w:r w:rsidRPr="00E20352">
        <w:rPr>
          <w:szCs w:val="22"/>
        </w:rPr>
        <w:t>Neodporúčané kombinácie</w:t>
      </w:r>
    </w:p>
    <w:p w14:paraId="06A3A6E0" w14:textId="77777777" w:rsidR="008550F0" w:rsidRDefault="008550F0" w:rsidP="00D22313">
      <w:pPr>
        <w:pStyle w:val="Zkladntext"/>
        <w:keepNext/>
        <w:rPr>
          <w:szCs w:val="22"/>
        </w:rPr>
      </w:pPr>
    </w:p>
    <w:p w14:paraId="4F45891C" w14:textId="77777777" w:rsidR="008550F0" w:rsidRDefault="00286863" w:rsidP="00D22313">
      <w:pPr>
        <w:pStyle w:val="Zkladntext"/>
        <w:keepNext/>
        <w:rPr>
          <w:i/>
          <w:szCs w:val="22"/>
        </w:rPr>
      </w:pPr>
      <w:r w:rsidRPr="00E20352">
        <w:rPr>
          <w:i/>
          <w:szCs w:val="22"/>
        </w:rPr>
        <w:t>Alkohol</w:t>
      </w:r>
    </w:p>
    <w:p w14:paraId="39A9D7AE" w14:textId="77777777" w:rsidR="008550F0" w:rsidRDefault="00286863" w:rsidP="00D22313">
      <w:pPr>
        <w:pStyle w:val="Zkladntext"/>
        <w:keepNext/>
        <w:rPr>
          <w:szCs w:val="22"/>
        </w:rPr>
      </w:pPr>
      <w:r w:rsidRPr="00E20352">
        <w:rPr>
          <w:szCs w:val="22"/>
        </w:rPr>
        <w:t>Alkohol zvyšuje sedatívny účinok neuroleptík.</w:t>
      </w:r>
      <w:r w:rsidR="00926E54" w:rsidRPr="00E20352">
        <w:rPr>
          <w:szCs w:val="22"/>
        </w:rPr>
        <w:t xml:space="preserve"> Vzhľadom na ovplyvnenie pozornosti môže byť nebezpečné viesť vozidlá alebo obsluhovať stroje.</w:t>
      </w:r>
      <w:r w:rsidRPr="00E20352">
        <w:rPr>
          <w:szCs w:val="22"/>
        </w:rPr>
        <w:t xml:space="preserve"> </w:t>
      </w:r>
      <w:r w:rsidR="00DC5896" w:rsidRPr="00E20352">
        <w:rPr>
          <w:szCs w:val="22"/>
        </w:rPr>
        <w:t>Je potrebné p</w:t>
      </w:r>
      <w:r w:rsidRPr="00E20352">
        <w:rPr>
          <w:szCs w:val="22"/>
        </w:rPr>
        <w:t>redchádzať konzumácii alkoholických nápojov a liekov obsahujúcich alkohol.</w:t>
      </w:r>
    </w:p>
    <w:p w14:paraId="43C40640" w14:textId="77777777" w:rsidR="00926E54" w:rsidRPr="00E20352" w:rsidRDefault="00926E54" w:rsidP="00DC5896">
      <w:pPr>
        <w:pStyle w:val="Zkladntext"/>
        <w:rPr>
          <w:szCs w:val="22"/>
        </w:rPr>
      </w:pPr>
    </w:p>
    <w:p w14:paraId="5230AF7F" w14:textId="77777777" w:rsidR="00112D1A" w:rsidRPr="00E20352" w:rsidRDefault="00926E54" w:rsidP="00DC5896">
      <w:pPr>
        <w:pStyle w:val="Zkladntext"/>
        <w:rPr>
          <w:szCs w:val="22"/>
        </w:rPr>
      </w:pPr>
      <w:r w:rsidRPr="00E20352">
        <w:rPr>
          <w:i/>
          <w:szCs w:val="22"/>
        </w:rPr>
        <w:t>L</w:t>
      </w:r>
      <w:r w:rsidR="002C5420" w:rsidRPr="00E20352">
        <w:rPr>
          <w:i/>
          <w:szCs w:val="22"/>
        </w:rPr>
        <w:t>iek</w:t>
      </w:r>
      <w:r w:rsidRPr="00E20352">
        <w:rPr>
          <w:i/>
          <w:szCs w:val="22"/>
        </w:rPr>
        <w:t>y</w:t>
      </w:r>
      <w:r w:rsidR="00112D1A" w:rsidRPr="00E20352">
        <w:rPr>
          <w:i/>
          <w:szCs w:val="22"/>
        </w:rPr>
        <w:t>, ktoré môžu indukovať torsades de pointes alebo predĺžiť QT interval</w:t>
      </w:r>
    </w:p>
    <w:p w14:paraId="30C98AB5" w14:textId="77777777" w:rsidR="005B30C8" w:rsidRPr="00E20352" w:rsidRDefault="005B30C8" w:rsidP="005B30C8">
      <w:pPr>
        <w:tabs>
          <w:tab w:val="left" w:pos="284"/>
        </w:tabs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Antiarytmiká triedy Ia (chinidín, hydrochinidí</w:t>
      </w:r>
      <w:r w:rsidR="001E7310" w:rsidRPr="00E20352">
        <w:rPr>
          <w:sz w:val="22"/>
          <w:szCs w:val="22"/>
          <w:lang w:val="sk-SK"/>
        </w:rPr>
        <w:t>n, disopyramid)</w:t>
      </w:r>
      <w:r w:rsidRPr="00E20352">
        <w:rPr>
          <w:sz w:val="22"/>
          <w:szCs w:val="22"/>
          <w:lang w:val="sk-SK"/>
        </w:rPr>
        <w:t xml:space="preserve"> a antiarytmiká </w:t>
      </w:r>
      <w:r w:rsidR="001E7310" w:rsidRPr="00E20352">
        <w:rPr>
          <w:sz w:val="22"/>
          <w:szCs w:val="22"/>
          <w:lang w:val="sk-SK"/>
        </w:rPr>
        <w:t xml:space="preserve">triedy </w:t>
      </w:r>
      <w:r w:rsidRPr="00E20352">
        <w:rPr>
          <w:sz w:val="22"/>
          <w:szCs w:val="22"/>
          <w:lang w:val="sk-SK"/>
        </w:rPr>
        <w:t>III</w:t>
      </w:r>
      <w:r w:rsidR="001E7310" w:rsidRPr="00E20352">
        <w:rPr>
          <w:sz w:val="22"/>
          <w:szCs w:val="22"/>
          <w:lang w:val="sk-SK"/>
        </w:rPr>
        <w:t xml:space="preserve"> (amiodaró</w:t>
      </w:r>
      <w:r w:rsidRPr="00E20352">
        <w:rPr>
          <w:sz w:val="22"/>
          <w:szCs w:val="22"/>
          <w:lang w:val="sk-SK"/>
        </w:rPr>
        <w:t>n, sotalol, dofetilid, ibutilid), niektoré neuroleptiká (sultoprid, pipotiazín, sertindol, veralip</w:t>
      </w:r>
      <w:r w:rsidR="005B13B4">
        <w:rPr>
          <w:sz w:val="22"/>
          <w:szCs w:val="22"/>
          <w:lang w:val="sk-SK"/>
        </w:rPr>
        <w:t>r</w:t>
      </w:r>
      <w:r w:rsidRPr="00E20352">
        <w:rPr>
          <w:sz w:val="22"/>
          <w:szCs w:val="22"/>
          <w:lang w:val="sk-SK"/>
        </w:rPr>
        <w:t>id, chlorpromazín, levomepromazí</w:t>
      </w:r>
      <w:r w:rsidR="0058014D" w:rsidRPr="00E20352">
        <w:rPr>
          <w:sz w:val="22"/>
          <w:szCs w:val="22"/>
          <w:lang w:val="sk-SK"/>
        </w:rPr>
        <w:t>n, trifluór</w:t>
      </w:r>
      <w:r w:rsidRPr="00E20352">
        <w:rPr>
          <w:sz w:val="22"/>
          <w:szCs w:val="22"/>
          <w:lang w:val="sk-SK"/>
        </w:rPr>
        <w:t>perazín,</w:t>
      </w:r>
      <w:r w:rsidR="0058014D" w:rsidRPr="00E20352">
        <w:rPr>
          <w:sz w:val="22"/>
          <w:szCs w:val="22"/>
          <w:lang w:val="sk-SK"/>
        </w:rPr>
        <w:t xml:space="preserve"> tioridazín,</w:t>
      </w:r>
      <w:r w:rsidRPr="00E20352">
        <w:rPr>
          <w:sz w:val="22"/>
          <w:szCs w:val="22"/>
          <w:lang w:val="sk-SK"/>
        </w:rPr>
        <w:t xml:space="preserve"> cyamemazín, sulpirid, pimozid, haloperidol, droperidol</w:t>
      </w:r>
      <w:r w:rsidR="001E7310" w:rsidRPr="00E20352">
        <w:rPr>
          <w:sz w:val="22"/>
          <w:szCs w:val="22"/>
          <w:lang w:val="sk-SK"/>
        </w:rPr>
        <w:t>, flufenazín, pipamp</w:t>
      </w:r>
      <w:r w:rsidRPr="00E20352">
        <w:rPr>
          <w:sz w:val="22"/>
          <w:szCs w:val="22"/>
          <w:lang w:val="sk-SK"/>
        </w:rPr>
        <w:t>erón, flupentixol, zuklopentixol), niektoré antiparaz</w:t>
      </w:r>
      <w:r w:rsidR="00A90BC7" w:rsidRPr="00E20352">
        <w:rPr>
          <w:sz w:val="22"/>
          <w:szCs w:val="22"/>
          <w:lang w:val="sk-SK"/>
        </w:rPr>
        <w:t>itiká (halofantrín, lu</w:t>
      </w:r>
      <w:r w:rsidRPr="00E20352">
        <w:rPr>
          <w:sz w:val="22"/>
          <w:szCs w:val="22"/>
          <w:lang w:val="sk-SK"/>
        </w:rPr>
        <w:t>mef</w:t>
      </w:r>
      <w:r w:rsidR="001E7310" w:rsidRPr="00E20352">
        <w:rPr>
          <w:sz w:val="22"/>
          <w:szCs w:val="22"/>
          <w:lang w:val="sk-SK"/>
        </w:rPr>
        <w:t>ant</w:t>
      </w:r>
      <w:r w:rsidR="00A557CC" w:rsidRPr="00E20352">
        <w:rPr>
          <w:sz w:val="22"/>
          <w:szCs w:val="22"/>
          <w:lang w:val="sk-SK"/>
        </w:rPr>
        <w:t>r</w:t>
      </w:r>
      <w:r w:rsidRPr="00E20352">
        <w:rPr>
          <w:sz w:val="22"/>
          <w:szCs w:val="22"/>
          <w:lang w:val="sk-SK"/>
        </w:rPr>
        <w:t>ín, pentamidín), iné lieky: i.v. erytromycín, i.v. spiramycín, moxifloxacín,</w:t>
      </w:r>
      <w:r w:rsidR="0058014D" w:rsidRPr="00E20352">
        <w:rPr>
          <w:sz w:val="22"/>
          <w:szCs w:val="22"/>
          <w:lang w:val="sk-SK"/>
        </w:rPr>
        <w:t xml:space="preserve"> sparfloxacín,</w:t>
      </w:r>
      <w:r w:rsidR="00A90BC7" w:rsidRPr="00E20352">
        <w:rPr>
          <w:sz w:val="22"/>
          <w:szCs w:val="22"/>
          <w:lang w:val="sk-SK"/>
        </w:rPr>
        <w:t xml:space="preserve"> imipramínové antidepresíva,</w:t>
      </w:r>
      <w:r w:rsidRPr="00E20352">
        <w:rPr>
          <w:sz w:val="22"/>
          <w:szCs w:val="22"/>
          <w:lang w:val="sk-SK"/>
        </w:rPr>
        <w:t xml:space="preserve"> </w:t>
      </w:r>
      <w:r w:rsidR="00A90BC7" w:rsidRPr="00E20352">
        <w:rPr>
          <w:sz w:val="22"/>
          <w:szCs w:val="22"/>
          <w:lang w:val="sk-SK"/>
        </w:rPr>
        <w:t xml:space="preserve">lítium, </w:t>
      </w:r>
      <w:r w:rsidRPr="00E20352">
        <w:rPr>
          <w:sz w:val="22"/>
          <w:szCs w:val="22"/>
          <w:lang w:val="sk-SK"/>
        </w:rPr>
        <w:t>bepridil, cisaprid, difemanil, mizolastín, i.v. vinkamín.</w:t>
      </w:r>
    </w:p>
    <w:p w14:paraId="3EDB06FD" w14:textId="77777777" w:rsidR="005B30C8" w:rsidRPr="00E20352" w:rsidRDefault="005B30C8" w:rsidP="005B30C8">
      <w:pPr>
        <w:pStyle w:val="Zkladntext"/>
        <w:rPr>
          <w:szCs w:val="22"/>
        </w:rPr>
      </w:pPr>
      <w:r w:rsidRPr="00E20352">
        <w:rPr>
          <w:szCs w:val="22"/>
        </w:rPr>
        <w:t xml:space="preserve">Zvýšené riziko ventrikulárnych arytmií, predovšetkým </w:t>
      </w:r>
      <w:r w:rsidRPr="00E20352">
        <w:rPr>
          <w:i/>
          <w:szCs w:val="22"/>
        </w:rPr>
        <w:t>torsades de pointes</w:t>
      </w:r>
      <w:r w:rsidRPr="00E20352">
        <w:rPr>
          <w:szCs w:val="22"/>
        </w:rPr>
        <w:t>.</w:t>
      </w:r>
    </w:p>
    <w:p w14:paraId="73A7EB74" w14:textId="77777777" w:rsidR="005B30C8" w:rsidRPr="00E20352" w:rsidRDefault="005B30C8" w:rsidP="005B30C8">
      <w:pPr>
        <w:tabs>
          <w:tab w:val="left" w:pos="284"/>
        </w:tabs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Ak je to možné, vysaďte liek, ktorý môže vyvolať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, okrem liekov na liečbu infekcií. Ak nie je možné vyhnúť sa kombinovanej liečbe, pred začatím liečby skontrolujte QT interval a sledujte EKG.</w:t>
      </w:r>
    </w:p>
    <w:p w14:paraId="0C00AF4A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11515DF6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Levodopa</w:t>
      </w:r>
    </w:p>
    <w:p w14:paraId="798E630E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Recipročný antagonizmus levodopy a neuroleptík.</w:t>
      </w:r>
    </w:p>
    <w:p w14:paraId="667B153B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 pacientov s P</w:t>
      </w:r>
      <w:r w:rsidR="00F718DB" w:rsidRPr="00E20352">
        <w:rPr>
          <w:sz w:val="22"/>
          <w:szCs w:val="22"/>
          <w:lang w:val="sk-SK"/>
        </w:rPr>
        <w:t>arkinsonovou chorobou sa majú použiť</w:t>
      </w:r>
      <w:r w:rsidRPr="00E20352">
        <w:rPr>
          <w:sz w:val="22"/>
          <w:szCs w:val="22"/>
          <w:lang w:val="sk-SK"/>
        </w:rPr>
        <w:t xml:space="preserve"> pri každom lieku najnižšie účinné dávky.</w:t>
      </w:r>
    </w:p>
    <w:p w14:paraId="1AEA7019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2EDB25A2" w14:textId="77777777" w:rsidR="00926E54" w:rsidRPr="00E20352" w:rsidRDefault="000909D1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Dopaminergné</w:t>
      </w:r>
      <w:r w:rsidR="00926E54" w:rsidRPr="00E20352">
        <w:rPr>
          <w:i/>
          <w:sz w:val="22"/>
          <w:szCs w:val="22"/>
          <w:lang w:val="sk-SK"/>
        </w:rPr>
        <w:t xml:space="preserve"> agonisty s výnimkou levodopy</w:t>
      </w:r>
      <w:r w:rsidR="00926E54" w:rsidRPr="00E20352">
        <w:rPr>
          <w:sz w:val="22"/>
          <w:szCs w:val="22"/>
          <w:lang w:val="sk-SK"/>
        </w:rPr>
        <w:t xml:space="preserve"> (</w:t>
      </w:r>
      <w:r w:rsidR="00926E54" w:rsidRPr="00E20352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amantadín, apomorfín, bromokryptín, entakapón, lizurid, pergolid, piribedil, pramipexol, ropinirol, selegilín) u pacientov s Parkinsonovou chorobou.</w:t>
      </w:r>
    </w:p>
    <w:p w14:paraId="283F7452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Recipročný antagonizmus dopaminergných agonistov a neuroleptík.</w:t>
      </w:r>
    </w:p>
    <w:p w14:paraId="255E37AC" w14:textId="77777777" w:rsidR="00926E54" w:rsidRPr="00E20352" w:rsidRDefault="000909D1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Dopaminergné</w:t>
      </w:r>
      <w:r w:rsidR="00926E54" w:rsidRPr="00E20352">
        <w:rPr>
          <w:sz w:val="22"/>
          <w:szCs w:val="22"/>
          <w:lang w:val="sk-SK"/>
        </w:rPr>
        <w:t xml:space="preserve"> agonisty môžu vyvolať alebo zhoršiť psychotické poruchy.</w:t>
      </w:r>
    </w:p>
    <w:p w14:paraId="2A8A78B5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Ak sa neuroleptickej liečbe nedá vyhnúť u pacientov s Parkinsonovou chorobou liečených dopaminergnými agonistami, musí sa dávka týchto látok postupne znižovať a vysadiť (náhle vysadenie dopaminergných agonistov môže vyvolať neuroleptický malígny syndróm).</w:t>
      </w:r>
    </w:p>
    <w:p w14:paraId="1D458C93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102EAE8F" w14:textId="77777777" w:rsidR="005B30C8" w:rsidRPr="00E20352" w:rsidRDefault="005B30C8" w:rsidP="00926E54">
      <w:pPr>
        <w:rPr>
          <w:i/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Metadón</w:t>
      </w:r>
    </w:p>
    <w:p w14:paraId="69EB5E8A" w14:textId="77777777" w:rsidR="005B30C8" w:rsidRPr="00E20352" w:rsidRDefault="005B30C8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ventrikulárnej arytmie, najmä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</w:t>
      </w:r>
    </w:p>
    <w:p w14:paraId="0596D5FD" w14:textId="77777777" w:rsidR="005B30C8" w:rsidRPr="00E20352" w:rsidRDefault="005B30C8" w:rsidP="00926E54">
      <w:pPr>
        <w:rPr>
          <w:sz w:val="22"/>
          <w:szCs w:val="22"/>
          <w:lang w:val="sk-SK"/>
        </w:rPr>
      </w:pPr>
    </w:p>
    <w:p w14:paraId="069BF613" w14:textId="77777777" w:rsidR="00926E54" w:rsidRPr="00E20352" w:rsidRDefault="00926E54" w:rsidP="00926E54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Kombinácie, ktoré vyžadujú osobitné opatrenia pri používaní</w:t>
      </w:r>
    </w:p>
    <w:p w14:paraId="283BDBFE" w14:textId="77777777" w:rsidR="00926E54" w:rsidRPr="00E20352" w:rsidRDefault="00926E54" w:rsidP="00926E54">
      <w:pPr>
        <w:rPr>
          <w:i/>
          <w:sz w:val="22"/>
          <w:szCs w:val="22"/>
          <w:lang w:val="sk-SK"/>
        </w:rPr>
      </w:pPr>
    </w:p>
    <w:p w14:paraId="1B7375BE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Lieky vyvolávajúce bradykardiu</w:t>
      </w:r>
      <w:r w:rsidRPr="00E20352">
        <w:rPr>
          <w:sz w:val="22"/>
          <w:szCs w:val="22"/>
          <w:lang w:val="sk-SK"/>
        </w:rPr>
        <w:t xml:space="preserve"> (najmä antiarytmiká triedy Ia, betablokátory, niektoré antiarytmiká triedy II, niektorí antagonist</w:t>
      </w:r>
      <w:r w:rsidR="001E7310" w:rsidRPr="00E20352">
        <w:rPr>
          <w:sz w:val="22"/>
          <w:szCs w:val="22"/>
          <w:lang w:val="sk-SK"/>
        </w:rPr>
        <w:t>y</w:t>
      </w:r>
      <w:r w:rsidRPr="00E20352">
        <w:rPr>
          <w:sz w:val="22"/>
          <w:szCs w:val="22"/>
          <w:lang w:val="sk-SK"/>
        </w:rPr>
        <w:t xml:space="preserve"> vápnika</w:t>
      </w:r>
      <w:r w:rsidR="00E16FFF" w:rsidRPr="00E20352">
        <w:rPr>
          <w:sz w:val="22"/>
          <w:szCs w:val="22"/>
          <w:lang w:val="sk-SK"/>
        </w:rPr>
        <w:t>, napr. diltiazem a verapamil, klonidín, guanfacín;</w:t>
      </w:r>
      <w:r w:rsidRPr="00E20352">
        <w:rPr>
          <w:sz w:val="22"/>
          <w:szCs w:val="22"/>
          <w:lang w:val="sk-SK"/>
        </w:rPr>
        <w:t xml:space="preserve"> srdcové glykozidy, pilokarpín, inhibítory cholínesterázy):</w:t>
      </w:r>
    </w:p>
    <w:p w14:paraId="3778C507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ventrikulárnych arytmií, predovšetkým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</w:t>
      </w:r>
    </w:p>
    <w:p w14:paraId="2F2B7091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Klinické a elektrokardiografické monitorovanie.</w:t>
      </w:r>
    </w:p>
    <w:p w14:paraId="308A280B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3F2EFEC5" w14:textId="77777777" w:rsidR="00926E54" w:rsidRPr="00E20352" w:rsidRDefault="00926E54" w:rsidP="00926E54">
      <w:pPr>
        <w:rPr>
          <w:i/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Betablokátory pri zlyhaní srdca (bisoprolol, karvedilol, metoprolol, nebivolol)</w:t>
      </w:r>
    </w:p>
    <w:p w14:paraId="08F09E11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ventrikulárnych arytmií, predovšetkým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 Je nevyhnutné klinické a EKG monitorovanie.</w:t>
      </w:r>
    </w:p>
    <w:p w14:paraId="11ECA521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3E87AA3F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Lieky</w:t>
      </w:r>
      <w:r w:rsidR="00A90BC7" w:rsidRPr="00E20352">
        <w:rPr>
          <w:i/>
          <w:sz w:val="22"/>
          <w:szCs w:val="22"/>
          <w:lang w:val="sk-SK"/>
        </w:rPr>
        <w:t>, ktoré indukujú elektrolytickú nerovnováhu, najmä</w:t>
      </w:r>
      <w:r w:rsidRPr="00E20352">
        <w:rPr>
          <w:i/>
          <w:sz w:val="22"/>
          <w:szCs w:val="22"/>
          <w:lang w:val="sk-SK"/>
        </w:rPr>
        <w:t xml:space="preserve"> znižujúce hladinu draslíka</w:t>
      </w:r>
      <w:r w:rsidRPr="00E20352">
        <w:rPr>
          <w:sz w:val="22"/>
          <w:szCs w:val="22"/>
          <w:lang w:val="sk-SK"/>
        </w:rPr>
        <w:t xml:space="preserve"> (diuretiká znižujúce hladinu draslíka, stimulujúce laxatíva, i.v. amfotericín B, glukokortikoidy, </w:t>
      </w:r>
      <w:r w:rsidR="00E16FFF" w:rsidRPr="00E20352">
        <w:rPr>
          <w:sz w:val="22"/>
          <w:szCs w:val="22"/>
          <w:lang w:val="sk-SK"/>
        </w:rPr>
        <w:t xml:space="preserve">tetrakosaktidy, </w:t>
      </w:r>
      <w:r w:rsidRPr="00E20352">
        <w:rPr>
          <w:sz w:val="22"/>
          <w:szCs w:val="22"/>
          <w:lang w:val="sk-SK"/>
        </w:rPr>
        <w:t>kosyntropín).</w:t>
      </w:r>
    </w:p>
    <w:p w14:paraId="759B02C2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ventrikulárnych arytmií, predovšetkým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</w:t>
      </w:r>
    </w:p>
    <w:p w14:paraId="56C5BE71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Pred začatím liečby tiapridom upravte akúkoľvek hypokaliémiu a zabezpečte klinické pozorovanie, monitorovanie elektrolytov a EKG.</w:t>
      </w:r>
    </w:p>
    <w:p w14:paraId="7B27D987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42D10023" w14:textId="77777777" w:rsidR="00286863" w:rsidRPr="00E20352" w:rsidRDefault="00286863" w:rsidP="00DC5896">
      <w:pPr>
        <w:pStyle w:val="Nadpis1"/>
        <w:rPr>
          <w:szCs w:val="22"/>
        </w:rPr>
      </w:pPr>
      <w:r w:rsidRPr="00E20352">
        <w:rPr>
          <w:szCs w:val="22"/>
        </w:rPr>
        <w:t>Iné kombinácie</w:t>
      </w:r>
      <w:r w:rsidR="004837F2" w:rsidRPr="00E20352">
        <w:rPr>
          <w:szCs w:val="22"/>
        </w:rPr>
        <w:t>, ktoré je</w:t>
      </w:r>
      <w:r w:rsidR="00951ED1" w:rsidRPr="00E20352">
        <w:rPr>
          <w:szCs w:val="22"/>
        </w:rPr>
        <w:t xml:space="preserve"> potrebné vziať do úvahy</w:t>
      </w:r>
    </w:p>
    <w:p w14:paraId="66FF0E5D" w14:textId="77777777" w:rsidR="00926E54" w:rsidRPr="00E20352" w:rsidRDefault="00926E54" w:rsidP="00926E54">
      <w:pPr>
        <w:pStyle w:val="Zkladntext"/>
        <w:rPr>
          <w:i/>
          <w:szCs w:val="22"/>
        </w:rPr>
      </w:pPr>
    </w:p>
    <w:p w14:paraId="61D6E2D8" w14:textId="77777777" w:rsidR="00926E54" w:rsidRPr="00E20352" w:rsidRDefault="00926E54" w:rsidP="00926E54">
      <w:pPr>
        <w:pStyle w:val="Zkladntext"/>
        <w:rPr>
          <w:i/>
          <w:szCs w:val="22"/>
        </w:rPr>
      </w:pPr>
      <w:r w:rsidRPr="00E20352">
        <w:rPr>
          <w:i/>
          <w:szCs w:val="22"/>
        </w:rPr>
        <w:t>Antihypertenzíva (všetky)</w:t>
      </w:r>
    </w:p>
    <w:p w14:paraId="0BC9693D" w14:textId="77777777" w:rsidR="00926E54" w:rsidRPr="00E20352" w:rsidRDefault="00926E54" w:rsidP="00926E54">
      <w:pPr>
        <w:pStyle w:val="Zkladntext"/>
        <w:rPr>
          <w:szCs w:val="22"/>
        </w:rPr>
      </w:pPr>
      <w:r w:rsidRPr="00E20352">
        <w:rPr>
          <w:szCs w:val="22"/>
        </w:rPr>
        <w:t>Antihypertenzívny účinok a zvýšené riziko ortostatickej hypotenzie (prídavný účinok).</w:t>
      </w:r>
    </w:p>
    <w:p w14:paraId="48D70ACC" w14:textId="77777777" w:rsidR="00926E54" w:rsidRPr="00E20352" w:rsidRDefault="00926E54" w:rsidP="00926E54">
      <w:pPr>
        <w:pStyle w:val="Zkladntext"/>
        <w:rPr>
          <w:szCs w:val="22"/>
        </w:rPr>
      </w:pPr>
    </w:p>
    <w:p w14:paraId="7CC61271" w14:textId="77777777" w:rsidR="00926E54" w:rsidRPr="00E20352" w:rsidRDefault="00926E54" w:rsidP="00926E54">
      <w:pPr>
        <w:pStyle w:val="Zkladntext"/>
        <w:rPr>
          <w:szCs w:val="22"/>
        </w:rPr>
      </w:pPr>
      <w:r w:rsidRPr="00E20352">
        <w:rPr>
          <w:i/>
          <w:szCs w:val="22"/>
        </w:rPr>
        <w:t>Iné l</w:t>
      </w:r>
      <w:r w:rsidR="00286863" w:rsidRPr="00E20352">
        <w:rPr>
          <w:i/>
          <w:szCs w:val="22"/>
        </w:rPr>
        <w:t>ieky znižujúce aktivitu CNS</w:t>
      </w:r>
    </w:p>
    <w:p w14:paraId="55BE6D30" w14:textId="77777777" w:rsidR="00286863" w:rsidRPr="00E20352" w:rsidRDefault="00926E54" w:rsidP="00926E54">
      <w:pPr>
        <w:pStyle w:val="Zkladntext"/>
        <w:rPr>
          <w:szCs w:val="22"/>
        </w:rPr>
      </w:pPr>
      <w:r w:rsidRPr="00E20352">
        <w:rPr>
          <w:szCs w:val="22"/>
        </w:rPr>
        <w:t>Narkotiká</w:t>
      </w:r>
      <w:r w:rsidR="00286863" w:rsidRPr="00E20352">
        <w:rPr>
          <w:szCs w:val="22"/>
        </w:rPr>
        <w:t xml:space="preserve"> (analgetiká</w:t>
      </w:r>
      <w:r w:rsidRPr="00E20352">
        <w:rPr>
          <w:szCs w:val="22"/>
        </w:rPr>
        <w:t>,</w:t>
      </w:r>
      <w:r w:rsidR="00286863" w:rsidRPr="00E20352">
        <w:rPr>
          <w:szCs w:val="22"/>
        </w:rPr>
        <w:t xml:space="preserve"> </w:t>
      </w:r>
      <w:r w:rsidR="00AC2515" w:rsidRPr="00E20352">
        <w:rPr>
          <w:szCs w:val="22"/>
        </w:rPr>
        <w:t> </w:t>
      </w:r>
      <w:r w:rsidR="00286863" w:rsidRPr="00E20352">
        <w:rPr>
          <w:szCs w:val="22"/>
        </w:rPr>
        <w:t>antitusiká</w:t>
      </w:r>
      <w:r w:rsidR="00AC2515" w:rsidRPr="00E20352">
        <w:rPr>
          <w:szCs w:val="22"/>
        </w:rPr>
        <w:t xml:space="preserve"> a opioidná substitučná liečba</w:t>
      </w:r>
      <w:r w:rsidR="00286863" w:rsidRPr="00E20352">
        <w:rPr>
          <w:szCs w:val="22"/>
        </w:rPr>
        <w:t xml:space="preserve">), </w:t>
      </w:r>
      <w:r w:rsidR="00AC2515" w:rsidRPr="00E20352">
        <w:rPr>
          <w:szCs w:val="22"/>
        </w:rPr>
        <w:t>sedatívne</w:t>
      </w:r>
      <w:r w:rsidR="00286863" w:rsidRPr="00E20352">
        <w:rPr>
          <w:szCs w:val="22"/>
        </w:rPr>
        <w:t xml:space="preserve"> H1 </w:t>
      </w:r>
      <w:r w:rsidR="00DC5896" w:rsidRPr="00E20352">
        <w:rPr>
          <w:szCs w:val="22"/>
        </w:rPr>
        <w:t>antihistamin</w:t>
      </w:r>
      <w:r w:rsidR="00AC2515" w:rsidRPr="00E20352">
        <w:rPr>
          <w:szCs w:val="22"/>
        </w:rPr>
        <w:t>iká</w:t>
      </w:r>
      <w:r w:rsidR="00286863" w:rsidRPr="00E20352">
        <w:rPr>
          <w:szCs w:val="22"/>
        </w:rPr>
        <w:t xml:space="preserve">, barbituráty, benzodiazepíny, </w:t>
      </w:r>
      <w:r w:rsidR="00AC2515" w:rsidRPr="00E20352">
        <w:rPr>
          <w:szCs w:val="22"/>
        </w:rPr>
        <w:t xml:space="preserve">iné </w:t>
      </w:r>
      <w:r w:rsidR="00DC5896" w:rsidRPr="00E20352">
        <w:rPr>
          <w:szCs w:val="22"/>
        </w:rPr>
        <w:t xml:space="preserve">nebenzodiazepínové </w:t>
      </w:r>
      <w:r w:rsidR="00286863" w:rsidRPr="00E20352">
        <w:rPr>
          <w:szCs w:val="22"/>
        </w:rPr>
        <w:t xml:space="preserve">anxiolytiká, </w:t>
      </w:r>
      <w:r w:rsidR="00AC2515" w:rsidRPr="00E20352">
        <w:rPr>
          <w:szCs w:val="22"/>
        </w:rPr>
        <w:t xml:space="preserve">hypnotiká, neuroleptiká, sedatívne antidepresíva (amitriptylín, doxepín, mianserín, mirtazapín, trimipramín), centrálne účinkujúce antihypertenzíva; iné lieky: baklofen, talidomid, pizotifén, </w:t>
      </w:r>
      <w:r w:rsidR="00286863" w:rsidRPr="00E20352">
        <w:rPr>
          <w:szCs w:val="22"/>
        </w:rPr>
        <w:t>klonidín a odvodené látky.</w:t>
      </w:r>
    </w:p>
    <w:p w14:paraId="056FB943" w14:textId="77777777" w:rsidR="00926E54" w:rsidRPr="00E20352" w:rsidRDefault="00926E54" w:rsidP="00926E54">
      <w:pPr>
        <w:pStyle w:val="Zkladntext"/>
        <w:rPr>
          <w:rStyle w:val="longtext"/>
          <w:szCs w:val="22"/>
          <w:shd w:val="clear" w:color="auto" w:fill="FFFFFF"/>
        </w:rPr>
      </w:pPr>
      <w:r w:rsidRPr="00E20352">
        <w:rPr>
          <w:rStyle w:val="longtext"/>
          <w:szCs w:val="22"/>
          <w:shd w:val="clear" w:color="auto" w:fill="FFFFFF"/>
        </w:rPr>
        <w:t xml:space="preserve">Zvýšenie centrálnej depresie. Znížená pozornosť môže spôsobiť nebezpečenstvo pri vedení vozidiel a obsluhe strojov. </w:t>
      </w:r>
    </w:p>
    <w:p w14:paraId="2A22E541" w14:textId="77777777" w:rsidR="00926E54" w:rsidRPr="00E20352" w:rsidRDefault="00926E54" w:rsidP="00926E54">
      <w:pPr>
        <w:pStyle w:val="Zkladntext"/>
        <w:rPr>
          <w:szCs w:val="22"/>
        </w:rPr>
      </w:pPr>
    </w:p>
    <w:p w14:paraId="17C1C502" w14:textId="77777777" w:rsidR="00926E54" w:rsidRPr="00E20352" w:rsidRDefault="00926E54" w:rsidP="00EF6005">
      <w:pPr>
        <w:pStyle w:val="Zkladntext"/>
        <w:keepNext/>
        <w:rPr>
          <w:szCs w:val="22"/>
        </w:rPr>
      </w:pPr>
      <w:r w:rsidRPr="00E20352">
        <w:rPr>
          <w:i/>
          <w:szCs w:val="22"/>
        </w:rPr>
        <w:t>Betablokátory</w:t>
      </w:r>
      <w:r w:rsidRPr="00E20352">
        <w:rPr>
          <w:szCs w:val="22"/>
        </w:rPr>
        <w:t xml:space="preserve"> (s výnimkou esmololu, sotalolu a betablokátorov používaných pri zlyhaní srdca)</w:t>
      </w:r>
    </w:p>
    <w:p w14:paraId="7FAFA1C2" w14:textId="77777777" w:rsidR="00926E54" w:rsidRPr="00E20352" w:rsidRDefault="00926E54" w:rsidP="00EF6005">
      <w:pPr>
        <w:pStyle w:val="Zkladntext"/>
        <w:keepNext/>
        <w:rPr>
          <w:szCs w:val="22"/>
        </w:rPr>
      </w:pPr>
      <w:r w:rsidRPr="00E20352">
        <w:rPr>
          <w:szCs w:val="22"/>
        </w:rPr>
        <w:t>Vazodilatačný účinok a riziko hypotenzie, najmä posturálna hypotenzia (prídavný účinok).</w:t>
      </w:r>
    </w:p>
    <w:p w14:paraId="0FDD8CFC" w14:textId="77777777" w:rsidR="00926E54" w:rsidRPr="00E20352" w:rsidRDefault="00926E54" w:rsidP="00926E54">
      <w:pPr>
        <w:pStyle w:val="Zkladntext"/>
        <w:rPr>
          <w:szCs w:val="22"/>
        </w:rPr>
      </w:pPr>
    </w:p>
    <w:p w14:paraId="41765C9D" w14:textId="77777777" w:rsidR="00926E54" w:rsidRPr="00E20352" w:rsidRDefault="00926E54" w:rsidP="00926E54">
      <w:pPr>
        <w:pStyle w:val="Zkladntext"/>
        <w:rPr>
          <w:i/>
          <w:szCs w:val="22"/>
        </w:rPr>
      </w:pPr>
      <w:r w:rsidRPr="00E20352">
        <w:rPr>
          <w:i/>
          <w:szCs w:val="22"/>
        </w:rPr>
        <w:t>Nitrátové deriváty a príbuzné látky</w:t>
      </w:r>
    </w:p>
    <w:p w14:paraId="74CBCE4B" w14:textId="77777777" w:rsidR="00BD37A4" w:rsidRDefault="00BD37A4" w:rsidP="00BD37A4">
      <w:pPr>
        <w:pStyle w:val="Zkladntext"/>
        <w:rPr>
          <w:szCs w:val="22"/>
        </w:rPr>
      </w:pPr>
      <w:r>
        <w:rPr>
          <w:szCs w:val="22"/>
        </w:rPr>
        <w:t>Riziko hypotenzie, najmä posturálna hypotenzia.</w:t>
      </w:r>
    </w:p>
    <w:p w14:paraId="49B61C97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A73A4BE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4.6</w:t>
      </w:r>
      <w:r w:rsidR="000923FC">
        <w:rPr>
          <w:b/>
          <w:sz w:val="22"/>
          <w:szCs w:val="22"/>
          <w:lang w:val="sk-SK"/>
        </w:rPr>
        <w:tab/>
      </w:r>
      <w:r w:rsidR="0008017D" w:rsidRPr="00E20352">
        <w:rPr>
          <w:b/>
          <w:sz w:val="22"/>
          <w:szCs w:val="22"/>
          <w:lang w:val="sk-SK"/>
        </w:rPr>
        <w:t>Fertilita, g</w:t>
      </w:r>
      <w:r w:rsidR="005D7CE7" w:rsidRPr="00E20352">
        <w:rPr>
          <w:b/>
          <w:sz w:val="22"/>
          <w:szCs w:val="22"/>
          <w:lang w:val="sk-SK"/>
        </w:rPr>
        <w:t>ravidita a laktácia</w:t>
      </w:r>
    </w:p>
    <w:p w14:paraId="71840FB2" w14:textId="77777777" w:rsidR="00286863" w:rsidRPr="00E20352" w:rsidRDefault="00286863" w:rsidP="00F65CC3">
      <w:pPr>
        <w:keepNext/>
        <w:rPr>
          <w:b/>
          <w:sz w:val="22"/>
          <w:szCs w:val="22"/>
          <w:lang w:val="sk-SK"/>
        </w:rPr>
      </w:pPr>
    </w:p>
    <w:p w14:paraId="725B1779" w14:textId="77777777" w:rsidR="00286863" w:rsidRPr="00EF6005" w:rsidRDefault="005D7CE7" w:rsidP="00F65CC3">
      <w:pPr>
        <w:keepNext/>
        <w:rPr>
          <w:sz w:val="22"/>
          <w:szCs w:val="22"/>
          <w:u w:val="single"/>
          <w:lang w:val="sk-SK"/>
        </w:rPr>
      </w:pPr>
      <w:r w:rsidRPr="00EF6005">
        <w:rPr>
          <w:sz w:val="22"/>
          <w:szCs w:val="22"/>
          <w:u w:val="single"/>
          <w:lang w:val="sk-SK"/>
        </w:rPr>
        <w:t>Gravidita</w:t>
      </w:r>
    </w:p>
    <w:p w14:paraId="2BA067E2" w14:textId="77777777" w:rsidR="00AC2515" w:rsidRPr="00F65CC3" w:rsidRDefault="00AC2515" w:rsidP="00AC2515">
      <w:pPr>
        <w:pStyle w:val="Zkladntext"/>
        <w:rPr>
          <w:szCs w:val="22"/>
        </w:rPr>
      </w:pPr>
      <w:r w:rsidRPr="00F65CC3">
        <w:rPr>
          <w:szCs w:val="22"/>
        </w:rPr>
        <w:t xml:space="preserve">V prípade, že je liečba potrebná na udržanie správnej duševnej rovnováhy a zabránenie dekompenzácie, musí sa počas tehotenstva začať alebo pokračovať v účinnom dávkovaní. </w:t>
      </w:r>
    </w:p>
    <w:p w14:paraId="43BE045F" w14:textId="77777777" w:rsidR="00951ED1" w:rsidRPr="00E20352" w:rsidRDefault="00AC2515" w:rsidP="00AC2515">
      <w:pPr>
        <w:pStyle w:val="Nadpis3"/>
        <w:keepNext w:val="0"/>
        <w:jc w:val="left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K dispozícii sú limitované klinické údaje o gravidných ženách vystavených účinku tiapridu.</w:t>
      </w:r>
      <w:r w:rsidRPr="00E20352">
        <w:rPr>
          <w:b/>
          <w:sz w:val="22"/>
          <w:szCs w:val="22"/>
          <w:lang w:val="sk-SK"/>
        </w:rPr>
        <w:t xml:space="preserve"> </w:t>
      </w:r>
    </w:p>
    <w:p w14:paraId="6BBA7DFC" w14:textId="77777777" w:rsidR="00AC2515" w:rsidRPr="00E20352" w:rsidRDefault="00286863" w:rsidP="00DC5896">
      <w:pPr>
        <w:pStyle w:val="Nadpis3"/>
        <w:jc w:val="left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Štúdie na zvieratách </w:t>
      </w:r>
      <w:r w:rsidR="00B06847" w:rsidRPr="00E20352">
        <w:rPr>
          <w:sz w:val="22"/>
          <w:szCs w:val="22"/>
          <w:lang w:val="sk-SK"/>
        </w:rPr>
        <w:t xml:space="preserve">nepreukázali </w:t>
      </w:r>
      <w:r w:rsidRPr="00E20352">
        <w:rPr>
          <w:sz w:val="22"/>
          <w:szCs w:val="22"/>
          <w:lang w:val="sk-SK"/>
        </w:rPr>
        <w:t>priam</w:t>
      </w:r>
      <w:r w:rsidR="00B06847" w:rsidRPr="00E20352">
        <w:rPr>
          <w:sz w:val="22"/>
          <w:szCs w:val="22"/>
          <w:lang w:val="sk-SK"/>
        </w:rPr>
        <w:t>e</w:t>
      </w:r>
      <w:r w:rsidRPr="00E20352">
        <w:rPr>
          <w:sz w:val="22"/>
          <w:szCs w:val="22"/>
          <w:lang w:val="sk-SK"/>
        </w:rPr>
        <w:t xml:space="preserve"> alebo nepriam</w:t>
      </w:r>
      <w:r w:rsidR="00B06847" w:rsidRPr="00E20352">
        <w:rPr>
          <w:sz w:val="22"/>
          <w:szCs w:val="22"/>
          <w:lang w:val="sk-SK"/>
        </w:rPr>
        <w:t>e</w:t>
      </w:r>
      <w:r w:rsidRPr="00E20352">
        <w:rPr>
          <w:sz w:val="22"/>
          <w:szCs w:val="22"/>
          <w:lang w:val="sk-SK"/>
        </w:rPr>
        <w:t xml:space="preserve"> škodliv</w:t>
      </w:r>
      <w:r w:rsidR="00B06847" w:rsidRPr="00E20352">
        <w:rPr>
          <w:sz w:val="22"/>
          <w:szCs w:val="22"/>
          <w:lang w:val="sk-SK"/>
        </w:rPr>
        <w:t>é</w:t>
      </w:r>
      <w:r w:rsidRPr="00E20352">
        <w:rPr>
          <w:sz w:val="22"/>
          <w:szCs w:val="22"/>
          <w:lang w:val="sk-SK"/>
        </w:rPr>
        <w:t xml:space="preserve"> účink</w:t>
      </w:r>
      <w:r w:rsidR="00B06847" w:rsidRPr="00E20352">
        <w:rPr>
          <w:sz w:val="22"/>
          <w:szCs w:val="22"/>
          <w:lang w:val="sk-SK"/>
        </w:rPr>
        <w:t>y</w:t>
      </w:r>
      <w:r w:rsidRPr="00E20352">
        <w:rPr>
          <w:sz w:val="22"/>
          <w:szCs w:val="22"/>
          <w:lang w:val="sk-SK"/>
        </w:rPr>
        <w:t xml:space="preserve"> na </w:t>
      </w:r>
      <w:r w:rsidR="00B06847" w:rsidRPr="00E20352">
        <w:rPr>
          <w:sz w:val="22"/>
          <w:szCs w:val="22"/>
          <w:lang w:val="sk-SK"/>
        </w:rPr>
        <w:t>graviditu</w:t>
      </w:r>
      <w:r w:rsidRPr="00E20352">
        <w:rPr>
          <w:sz w:val="22"/>
          <w:szCs w:val="22"/>
          <w:lang w:val="sk-SK"/>
        </w:rPr>
        <w:t>, embryonálny</w:t>
      </w:r>
      <w:r w:rsidR="00B06847" w:rsidRPr="00E20352">
        <w:rPr>
          <w:sz w:val="22"/>
          <w:szCs w:val="22"/>
          <w:lang w:val="sk-SK"/>
        </w:rPr>
        <w:t xml:space="preserve">/fetálny </w:t>
      </w:r>
      <w:r w:rsidRPr="00E20352">
        <w:rPr>
          <w:sz w:val="22"/>
          <w:szCs w:val="22"/>
          <w:lang w:val="sk-SK"/>
        </w:rPr>
        <w:t xml:space="preserve">vývoj, pôrod alebo postnatálny vývoj. </w:t>
      </w:r>
    </w:p>
    <w:p w14:paraId="6C8025B4" w14:textId="77777777" w:rsidR="00CC141A" w:rsidRPr="00E20352" w:rsidRDefault="00CC141A" w:rsidP="00CC141A">
      <w:pPr>
        <w:pStyle w:val="Nadpis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Injekčné neuroleptiká podávané v núdzových situáciách môžu spôsobiť hypotenziu matky.</w:t>
      </w:r>
    </w:p>
    <w:p w14:paraId="0B335FA8" w14:textId="77777777" w:rsidR="00286863" w:rsidRPr="00E20352" w:rsidRDefault="00286863" w:rsidP="00F65CC3">
      <w:pPr>
        <w:pStyle w:val="Nadpis3"/>
        <w:tabs>
          <w:tab w:val="left" w:pos="7655"/>
        </w:tabs>
        <w:jc w:val="left"/>
        <w:rPr>
          <w:sz w:val="22"/>
          <w:szCs w:val="22"/>
          <w:lang w:val="sk-SK"/>
        </w:rPr>
      </w:pPr>
    </w:p>
    <w:p w14:paraId="4CE96DD9" w14:textId="77777777" w:rsidR="00B41F71" w:rsidRDefault="00B41F71" w:rsidP="00B41F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Novorodenci, vystavení pôsobeniu antipsychotík (vrátane tiapridu) počas tretieho trimestra gravidity matky, sú vystavení riziku nežiaducich účinkov vrátane extrapyramidálnych príznakov a/alebo syndrómu z vysadenia, ktoré môžu byť premenlivé čo sa týka závažnosti a dĺžky trvania po pôrode (pozri časť 4.8). Boli hlásené prípady agitovanosti, hypertónie, hypotónie, trasu, ospalosti, dýchacích ťažkostí alebo porúch kŕmenia. V dôsledku toho majú byť novorodenci starostlivo sledovaní.</w:t>
      </w:r>
    </w:p>
    <w:p w14:paraId="3227F20D" w14:textId="77777777" w:rsidR="00286863" w:rsidRPr="00E20352" w:rsidRDefault="00286863" w:rsidP="00DC5896">
      <w:pPr>
        <w:pStyle w:val="Nadpis4"/>
        <w:rPr>
          <w:sz w:val="22"/>
          <w:szCs w:val="22"/>
          <w:lang w:val="sk-SK"/>
        </w:rPr>
      </w:pPr>
    </w:p>
    <w:p w14:paraId="417DBCDB" w14:textId="77777777" w:rsidR="009E7951" w:rsidRPr="00EF6005" w:rsidRDefault="009E7951" w:rsidP="00DC5896">
      <w:pPr>
        <w:pStyle w:val="Zkladntext3"/>
        <w:jc w:val="left"/>
        <w:rPr>
          <w:sz w:val="22"/>
          <w:szCs w:val="22"/>
          <w:u w:val="single"/>
        </w:rPr>
      </w:pPr>
      <w:r w:rsidRPr="00EF6005">
        <w:rPr>
          <w:sz w:val="22"/>
          <w:szCs w:val="22"/>
          <w:u w:val="single"/>
        </w:rPr>
        <w:t>Dojčenie</w:t>
      </w:r>
    </w:p>
    <w:p w14:paraId="0FC2F920" w14:textId="77777777" w:rsidR="00286863" w:rsidRPr="00E20352" w:rsidRDefault="000D3458" w:rsidP="00DC5896">
      <w:pPr>
        <w:pStyle w:val="Zkladntext3"/>
        <w:jc w:val="left"/>
        <w:rPr>
          <w:sz w:val="22"/>
          <w:szCs w:val="22"/>
        </w:rPr>
      </w:pPr>
      <w:r w:rsidRPr="00E20352">
        <w:rPr>
          <w:sz w:val="22"/>
          <w:szCs w:val="22"/>
        </w:rPr>
        <w:t>Štúdie na zvieratách preukázali vylučovanie tiapridu do materského mlieka. Nie je známe, či sa tiaprid vylučuje do materského mlieka</w:t>
      </w:r>
      <w:r w:rsidR="00927D74" w:rsidRPr="00E20352">
        <w:rPr>
          <w:sz w:val="22"/>
          <w:szCs w:val="22"/>
        </w:rPr>
        <w:t xml:space="preserve"> u ľudí</w:t>
      </w:r>
      <w:r w:rsidRPr="00E20352">
        <w:rPr>
          <w:sz w:val="22"/>
          <w:szCs w:val="22"/>
        </w:rPr>
        <w:t>. D</w:t>
      </w:r>
      <w:r w:rsidR="00286863" w:rsidRPr="00E20352">
        <w:rPr>
          <w:sz w:val="22"/>
          <w:szCs w:val="22"/>
        </w:rPr>
        <w:t>ojčenie sa počas liečby neodporúča.</w:t>
      </w:r>
    </w:p>
    <w:p w14:paraId="45DBF2C1" w14:textId="77777777" w:rsidR="00AC2515" w:rsidRPr="00E20352" w:rsidRDefault="00AC2515" w:rsidP="00AC2515">
      <w:pPr>
        <w:pStyle w:val="Zkladntext"/>
        <w:rPr>
          <w:szCs w:val="22"/>
        </w:rPr>
      </w:pPr>
    </w:p>
    <w:p w14:paraId="21FC9D72" w14:textId="77777777" w:rsidR="00AC2515" w:rsidRPr="00EF6005" w:rsidRDefault="00AC2515" w:rsidP="00AC2515">
      <w:pPr>
        <w:pStyle w:val="Zkladntext"/>
        <w:rPr>
          <w:szCs w:val="22"/>
          <w:u w:val="single"/>
        </w:rPr>
      </w:pPr>
      <w:r w:rsidRPr="00EF6005">
        <w:rPr>
          <w:szCs w:val="22"/>
          <w:u w:val="single"/>
        </w:rPr>
        <w:t>Fertilita</w:t>
      </w:r>
    </w:p>
    <w:p w14:paraId="7330F541" w14:textId="77777777" w:rsidR="00AC2515" w:rsidRPr="00E20352" w:rsidRDefault="006E3C69" w:rsidP="00AC2515">
      <w:pPr>
        <w:pStyle w:val="Nadpis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Na zvieratách sa pozorovalo zníženie plodnosti súvisiace s farmakologickým účinkom lieku (nepriamy prolaktínový účinok).</w:t>
      </w:r>
    </w:p>
    <w:p w14:paraId="383DAC75" w14:textId="77777777" w:rsidR="00AC2515" w:rsidRPr="00E20352" w:rsidRDefault="00AC2515" w:rsidP="00AC2515">
      <w:pPr>
        <w:pStyle w:val="Nadpis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 ľudí môže podávanie tiapridu vzhľadom na interakciu s dopamínovými receptormi spôsobiť hyperprolaktinémiu, ktorá môže byť spojená s amenoreou, anovuláciou a zhoršenou fertilitou (pozri časť 4.8).</w:t>
      </w:r>
    </w:p>
    <w:p w14:paraId="310DE96F" w14:textId="77777777" w:rsidR="00286863" w:rsidRPr="00E20352" w:rsidRDefault="00286863" w:rsidP="00DC5896">
      <w:pPr>
        <w:pStyle w:val="Zkladntext"/>
        <w:rPr>
          <w:szCs w:val="22"/>
        </w:rPr>
      </w:pPr>
    </w:p>
    <w:p w14:paraId="7DC1147F" w14:textId="77777777" w:rsidR="00286863" w:rsidRPr="00E20352" w:rsidRDefault="00286863" w:rsidP="00EF6005">
      <w:pPr>
        <w:pStyle w:val="Zkladntext"/>
        <w:ind w:left="567" w:hanging="567"/>
        <w:rPr>
          <w:b/>
          <w:szCs w:val="22"/>
        </w:rPr>
      </w:pPr>
      <w:r w:rsidRPr="00E20352">
        <w:rPr>
          <w:b/>
          <w:szCs w:val="22"/>
        </w:rPr>
        <w:t>4.7</w:t>
      </w:r>
      <w:r w:rsidR="000923FC">
        <w:rPr>
          <w:b/>
          <w:szCs w:val="22"/>
        </w:rPr>
        <w:tab/>
      </w:r>
      <w:r w:rsidRPr="00E20352">
        <w:rPr>
          <w:b/>
          <w:szCs w:val="22"/>
        </w:rPr>
        <w:t>Ovplyvnenie schopnosti viesť vozidlá a obsluhovať stroje</w:t>
      </w:r>
    </w:p>
    <w:p w14:paraId="733C4FC8" w14:textId="77777777" w:rsidR="005D7CE7" w:rsidRPr="00E20352" w:rsidRDefault="005D7CE7" w:rsidP="00DC5896">
      <w:pPr>
        <w:pStyle w:val="Zkladntext"/>
        <w:rPr>
          <w:szCs w:val="22"/>
        </w:rPr>
      </w:pPr>
    </w:p>
    <w:p w14:paraId="6BCDB167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Aj pri odporúčaných dávkach môže tiaprid </w:t>
      </w:r>
      <w:r w:rsidR="002D4C17" w:rsidRPr="00E20352">
        <w:rPr>
          <w:szCs w:val="22"/>
        </w:rPr>
        <w:t>pôsobiť upokojujúco</w:t>
      </w:r>
      <w:r w:rsidRPr="00E20352">
        <w:rPr>
          <w:szCs w:val="22"/>
        </w:rPr>
        <w:t xml:space="preserve"> a </w:t>
      </w:r>
      <w:r w:rsidR="002D4C17" w:rsidRPr="00E20352">
        <w:rPr>
          <w:szCs w:val="22"/>
        </w:rPr>
        <w:t xml:space="preserve">to môže zhoršiť </w:t>
      </w:r>
      <w:r w:rsidRPr="00E20352">
        <w:rPr>
          <w:szCs w:val="22"/>
        </w:rPr>
        <w:t>schopnosť viesť vozidlá a obsluhovať stroje</w:t>
      </w:r>
      <w:r w:rsidR="002D4C17" w:rsidRPr="00E20352">
        <w:rPr>
          <w:szCs w:val="22"/>
        </w:rPr>
        <w:t xml:space="preserve"> (pozri časť 4.8)</w:t>
      </w:r>
      <w:r w:rsidRPr="00E20352">
        <w:rPr>
          <w:szCs w:val="22"/>
        </w:rPr>
        <w:t>.</w:t>
      </w:r>
    </w:p>
    <w:p w14:paraId="4D1B9F19" w14:textId="77777777" w:rsidR="00286863" w:rsidRPr="00E20352" w:rsidRDefault="00286863" w:rsidP="00DC5896">
      <w:pPr>
        <w:pStyle w:val="Zkladntext"/>
        <w:rPr>
          <w:szCs w:val="22"/>
        </w:rPr>
      </w:pPr>
    </w:p>
    <w:p w14:paraId="37B36477" w14:textId="77777777" w:rsidR="008550F0" w:rsidRDefault="00286863" w:rsidP="00D22313">
      <w:pPr>
        <w:pStyle w:val="Zkladntext"/>
        <w:keepNext/>
        <w:ind w:left="567" w:hanging="567"/>
        <w:rPr>
          <w:b/>
          <w:szCs w:val="22"/>
        </w:rPr>
      </w:pPr>
      <w:r w:rsidRPr="00E20352">
        <w:rPr>
          <w:b/>
          <w:szCs w:val="22"/>
        </w:rPr>
        <w:t>4.8</w:t>
      </w:r>
      <w:r w:rsidR="000923FC">
        <w:rPr>
          <w:b/>
          <w:szCs w:val="22"/>
        </w:rPr>
        <w:tab/>
      </w:r>
      <w:r w:rsidRPr="00E20352">
        <w:rPr>
          <w:b/>
          <w:szCs w:val="22"/>
        </w:rPr>
        <w:t>Nežiaduce účinky</w:t>
      </w:r>
    </w:p>
    <w:p w14:paraId="7821EFA9" w14:textId="77777777" w:rsidR="008550F0" w:rsidRDefault="008550F0" w:rsidP="00D22313">
      <w:pPr>
        <w:pStyle w:val="Zkladntext"/>
        <w:keepNext/>
        <w:rPr>
          <w:szCs w:val="22"/>
        </w:rPr>
      </w:pPr>
    </w:p>
    <w:p w14:paraId="48F41CB5" w14:textId="77777777" w:rsidR="008550F0" w:rsidRDefault="009359B2" w:rsidP="00D22313">
      <w:pPr>
        <w:pStyle w:val="Zkladntext"/>
        <w:keepNext/>
        <w:rPr>
          <w:szCs w:val="22"/>
        </w:rPr>
      </w:pPr>
      <w:r w:rsidRPr="00E20352">
        <w:rPr>
          <w:szCs w:val="22"/>
        </w:rPr>
        <w:t xml:space="preserve">Nežiaduce účinky boli zoradené </w:t>
      </w:r>
      <w:r w:rsidR="009E1055" w:rsidRPr="00E20352">
        <w:rPr>
          <w:szCs w:val="22"/>
        </w:rPr>
        <w:t>podľa frekvencie výskytu</w:t>
      </w:r>
      <w:r w:rsidRPr="00E20352">
        <w:rPr>
          <w:szCs w:val="22"/>
        </w:rPr>
        <w:t xml:space="preserve"> použi</w:t>
      </w:r>
      <w:r w:rsidR="002A4305" w:rsidRPr="00E20352">
        <w:rPr>
          <w:szCs w:val="22"/>
        </w:rPr>
        <w:t>t</w:t>
      </w:r>
      <w:r w:rsidRPr="00E20352">
        <w:rPr>
          <w:szCs w:val="22"/>
        </w:rPr>
        <w:t>ím nasledujúcej konvencie: veľmi časté (≥ 1/10); časté (≥ 1/100</w:t>
      </w:r>
      <w:r w:rsidR="00D65231" w:rsidRPr="00E20352">
        <w:rPr>
          <w:szCs w:val="22"/>
        </w:rPr>
        <w:t xml:space="preserve"> až</w:t>
      </w:r>
      <w:r w:rsidRPr="00E20352">
        <w:rPr>
          <w:szCs w:val="22"/>
        </w:rPr>
        <w:t xml:space="preserve"> &lt; 1/10); menej časté (≥ 1/1000</w:t>
      </w:r>
      <w:r w:rsidR="00D65231" w:rsidRPr="00E20352">
        <w:rPr>
          <w:szCs w:val="22"/>
        </w:rPr>
        <w:t xml:space="preserve"> až</w:t>
      </w:r>
      <w:r w:rsidRPr="00E20352">
        <w:rPr>
          <w:szCs w:val="22"/>
        </w:rPr>
        <w:t xml:space="preserve"> &lt; 1/100); zriedkavé (≥ 1/10</w:t>
      </w:r>
      <w:r w:rsidR="00DC5896" w:rsidRPr="00E20352">
        <w:rPr>
          <w:szCs w:val="22"/>
        </w:rPr>
        <w:t xml:space="preserve"> </w:t>
      </w:r>
      <w:r w:rsidRPr="00E20352">
        <w:rPr>
          <w:szCs w:val="22"/>
        </w:rPr>
        <w:t>000</w:t>
      </w:r>
      <w:r w:rsidR="00D65231" w:rsidRPr="00E20352">
        <w:rPr>
          <w:szCs w:val="22"/>
        </w:rPr>
        <w:t xml:space="preserve"> až</w:t>
      </w:r>
      <w:r w:rsidRPr="00E20352">
        <w:rPr>
          <w:szCs w:val="22"/>
        </w:rPr>
        <w:t xml:space="preserve"> &lt; 1/1000); veľmi zriedkavé (&lt; 1/10</w:t>
      </w:r>
      <w:r w:rsidR="00DC5896" w:rsidRPr="00E20352">
        <w:rPr>
          <w:szCs w:val="22"/>
        </w:rPr>
        <w:t xml:space="preserve"> </w:t>
      </w:r>
      <w:r w:rsidRPr="00E20352">
        <w:rPr>
          <w:szCs w:val="22"/>
        </w:rPr>
        <w:t>000), neznáme (z dostupných údajov).</w:t>
      </w:r>
    </w:p>
    <w:p w14:paraId="57FE1E66" w14:textId="77777777" w:rsidR="009359B2" w:rsidRPr="00E20352" w:rsidRDefault="009359B2" w:rsidP="00DC5896">
      <w:pPr>
        <w:pStyle w:val="Zkladntext"/>
        <w:rPr>
          <w:szCs w:val="22"/>
        </w:rPr>
      </w:pPr>
    </w:p>
    <w:p w14:paraId="7AA0645D" w14:textId="77777777" w:rsidR="003A53D3" w:rsidRPr="00D22313" w:rsidRDefault="003A53D3" w:rsidP="003A53D3">
      <w:pPr>
        <w:rPr>
          <w:sz w:val="22"/>
          <w:szCs w:val="22"/>
          <w:lang w:val="sk-SK"/>
        </w:rPr>
      </w:pPr>
    </w:p>
    <w:p w14:paraId="76374BC7" w14:textId="77777777" w:rsidR="003A53D3" w:rsidRPr="00D22313" w:rsidRDefault="003A53D3" w:rsidP="003A53D3">
      <w:pPr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krvi a lymfatického systému:</w:t>
      </w:r>
    </w:p>
    <w:p w14:paraId="42630535" w14:textId="77777777" w:rsidR="008550F0" w:rsidRPr="00D22313" w:rsidRDefault="003A53D3" w:rsidP="00D22313">
      <w:pPr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leukopénia, neutropénia, agranulocytóza (pozri časť 4.4).</w:t>
      </w:r>
    </w:p>
    <w:p w14:paraId="6573E665" w14:textId="77777777" w:rsidR="009263FE" w:rsidRPr="00D22313" w:rsidRDefault="009263FE" w:rsidP="00DC5896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2A5AA834" w14:textId="77777777" w:rsidR="009263FE" w:rsidRPr="00D22313" w:rsidRDefault="009263FE" w:rsidP="00DC5896">
      <w:pPr>
        <w:pStyle w:val="Zkladntext"/>
        <w:tabs>
          <w:tab w:val="left" w:pos="1701"/>
        </w:tabs>
        <w:ind w:left="1701" w:hanging="1701"/>
        <w:rPr>
          <w:szCs w:val="22"/>
        </w:rPr>
      </w:pPr>
      <w:r w:rsidRPr="00D22313">
        <w:rPr>
          <w:szCs w:val="22"/>
        </w:rPr>
        <w:t>Poruchy endokrinného systému</w:t>
      </w:r>
      <w:r w:rsidR="003A53D3" w:rsidRPr="00D22313">
        <w:rPr>
          <w:szCs w:val="22"/>
        </w:rPr>
        <w:t>:</w:t>
      </w:r>
    </w:p>
    <w:p w14:paraId="72F3A1DD" w14:textId="08B7F6E7" w:rsidR="004B0E4F" w:rsidRPr="00D22313" w:rsidRDefault="004B0E4F" w:rsidP="00D22313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</w:t>
      </w:r>
      <w:r w:rsidR="009263FE" w:rsidRPr="00D22313">
        <w:rPr>
          <w:i/>
          <w:szCs w:val="22"/>
        </w:rPr>
        <w:t>asté:</w:t>
      </w:r>
      <w:r w:rsidR="009263FE" w:rsidRPr="00D22313">
        <w:rPr>
          <w:szCs w:val="22"/>
        </w:rPr>
        <w:tab/>
      </w:r>
      <w:r w:rsidR="003A53D3" w:rsidRPr="00D22313">
        <w:rPr>
          <w:szCs w:val="22"/>
        </w:rPr>
        <w:t>tiaprid spôsobuje zvýšenie plazmatických hladín prolaktínu, ktoré sa upravia po vysadení lieku.</w:t>
      </w:r>
    </w:p>
    <w:p w14:paraId="0795865D" w14:textId="144CF28C" w:rsidR="008550F0" w:rsidRPr="00D22313" w:rsidRDefault="004B0E4F" w:rsidP="00D22313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Menej časté:</w:t>
      </w:r>
      <w:r w:rsidRPr="00D22313">
        <w:rPr>
          <w:i/>
          <w:szCs w:val="22"/>
        </w:rPr>
        <w:tab/>
      </w:r>
      <w:r w:rsidR="00AD7E02" w:rsidRPr="00D22313">
        <w:rPr>
          <w:szCs w:val="22"/>
        </w:rPr>
        <w:t>H</w:t>
      </w:r>
      <w:r w:rsidR="00AC2515" w:rsidRPr="00D22313">
        <w:rPr>
          <w:szCs w:val="22"/>
        </w:rPr>
        <w:t xml:space="preserve">yperprolaktinémia </w:t>
      </w:r>
      <w:r w:rsidR="00C2743C" w:rsidRPr="00D22313">
        <w:rPr>
          <w:szCs w:val="22"/>
        </w:rPr>
        <w:t xml:space="preserve">môže </w:t>
      </w:r>
      <w:r w:rsidR="00AC2515" w:rsidRPr="00D22313">
        <w:rPr>
          <w:szCs w:val="22"/>
        </w:rPr>
        <w:t xml:space="preserve">v niektorých prípadoch </w:t>
      </w:r>
      <w:r w:rsidR="00C2743C" w:rsidRPr="00D22313">
        <w:rPr>
          <w:szCs w:val="22"/>
        </w:rPr>
        <w:t>vyústiť do galaktore</w:t>
      </w:r>
      <w:r w:rsidR="00CA5559" w:rsidRPr="00D22313">
        <w:rPr>
          <w:szCs w:val="22"/>
        </w:rPr>
        <w:t>y</w:t>
      </w:r>
      <w:r w:rsidR="00C2743C" w:rsidRPr="00D22313">
        <w:rPr>
          <w:szCs w:val="22"/>
        </w:rPr>
        <w:t>, amenore</w:t>
      </w:r>
      <w:r w:rsidR="00CA5559" w:rsidRPr="00D22313">
        <w:rPr>
          <w:szCs w:val="22"/>
        </w:rPr>
        <w:t>y</w:t>
      </w:r>
      <w:r w:rsidR="00C2743C" w:rsidRPr="00D22313">
        <w:rPr>
          <w:szCs w:val="22"/>
        </w:rPr>
        <w:t xml:space="preserve">, gynekomastie, </w:t>
      </w:r>
      <w:r w:rsidR="003A53D3" w:rsidRPr="00D22313">
        <w:rPr>
          <w:szCs w:val="22"/>
        </w:rPr>
        <w:t>zväčšenia a bolesti prsníkov, neschopnosti dosiahnuť orgazmus a impotencie</w:t>
      </w:r>
      <w:r w:rsidR="00C2743C" w:rsidRPr="00D22313">
        <w:rPr>
          <w:szCs w:val="22"/>
        </w:rPr>
        <w:t>.</w:t>
      </w:r>
    </w:p>
    <w:p w14:paraId="0E5040A1" w14:textId="77777777" w:rsidR="006E4F7C" w:rsidRPr="00D22313" w:rsidRDefault="006E4F7C" w:rsidP="006E4F7C">
      <w:pPr>
        <w:pStyle w:val="Zkladntext"/>
        <w:tabs>
          <w:tab w:val="left" w:pos="0"/>
        </w:tabs>
        <w:rPr>
          <w:szCs w:val="22"/>
        </w:rPr>
      </w:pPr>
    </w:p>
    <w:p w14:paraId="37CC25B9" w14:textId="77777777" w:rsidR="006E4F7C" w:rsidRPr="00D22313" w:rsidRDefault="006E4F7C" w:rsidP="006E4F7C">
      <w:pPr>
        <w:pStyle w:val="Zkladntext"/>
        <w:tabs>
          <w:tab w:val="left" w:pos="0"/>
        </w:tabs>
        <w:rPr>
          <w:szCs w:val="22"/>
        </w:rPr>
      </w:pPr>
      <w:r w:rsidRPr="00D22313">
        <w:rPr>
          <w:szCs w:val="22"/>
        </w:rPr>
        <w:t>Poruchy metabolizmu a výživy:</w:t>
      </w:r>
    </w:p>
    <w:p w14:paraId="2DCFFDC1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Neznáma frekvencia:</w:t>
      </w:r>
      <w:r w:rsidRPr="00D22313">
        <w:rPr>
          <w:szCs w:val="22"/>
        </w:rPr>
        <w:tab/>
        <w:t>hyponatriémia, syndróm neprimeranej sekrécie antidiuretického hormónu (syndrome of inappropriate antidiuretic hormone secretion, SIADH).</w:t>
      </w:r>
    </w:p>
    <w:p w14:paraId="1F469CE6" w14:textId="77777777" w:rsidR="006E4F7C" w:rsidRPr="00D22313" w:rsidRDefault="006E4F7C" w:rsidP="006E4F7C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72FDD77A" w14:textId="77777777" w:rsidR="006E4F7C" w:rsidRPr="00D22313" w:rsidRDefault="006E4F7C" w:rsidP="006E4F7C">
      <w:pPr>
        <w:pStyle w:val="Zkladntext"/>
        <w:tabs>
          <w:tab w:val="left" w:pos="1701"/>
        </w:tabs>
        <w:ind w:left="1701" w:hanging="1701"/>
        <w:rPr>
          <w:szCs w:val="22"/>
        </w:rPr>
      </w:pPr>
      <w:r w:rsidRPr="00D22313">
        <w:rPr>
          <w:szCs w:val="22"/>
        </w:rPr>
        <w:t>Psychické poruchy:</w:t>
      </w:r>
    </w:p>
    <w:p w14:paraId="0F405ECE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Časté:</w:t>
      </w:r>
      <w:r w:rsidRPr="00D22313">
        <w:rPr>
          <w:szCs w:val="22"/>
        </w:rPr>
        <w:tab/>
        <w:t>somnolencia/ospalosť/spavosť, nespavosť, agitácia, ľahostajnosť.</w:t>
      </w:r>
    </w:p>
    <w:p w14:paraId="3381C580" w14:textId="77777777" w:rsidR="006E4F7C" w:rsidRPr="00D22313" w:rsidRDefault="006E4F7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</w:t>
      </w:r>
      <w:r w:rsidRPr="00D22313">
        <w:rPr>
          <w:sz w:val="22"/>
          <w:szCs w:val="22"/>
          <w:lang w:val="sk-SK"/>
        </w:rPr>
        <w:t>:</w:t>
      </w:r>
      <w:r w:rsidRPr="00D22313">
        <w:rPr>
          <w:sz w:val="22"/>
          <w:szCs w:val="22"/>
          <w:lang w:val="sk-SK"/>
        </w:rPr>
        <w:tab/>
        <w:t>zmätenosť, halucinácie.</w:t>
      </w:r>
    </w:p>
    <w:p w14:paraId="14828FFA" w14:textId="77777777" w:rsidR="006E4F7C" w:rsidRPr="00D22313" w:rsidRDefault="006E4F7C" w:rsidP="006E4F7C">
      <w:pPr>
        <w:pStyle w:val="Zkladntext"/>
        <w:tabs>
          <w:tab w:val="left" w:pos="0"/>
        </w:tabs>
        <w:rPr>
          <w:szCs w:val="22"/>
        </w:rPr>
      </w:pPr>
    </w:p>
    <w:p w14:paraId="6FDA2071" w14:textId="77777777" w:rsidR="006E4F7C" w:rsidRPr="00D22313" w:rsidRDefault="006E4F7C" w:rsidP="006E4F7C">
      <w:pPr>
        <w:pStyle w:val="Zkladntext"/>
        <w:rPr>
          <w:szCs w:val="22"/>
        </w:rPr>
      </w:pPr>
      <w:r w:rsidRPr="00D22313">
        <w:rPr>
          <w:szCs w:val="22"/>
        </w:rPr>
        <w:t>Poruchy nervového systému:</w:t>
      </w:r>
    </w:p>
    <w:p w14:paraId="1E1B78DA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Časté:</w:t>
      </w:r>
      <w:r w:rsidRPr="00D22313">
        <w:rPr>
          <w:szCs w:val="22"/>
        </w:rPr>
        <w:tab/>
        <w:t>závrat/vertigo, bolesť hlavy.</w:t>
      </w:r>
    </w:p>
    <w:p w14:paraId="1EF808F5" w14:textId="47377F22" w:rsidR="006E4F7C" w:rsidRPr="00D22313" w:rsidRDefault="006E4F7C" w:rsidP="006E4F7C">
      <w:pPr>
        <w:pStyle w:val="Zkladntext"/>
        <w:tabs>
          <w:tab w:val="left" w:pos="2268"/>
        </w:tabs>
        <w:ind w:left="2268"/>
        <w:rPr>
          <w:szCs w:val="22"/>
        </w:rPr>
      </w:pPr>
      <w:r w:rsidRPr="00D22313">
        <w:rPr>
          <w:szCs w:val="22"/>
        </w:rPr>
        <w:t>Parkinsonova choroba a súvisiace symptómy: tremor, hypert</w:t>
      </w:r>
      <w:r w:rsidR="00E17FE7" w:rsidRPr="00D22313">
        <w:rPr>
          <w:szCs w:val="22"/>
        </w:rPr>
        <w:t>ó</w:t>
      </w:r>
      <w:r w:rsidRPr="00D22313">
        <w:rPr>
          <w:szCs w:val="22"/>
        </w:rPr>
        <w:t>nia, hypokinéza a hypersalivácia. Tieto symptómy sú vo všeobecnosti, po podaní antiparkinsoník, vratné.</w:t>
      </w:r>
    </w:p>
    <w:p w14:paraId="2C7C569A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Menej časté:</w:t>
      </w:r>
      <w:r w:rsidRPr="00D22313">
        <w:rPr>
          <w:i/>
          <w:szCs w:val="22"/>
        </w:rPr>
        <w:tab/>
      </w:r>
      <w:r w:rsidRPr="00D22313">
        <w:rPr>
          <w:szCs w:val="22"/>
        </w:rPr>
        <w:t>akatízia, dystónia (kŕč, sťah krčných svalov, okulogyrická kríza, trizmus). Tieto symptómy sú vo všeobecnosti, po podaní antiparkinsoník, vratné.</w:t>
      </w:r>
    </w:p>
    <w:p w14:paraId="3913233E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Zriedkavé:</w:t>
      </w:r>
      <w:r w:rsidRPr="00D22313">
        <w:rPr>
          <w:szCs w:val="22"/>
        </w:rPr>
        <w:tab/>
        <w:t>akútna dyskinéza. Tento symptóm je vo všeobecnosti, po podaní antiparkinsoník, vratný.</w:t>
      </w:r>
    </w:p>
    <w:p w14:paraId="2E3BDE70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Neznáma frekvencia:</w:t>
      </w:r>
      <w:r w:rsidRPr="00D22313">
        <w:rPr>
          <w:i/>
          <w:szCs w:val="22"/>
        </w:rPr>
        <w:tab/>
      </w:r>
      <w:r w:rsidRPr="00D22313">
        <w:rPr>
          <w:szCs w:val="22"/>
        </w:rPr>
        <w:t>rovnako ako aj pri iných neuroleptikách, sa po viac ako trojmesačnom užívaní neuroleptika zaznamenala tardívna dyskinéza (charakterizovaná rytmickými, mimovoľnými pohybmi najmä jazyka a/alebo tváre). Antiparkinsoniká sú neúčinné alebo môžu indukovať zhoršenie príznakov.</w:t>
      </w:r>
    </w:p>
    <w:p w14:paraId="49D12B28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szCs w:val="22"/>
        </w:rPr>
        <w:tab/>
        <w:t>Rovnako ako pri iných neuroleptikách, zaznamenal sa neuroleptický malígny syndróm (pozri časť 4.4), ktorý môže byť kompli</w:t>
      </w:r>
      <w:r w:rsidR="00EB15FC" w:rsidRPr="00D22313">
        <w:rPr>
          <w:szCs w:val="22"/>
        </w:rPr>
        <w:t>káciou so smrteľnými následkami.</w:t>
      </w:r>
    </w:p>
    <w:p w14:paraId="78716768" w14:textId="77777777" w:rsidR="006E4F7C" w:rsidRPr="00D22313" w:rsidRDefault="00EB15FC" w:rsidP="006E4F7C">
      <w:pPr>
        <w:pStyle w:val="Zkladntext"/>
        <w:tabs>
          <w:tab w:val="left" w:pos="2268"/>
        </w:tabs>
        <w:ind w:left="2268"/>
        <w:rPr>
          <w:szCs w:val="22"/>
        </w:rPr>
      </w:pPr>
      <w:r w:rsidRPr="00D22313">
        <w:rPr>
          <w:szCs w:val="22"/>
        </w:rPr>
        <w:t>Strata vedomia / synkopa.</w:t>
      </w:r>
    </w:p>
    <w:p w14:paraId="319904BB" w14:textId="77777777" w:rsidR="006E4F7C" w:rsidRPr="00D22313" w:rsidRDefault="00EB15FC" w:rsidP="006E4F7C">
      <w:pPr>
        <w:pStyle w:val="Zkladntext"/>
        <w:tabs>
          <w:tab w:val="left" w:pos="2268"/>
        </w:tabs>
        <w:ind w:left="2268"/>
        <w:rPr>
          <w:szCs w:val="22"/>
        </w:rPr>
      </w:pPr>
      <w:r w:rsidRPr="00D22313">
        <w:rPr>
          <w:szCs w:val="22"/>
        </w:rPr>
        <w:t>Kŕče.</w:t>
      </w:r>
    </w:p>
    <w:p w14:paraId="56574ED4" w14:textId="77777777" w:rsidR="006E4F7C" w:rsidRPr="00D22313" w:rsidRDefault="006E4F7C" w:rsidP="006E4F7C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6E77ED22" w14:textId="77777777" w:rsidR="006E4F7C" w:rsidRPr="00D22313" w:rsidRDefault="00EB15FC" w:rsidP="006E4F7C">
      <w:pPr>
        <w:pStyle w:val="Zkladntext"/>
        <w:tabs>
          <w:tab w:val="left" w:pos="0"/>
        </w:tabs>
        <w:rPr>
          <w:szCs w:val="22"/>
        </w:rPr>
      </w:pPr>
      <w:r w:rsidRPr="00D22313">
        <w:rPr>
          <w:szCs w:val="22"/>
        </w:rPr>
        <w:t>Poruchy srdca a srdcovej činnosti:</w:t>
      </w:r>
    </w:p>
    <w:p w14:paraId="09D1348E" w14:textId="77777777" w:rsidR="006E4F7C" w:rsidRPr="00D22313" w:rsidRDefault="00EB15FC" w:rsidP="006E4F7C">
      <w:pPr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 xml:space="preserve">predĺženie QT intervalu, ventrikulárna arytmia, ako napríklad </w:t>
      </w:r>
      <w:r w:rsidRPr="00D22313">
        <w:rPr>
          <w:i/>
          <w:sz w:val="22"/>
          <w:szCs w:val="22"/>
          <w:lang w:val="sk-SK"/>
        </w:rPr>
        <w:t>torsades de pointes</w:t>
      </w:r>
      <w:r w:rsidRPr="00D22313">
        <w:rPr>
          <w:sz w:val="22"/>
          <w:szCs w:val="22"/>
          <w:lang w:val="sk-SK"/>
        </w:rPr>
        <w:t>, ventrikulárna tachykardia, ktorá môže vyústiť do ventrikulárnej fibrilácie alebo zastavenia srdca a náhlej smrti (pozri časť 4.4).</w:t>
      </w:r>
    </w:p>
    <w:p w14:paraId="39D9E129" w14:textId="77777777" w:rsidR="006E4F7C" w:rsidRPr="00D22313" w:rsidRDefault="006E4F7C" w:rsidP="006E4F7C">
      <w:pPr>
        <w:pStyle w:val="Zkladntext"/>
        <w:keepNext/>
        <w:tabs>
          <w:tab w:val="left" w:pos="1701"/>
        </w:tabs>
        <w:ind w:left="1701" w:hanging="1701"/>
        <w:rPr>
          <w:szCs w:val="22"/>
        </w:rPr>
      </w:pPr>
    </w:p>
    <w:p w14:paraId="769FB6DC" w14:textId="77777777" w:rsidR="006E4F7C" w:rsidRPr="00D22313" w:rsidRDefault="00EB15FC" w:rsidP="006E4F7C">
      <w:pPr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ciev:</w:t>
      </w:r>
    </w:p>
    <w:p w14:paraId="6837155F" w14:textId="77777777" w:rsidR="006E4F7C" w:rsidRPr="00D22313" w:rsidRDefault="00EB15FC" w:rsidP="006E4F7C">
      <w:pPr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venózna tromboembólia, vrátane pľúcnej embólie, niekedy fatálnej a hlboká žilová trombóza (pozri časť 4.4).</w:t>
      </w:r>
    </w:p>
    <w:p w14:paraId="243BDCAB" w14:textId="77777777" w:rsidR="006E4F7C" w:rsidRPr="00D22313" w:rsidRDefault="00EB15F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ab/>
      </w:r>
      <w:r w:rsidRPr="00D22313">
        <w:rPr>
          <w:sz w:val="22"/>
          <w:szCs w:val="22"/>
          <w:lang w:val="sk-SK"/>
        </w:rPr>
        <w:t>Hypotenzia, zvyčajne ortostatická.</w:t>
      </w:r>
    </w:p>
    <w:p w14:paraId="278D48F7" w14:textId="77777777" w:rsidR="006E4F7C" w:rsidRPr="00D22313" w:rsidRDefault="006E4F7C" w:rsidP="006E4F7C">
      <w:pPr>
        <w:ind w:left="1701" w:hanging="1701"/>
        <w:rPr>
          <w:sz w:val="22"/>
          <w:szCs w:val="22"/>
          <w:lang w:val="sk-SK"/>
        </w:rPr>
      </w:pPr>
    </w:p>
    <w:p w14:paraId="7234F216" w14:textId="77777777" w:rsidR="006E4F7C" w:rsidRPr="008D7E21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dýchacej sústavy, hrudníka a mediastína:</w:t>
      </w:r>
    </w:p>
    <w:p w14:paraId="74382555" w14:textId="77777777" w:rsidR="006E4F7C" w:rsidRPr="008D7E21" w:rsidRDefault="006E4F7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aspiračná pneumónia,</w:t>
      </w:r>
      <w:r w:rsidRPr="008D7E21">
        <w:rPr>
          <w:sz w:val="22"/>
          <w:szCs w:val="22"/>
          <w:lang w:val="sk-SK"/>
        </w:rPr>
        <w:t xml:space="preserve"> </w:t>
      </w:r>
      <w:r w:rsidRPr="00D22313">
        <w:rPr>
          <w:sz w:val="22"/>
          <w:szCs w:val="22"/>
          <w:lang w:val="sk-SK"/>
        </w:rPr>
        <w:t>útlm dychu v súvislosti s používaním ďalších liekov tlmiacich CNS.</w:t>
      </w:r>
    </w:p>
    <w:p w14:paraId="28FD2B16" w14:textId="77777777" w:rsidR="006E4F7C" w:rsidRPr="008D7E21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136AB28D" w14:textId="77777777" w:rsidR="006E4F7C" w:rsidRPr="00D22313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gastrointestinálneho traktu:</w:t>
      </w:r>
    </w:p>
    <w:p w14:paraId="7F50909A" w14:textId="77777777" w:rsidR="006E4F7C" w:rsidRPr="00D22313" w:rsidRDefault="006E4F7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zápcha, črevná obštrukcia, ileus.</w:t>
      </w:r>
    </w:p>
    <w:p w14:paraId="50C86BCA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3DC0A5C" w14:textId="77777777" w:rsidR="006E4F7C" w:rsidRPr="00D22313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bCs/>
          <w:sz w:val="22"/>
          <w:szCs w:val="22"/>
          <w:lang w:val="pl-PL"/>
        </w:rPr>
        <w:t>Poruchy pečene a žlčových ciest:</w:t>
      </w:r>
    </w:p>
    <w:p w14:paraId="1B864D6E" w14:textId="77777777" w:rsidR="006E4F7C" w:rsidRPr="00D22313" w:rsidRDefault="006E4F7C" w:rsidP="006E4F7C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zvýšenie pečeňových enzýmov.</w:t>
      </w:r>
    </w:p>
    <w:p w14:paraId="0A553EEB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35B7B91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kože a podkožného tkaniva:</w:t>
      </w:r>
    </w:p>
    <w:p w14:paraId="67A01402" w14:textId="77777777" w:rsidR="006E4F7C" w:rsidRPr="00D22313" w:rsidRDefault="006E4F7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vyrážka vrátane erytematóznej vyrážky, makulopapulárna vyrážka a žihľavka.</w:t>
      </w:r>
    </w:p>
    <w:p w14:paraId="032C829F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D9BC4D5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bCs/>
          <w:sz w:val="22"/>
          <w:szCs w:val="22"/>
          <w:lang w:val="pl-PL"/>
        </w:rPr>
        <w:t>Poruchy kostrovej a svalovej sústavy a spojivového tkaniva:</w:t>
      </w:r>
    </w:p>
    <w:p w14:paraId="3BDB0CA1" w14:textId="77777777" w:rsidR="006E4F7C" w:rsidRPr="00D22313" w:rsidRDefault="006E4F7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zvýšená hladina kreatínfosfokinázy v krvi, rabdomyolýza.</w:t>
      </w:r>
    </w:p>
    <w:p w14:paraId="5D804086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1C382BD3" w14:textId="77777777" w:rsidR="006E4F7C" w:rsidRPr="00D22313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Stavy v gravidite, v šestonedelí a perinatálnom období:</w:t>
      </w:r>
    </w:p>
    <w:p w14:paraId="31F5FAA5" w14:textId="77777777" w:rsidR="006E4F7C" w:rsidRPr="00D22313" w:rsidRDefault="006E4F7C" w:rsidP="006E4F7C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novorodenecký syndróm z vysadenia (pozri časť 4.6).</w:t>
      </w:r>
    </w:p>
    <w:p w14:paraId="748D4980" w14:textId="77777777" w:rsidR="00AC2515" w:rsidRPr="00D22313" w:rsidRDefault="00AC2515" w:rsidP="00AC2515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6B499DAC" w14:textId="77777777" w:rsidR="00EF5196" w:rsidRPr="00D22313" w:rsidRDefault="00AC2515" w:rsidP="00C632FD">
      <w:pPr>
        <w:pStyle w:val="Zkladntext"/>
        <w:tabs>
          <w:tab w:val="left" w:pos="1701"/>
        </w:tabs>
        <w:ind w:left="1701" w:hanging="1701"/>
        <w:rPr>
          <w:szCs w:val="22"/>
        </w:rPr>
      </w:pPr>
      <w:r w:rsidRPr="00D22313">
        <w:rPr>
          <w:szCs w:val="22"/>
        </w:rPr>
        <w:t>Celkové poruchy a reakcie v mieste podania</w:t>
      </w:r>
      <w:r w:rsidR="006E4F7C" w:rsidRPr="00D22313">
        <w:rPr>
          <w:szCs w:val="22"/>
        </w:rPr>
        <w:t>:</w:t>
      </w:r>
    </w:p>
    <w:p w14:paraId="0232B82A" w14:textId="1EEFE6F2" w:rsidR="008550F0" w:rsidRPr="00D22313" w:rsidRDefault="00EF5196" w:rsidP="00D22313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Časté:</w:t>
      </w:r>
      <w:r w:rsidRPr="00D22313">
        <w:rPr>
          <w:szCs w:val="22"/>
        </w:rPr>
        <w:t xml:space="preserve"> </w:t>
      </w:r>
      <w:r w:rsidRPr="00D22313">
        <w:rPr>
          <w:szCs w:val="22"/>
        </w:rPr>
        <w:tab/>
      </w:r>
      <w:r w:rsidR="006E4F7C" w:rsidRPr="00D22313">
        <w:rPr>
          <w:szCs w:val="22"/>
        </w:rPr>
        <w:t>a</w:t>
      </w:r>
      <w:r w:rsidRPr="00D22313">
        <w:rPr>
          <w:szCs w:val="22"/>
        </w:rPr>
        <w:t>sténia/únava.</w:t>
      </w:r>
    </w:p>
    <w:p w14:paraId="6ECFCD4A" w14:textId="747B86F6" w:rsidR="008550F0" w:rsidRPr="00D22313" w:rsidRDefault="00EF5196" w:rsidP="00D22313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Menej časté:</w:t>
      </w:r>
      <w:r w:rsidRPr="00D22313">
        <w:rPr>
          <w:szCs w:val="22"/>
        </w:rPr>
        <w:t xml:space="preserve"> </w:t>
      </w:r>
      <w:r w:rsidRPr="00D22313">
        <w:rPr>
          <w:szCs w:val="22"/>
        </w:rPr>
        <w:tab/>
      </w:r>
      <w:r w:rsidR="006E4F7C" w:rsidRPr="00D22313">
        <w:rPr>
          <w:szCs w:val="22"/>
        </w:rPr>
        <w:t>z</w:t>
      </w:r>
      <w:r w:rsidRPr="00D22313">
        <w:rPr>
          <w:szCs w:val="22"/>
        </w:rPr>
        <w:t xml:space="preserve">výšenie </w:t>
      </w:r>
      <w:r w:rsidR="000B1838" w:rsidRPr="00D22313">
        <w:rPr>
          <w:szCs w:val="22"/>
        </w:rPr>
        <w:t xml:space="preserve">telesnej </w:t>
      </w:r>
      <w:r w:rsidRPr="00D22313">
        <w:rPr>
          <w:szCs w:val="22"/>
        </w:rPr>
        <w:t>hmotnosti.</w:t>
      </w:r>
    </w:p>
    <w:p w14:paraId="35038C44" w14:textId="77777777" w:rsidR="00C2743C" w:rsidRPr="00D22313" w:rsidRDefault="00C2743C" w:rsidP="00DC5896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5D0B3EF5" w14:textId="77777777" w:rsidR="006C1028" w:rsidRPr="00D22313" w:rsidRDefault="006C1028" w:rsidP="006C1028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bookmarkStart w:id="2" w:name="OLE_LINK4"/>
      <w:bookmarkStart w:id="3" w:name="OLE_LINK5"/>
      <w:r w:rsidRPr="00D22313">
        <w:rPr>
          <w:bCs/>
          <w:sz w:val="22"/>
          <w:szCs w:val="22"/>
          <w:lang w:val="pl-PL"/>
        </w:rPr>
        <w:t>Úrazy, otravy a komplikácie liečebného postupu</w:t>
      </w:r>
      <w:r w:rsidR="006E4F7C" w:rsidRPr="00D22313">
        <w:rPr>
          <w:bCs/>
          <w:sz w:val="22"/>
          <w:szCs w:val="22"/>
          <w:lang w:val="pl-PL"/>
        </w:rPr>
        <w:t>:</w:t>
      </w:r>
    </w:p>
    <w:p w14:paraId="137B31BF" w14:textId="41E42AC7" w:rsidR="008550F0" w:rsidRDefault="006C1028" w:rsidP="00D22313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="006E4F7C" w:rsidRPr="00D22313">
        <w:rPr>
          <w:sz w:val="22"/>
          <w:szCs w:val="22"/>
          <w:lang w:val="sk-SK"/>
        </w:rPr>
        <w:tab/>
        <w:t>p</w:t>
      </w:r>
      <w:r w:rsidRPr="00D22313">
        <w:rPr>
          <w:sz w:val="22"/>
          <w:szCs w:val="22"/>
          <w:lang w:val="sk-SK"/>
        </w:rPr>
        <w:t>ády</w:t>
      </w:r>
      <w:r w:rsidR="006E4F7C" w:rsidRPr="00D22313">
        <w:rPr>
          <w:sz w:val="22"/>
          <w:szCs w:val="22"/>
          <w:lang w:val="sk-SK"/>
        </w:rPr>
        <w:t>, najmä u starších pacientov</w:t>
      </w:r>
      <w:r w:rsidRPr="00D22313">
        <w:rPr>
          <w:sz w:val="22"/>
          <w:szCs w:val="22"/>
          <w:lang w:val="sk-SK"/>
        </w:rPr>
        <w:t>.</w:t>
      </w:r>
    </w:p>
    <w:p w14:paraId="78301FB6" w14:textId="77777777" w:rsidR="006C1028" w:rsidRDefault="006C1028" w:rsidP="006E5316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693D7337" w14:textId="77777777" w:rsidR="007349C3" w:rsidRPr="00EF6005" w:rsidRDefault="007349C3" w:rsidP="007349C3">
      <w:pPr>
        <w:rPr>
          <w:sz w:val="22"/>
          <w:szCs w:val="22"/>
          <w:u w:val="single"/>
        </w:rPr>
      </w:pPr>
      <w:r w:rsidRPr="00EF6005">
        <w:rPr>
          <w:noProof/>
          <w:sz w:val="22"/>
          <w:szCs w:val="22"/>
          <w:u w:val="single"/>
        </w:rPr>
        <w:t>Hlásenie podozrení na nežiaduce reakcie</w:t>
      </w:r>
    </w:p>
    <w:p w14:paraId="7579E69C" w14:textId="77777777" w:rsidR="007349C3" w:rsidRPr="007349C3" w:rsidRDefault="007349C3" w:rsidP="007349C3">
      <w:pPr>
        <w:rPr>
          <w:noProof/>
          <w:sz w:val="22"/>
          <w:szCs w:val="22"/>
        </w:rPr>
      </w:pPr>
      <w:r w:rsidRPr="007349C3">
        <w:rPr>
          <w:noProof/>
          <w:sz w:val="22"/>
          <w:szCs w:val="22"/>
        </w:rPr>
        <w:t>Hlásenie podozrení na nežiaduce reakcie po registrácii lieku je dôležité.</w:t>
      </w:r>
      <w:r w:rsidRPr="007349C3">
        <w:rPr>
          <w:sz w:val="22"/>
          <w:szCs w:val="22"/>
        </w:rPr>
        <w:t xml:space="preserve"> </w:t>
      </w:r>
      <w:r w:rsidRPr="007349C3">
        <w:rPr>
          <w:noProof/>
          <w:sz w:val="22"/>
          <w:szCs w:val="22"/>
        </w:rPr>
        <w:t>Umožňuje priebežné monitorovanie pomeru prínosu a rizika lieku.</w:t>
      </w:r>
      <w:r w:rsidRPr="007349C3">
        <w:rPr>
          <w:sz w:val="22"/>
          <w:szCs w:val="22"/>
        </w:rPr>
        <w:t xml:space="preserve"> Od </w:t>
      </w:r>
      <w:r w:rsidRPr="007349C3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CF7297">
        <w:rPr>
          <w:noProof/>
          <w:sz w:val="22"/>
          <w:szCs w:val="22"/>
        </w:rPr>
        <w:t>na</w:t>
      </w:r>
      <w:r w:rsidRPr="007349C3">
        <w:rPr>
          <w:noProof/>
          <w:sz w:val="22"/>
          <w:szCs w:val="22"/>
        </w:rPr>
        <w:t xml:space="preserve"> </w:t>
      </w:r>
      <w:r w:rsidRPr="00CE2CF8">
        <w:rPr>
          <w:noProof/>
          <w:sz w:val="22"/>
          <w:szCs w:val="22"/>
          <w:highlight w:val="lightGray"/>
        </w:rPr>
        <w:t xml:space="preserve">národné </w:t>
      </w:r>
      <w:r w:rsidR="00CF7297" w:rsidRPr="00CE2CF8">
        <w:rPr>
          <w:noProof/>
          <w:sz w:val="22"/>
          <w:szCs w:val="22"/>
          <w:highlight w:val="lightGray"/>
        </w:rPr>
        <w:t>centrum</w:t>
      </w:r>
      <w:r w:rsidRPr="00CE2CF8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CE2CF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349C3">
        <w:rPr>
          <w:noProof/>
          <w:sz w:val="22"/>
          <w:szCs w:val="22"/>
        </w:rPr>
        <w:t>.</w:t>
      </w:r>
    </w:p>
    <w:p w14:paraId="6090E282" w14:textId="77777777" w:rsidR="007349C3" w:rsidRPr="007349C3" w:rsidRDefault="007349C3" w:rsidP="007349C3">
      <w:pPr>
        <w:tabs>
          <w:tab w:val="left" w:pos="1701"/>
        </w:tabs>
        <w:rPr>
          <w:sz w:val="22"/>
          <w:szCs w:val="22"/>
        </w:rPr>
      </w:pPr>
    </w:p>
    <w:bookmarkEnd w:id="2"/>
    <w:bookmarkEnd w:id="3"/>
    <w:p w14:paraId="314E8E89" w14:textId="77777777" w:rsidR="00286863" w:rsidRPr="007349C3" w:rsidRDefault="00286863" w:rsidP="007349C3">
      <w:pPr>
        <w:pStyle w:val="Zkladntext"/>
        <w:ind w:left="1004" w:hanging="1004"/>
        <w:rPr>
          <w:szCs w:val="22"/>
        </w:rPr>
      </w:pPr>
    </w:p>
    <w:p w14:paraId="2DBEFA88" w14:textId="77777777" w:rsidR="00286863" w:rsidRPr="00E20352" w:rsidRDefault="00286863" w:rsidP="00EF6005">
      <w:pPr>
        <w:pStyle w:val="Zkladntext"/>
        <w:keepNext/>
        <w:ind w:left="567" w:hanging="567"/>
        <w:rPr>
          <w:b/>
          <w:szCs w:val="22"/>
        </w:rPr>
      </w:pPr>
      <w:r w:rsidRPr="00E20352">
        <w:rPr>
          <w:b/>
          <w:szCs w:val="22"/>
        </w:rPr>
        <w:t>4.9</w:t>
      </w:r>
      <w:r w:rsidR="000923FC">
        <w:rPr>
          <w:b/>
          <w:szCs w:val="22"/>
        </w:rPr>
        <w:tab/>
      </w:r>
      <w:r w:rsidRPr="00E20352">
        <w:rPr>
          <w:b/>
          <w:szCs w:val="22"/>
        </w:rPr>
        <w:t>Predávkovanie</w:t>
      </w:r>
    </w:p>
    <w:p w14:paraId="129E084E" w14:textId="77777777" w:rsidR="005D7CE7" w:rsidRPr="00E20352" w:rsidRDefault="005D7CE7" w:rsidP="00F65CC3">
      <w:pPr>
        <w:pStyle w:val="Zkladntext"/>
        <w:keepNext/>
        <w:rPr>
          <w:szCs w:val="22"/>
        </w:rPr>
      </w:pPr>
    </w:p>
    <w:p w14:paraId="53B14418" w14:textId="77777777" w:rsidR="00AC2515" w:rsidRPr="00E20352" w:rsidRDefault="00AC2515" w:rsidP="00AC2515">
      <w:pPr>
        <w:pStyle w:val="Zkladntext"/>
        <w:rPr>
          <w:szCs w:val="22"/>
          <w:u w:val="single"/>
        </w:rPr>
      </w:pPr>
      <w:r w:rsidRPr="00E20352">
        <w:rPr>
          <w:szCs w:val="22"/>
          <w:u w:val="single"/>
        </w:rPr>
        <w:t>Príznaky</w:t>
      </w:r>
    </w:p>
    <w:p w14:paraId="528E298E" w14:textId="3587ED66" w:rsidR="00951ED1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Skúsenosti s predávkovaním sú obmedzené. </w:t>
      </w:r>
      <w:r w:rsidR="00927D74" w:rsidRPr="00E20352">
        <w:rPr>
          <w:szCs w:val="22"/>
        </w:rPr>
        <w:t>Môže sa pozorovať</w:t>
      </w:r>
      <w:r w:rsidRPr="00E20352">
        <w:rPr>
          <w:szCs w:val="22"/>
        </w:rPr>
        <w:t xml:space="preserve"> ospanlivosť</w:t>
      </w:r>
      <w:r w:rsidR="00AF4A36">
        <w:rPr>
          <w:szCs w:val="22"/>
        </w:rPr>
        <w:t>,</w:t>
      </w:r>
      <w:r w:rsidRPr="00E20352">
        <w:rPr>
          <w:szCs w:val="22"/>
        </w:rPr>
        <w:t xml:space="preserve"> útlm, kóma, hypotenzia a extrapyramídové symptómy. </w:t>
      </w:r>
    </w:p>
    <w:p w14:paraId="32DD0873" w14:textId="77777777" w:rsidR="00137093" w:rsidRPr="00B12F7A" w:rsidRDefault="009A347A" w:rsidP="00137093">
      <w:pPr>
        <w:pStyle w:val="Zkladntext"/>
        <w:rPr>
          <w:szCs w:val="22"/>
        </w:rPr>
      </w:pPr>
      <w:r>
        <w:rPr>
          <w:szCs w:val="22"/>
        </w:rPr>
        <w:t>Smrteľné</w:t>
      </w:r>
      <w:r w:rsidR="00CD6E1E">
        <w:rPr>
          <w:szCs w:val="22"/>
        </w:rPr>
        <w:t xml:space="preserve"> následky boli hlásené</w:t>
      </w:r>
      <w:r w:rsidR="00137093">
        <w:rPr>
          <w:szCs w:val="22"/>
        </w:rPr>
        <w:t xml:space="preserve"> </w:t>
      </w:r>
      <w:r w:rsidR="00FE1D16">
        <w:rPr>
          <w:szCs w:val="22"/>
        </w:rPr>
        <w:t xml:space="preserve">najmä </w:t>
      </w:r>
      <w:r w:rsidR="00137093">
        <w:rPr>
          <w:szCs w:val="22"/>
        </w:rPr>
        <w:t>v kombinácii s inými psychotropnými látkami</w:t>
      </w:r>
      <w:r w:rsidR="0034679C">
        <w:rPr>
          <w:szCs w:val="22"/>
        </w:rPr>
        <w:t>, ale i v monoterapii s</w:t>
      </w:r>
      <w:r w:rsidR="003D38B4">
        <w:rPr>
          <w:szCs w:val="22"/>
        </w:rPr>
        <w:t> </w:t>
      </w:r>
      <w:r w:rsidR="0034679C">
        <w:rPr>
          <w:szCs w:val="22"/>
        </w:rPr>
        <w:t>tiapridom</w:t>
      </w:r>
      <w:r w:rsidR="00137093">
        <w:rPr>
          <w:szCs w:val="22"/>
        </w:rPr>
        <w:t>.</w:t>
      </w:r>
    </w:p>
    <w:p w14:paraId="6499F1C7" w14:textId="77777777" w:rsidR="006C1028" w:rsidRDefault="006C1028" w:rsidP="00AC2515">
      <w:pPr>
        <w:pStyle w:val="Zkladntext"/>
        <w:rPr>
          <w:szCs w:val="22"/>
          <w:u w:val="single"/>
        </w:rPr>
      </w:pPr>
    </w:p>
    <w:p w14:paraId="00DD3C82" w14:textId="77777777" w:rsidR="00AC2515" w:rsidRPr="00E20352" w:rsidRDefault="00AC2515" w:rsidP="00AC2515">
      <w:pPr>
        <w:pStyle w:val="Zkladntext"/>
        <w:rPr>
          <w:szCs w:val="22"/>
          <w:u w:val="single"/>
        </w:rPr>
      </w:pPr>
      <w:r w:rsidRPr="00E20352">
        <w:rPr>
          <w:szCs w:val="22"/>
          <w:u w:val="single"/>
        </w:rPr>
        <w:t>Liečba</w:t>
      </w:r>
    </w:p>
    <w:p w14:paraId="4266F934" w14:textId="77777777" w:rsidR="00951ED1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Pri akútnom predávkovaní sa m</w:t>
      </w:r>
      <w:r w:rsidR="00A421A9" w:rsidRPr="00E20352">
        <w:rPr>
          <w:szCs w:val="22"/>
        </w:rPr>
        <w:t>á</w:t>
      </w:r>
      <w:r w:rsidRPr="00E20352">
        <w:rPr>
          <w:szCs w:val="22"/>
        </w:rPr>
        <w:t xml:space="preserve"> zvážiť možnosť užívania viacerých liekov. </w:t>
      </w:r>
    </w:p>
    <w:p w14:paraId="03731FA7" w14:textId="77777777" w:rsidR="00951ED1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Keďže tiaprid je slabo </w:t>
      </w:r>
      <w:r w:rsidR="00A421A9" w:rsidRPr="00E20352">
        <w:rPr>
          <w:szCs w:val="22"/>
        </w:rPr>
        <w:t>dialyzovateľný</w:t>
      </w:r>
      <w:r w:rsidRPr="00E20352">
        <w:rPr>
          <w:szCs w:val="22"/>
        </w:rPr>
        <w:t xml:space="preserve">, hemodialýza </w:t>
      </w:r>
      <w:r w:rsidR="00A421A9" w:rsidRPr="00E20352">
        <w:rPr>
          <w:szCs w:val="22"/>
        </w:rPr>
        <w:t>sa kvôli</w:t>
      </w:r>
      <w:r w:rsidRPr="00E20352">
        <w:rPr>
          <w:szCs w:val="22"/>
        </w:rPr>
        <w:t xml:space="preserve"> elimináci</w:t>
      </w:r>
      <w:r w:rsidR="00A421A9" w:rsidRPr="00E20352">
        <w:rPr>
          <w:szCs w:val="22"/>
        </w:rPr>
        <w:t>i</w:t>
      </w:r>
      <w:r w:rsidRPr="00E20352">
        <w:rPr>
          <w:szCs w:val="22"/>
        </w:rPr>
        <w:t xml:space="preserve"> nem</w:t>
      </w:r>
      <w:r w:rsidR="00A421A9" w:rsidRPr="00E20352">
        <w:rPr>
          <w:szCs w:val="22"/>
        </w:rPr>
        <w:t>á</w:t>
      </w:r>
      <w:r w:rsidRPr="00E20352">
        <w:rPr>
          <w:szCs w:val="22"/>
        </w:rPr>
        <w:t xml:space="preserve"> </w:t>
      </w:r>
      <w:r w:rsidR="00A421A9" w:rsidRPr="00E20352">
        <w:rPr>
          <w:szCs w:val="22"/>
        </w:rPr>
        <w:t>používať</w:t>
      </w:r>
      <w:r w:rsidRPr="00E20352">
        <w:rPr>
          <w:szCs w:val="22"/>
        </w:rPr>
        <w:t xml:space="preserve">. </w:t>
      </w:r>
    </w:p>
    <w:p w14:paraId="72920DDA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Neexistuje špecifické antidotum tiapridu. Odporúčajú sa vhodné podporné opatrenia za prísneho monitorovania vitálnych funkcií a do prebratia pacienta sa odporúča monitorovanie</w:t>
      </w:r>
      <w:r w:rsidR="00A421A9" w:rsidRPr="00E20352">
        <w:rPr>
          <w:szCs w:val="22"/>
        </w:rPr>
        <w:t xml:space="preserve"> činnosti srdca</w:t>
      </w:r>
      <w:r w:rsidR="00C17AFC" w:rsidRPr="00E20352">
        <w:rPr>
          <w:szCs w:val="22"/>
        </w:rPr>
        <w:t xml:space="preserve"> (riziko predĺženia QT intervalu a následn</w:t>
      </w:r>
      <w:r w:rsidR="009B44C6" w:rsidRPr="00E20352">
        <w:rPr>
          <w:szCs w:val="22"/>
        </w:rPr>
        <w:t>é</w:t>
      </w:r>
      <w:r w:rsidR="00C17AFC" w:rsidRPr="00E20352">
        <w:rPr>
          <w:szCs w:val="22"/>
        </w:rPr>
        <w:t xml:space="preserve"> ventrikulárne arytmie)</w:t>
      </w:r>
      <w:r w:rsidRPr="00E20352">
        <w:rPr>
          <w:szCs w:val="22"/>
        </w:rPr>
        <w:t>.</w:t>
      </w:r>
    </w:p>
    <w:p w14:paraId="682A4945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V prípade ťažk</w:t>
      </w:r>
      <w:r w:rsidR="00951ED1" w:rsidRPr="00E20352">
        <w:rPr>
          <w:szCs w:val="22"/>
        </w:rPr>
        <w:t>ých</w:t>
      </w:r>
      <w:r w:rsidRPr="00E20352">
        <w:rPr>
          <w:szCs w:val="22"/>
        </w:rPr>
        <w:t xml:space="preserve"> </w:t>
      </w:r>
      <w:r w:rsidR="00EB34CE" w:rsidRPr="00E20352">
        <w:rPr>
          <w:szCs w:val="22"/>
        </w:rPr>
        <w:t>extrapyramídov</w:t>
      </w:r>
      <w:r w:rsidR="00951ED1" w:rsidRPr="00E20352">
        <w:rPr>
          <w:szCs w:val="22"/>
        </w:rPr>
        <w:t>ých</w:t>
      </w:r>
      <w:r w:rsidR="00EB34CE" w:rsidRPr="00E20352">
        <w:rPr>
          <w:szCs w:val="22"/>
        </w:rPr>
        <w:t xml:space="preserve"> </w:t>
      </w:r>
      <w:r w:rsidR="00951ED1" w:rsidRPr="00E20352">
        <w:rPr>
          <w:szCs w:val="22"/>
        </w:rPr>
        <w:t xml:space="preserve">symptómov </w:t>
      </w:r>
      <w:r w:rsidR="000A6B01" w:rsidRPr="00E20352">
        <w:rPr>
          <w:szCs w:val="22"/>
        </w:rPr>
        <w:t>sa majú</w:t>
      </w:r>
      <w:r w:rsidR="00FC5604" w:rsidRPr="00E20352">
        <w:rPr>
          <w:szCs w:val="22"/>
        </w:rPr>
        <w:t xml:space="preserve"> podať anticholinergné </w:t>
      </w:r>
      <w:r w:rsidR="00FB349A" w:rsidRPr="00E20352">
        <w:rPr>
          <w:szCs w:val="22"/>
        </w:rPr>
        <w:t>lieky</w:t>
      </w:r>
      <w:r w:rsidRPr="00E20352">
        <w:rPr>
          <w:szCs w:val="22"/>
        </w:rPr>
        <w:t>.</w:t>
      </w:r>
    </w:p>
    <w:p w14:paraId="3949DD9E" w14:textId="77777777" w:rsidR="00286863" w:rsidRPr="00E20352" w:rsidRDefault="00286863" w:rsidP="00DC5896">
      <w:pPr>
        <w:pStyle w:val="Zkladntext"/>
        <w:rPr>
          <w:szCs w:val="22"/>
        </w:rPr>
      </w:pPr>
    </w:p>
    <w:p w14:paraId="61C7D269" w14:textId="77777777" w:rsidR="00286863" w:rsidRPr="00E20352" w:rsidRDefault="00286863" w:rsidP="00DC5896">
      <w:pPr>
        <w:pStyle w:val="Zkladntext"/>
        <w:rPr>
          <w:szCs w:val="22"/>
        </w:rPr>
      </w:pPr>
    </w:p>
    <w:p w14:paraId="49DFE215" w14:textId="77777777" w:rsidR="00286863" w:rsidRPr="00E20352" w:rsidRDefault="00286863" w:rsidP="00EF6005">
      <w:pPr>
        <w:pStyle w:val="Zkladntext"/>
        <w:keepNext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b/>
          <w:szCs w:val="22"/>
        </w:rPr>
      </w:pPr>
      <w:r w:rsidRPr="00E20352">
        <w:rPr>
          <w:b/>
          <w:szCs w:val="22"/>
        </w:rPr>
        <w:t xml:space="preserve">FARMAKOLOGICKÉ VLASTNOSTI </w:t>
      </w:r>
    </w:p>
    <w:p w14:paraId="2CF11499" w14:textId="77777777" w:rsidR="00286863" w:rsidRPr="00E20352" w:rsidRDefault="00286863" w:rsidP="00F65CC3">
      <w:pPr>
        <w:pStyle w:val="Zkladntext"/>
        <w:keepNext/>
        <w:rPr>
          <w:b/>
          <w:szCs w:val="22"/>
        </w:rPr>
      </w:pPr>
    </w:p>
    <w:p w14:paraId="37B00AAC" w14:textId="77777777" w:rsidR="00286863" w:rsidRPr="00E20352" w:rsidRDefault="00286863" w:rsidP="00F65CC3">
      <w:pPr>
        <w:pStyle w:val="Zkladntext"/>
        <w:keepNext/>
        <w:rPr>
          <w:b/>
          <w:szCs w:val="22"/>
        </w:rPr>
      </w:pPr>
      <w:r w:rsidRPr="00E20352">
        <w:rPr>
          <w:b/>
          <w:szCs w:val="22"/>
        </w:rPr>
        <w:t>5.1</w:t>
      </w:r>
      <w:r w:rsidR="005D7CE7" w:rsidRPr="00E20352">
        <w:rPr>
          <w:b/>
          <w:szCs w:val="22"/>
        </w:rPr>
        <w:t xml:space="preserve"> </w:t>
      </w:r>
      <w:r w:rsidR="000923FC">
        <w:rPr>
          <w:b/>
          <w:szCs w:val="22"/>
        </w:rPr>
        <w:tab/>
      </w:r>
      <w:r w:rsidR="005D7CE7" w:rsidRPr="00E20352">
        <w:rPr>
          <w:b/>
          <w:szCs w:val="22"/>
        </w:rPr>
        <w:t>Farmakodynamické vlatnosti</w:t>
      </w:r>
    </w:p>
    <w:p w14:paraId="77964132" w14:textId="77777777" w:rsidR="00286863" w:rsidRPr="00E20352" w:rsidRDefault="00286863" w:rsidP="00F65CC3">
      <w:pPr>
        <w:pStyle w:val="Zkladntext"/>
        <w:keepNext/>
        <w:rPr>
          <w:szCs w:val="22"/>
        </w:rPr>
      </w:pPr>
    </w:p>
    <w:p w14:paraId="5A501DC3" w14:textId="4704FE0A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Farmakoterapeutická skupina: </w:t>
      </w:r>
      <w:r w:rsidR="00AF4A36">
        <w:rPr>
          <w:szCs w:val="22"/>
        </w:rPr>
        <w:t>p</w:t>
      </w:r>
      <w:r w:rsidR="001375ED">
        <w:rPr>
          <w:szCs w:val="22"/>
        </w:rPr>
        <w:t xml:space="preserve">sycholeptiká, </w:t>
      </w:r>
      <w:r w:rsidR="006C1028">
        <w:rPr>
          <w:szCs w:val="22"/>
        </w:rPr>
        <w:t>benzamidy</w:t>
      </w:r>
      <w:r w:rsidR="00A8218C">
        <w:rPr>
          <w:szCs w:val="22"/>
        </w:rPr>
        <w:t>.</w:t>
      </w:r>
    </w:p>
    <w:p w14:paraId="4E92B2C2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ATC kód: N05AL03.</w:t>
      </w:r>
    </w:p>
    <w:p w14:paraId="6CE08C0C" w14:textId="77777777" w:rsidR="00286863" w:rsidRPr="00E20352" w:rsidRDefault="00286863" w:rsidP="00DC5896">
      <w:pPr>
        <w:pStyle w:val="Zkladntext"/>
        <w:rPr>
          <w:szCs w:val="22"/>
        </w:rPr>
      </w:pPr>
    </w:p>
    <w:p w14:paraId="7D69A4D0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Tiaprid je atypické neuroleptikum, ktoré </w:t>
      </w:r>
      <w:r w:rsidRPr="00E20352">
        <w:rPr>
          <w:i/>
          <w:szCs w:val="22"/>
        </w:rPr>
        <w:t>in vitro</w:t>
      </w:r>
      <w:r w:rsidRPr="00E20352">
        <w:rPr>
          <w:szCs w:val="22"/>
        </w:rPr>
        <w:t xml:space="preserve"> selektívne blokuje D</w:t>
      </w:r>
      <w:r w:rsidRPr="00E20352">
        <w:rPr>
          <w:szCs w:val="22"/>
          <w:vertAlign w:val="subscript"/>
        </w:rPr>
        <w:t>2</w:t>
      </w:r>
      <w:r w:rsidRPr="00E20352">
        <w:rPr>
          <w:szCs w:val="22"/>
        </w:rPr>
        <w:t xml:space="preserve"> a D</w:t>
      </w:r>
      <w:r w:rsidRPr="00E20352">
        <w:rPr>
          <w:szCs w:val="22"/>
          <w:vertAlign w:val="subscript"/>
        </w:rPr>
        <w:t>3</w:t>
      </w:r>
      <w:r w:rsidRPr="00E20352">
        <w:rPr>
          <w:szCs w:val="22"/>
        </w:rPr>
        <w:t xml:space="preserve"> subtypy dopamínergných receptorov, bez účinku na subtypy receptorov hlavných centrálnych neurotransmitérov (vrátane serotonínu, noradrenalínu a histamínu). </w:t>
      </w:r>
      <w:r w:rsidRPr="00E20352">
        <w:rPr>
          <w:i/>
          <w:szCs w:val="22"/>
        </w:rPr>
        <w:t>In vivo</w:t>
      </w:r>
      <w:r w:rsidRPr="00E20352">
        <w:rPr>
          <w:szCs w:val="22"/>
        </w:rPr>
        <w:t xml:space="preserve"> neurochemické a behaviorálne štúdie potvrdzujú tieto vlastnosti a ukazujú antidopaminergické vlastnosti bez sedácie, katalepsie a kognitívneho zhoršenia.</w:t>
      </w:r>
    </w:p>
    <w:p w14:paraId="58E4B486" w14:textId="77777777" w:rsidR="00286863" w:rsidRPr="00E20352" w:rsidRDefault="00286863" w:rsidP="00DC5896">
      <w:pPr>
        <w:pStyle w:val="Zkladntext"/>
        <w:rPr>
          <w:szCs w:val="22"/>
        </w:rPr>
      </w:pPr>
    </w:p>
    <w:p w14:paraId="58EE6759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Naviac:</w:t>
      </w:r>
    </w:p>
    <w:p w14:paraId="4CFFA609" w14:textId="77777777" w:rsidR="00286863" w:rsidRPr="00E20352" w:rsidRDefault="00286863" w:rsidP="00DC5896">
      <w:pPr>
        <w:pStyle w:val="Zkladntext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 xml:space="preserve">Tiaprid je obzvlášť účinný na receptoroch senzibilizovaných dopamínom, </w:t>
      </w:r>
      <w:r w:rsidR="00A421A9" w:rsidRPr="00E20352">
        <w:rPr>
          <w:szCs w:val="22"/>
        </w:rPr>
        <w:t xml:space="preserve">čím sa </w:t>
      </w:r>
      <w:r w:rsidRPr="00E20352">
        <w:rPr>
          <w:szCs w:val="22"/>
        </w:rPr>
        <w:t>vysvetľuje jeho účinok na d</w:t>
      </w:r>
      <w:r w:rsidR="005D7B6D" w:rsidRPr="00E20352">
        <w:rPr>
          <w:szCs w:val="22"/>
        </w:rPr>
        <w:t>y</w:t>
      </w:r>
      <w:r w:rsidRPr="00E20352">
        <w:rPr>
          <w:szCs w:val="22"/>
        </w:rPr>
        <w:t>skinézy.</w:t>
      </w:r>
    </w:p>
    <w:p w14:paraId="069185E8" w14:textId="77777777" w:rsidR="00286863" w:rsidRPr="00E20352" w:rsidRDefault="00286863" w:rsidP="00DC5896">
      <w:pPr>
        <w:pStyle w:val="Zkladntext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>Anxiolytická aktivita na niekoľkých zvieracích modeloch vystavených stresu</w:t>
      </w:r>
      <w:r w:rsidR="00A421A9" w:rsidRPr="00E20352">
        <w:rPr>
          <w:szCs w:val="22"/>
        </w:rPr>
        <w:t>,</w:t>
      </w:r>
      <w:r w:rsidRPr="00E20352">
        <w:rPr>
          <w:szCs w:val="22"/>
        </w:rPr>
        <w:t xml:space="preserve"> vrátane abstinencie alkoholu</w:t>
      </w:r>
      <w:r w:rsidR="00A421A9" w:rsidRPr="00E20352">
        <w:rPr>
          <w:szCs w:val="22"/>
        </w:rPr>
        <w:t>,</w:t>
      </w:r>
      <w:r w:rsidRPr="00E20352">
        <w:rPr>
          <w:szCs w:val="22"/>
        </w:rPr>
        <w:t xml:space="preserve"> bola potvrdená u myší a primátov.</w:t>
      </w:r>
    </w:p>
    <w:p w14:paraId="17CAD892" w14:textId="77777777" w:rsidR="00286863" w:rsidRPr="00E20352" w:rsidRDefault="00286863" w:rsidP="00DC5896">
      <w:pPr>
        <w:pStyle w:val="Zkladntext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>Tiaprid nespôsobil fyzickú alebo psychickú závislosť.</w:t>
      </w:r>
    </w:p>
    <w:p w14:paraId="5BE310DC" w14:textId="77777777" w:rsidR="00286863" w:rsidRPr="00E20352" w:rsidRDefault="00286863" w:rsidP="00DC5896">
      <w:pPr>
        <w:pStyle w:val="Zkladntext"/>
        <w:rPr>
          <w:szCs w:val="22"/>
        </w:rPr>
      </w:pPr>
    </w:p>
    <w:p w14:paraId="310AAE20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Tento atypický farmakologický profil môže byť zodpovedný za jeho klinickú účinnosť pri mnohých poruchách so zvýšenou dopamínergnou funkciou ako dyskinéza a psychobehaviorálne poruchy pozorované u pacientov s demenciou alebo u alkoholikov spôsobuje menej neurologických nežiaducich účinkov ako typické neuroleptiká.</w:t>
      </w:r>
    </w:p>
    <w:p w14:paraId="01C6D22D" w14:textId="77777777" w:rsidR="00286863" w:rsidRPr="00E20352" w:rsidRDefault="00286863" w:rsidP="00DC5896">
      <w:pPr>
        <w:pStyle w:val="Zkladntext"/>
        <w:rPr>
          <w:szCs w:val="22"/>
        </w:rPr>
      </w:pPr>
    </w:p>
    <w:p w14:paraId="4379C5F0" w14:textId="77777777" w:rsidR="00286863" w:rsidRPr="00E20352" w:rsidRDefault="00286863" w:rsidP="00EF6005">
      <w:pPr>
        <w:pStyle w:val="Zkladntext"/>
        <w:ind w:left="567" w:hanging="567"/>
        <w:rPr>
          <w:b/>
          <w:szCs w:val="22"/>
        </w:rPr>
      </w:pPr>
      <w:r w:rsidRPr="00E20352">
        <w:rPr>
          <w:b/>
          <w:szCs w:val="22"/>
        </w:rPr>
        <w:t>5.2</w:t>
      </w:r>
      <w:r w:rsidR="000923FC">
        <w:rPr>
          <w:b/>
          <w:szCs w:val="22"/>
        </w:rPr>
        <w:tab/>
      </w:r>
      <w:r w:rsidR="005D7CE7" w:rsidRPr="00E20352">
        <w:rPr>
          <w:b/>
          <w:szCs w:val="22"/>
        </w:rPr>
        <w:t>Farmakokinetické vlastnosti</w:t>
      </w:r>
    </w:p>
    <w:p w14:paraId="31AB6DDE" w14:textId="77777777" w:rsidR="00286863" w:rsidRPr="00E20352" w:rsidRDefault="00286863" w:rsidP="00DC5896">
      <w:pPr>
        <w:pStyle w:val="Zkladntext"/>
        <w:rPr>
          <w:szCs w:val="22"/>
        </w:rPr>
      </w:pPr>
    </w:p>
    <w:p w14:paraId="18A2BAC9" w14:textId="77777777" w:rsidR="00286863" w:rsidRPr="00E20352" w:rsidRDefault="00A421A9" w:rsidP="00DC5896">
      <w:pPr>
        <w:pStyle w:val="Zkladntex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 xml:space="preserve">Absorpcia </w:t>
      </w:r>
      <w:r w:rsidR="00286863" w:rsidRPr="00E20352">
        <w:rPr>
          <w:szCs w:val="22"/>
        </w:rPr>
        <w:t>tiaprid</w:t>
      </w:r>
      <w:r w:rsidR="00FB349A" w:rsidRPr="00E20352">
        <w:rPr>
          <w:szCs w:val="22"/>
        </w:rPr>
        <w:t xml:space="preserve">u je rýchla. </w:t>
      </w:r>
      <w:r w:rsidR="00876D06" w:rsidRPr="00E20352">
        <w:rPr>
          <w:szCs w:val="22"/>
        </w:rPr>
        <w:t xml:space="preserve">Priemerná stredná hodnota </w:t>
      </w:r>
      <w:r w:rsidR="00FB349A" w:rsidRPr="00E20352">
        <w:rPr>
          <w:szCs w:val="22"/>
        </w:rPr>
        <w:t>t</w:t>
      </w:r>
      <w:r w:rsidR="00286863" w:rsidRPr="00E20352">
        <w:rPr>
          <w:szCs w:val="22"/>
          <w:vertAlign w:val="subscript"/>
        </w:rPr>
        <w:t>max</w:t>
      </w:r>
      <w:r w:rsidR="00286863" w:rsidRPr="00E20352">
        <w:rPr>
          <w:szCs w:val="22"/>
        </w:rPr>
        <w:t xml:space="preserve"> </w:t>
      </w:r>
      <w:r w:rsidR="00876D06" w:rsidRPr="00E20352">
        <w:rPr>
          <w:szCs w:val="22"/>
        </w:rPr>
        <w:t>je</w:t>
      </w:r>
      <w:r w:rsidR="00286863" w:rsidRPr="00E20352">
        <w:rPr>
          <w:szCs w:val="22"/>
        </w:rPr>
        <w:t xml:space="preserve"> 1 hod pre tablety. Čas oneskorenia je krátky</w:t>
      </w:r>
      <w:r w:rsidR="00875E22" w:rsidRPr="00E20352">
        <w:rPr>
          <w:szCs w:val="22"/>
        </w:rPr>
        <w:t>,</w:t>
      </w:r>
      <w:r w:rsidR="00286863" w:rsidRPr="00E20352">
        <w:rPr>
          <w:szCs w:val="22"/>
        </w:rPr>
        <w:t xml:space="preserve"> bez ohľad</w:t>
      </w:r>
      <w:r w:rsidR="00FB349A" w:rsidRPr="00E20352">
        <w:rPr>
          <w:szCs w:val="22"/>
        </w:rPr>
        <w:t xml:space="preserve">u na spôsob podania. Priemerná </w:t>
      </w:r>
      <w:r w:rsidR="00876D06" w:rsidRPr="00E20352">
        <w:rPr>
          <w:szCs w:val="22"/>
        </w:rPr>
        <w:t xml:space="preserve">hodnota </w:t>
      </w:r>
      <w:r w:rsidR="00FB349A" w:rsidRPr="00E20352">
        <w:rPr>
          <w:szCs w:val="22"/>
        </w:rPr>
        <w:t>t</w:t>
      </w:r>
      <w:r w:rsidR="00286863" w:rsidRPr="00E20352">
        <w:rPr>
          <w:szCs w:val="22"/>
          <w:vertAlign w:val="subscript"/>
        </w:rPr>
        <w:t>max</w:t>
      </w:r>
      <w:r w:rsidR="00286863" w:rsidRPr="00E20352">
        <w:rPr>
          <w:szCs w:val="22"/>
        </w:rPr>
        <w:t xml:space="preserve"> sa zvyšuje na 2-3,5 hod pri tabletách s predĺženým uvoľňovaním účinnej látky.</w:t>
      </w:r>
    </w:p>
    <w:p w14:paraId="35E48265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1A6B1A36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Po perorálnom užití jednor</w:t>
      </w:r>
      <w:r w:rsidR="00875E22" w:rsidRPr="00E20352">
        <w:rPr>
          <w:szCs w:val="22"/>
        </w:rPr>
        <w:t>a</w:t>
      </w:r>
      <w:r w:rsidRPr="00E20352">
        <w:rPr>
          <w:szCs w:val="22"/>
        </w:rPr>
        <w:t>zovej dávky 100 mg u zdravých dobrovoľníkov</w:t>
      </w:r>
      <w:r w:rsidR="00875E22" w:rsidRPr="00E20352">
        <w:rPr>
          <w:szCs w:val="22"/>
        </w:rPr>
        <w:t xml:space="preserve"> je</w:t>
      </w:r>
      <w:r w:rsidRPr="00E20352">
        <w:rPr>
          <w:szCs w:val="22"/>
        </w:rPr>
        <w:t xml:space="preserve"> priemerný objem maximálnej plazmatickej koncentrá</w:t>
      </w:r>
      <w:r w:rsidR="00EC2D25" w:rsidRPr="00E20352">
        <w:rPr>
          <w:szCs w:val="22"/>
        </w:rPr>
        <w:t>cie tiapridu (</w:t>
      </w:r>
      <w:r w:rsidR="00A421A9" w:rsidRPr="00E20352">
        <w:rPr>
          <w:szCs w:val="22"/>
        </w:rPr>
        <w:t>C</w:t>
      </w:r>
      <w:r w:rsidR="00EC2D25" w:rsidRPr="00E20352">
        <w:rPr>
          <w:szCs w:val="22"/>
        </w:rPr>
        <w:t xml:space="preserve">) 560 ng/ml. </w:t>
      </w:r>
      <w:r w:rsidR="00A421A9" w:rsidRPr="00E20352">
        <w:rPr>
          <w:szCs w:val="22"/>
        </w:rPr>
        <w:t>C</w:t>
      </w:r>
      <w:r w:rsidR="00A421A9" w:rsidRPr="00E20352">
        <w:rPr>
          <w:szCs w:val="22"/>
          <w:vertAlign w:val="subscript"/>
        </w:rPr>
        <w:t xml:space="preserve">max </w:t>
      </w:r>
      <w:r w:rsidRPr="00E20352">
        <w:rPr>
          <w:szCs w:val="22"/>
        </w:rPr>
        <w:t>je mierne zvýšen</w:t>
      </w:r>
      <w:r w:rsidR="00875E22" w:rsidRPr="00E20352">
        <w:rPr>
          <w:szCs w:val="22"/>
        </w:rPr>
        <w:t>á</w:t>
      </w:r>
      <w:r w:rsidR="00EC2D25" w:rsidRPr="00E20352">
        <w:rPr>
          <w:szCs w:val="22"/>
        </w:rPr>
        <w:t xml:space="preserve"> pri intramuskulárnom podaní.</w:t>
      </w:r>
      <w:r w:rsidR="00D84ACD" w:rsidRPr="00E20352">
        <w:rPr>
          <w:szCs w:val="22"/>
        </w:rPr>
        <w:t xml:space="preserve"> </w:t>
      </w:r>
      <w:r w:rsidR="00A421A9" w:rsidRPr="00E20352">
        <w:rPr>
          <w:szCs w:val="22"/>
        </w:rPr>
        <w:t>C</w:t>
      </w:r>
      <w:r w:rsidR="00A421A9" w:rsidRPr="00E20352">
        <w:rPr>
          <w:szCs w:val="22"/>
          <w:vertAlign w:val="subscript"/>
        </w:rPr>
        <w:t xml:space="preserve">max </w:t>
      </w:r>
      <w:r w:rsidRPr="00E20352">
        <w:rPr>
          <w:szCs w:val="22"/>
        </w:rPr>
        <w:t>je nižši</w:t>
      </w:r>
      <w:r w:rsidR="00875E22" w:rsidRPr="00E20352">
        <w:rPr>
          <w:szCs w:val="22"/>
        </w:rPr>
        <w:t>a</w:t>
      </w:r>
      <w:r w:rsidRPr="00E20352">
        <w:rPr>
          <w:szCs w:val="22"/>
        </w:rPr>
        <w:t xml:space="preserve"> pri tabletách s predĺženým uvoľňovaním účinnej látky v porovnaní s okamžitým uvoľňovaním.</w:t>
      </w:r>
    </w:p>
    <w:p w14:paraId="19D941F7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3EC46AFC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Absolútne biologické dostupnosti po perorálnom alebo intramuskulárnom podaní sú približne 75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 - 78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%.</w:t>
      </w:r>
    </w:p>
    <w:p w14:paraId="10491F9D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Perorálny roztok a tablety s</w:t>
      </w:r>
      <w:r w:rsidR="00FC58AA" w:rsidRPr="00E20352">
        <w:rPr>
          <w:szCs w:val="22"/>
        </w:rPr>
        <w:t> predĺženým uvoľňovaním sú bioekv</w:t>
      </w:r>
      <w:r w:rsidRPr="00E20352">
        <w:rPr>
          <w:szCs w:val="22"/>
        </w:rPr>
        <w:t xml:space="preserve">ivalentné s tabletami s okamžitým uvoľňovaním (pokiaľ ide o plochu pod krivkou </w:t>
      </w:r>
      <w:r w:rsidR="00876D06" w:rsidRPr="00E20352">
        <w:rPr>
          <w:szCs w:val="22"/>
        </w:rPr>
        <w:t>koncentrácie</w:t>
      </w:r>
      <w:r w:rsidRPr="00E20352">
        <w:rPr>
          <w:szCs w:val="22"/>
        </w:rPr>
        <w:t>).</w:t>
      </w:r>
    </w:p>
    <w:p w14:paraId="604E8A3F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401A8647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 xml:space="preserve">Plazmatické koncentrácie sa </w:t>
      </w:r>
      <w:r w:rsidR="000D2990" w:rsidRPr="00E20352">
        <w:rPr>
          <w:szCs w:val="22"/>
        </w:rPr>
        <w:t xml:space="preserve">u väčšiny pacientov </w:t>
      </w:r>
      <w:r w:rsidRPr="00E20352">
        <w:rPr>
          <w:szCs w:val="22"/>
        </w:rPr>
        <w:t>zvyšujú proporcionálne s dávkou.</w:t>
      </w:r>
    </w:p>
    <w:p w14:paraId="549E2124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516A49A1" w14:textId="77777777" w:rsidR="00286863" w:rsidRPr="00E20352" w:rsidRDefault="00EC2D25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 xml:space="preserve">Príjem potravy zvyšuje </w:t>
      </w:r>
      <w:r w:rsidR="00A421A9" w:rsidRPr="00E20352">
        <w:rPr>
          <w:szCs w:val="22"/>
        </w:rPr>
        <w:t>C</w:t>
      </w:r>
      <w:r w:rsidR="00A421A9" w:rsidRPr="00E20352">
        <w:rPr>
          <w:szCs w:val="22"/>
          <w:vertAlign w:val="subscript"/>
        </w:rPr>
        <w:t>max</w:t>
      </w:r>
      <w:r w:rsidR="00A421A9" w:rsidRPr="00E20352">
        <w:rPr>
          <w:szCs w:val="22"/>
        </w:rPr>
        <w:t xml:space="preserve"> </w:t>
      </w:r>
      <w:r w:rsidR="00286863" w:rsidRPr="00E20352">
        <w:rPr>
          <w:szCs w:val="22"/>
        </w:rPr>
        <w:t>o 20</w:t>
      </w:r>
      <w:r w:rsidR="00D65231" w:rsidRPr="00E20352">
        <w:rPr>
          <w:szCs w:val="22"/>
        </w:rPr>
        <w:t> </w:t>
      </w:r>
      <w:r w:rsidR="00286863" w:rsidRPr="00E20352">
        <w:rPr>
          <w:szCs w:val="22"/>
        </w:rPr>
        <w:t>% resp. 34</w:t>
      </w:r>
      <w:r w:rsidR="00D65231" w:rsidRPr="00E20352">
        <w:rPr>
          <w:szCs w:val="22"/>
        </w:rPr>
        <w:t> </w:t>
      </w:r>
      <w:r w:rsidR="00286863" w:rsidRPr="00E20352">
        <w:rPr>
          <w:szCs w:val="22"/>
        </w:rPr>
        <w:t>% pri tabletách s okamžitým resp. predĺženým uvoľňovaním.</w:t>
      </w:r>
    </w:p>
    <w:p w14:paraId="75978060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5024C960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Tiaprid sa prakticky neviaže na plazmatické proteíny. P</w:t>
      </w:r>
      <w:r w:rsidR="00FC58AA" w:rsidRPr="00E20352">
        <w:rPr>
          <w:szCs w:val="22"/>
        </w:rPr>
        <w:t>riemerný distribučný objem je 1,</w:t>
      </w:r>
      <w:r w:rsidRPr="00E20352">
        <w:rPr>
          <w:szCs w:val="22"/>
        </w:rPr>
        <w:t xml:space="preserve">43 </w:t>
      </w:r>
      <w:r w:rsidR="00147498" w:rsidRPr="00E20352">
        <w:rPr>
          <w:szCs w:val="22"/>
        </w:rPr>
        <w:t>l</w:t>
      </w:r>
      <w:r w:rsidRPr="00E20352">
        <w:rPr>
          <w:szCs w:val="22"/>
        </w:rPr>
        <w:t>/kg, zhodný s akumuláciou v tkanivách.</w:t>
      </w:r>
    </w:p>
    <w:p w14:paraId="2E4E544C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0E04BB15" w14:textId="77777777" w:rsidR="00286863" w:rsidRPr="00E20352" w:rsidRDefault="00286863" w:rsidP="00DC5896">
      <w:pPr>
        <w:pStyle w:val="Zkladntext"/>
        <w:numPr>
          <w:ilvl w:val="0"/>
          <w:numId w:val="19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 xml:space="preserve">Tiaprid sa eliminuje hlavne močom, prakticky v nezmenenej forme. Po perorálnom podaní sa za 24 hodín vylúči </w:t>
      </w:r>
      <w:r w:rsidR="00A421A9" w:rsidRPr="00E20352">
        <w:rPr>
          <w:szCs w:val="22"/>
        </w:rPr>
        <w:t xml:space="preserve">močom </w:t>
      </w:r>
      <w:r w:rsidRPr="00E20352">
        <w:rPr>
          <w:szCs w:val="22"/>
        </w:rPr>
        <w:t>okolo 75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 podanej dávky tiapridu, čo svedčí o tom, že biotransformácia tiapr</w:t>
      </w:r>
      <w:r w:rsidR="00FC58AA" w:rsidRPr="00E20352">
        <w:rPr>
          <w:szCs w:val="22"/>
        </w:rPr>
        <w:t>idu je mierna. Renálny klírens</w:t>
      </w:r>
      <w:r w:rsidRPr="00E20352">
        <w:rPr>
          <w:szCs w:val="22"/>
        </w:rPr>
        <w:t xml:space="preserve"> (priemerný </w:t>
      </w:r>
      <w:r w:rsidR="0021220B" w:rsidRPr="00E20352">
        <w:rPr>
          <w:szCs w:val="22"/>
        </w:rPr>
        <w:t>18 l</w:t>
      </w:r>
      <w:r w:rsidRPr="00E20352">
        <w:rPr>
          <w:szCs w:val="22"/>
        </w:rPr>
        <w:t>/h</w:t>
      </w:r>
      <w:r w:rsidR="00CB1F45" w:rsidRPr="00E20352">
        <w:rPr>
          <w:szCs w:val="22"/>
        </w:rPr>
        <w:t>)</w:t>
      </w:r>
      <w:r w:rsidRPr="00E20352">
        <w:rPr>
          <w:szCs w:val="22"/>
        </w:rPr>
        <w:t xml:space="preserve"> dokázal, že vylučovanie obličkami sa deje glomerulárnou filtráciou a tubulárnou sekréciou.</w:t>
      </w:r>
    </w:p>
    <w:p w14:paraId="6689D571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50CE2E76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U ľudí sa metabolizuje do 15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 tiapridu na prevažne farmakologicky neaktívne metabolity. Nepozorovali sa žiadne konjugáty.</w:t>
      </w:r>
    </w:p>
    <w:p w14:paraId="10D9399D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78840037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Priemerný eliminačný polčas u ľudí je okolo 3-5 hodín, keďže metabolity sú prevažne farmakologicky neaktívne. Nepozorovali sa žiadne konjugáty.</w:t>
      </w:r>
    </w:p>
    <w:p w14:paraId="7B09496B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2E528F6C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 xml:space="preserve">Priemerný eliminačný polčas je okolo 3-5 hodín u zdravých mladých dobrovoľníkov po i.m. podaní, perorálnom podaní roztoku </w:t>
      </w:r>
      <w:r w:rsidR="004837F2" w:rsidRPr="00E20352">
        <w:rPr>
          <w:szCs w:val="22"/>
        </w:rPr>
        <w:t>a </w:t>
      </w:r>
      <w:r w:rsidRPr="00E20352">
        <w:rPr>
          <w:szCs w:val="22"/>
        </w:rPr>
        <w:t xml:space="preserve">tabliet s okamžitým </w:t>
      </w:r>
      <w:r w:rsidR="00686C3A" w:rsidRPr="00E20352">
        <w:rPr>
          <w:szCs w:val="22"/>
        </w:rPr>
        <w:t xml:space="preserve">uvoľňovaním </w:t>
      </w:r>
      <w:r w:rsidRPr="00E20352">
        <w:rPr>
          <w:szCs w:val="22"/>
        </w:rPr>
        <w:t>a zvyšuje sa na 6-8 hodín po podaní tabliet s predĺženým uvoľňovaním.</w:t>
      </w:r>
    </w:p>
    <w:p w14:paraId="3054FE53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Zvýšenie plazmatickej koncentrácie a eliminačného polčasu na 21</w:t>
      </w:r>
      <w:r w:rsidR="00147498" w:rsidRPr="00E20352">
        <w:rPr>
          <w:szCs w:val="22"/>
        </w:rPr>
        <w:t>,</w:t>
      </w:r>
      <w:r w:rsidRPr="00E20352">
        <w:rPr>
          <w:szCs w:val="22"/>
        </w:rPr>
        <w:t xml:space="preserve">6 hod sa zaznamenalo u pacientov </w:t>
      </w:r>
      <w:r w:rsidR="00A421A9" w:rsidRPr="00E20352">
        <w:rPr>
          <w:szCs w:val="22"/>
        </w:rPr>
        <w:t>so závažnou</w:t>
      </w:r>
      <w:r w:rsidRPr="00E20352">
        <w:rPr>
          <w:szCs w:val="22"/>
        </w:rPr>
        <w:t xml:space="preserve"> obličkovou insuficienciou. Preto v prípade obličkovej insuficiencie </w:t>
      </w:r>
      <w:r w:rsidR="009B44C6" w:rsidRPr="00E20352">
        <w:rPr>
          <w:szCs w:val="22"/>
        </w:rPr>
        <w:t>sa má znížiť</w:t>
      </w:r>
      <w:r w:rsidRPr="00E20352">
        <w:rPr>
          <w:szCs w:val="22"/>
        </w:rPr>
        <w:t xml:space="preserve"> dávka (pozri 4.2 Dávkovanie a spôsob podávania).</w:t>
      </w:r>
    </w:p>
    <w:p w14:paraId="47AD72B2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6415E783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Tiaprid je slabo dialyzovateľný (11 ± 7 mg) počas 4 hodinovej dialýzy po intramuskulárnom podaní 100 mg.</w:t>
      </w:r>
    </w:p>
    <w:p w14:paraId="375F660E" w14:textId="77777777" w:rsidR="00286863" w:rsidRPr="00E20352" w:rsidRDefault="00286863" w:rsidP="00DC5896">
      <w:pPr>
        <w:pStyle w:val="Zkladntext"/>
        <w:rPr>
          <w:szCs w:val="22"/>
        </w:rPr>
      </w:pPr>
    </w:p>
    <w:p w14:paraId="61DAFC47" w14:textId="77777777" w:rsidR="00286863" w:rsidRPr="00E20352" w:rsidRDefault="00286863" w:rsidP="00DC5896">
      <w:pPr>
        <w:pStyle w:val="Zkladntext"/>
        <w:rPr>
          <w:szCs w:val="22"/>
        </w:rPr>
      </w:pPr>
    </w:p>
    <w:p w14:paraId="290D1DCA" w14:textId="77777777" w:rsidR="00286863" w:rsidRPr="00E20352" w:rsidRDefault="00286863" w:rsidP="00EF6005">
      <w:pPr>
        <w:pStyle w:val="Zkladntext"/>
        <w:numPr>
          <w:ilvl w:val="1"/>
          <w:numId w:val="35"/>
        </w:numPr>
        <w:tabs>
          <w:tab w:val="clear" w:pos="360"/>
          <w:tab w:val="num" w:pos="567"/>
        </w:tabs>
        <w:ind w:left="567" w:hanging="567"/>
        <w:rPr>
          <w:b/>
          <w:szCs w:val="22"/>
          <w:u w:val="single"/>
        </w:rPr>
      </w:pPr>
      <w:r w:rsidRPr="00E20352">
        <w:rPr>
          <w:b/>
          <w:szCs w:val="22"/>
        </w:rPr>
        <w:t>Predklinické údaje o bezpečnosti</w:t>
      </w:r>
    </w:p>
    <w:p w14:paraId="773C9ABB" w14:textId="77777777" w:rsidR="00D452CE" w:rsidRPr="00E20352" w:rsidRDefault="00D452CE" w:rsidP="00DC5896">
      <w:pPr>
        <w:pStyle w:val="Zkladntext"/>
        <w:rPr>
          <w:szCs w:val="22"/>
        </w:rPr>
      </w:pPr>
    </w:p>
    <w:p w14:paraId="6B08FBA8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Tiaprid nemá žiadne bežné orgánovo-špecifické, teratogénne alebo mutagénne riziko. Účinky pozorované na zvieratách priamo súvisia s farmakologickou aktivitou a najmä s hyperprolaktinémiou. Čo sa týka karcinogenity, prolaktín produkujúci tumor pozorovaný u hlodavcov je druhovo špecifický a nepoukazuje na žiadne zvláštne riziko pre humánne terapeutické použitie. </w:t>
      </w:r>
    </w:p>
    <w:p w14:paraId="52AB4275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F216809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FA0D978" w14:textId="77777777" w:rsidR="00286863" w:rsidRPr="00E20352" w:rsidRDefault="00286863" w:rsidP="00EF6005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FARMACEUTICKÉ INFORMÁCIE</w:t>
      </w:r>
    </w:p>
    <w:p w14:paraId="28C38CEA" w14:textId="77777777" w:rsidR="00286863" w:rsidRPr="00E20352" w:rsidRDefault="00286863" w:rsidP="006C1028">
      <w:pPr>
        <w:tabs>
          <w:tab w:val="num" w:pos="567"/>
        </w:tabs>
        <w:ind w:left="567" w:hanging="567"/>
        <w:rPr>
          <w:b/>
          <w:sz w:val="22"/>
          <w:szCs w:val="22"/>
          <w:lang w:val="sk-SK"/>
        </w:rPr>
      </w:pPr>
    </w:p>
    <w:p w14:paraId="7101A8F3" w14:textId="77777777" w:rsidR="00286863" w:rsidRPr="00E20352" w:rsidRDefault="00286863" w:rsidP="006C1028">
      <w:pPr>
        <w:tabs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6.1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Zoznam pomocných látok</w:t>
      </w:r>
    </w:p>
    <w:p w14:paraId="67BB581A" w14:textId="77777777" w:rsidR="00D452CE" w:rsidRPr="00E20352" w:rsidRDefault="00D452CE" w:rsidP="00DC5896">
      <w:pPr>
        <w:pStyle w:val="Zkladntext3"/>
        <w:jc w:val="left"/>
        <w:rPr>
          <w:b/>
          <w:sz w:val="22"/>
          <w:szCs w:val="22"/>
        </w:rPr>
      </w:pPr>
    </w:p>
    <w:p w14:paraId="192FD7F5" w14:textId="77777777" w:rsidR="00286863" w:rsidRPr="00E20352" w:rsidRDefault="00286863" w:rsidP="00DC5896">
      <w:pPr>
        <w:pStyle w:val="Zkladntext3"/>
        <w:jc w:val="left"/>
        <w:rPr>
          <w:sz w:val="22"/>
          <w:szCs w:val="22"/>
        </w:rPr>
      </w:pPr>
      <w:r w:rsidRPr="00E20352">
        <w:rPr>
          <w:b/>
          <w:sz w:val="22"/>
          <w:szCs w:val="22"/>
        </w:rPr>
        <w:t>Tablety</w:t>
      </w:r>
    </w:p>
    <w:p w14:paraId="5B7C84CE" w14:textId="77777777" w:rsidR="006C1028" w:rsidRDefault="00F7737F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821CEF" w:rsidRPr="00E20352">
        <w:rPr>
          <w:sz w:val="22"/>
          <w:szCs w:val="22"/>
          <w:lang w:val="sk-SK"/>
        </w:rPr>
        <w:t>anitol</w:t>
      </w:r>
    </w:p>
    <w:p w14:paraId="52FFB285" w14:textId="77777777" w:rsidR="006C1028" w:rsidRDefault="00821CEF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mikrokryštalická celulóza</w:t>
      </w:r>
    </w:p>
    <w:p w14:paraId="3670706F" w14:textId="77777777" w:rsidR="006C1028" w:rsidRDefault="00821CEF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povidón</w:t>
      </w:r>
    </w:p>
    <w:p w14:paraId="12961D2E" w14:textId="77777777" w:rsidR="00F7737F" w:rsidRDefault="00821CEF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oxid kremičitý koloidný hydratovaný</w:t>
      </w:r>
    </w:p>
    <w:p w14:paraId="23EA32CC" w14:textId="77777777" w:rsidR="00821CEF" w:rsidRPr="00E20352" w:rsidRDefault="00821CEF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magnéziumstearát</w:t>
      </w:r>
    </w:p>
    <w:p w14:paraId="6AAB81B7" w14:textId="77777777" w:rsidR="00286863" w:rsidRPr="00E20352" w:rsidRDefault="00286863" w:rsidP="00DC5896">
      <w:pPr>
        <w:pStyle w:val="Zkladntext3"/>
        <w:jc w:val="left"/>
        <w:rPr>
          <w:sz w:val="22"/>
          <w:szCs w:val="22"/>
        </w:rPr>
      </w:pPr>
    </w:p>
    <w:p w14:paraId="509C3FDE" w14:textId="77777777" w:rsidR="00286863" w:rsidRPr="00E20352" w:rsidRDefault="00286863" w:rsidP="00DC5896">
      <w:pPr>
        <w:pStyle w:val="Zkladntext3"/>
        <w:jc w:val="left"/>
        <w:rPr>
          <w:sz w:val="22"/>
          <w:szCs w:val="22"/>
        </w:rPr>
      </w:pPr>
      <w:r w:rsidRPr="00E20352">
        <w:rPr>
          <w:b/>
          <w:sz w:val="22"/>
          <w:szCs w:val="22"/>
        </w:rPr>
        <w:t>Injekčný roztok</w:t>
      </w:r>
    </w:p>
    <w:p w14:paraId="154B0131" w14:textId="77777777" w:rsidR="00F7737F" w:rsidRDefault="00F7737F" w:rsidP="00DC5896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 w:rsidR="00821CEF" w:rsidRPr="00E20352">
        <w:rPr>
          <w:sz w:val="22"/>
          <w:szCs w:val="22"/>
        </w:rPr>
        <w:t>hlorid sodný</w:t>
      </w:r>
    </w:p>
    <w:p w14:paraId="79796A99" w14:textId="77777777" w:rsidR="00821CEF" w:rsidRPr="00E20352" w:rsidRDefault="00821CEF" w:rsidP="00DC5896">
      <w:pPr>
        <w:pStyle w:val="Zkladntext3"/>
        <w:jc w:val="left"/>
        <w:rPr>
          <w:sz w:val="22"/>
          <w:szCs w:val="22"/>
        </w:rPr>
      </w:pPr>
      <w:r w:rsidRPr="00E20352">
        <w:rPr>
          <w:sz w:val="22"/>
          <w:szCs w:val="22"/>
        </w:rPr>
        <w:t>voda na injekciu</w:t>
      </w:r>
    </w:p>
    <w:p w14:paraId="41FB5975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2A3AA4E" w14:textId="77777777" w:rsidR="00286863" w:rsidRPr="00E20352" w:rsidRDefault="00286863" w:rsidP="00EF6005">
      <w:pPr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6.2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Inkompatibility</w:t>
      </w:r>
    </w:p>
    <w:p w14:paraId="3BC95325" w14:textId="77777777" w:rsidR="00D452CE" w:rsidRPr="00E20352" w:rsidRDefault="00D452CE" w:rsidP="00DC5896">
      <w:pPr>
        <w:pStyle w:val="Zkladntext3"/>
        <w:jc w:val="left"/>
        <w:rPr>
          <w:sz w:val="22"/>
          <w:szCs w:val="22"/>
        </w:rPr>
      </w:pPr>
    </w:p>
    <w:p w14:paraId="35877FFE" w14:textId="77777777" w:rsidR="00286863" w:rsidRPr="00E20352" w:rsidRDefault="00F7737F" w:rsidP="00DC5896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14:paraId="2A460D0A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5C6F0356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6.3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Čas použiteľnosti</w:t>
      </w:r>
    </w:p>
    <w:p w14:paraId="29DFD7C1" w14:textId="77777777" w:rsidR="00D452CE" w:rsidRPr="00E20352" w:rsidRDefault="00D452CE" w:rsidP="00DC5896">
      <w:pPr>
        <w:pStyle w:val="Nadpis3"/>
        <w:jc w:val="left"/>
        <w:rPr>
          <w:b/>
          <w:sz w:val="22"/>
          <w:szCs w:val="22"/>
          <w:lang w:val="sk-SK"/>
        </w:rPr>
      </w:pPr>
    </w:p>
    <w:p w14:paraId="0B64D4F8" w14:textId="77777777" w:rsidR="00286863" w:rsidRPr="00E20352" w:rsidRDefault="00286863" w:rsidP="00DC5896">
      <w:pPr>
        <w:pStyle w:val="Nadpis3"/>
        <w:jc w:val="left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</w:t>
      </w:r>
      <w:r w:rsidR="00D452CE" w:rsidRPr="00E20352">
        <w:rPr>
          <w:b/>
          <w:sz w:val="22"/>
          <w:szCs w:val="22"/>
          <w:lang w:val="sk-SK"/>
        </w:rPr>
        <w:t>:</w:t>
      </w:r>
      <w:r w:rsidRPr="00E20352">
        <w:rPr>
          <w:sz w:val="22"/>
          <w:szCs w:val="22"/>
          <w:lang w:val="sk-SK"/>
        </w:rPr>
        <w:t xml:space="preserve"> </w:t>
      </w:r>
      <w:r w:rsidR="00302544">
        <w:rPr>
          <w:sz w:val="22"/>
          <w:szCs w:val="22"/>
          <w:lang w:val="sk-SK"/>
        </w:rPr>
        <w:t>3 roky</w:t>
      </w:r>
    </w:p>
    <w:p w14:paraId="364AD701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702721F1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</w:t>
      </w:r>
      <w:r w:rsidR="00D452CE" w:rsidRPr="00E20352">
        <w:rPr>
          <w:b/>
          <w:sz w:val="22"/>
          <w:szCs w:val="22"/>
          <w:lang w:val="sk-SK"/>
        </w:rPr>
        <w:t>:</w:t>
      </w:r>
      <w:r w:rsidRPr="00E20352">
        <w:rPr>
          <w:sz w:val="22"/>
          <w:szCs w:val="22"/>
          <w:lang w:val="sk-SK"/>
        </w:rPr>
        <w:t xml:space="preserve"> 3 roky</w:t>
      </w:r>
    </w:p>
    <w:p w14:paraId="284E1FED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582B86DC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u w:val="single"/>
          <w:lang w:val="sk-SK"/>
        </w:rPr>
      </w:pPr>
      <w:r w:rsidRPr="00E20352">
        <w:rPr>
          <w:b/>
          <w:sz w:val="22"/>
          <w:szCs w:val="22"/>
          <w:lang w:val="sk-SK"/>
        </w:rPr>
        <w:t>6.4</w:t>
      </w:r>
      <w:r w:rsidR="000923FC">
        <w:rPr>
          <w:b/>
          <w:sz w:val="22"/>
          <w:szCs w:val="22"/>
          <w:lang w:val="sk-SK"/>
        </w:rPr>
        <w:tab/>
      </w:r>
      <w:r w:rsidR="008357D0" w:rsidRPr="00E20352">
        <w:rPr>
          <w:b/>
          <w:sz w:val="22"/>
          <w:szCs w:val="22"/>
          <w:lang w:val="sk-SK"/>
        </w:rPr>
        <w:t>Špeciálne upozornenia na uchovávanie</w:t>
      </w:r>
    </w:p>
    <w:p w14:paraId="18E195DE" w14:textId="77777777" w:rsidR="008357D0" w:rsidRPr="00E20352" w:rsidRDefault="008357D0" w:rsidP="00F65CC3">
      <w:pPr>
        <w:keepNext/>
        <w:rPr>
          <w:b/>
          <w:sz w:val="22"/>
          <w:szCs w:val="22"/>
          <w:lang w:val="sk-SK"/>
        </w:rPr>
      </w:pPr>
    </w:p>
    <w:p w14:paraId="213F275D" w14:textId="3E5FE4A3" w:rsidR="00286863" w:rsidRPr="00E20352" w:rsidRDefault="00286863" w:rsidP="00DC5896">
      <w:pPr>
        <w:rPr>
          <w:sz w:val="22"/>
          <w:szCs w:val="22"/>
          <w:lang w:val="sk-SK"/>
        </w:rPr>
      </w:pPr>
      <w:r w:rsidRPr="006A098F">
        <w:rPr>
          <w:b/>
          <w:sz w:val="22"/>
          <w:szCs w:val="22"/>
          <w:lang w:val="sk-SK"/>
        </w:rPr>
        <w:t>Tablety:</w:t>
      </w:r>
      <w:r w:rsidRPr="006A098F">
        <w:rPr>
          <w:sz w:val="22"/>
          <w:szCs w:val="22"/>
          <w:lang w:val="sk-SK"/>
        </w:rPr>
        <w:t xml:space="preserve"> </w:t>
      </w:r>
      <w:r w:rsidR="00945A10" w:rsidRPr="00D22313">
        <w:rPr>
          <w:sz w:val="22"/>
          <w:szCs w:val="22"/>
          <w:lang w:val="sk-SK"/>
        </w:rPr>
        <w:t>Uchovávajte pri teplote do 30 °C.</w:t>
      </w:r>
    </w:p>
    <w:p w14:paraId="0ED5D9BA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3D0E7E3A" w14:textId="77777777" w:rsidR="00286863" w:rsidRPr="00F65CC3" w:rsidRDefault="00286863" w:rsidP="00DC5896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roztok:</w:t>
      </w:r>
      <w:r w:rsidRPr="00E20352">
        <w:rPr>
          <w:sz w:val="22"/>
          <w:szCs w:val="22"/>
          <w:lang w:val="sk-SK"/>
        </w:rPr>
        <w:t xml:space="preserve"> </w:t>
      </w:r>
      <w:r w:rsidR="00DD5FBF">
        <w:rPr>
          <w:noProof/>
          <w:sz w:val="22"/>
        </w:rPr>
        <w:t>Tento liek nevyžaduje žiadne zvláštne podmienky na uchovávanie</w:t>
      </w:r>
      <w:r w:rsidR="00DD5FBF" w:rsidRPr="004771D2">
        <w:rPr>
          <w:sz w:val="22"/>
          <w:szCs w:val="22"/>
          <w:lang w:val="sk-SK"/>
        </w:rPr>
        <w:t>.</w:t>
      </w:r>
    </w:p>
    <w:p w14:paraId="700D3FC0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475389EF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6.5</w:t>
      </w:r>
      <w:r w:rsidR="000923FC">
        <w:rPr>
          <w:b/>
          <w:sz w:val="22"/>
          <w:szCs w:val="22"/>
          <w:lang w:val="sk-SK"/>
        </w:rPr>
        <w:tab/>
      </w:r>
      <w:r w:rsidR="008357D0" w:rsidRPr="00E20352">
        <w:rPr>
          <w:b/>
          <w:sz w:val="22"/>
          <w:szCs w:val="22"/>
          <w:lang w:val="sk-SK"/>
        </w:rPr>
        <w:t>Druh obalu a obsah balenia</w:t>
      </w:r>
    </w:p>
    <w:p w14:paraId="6ADF5FED" w14:textId="77777777" w:rsidR="008357D0" w:rsidRPr="00E20352" w:rsidRDefault="008357D0" w:rsidP="00F65CC3">
      <w:pPr>
        <w:keepNext/>
        <w:rPr>
          <w:b/>
          <w:sz w:val="22"/>
          <w:szCs w:val="22"/>
          <w:lang w:val="sk-SK"/>
        </w:rPr>
      </w:pPr>
    </w:p>
    <w:p w14:paraId="166FF997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</w:t>
      </w:r>
      <w:r w:rsidR="00686C3A" w:rsidRPr="00E20352">
        <w:rPr>
          <w:b/>
          <w:sz w:val="22"/>
          <w:szCs w:val="22"/>
          <w:lang w:val="sk-SK"/>
        </w:rPr>
        <w:t>:</w:t>
      </w:r>
      <w:r w:rsidR="00686C3A" w:rsidRPr="00E20352">
        <w:rPr>
          <w:sz w:val="22"/>
          <w:szCs w:val="22"/>
          <w:lang w:val="sk-SK"/>
        </w:rPr>
        <w:t xml:space="preserve"> PVC/Al</w:t>
      </w:r>
      <w:r w:rsidR="00F86770">
        <w:rPr>
          <w:sz w:val="22"/>
          <w:szCs w:val="22"/>
          <w:lang w:val="sk-SK"/>
        </w:rPr>
        <w:t>u</w:t>
      </w:r>
      <w:r w:rsidRPr="00E20352">
        <w:rPr>
          <w:sz w:val="22"/>
          <w:szCs w:val="22"/>
          <w:lang w:val="sk-SK"/>
        </w:rPr>
        <w:t xml:space="preserve"> blister</w:t>
      </w:r>
      <w:r w:rsidR="00EB48F5">
        <w:rPr>
          <w:sz w:val="22"/>
          <w:szCs w:val="22"/>
          <w:lang w:val="sk-SK"/>
        </w:rPr>
        <w:t>.</w:t>
      </w:r>
    </w:p>
    <w:p w14:paraId="60C6DE4F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F6005">
        <w:rPr>
          <w:sz w:val="22"/>
          <w:szCs w:val="22"/>
          <w:lang w:val="sk-SK"/>
        </w:rPr>
        <w:t>Veľkosť</w:t>
      </w:r>
      <w:r w:rsidR="00F7737F">
        <w:rPr>
          <w:sz w:val="22"/>
          <w:szCs w:val="22"/>
          <w:lang w:val="sk-SK"/>
        </w:rPr>
        <w:t xml:space="preserve"> balenia</w:t>
      </w:r>
      <w:r w:rsidRPr="00EF6005">
        <w:rPr>
          <w:sz w:val="22"/>
          <w:szCs w:val="22"/>
          <w:lang w:val="sk-SK"/>
        </w:rPr>
        <w:t>:</w:t>
      </w:r>
      <w:r w:rsidRPr="00E20352">
        <w:rPr>
          <w:sz w:val="22"/>
          <w:szCs w:val="22"/>
          <w:lang w:val="sk-SK"/>
        </w:rPr>
        <w:t xml:space="preserve"> 20, 50 </w:t>
      </w:r>
      <w:r w:rsidR="00F7737F">
        <w:rPr>
          <w:sz w:val="22"/>
          <w:szCs w:val="22"/>
          <w:lang w:val="sk-SK"/>
        </w:rPr>
        <w:t>tabliet</w:t>
      </w:r>
    </w:p>
    <w:p w14:paraId="484B6F57" w14:textId="77777777" w:rsidR="00F7737F" w:rsidRPr="0067258B" w:rsidRDefault="00F7737F" w:rsidP="00F7737F">
      <w:pPr>
        <w:rPr>
          <w:b/>
          <w:sz w:val="22"/>
          <w:szCs w:val="22"/>
          <w:lang w:val="sk-SK"/>
        </w:rPr>
      </w:pPr>
      <w:r w:rsidRPr="0067258B">
        <w:rPr>
          <w:sz w:val="22"/>
          <w:szCs w:val="22"/>
        </w:rPr>
        <w:t>Na trh nemusia byť uvedené</w:t>
      </w:r>
      <w:r w:rsidRPr="0067258B">
        <w:rPr>
          <w:noProof/>
          <w:sz w:val="22"/>
          <w:szCs w:val="22"/>
        </w:rPr>
        <w:t xml:space="preserve"> </w:t>
      </w:r>
      <w:r w:rsidRPr="0067258B">
        <w:rPr>
          <w:sz w:val="22"/>
          <w:szCs w:val="22"/>
        </w:rPr>
        <w:t>všetky veľkosti balenia.</w:t>
      </w:r>
    </w:p>
    <w:p w14:paraId="10FB3300" w14:textId="77777777" w:rsidR="00286863" w:rsidRPr="00E20352" w:rsidRDefault="00286863" w:rsidP="00DC5896">
      <w:pPr>
        <w:rPr>
          <w:b/>
          <w:sz w:val="22"/>
          <w:szCs w:val="22"/>
          <w:lang w:val="sk-SK"/>
        </w:rPr>
      </w:pPr>
    </w:p>
    <w:p w14:paraId="0FE04B0A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roztok:</w:t>
      </w:r>
      <w:r w:rsidRPr="00E20352">
        <w:rPr>
          <w:sz w:val="22"/>
          <w:szCs w:val="22"/>
          <w:lang w:val="sk-SK"/>
        </w:rPr>
        <w:t xml:space="preserve"> odlamovacie ampulky z bezfarebného skla, tvarovaná vložka z plastickej hmoty</w:t>
      </w:r>
      <w:r w:rsidR="00F86770">
        <w:rPr>
          <w:sz w:val="22"/>
          <w:szCs w:val="22"/>
          <w:lang w:val="sk-SK"/>
        </w:rPr>
        <w:t>.</w:t>
      </w:r>
    </w:p>
    <w:p w14:paraId="2AAB6F6A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F6005">
        <w:rPr>
          <w:sz w:val="22"/>
          <w:szCs w:val="22"/>
          <w:lang w:val="sk-SK"/>
        </w:rPr>
        <w:t>Veľkosť</w:t>
      </w:r>
      <w:r w:rsidR="009F5F43">
        <w:rPr>
          <w:sz w:val="22"/>
          <w:szCs w:val="22"/>
          <w:lang w:val="sk-SK"/>
        </w:rPr>
        <w:t xml:space="preserve"> balenia</w:t>
      </w:r>
      <w:r w:rsidRPr="00EF6005">
        <w:rPr>
          <w:sz w:val="22"/>
          <w:szCs w:val="22"/>
          <w:lang w:val="sk-SK"/>
        </w:rPr>
        <w:t>:</w:t>
      </w:r>
      <w:r w:rsidRPr="00E20352">
        <w:rPr>
          <w:sz w:val="22"/>
          <w:szCs w:val="22"/>
          <w:lang w:val="sk-SK"/>
        </w:rPr>
        <w:t xml:space="preserve"> 12 </w:t>
      </w:r>
      <w:r w:rsidR="009F5F43">
        <w:rPr>
          <w:sz w:val="22"/>
          <w:szCs w:val="22"/>
          <w:lang w:val="sk-SK"/>
        </w:rPr>
        <w:t xml:space="preserve">ampuliek po </w:t>
      </w:r>
      <w:r w:rsidRPr="00E20352">
        <w:rPr>
          <w:sz w:val="22"/>
          <w:szCs w:val="22"/>
          <w:lang w:val="sk-SK"/>
        </w:rPr>
        <w:t>2</w:t>
      </w:r>
      <w:r w:rsidR="00A421A9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ml</w:t>
      </w:r>
      <w:r w:rsidR="009F5F43">
        <w:rPr>
          <w:sz w:val="22"/>
          <w:szCs w:val="22"/>
          <w:lang w:val="sk-SK"/>
        </w:rPr>
        <w:t xml:space="preserve"> injekčného roztoku</w:t>
      </w:r>
    </w:p>
    <w:p w14:paraId="0DDDF281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16ACECCC" w14:textId="77777777" w:rsidR="009F5F43" w:rsidRPr="009F5F43" w:rsidRDefault="009F5F43" w:rsidP="009F5F43">
      <w:pPr>
        <w:rPr>
          <w:sz w:val="22"/>
          <w:szCs w:val="22"/>
          <w:lang w:val="sk-SK"/>
        </w:rPr>
      </w:pPr>
    </w:p>
    <w:p w14:paraId="03050EDA" w14:textId="77777777" w:rsidR="009F5F43" w:rsidRPr="009F5F43" w:rsidRDefault="009F5F43" w:rsidP="009F5F43">
      <w:pPr>
        <w:ind w:left="567" w:hanging="567"/>
        <w:rPr>
          <w:b/>
          <w:bCs/>
          <w:noProof/>
          <w:sz w:val="22"/>
          <w:szCs w:val="22"/>
        </w:rPr>
      </w:pPr>
      <w:r w:rsidRPr="009F5F43">
        <w:rPr>
          <w:b/>
          <w:sz w:val="22"/>
          <w:szCs w:val="22"/>
        </w:rPr>
        <w:t>6.6</w:t>
      </w:r>
      <w:r w:rsidRPr="009F5F43">
        <w:rPr>
          <w:b/>
          <w:sz w:val="22"/>
          <w:szCs w:val="22"/>
        </w:rPr>
        <w:tab/>
      </w:r>
      <w:r w:rsidRPr="009F5F43">
        <w:rPr>
          <w:b/>
          <w:bCs/>
          <w:noProof/>
          <w:sz w:val="22"/>
          <w:szCs w:val="22"/>
        </w:rPr>
        <w:t>Špeciálne opatrenia na likvidáciu</w:t>
      </w:r>
    </w:p>
    <w:p w14:paraId="74177245" w14:textId="77777777" w:rsidR="009F5F43" w:rsidRPr="001134AB" w:rsidRDefault="009F5F43" w:rsidP="009F5F43">
      <w:pPr>
        <w:rPr>
          <w:sz w:val="22"/>
          <w:szCs w:val="22"/>
        </w:rPr>
      </w:pPr>
    </w:p>
    <w:p w14:paraId="4287C04C" w14:textId="77777777" w:rsidR="009F5F43" w:rsidRPr="00495E5D" w:rsidRDefault="009F5F43" w:rsidP="009F5F43">
      <w:pPr>
        <w:rPr>
          <w:sz w:val="22"/>
          <w:szCs w:val="22"/>
        </w:rPr>
      </w:pPr>
      <w:r w:rsidRPr="00495E5D">
        <w:rPr>
          <w:sz w:val="22"/>
          <w:szCs w:val="22"/>
        </w:rPr>
        <w:t>Žiadne zvláštne požiadavky.</w:t>
      </w:r>
    </w:p>
    <w:p w14:paraId="6CE8FE7F" w14:textId="77777777" w:rsidR="009F5F43" w:rsidRPr="0014252C" w:rsidRDefault="009F5F43" w:rsidP="009F5F43">
      <w:pPr>
        <w:rPr>
          <w:sz w:val="22"/>
          <w:szCs w:val="22"/>
        </w:rPr>
      </w:pPr>
    </w:p>
    <w:p w14:paraId="417834A4" w14:textId="77777777" w:rsidR="009F5F43" w:rsidRPr="00EB48F5" w:rsidRDefault="009F5F43" w:rsidP="009F5F43">
      <w:pPr>
        <w:rPr>
          <w:sz w:val="22"/>
          <w:szCs w:val="22"/>
        </w:rPr>
      </w:pPr>
      <w:r w:rsidRPr="00EB48F5">
        <w:rPr>
          <w:sz w:val="22"/>
          <w:szCs w:val="22"/>
        </w:rPr>
        <w:t>Všetok nepoužitý liek alebo odpad vzniknutý z lieku sa má zlikvidovať v súlade s národnými požiadavkami.</w:t>
      </w:r>
    </w:p>
    <w:p w14:paraId="3B883DA3" w14:textId="77777777" w:rsidR="00274656" w:rsidRPr="00E20352" w:rsidRDefault="00274656" w:rsidP="00DC5896">
      <w:pPr>
        <w:rPr>
          <w:sz w:val="22"/>
          <w:szCs w:val="22"/>
          <w:lang w:val="sk-SK"/>
        </w:rPr>
      </w:pPr>
    </w:p>
    <w:p w14:paraId="74B169AF" w14:textId="77777777" w:rsidR="00286863" w:rsidRPr="00E20352" w:rsidRDefault="006B6586" w:rsidP="00EF6005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7.</w:t>
      </w:r>
      <w:r w:rsidRPr="00E20352">
        <w:rPr>
          <w:b/>
          <w:sz w:val="22"/>
          <w:szCs w:val="22"/>
          <w:lang w:val="sk-SK"/>
        </w:rPr>
        <w:tab/>
      </w:r>
      <w:r w:rsidR="00286863" w:rsidRPr="00E20352">
        <w:rPr>
          <w:b/>
          <w:sz w:val="22"/>
          <w:szCs w:val="22"/>
          <w:lang w:val="sk-SK"/>
        </w:rPr>
        <w:t>DRŽITEĽ ROZHODNUTIA O REGISTRÁCII</w:t>
      </w:r>
    </w:p>
    <w:p w14:paraId="553045C0" w14:textId="77777777" w:rsidR="008357D0" w:rsidRPr="00E20352" w:rsidRDefault="008357D0" w:rsidP="00DC5896">
      <w:pPr>
        <w:rPr>
          <w:sz w:val="22"/>
          <w:szCs w:val="22"/>
          <w:lang w:val="sk-SK"/>
        </w:rPr>
      </w:pPr>
    </w:p>
    <w:p w14:paraId="37F0B53C" w14:textId="77777777" w:rsidR="0014252C" w:rsidRDefault="00A421A9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sanofi-aventis Slovakia s.r.o.</w:t>
      </w:r>
    </w:p>
    <w:p w14:paraId="28659A83" w14:textId="77777777" w:rsidR="0014252C" w:rsidRDefault="000F71C7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Einsteinova 24</w:t>
      </w:r>
    </w:p>
    <w:p w14:paraId="5CE553A7" w14:textId="77777777" w:rsidR="0014252C" w:rsidRDefault="000F71C7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851 01 </w:t>
      </w:r>
      <w:r w:rsidR="00A421A9" w:rsidRPr="00E20352">
        <w:rPr>
          <w:sz w:val="22"/>
          <w:szCs w:val="22"/>
          <w:lang w:val="sk-SK"/>
        </w:rPr>
        <w:t>Bratislava</w:t>
      </w:r>
    </w:p>
    <w:p w14:paraId="64C7131E" w14:textId="77777777" w:rsidR="00286863" w:rsidRPr="00E20352" w:rsidRDefault="00A421A9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Slovenská republika</w:t>
      </w:r>
    </w:p>
    <w:p w14:paraId="443563DA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4F4488FF" w14:textId="77777777" w:rsidR="008357D0" w:rsidRPr="00E20352" w:rsidRDefault="008357D0" w:rsidP="00DC5896">
      <w:pPr>
        <w:rPr>
          <w:sz w:val="22"/>
          <w:szCs w:val="22"/>
          <w:lang w:val="sk-SK"/>
        </w:rPr>
      </w:pPr>
    </w:p>
    <w:p w14:paraId="13488092" w14:textId="77777777" w:rsidR="00286863" w:rsidRPr="00E20352" w:rsidRDefault="00286863" w:rsidP="00EF6005">
      <w:pPr>
        <w:numPr>
          <w:ilvl w:val="0"/>
          <w:numId w:val="3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REGISTRAČNÉ ČÍSLO</w:t>
      </w:r>
    </w:p>
    <w:p w14:paraId="5F792406" w14:textId="77777777" w:rsidR="008357D0" w:rsidRPr="00E20352" w:rsidRDefault="008357D0" w:rsidP="00DC5896">
      <w:pPr>
        <w:rPr>
          <w:b/>
          <w:sz w:val="22"/>
          <w:szCs w:val="22"/>
          <w:lang w:val="sk-SK"/>
        </w:rPr>
      </w:pPr>
    </w:p>
    <w:p w14:paraId="4567E2DB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Tablety:</w:t>
      </w:r>
      <w:r w:rsidRPr="00E20352">
        <w:rPr>
          <w:sz w:val="22"/>
          <w:szCs w:val="22"/>
          <w:lang w:val="sk-SK"/>
        </w:rPr>
        <w:t xml:space="preserve"> 68/0171/85-CS</w:t>
      </w:r>
    </w:p>
    <w:p w14:paraId="3D76BBE2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0F129C27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roztok:</w:t>
      </w:r>
      <w:r w:rsidRPr="00E20352">
        <w:rPr>
          <w:sz w:val="22"/>
          <w:szCs w:val="22"/>
          <w:lang w:val="sk-SK"/>
        </w:rPr>
        <w:t xml:space="preserve"> 68/0170/85-CS</w:t>
      </w:r>
    </w:p>
    <w:p w14:paraId="57FD4FD8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2BECFCD8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3DACA91C" w14:textId="77777777" w:rsidR="00286863" w:rsidRPr="00E20352" w:rsidRDefault="00286863" w:rsidP="00EF6005">
      <w:pPr>
        <w:numPr>
          <w:ilvl w:val="0"/>
          <w:numId w:val="3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 xml:space="preserve">DÁTUM </w:t>
      </w:r>
      <w:r w:rsidR="008357D0" w:rsidRPr="00E20352">
        <w:rPr>
          <w:b/>
          <w:sz w:val="22"/>
          <w:szCs w:val="22"/>
          <w:lang w:val="sk-SK"/>
        </w:rPr>
        <w:t xml:space="preserve">PRVEJ </w:t>
      </w:r>
      <w:r w:rsidRPr="00E20352">
        <w:rPr>
          <w:b/>
          <w:sz w:val="22"/>
          <w:szCs w:val="22"/>
          <w:lang w:val="sk-SK"/>
        </w:rPr>
        <w:t>REGISTRÁCIE/ PREDĹŽENIA REGISTRÁCIE</w:t>
      </w:r>
    </w:p>
    <w:p w14:paraId="23E06B52" w14:textId="77777777" w:rsidR="008357D0" w:rsidRPr="00E20352" w:rsidRDefault="008357D0" w:rsidP="00DC5896">
      <w:pPr>
        <w:rPr>
          <w:b/>
          <w:sz w:val="22"/>
          <w:szCs w:val="22"/>
          <w:lang w:val="sk-SK"/>
        </w:rPr>
      </w:pPr>
    </w:p>
    <w:p w14:paraId="7381DB96" w14:textId="77777777" w:rsidR="001D0F9C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</w:t>
      </w:r>
    </w:p>
    <w:p w14:paraId="57D20F8A" w14:textId="77777777" w:rsidR="001D0F9C" w:rsidRDefault="001D0F9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686C3A" w:rsidRPr="00E20352">
        <w:rPr>
          <w:sz w:val="22"/>
          <w:szCs w:val="22"/>
          <w:lang w:val="sk-SK"/>
        </w:rPr>
        <w:t>26.</w:t>
      </w:r>
      <w:r w:rsidR="00F86770">
        <w:rPr>
          <w:sz w:val="22"/>
          <w:szCs w:val="22"/>
          <w:lang w:val="sk-SK"/>
        </w:rPr>
        <w:t xml:space="preserve">júla </w:t>
      </w:r>
      <w:r w:rsidR="00686C3A" w:rsidRPr="00E20352">
        <w:rPr>
          <w:sz w:val="22"/>
          <w:szCs w:val="22"/>
          <w:lang w:val="sk-SK"/>
        </w:rPr>
        <w:t>1985</w:t>
      </w:r>
    </w:p>
    <w:p w14:paraId="30AAF953" w14:textId="77777777" w:rsidR="00286863" w:rsidRPr="00E20352" w:rsidRDefault="001D0F9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</w:t>
      </w:r>
      <w:r w:rsidR="0064578B">
        <w:rPr>
          <w:sz w:val="22"/>
          <w:szCs w:val="22"/>
          <w:lang w:val="sk-SK"/>
        </w:rPr>
        <w:t xml:space="preserve">posledného </w:t>
      </w:r>
      <w:r>
        <w:rPr>
          <w:sz w:val="22"/>
          <w:szCs w:val="22"/>
          <w:lang w:val="sk-SK"/>
        </w:rPr>
        <w:t xml:space="preserve">predĺženia registrácie: </w:t>
      </w:r>
      <w:r w:rsidR="009A0C1E" w:rsidRPr="00E20352">
        <w:rPr>
          <w:sz w:val="22"/>
          <w:szCs w:val="22"/>
          <w:lang w:val="sk-SK"/>
        </w:rPr>
        <w:t>09.</w:t>
      </w:r>
      <w:r w:rsidR="005B47C7">
        <w:rPr>
          <w:sz w:val="22"/>
          <w:szCs w:val="22"/>
          <w:lang w:val="sk-SK"/>
        </w:rPr>
        <w:t xml:space="preserve"> </w:t>
      </w:r>
      <w:r w:rsidR="00F86770">
        <w:rPr>
          <w:sz w:val="22"/>
          <w:szCs w:val="22"/>
          <w:lang w:val="sk-SK"/>
        </w:rPr>
        <w:t xml:space="preserve">októbra </w:t>
      </w:r>
      <w:r w:rsidR="009A0C1E" w:rsidRPr="00E20352">
        <w:rPr>
          <w:sz w:val="22"/>
          <w:szCs w:val="22"/>
          <w:lang w:val="sk-SK"/>
        </w:rPr>
        <w:t>2006</w:t>
      </w:r>
      <w:r w:rsidR="00571C3A" w:rsidRPr="00E20352">
        <w:rPr>
          <w:sz w:val="22"/>
          <w:szCs w:val="22"/>
          <w:lang w:val="sk-SK"/>
        </w:rPr>
        <w:t xml:space="preserve"> </w:t>
      </w:r>
    </w:p>
    <w:p w14:paraId="2A2BB6FA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6A1755C8" w14:textId="77777777" w:rsidR="001D0F9C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</w:t>
      </w:r>
    </w:p>
    <w:p w14:paraId="1C42C601" w14:textId="77777777" w:rsidR="001D0F9C" w:rsidRDefault="001D0F9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7D70F7" w:rsidRPr="00E20352">
        <w:rPr>
          <w:sz w:val="22"/>
          <w:szCs w:val="22"/>
          <w:lang w:val="sk-SK"/>
        </w:rPr>
        <w:t>26.</w:t>
      </w:r>
      <w:r w:rsidR="00F86770">
        <w:rPr>
          <w:sz w:val="22"/>
          <w:szCs w:val="22"/>
          <w:lang w:val="sk-SK"/>
        </w:rPr>
        <w:t xml:space="preserve">júla </w:t>
      </w:r>
      <w:r w:rsidR="007D70F7" w:rsidRPr="00E20352">
        <w:rPr>
          <w:sz w:val="22"/>
          <w:szCs w:val="22"/>
          <w:lang w:val="sk-SK"/>
        </w:rPr>
        <w:t>1985</w:t>
      </w:r>
    </w:p>
    <w:p w14:paraId="48B2E0DD" w14:textId="77777777" w:rsidR="00286863" w:rsidRPr="00E20352" w:rsidRDefault="001D0F9C" w:rsidP="00DC589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Dátum</w:t>
      </w:r>
      <w:r w:rsidR="00DB605B">
        <w:rPr>
          <w:sz w:val="22"/>
          <w:szCs w:val="22"/>
          <w:lang w:val="sk-SK"/>
        </w:rPr>
        <w:t xml:space="preserve"> </w:t>
      </w:r>
      <w:r w:rsidR="00DB605B" w:rsidRPr="00DB605B">
        <w:rPr>
          <w:sz w:val="22"/>
          <w:szCs w:val="22"/>
          <w:lang w:val="sk-SK"/>
        </w:rPr>
        <w:t>posledného</w:t>
      </w:r>
      <w:r>
        <w:rPr>
          <w:sz w:val="22"/>
          <w:szCs w:val="22"/>
          <w:lang w:val="sk-SK"/>
        </w:rPr>
        <w:t xml:space="preserve"> predĺženia registrácie: </w:t>
      </w:r>
      <w:r w:rsidR="009A0C1E" w:rsidRPr="00E20352">
        <w:rPr>
          <w:sz w:val="22"/>
          <w:szCs w:val="22"/>
          <w:lang w:val="sk-SK"/>
        </w:rPr>
        <w:t>09.</w:t>
      </w:r>
      <w:r w:rsidR="005B47C7">
        <w:rPr>
          <w:sz w:val="22"/>
          <w:szCs w:val="22"/>
          <w:lang w:val="sk-SK"/>
        </w:rPr>
        <w:t xml:space="preserve"> </w:t>
      </w:r>
      <w:r w:rsidR="00F86770">
        <w:rPr>
          <w:sz w:val="22"/>
          <w:szCs w:val="22"/>
          <w:lang w:val="sk-SK"/>
        </w:rPr>
        <w:t xml:space="preserve">októbra </w:t>
      </w:r>
      <w:r w:rsidR="009A0C1E" w:rsidRPr="00E20352">
        <w:rPr>
          <w:sz w:val="22"/>
          <w:szCs w:val="22"/>
          <w:lang w:val="sk-SK"/>
        </w:rPr>
        <w:t>2006</w:t>
      </w:r>
      <w:r w:rsidR="00571C3A" w:rsidRPr="00E20352">
        <w:rPr>
          <w:sz w:val="22"/>
          <w:szCs w:val="22"/>
          <w:lang w:val="sk-SK"/>
        </w:rPr>
        <w:t xml:space="preserve"> </w:t>
      </w:r>
    </w:p>
    <w:p w14:paraId="11696996" w14:textId="77777777" w:rsidR="00286863" w:rsidRPr="00E20352" w:rsidRDefault="00286863" w:rsidP="00DC5896">
      <w:pPr>
        <w:rPr>
          <w:sz w:val="22"/>
          <w:szCs w:val="22"/>
          <w:u w:val="single"/>
          <w:lang w:val="sk-SK"/>
        </w:rPr>
      </w:pPr>
    </w:p>
    <w:p w14:paraId="1404572B" w14:textId="77777777" w:rsidR="00286863" w:rsidRPr="00E20352" w:rsidRDefault="006B6586" w:rsidP="00EF6005">
      <w:pPr>
        <w:numPr>
          <w:ilvl w:val="0"/>
          <w:numId w:val="33"/>
        </w:numPr>
        <w:tabs>
          <w:tab w:val="clear" w:pos="720"/>
          <w:tab w:val="num" w:pos="709"/>
        </w:tabs>
        <w:ind w:hanging="720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 xml:space="preserve"> </w:t>
      </w:r>
      <w:r w:rsidR="00286863" w:rsidRPr="00E20352">
        <w:rPr>
          <w:b/>
          <w:sz w:val="22"/>
          <w:szCs w:val="22"/>
          <w:lang w:val="sk-SK"/>
        </w:rPr>
        <w:t xml:space="preserve">DÁTUM </w:t>
      </w:r>
      <w:r w:rsidRPr="00E20352">
        <w:rPr>
          <w:b/>
          <w:sz w:val="22"/>
          <w:szCs w:val="22"/>
          <w:lang w:val="sk-SK"/>
        </w:rPr>
        <w:t>REVÍZIE TEXTU</w:t>
      </w:r>
    </w:p>
    <w:p w14:paraId="0590BE87" w14:textId="77777777" w:rsidR="009A0C1E" w:rsidRDefault="009A0C1E" w:rsidP="009A0C1E">
      <w:pPr>
        <w:rPr>
          <w:sz w:val="22"/>
          <w:szCs w:val="22"/>
          <w:lang w:val="sk-SK"/>
        </w:rPr>
      </w:pPr>
    </w:p>
    <w:p w14:paraId="3149653B" w14:textId="28DB4661" w:rsidR="003F08DA" w:rsidRPr="00E20352" w:rsidRDefault="00D45BB3" w:rsidP="009A0C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1</w:t>
      </w:r>
      <w:bookmarkStart w:id="4" w:name="_GoBack"/>
      <w:bookmarkEnd w:id="4"/>
      <w:r w:rsidR="00632F5D">
        <w:rPr>
          <w:sz w:val="22"/>
          <w:szCs w:val="22"/>
          <w:lang w:val="sk-SK"/>
        </w:rPr>
        <w:t>/2018</w:t>
      </w:r>
    </w:p>
    <w:p w14:paraId="1CE9F379" w14:textId="5CDAE61E" w:rsidR="009A0C1E" w:rsidRPr="00E20352" w:rsidRDefault="009A0C1E" w:rsidP="009A0C1E">
      <w:pPr>
        <w:rPr>
          <w:sz w:val="22"/>
          <w:szCs w:val="22"/>
          <w:lang w:val="sk-SK"/>
        </w:rPr>
      </w:pPr>
    </w:p>
    <w:sectPr w:rsidR="009A0C1E" w:rsidRPr="00E20352" w:rsidSect="00F81A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4815E" w14:textId="77777777" w:rsidR="00D17CA5" w:rsidRDefault="00D17CA5">
      <w:r>
        <w:separator/>
      </w:r>
    </w:p>
  </w:endnote>
  <w:endnote w:type="continuationSeparator" w:id="0">
    <w:p w14:paraId="053255EC" w14:textId="77777777" w:rsidR="00D17CA5" w:rsidRDefault="00D1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58238" w14:textId="77777777" w:rsidR="00B41F71" w:rsidRDefault="00EB15F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41F7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C17F4D" w14:textId="77777777" w:rsidR="00B41F71" w:rsidRDefault="00B41F7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8E863" w14:textId="77777777" w:rsidR="00EF6005" w:rsidRDefault="002300D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45BB3" w:rsidRPr="00D45BB3">
      <w:rPr>
        <w:noProof/>
        <w:lang w:val="sk-SK"/>
      </w:rPr>
      <w:t>1</w:t>
    </w:r>
    <w:r>
      <w:rPr>
        <w:noProof/>
        <w:lang w:val="sk-SK"/>
      </w:rPr>
      <w:fldChar w:fldCharType="end"/>
    </w:r>
  </w:p>
  <w:p w14:paraId="60E80FC7" w14:textId="77777777" w:rsidR="00B41F71" w:rsidRDefault="00B41F71">
    <w:pPr>
      <w:pStyle w:val="Pta"/>
      <w:ind w:right="360"/>
      <w:rPr>
        <w:sz w:val="18"/>
        <w:lang w:val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13093" w14:textId="77777777" w:rsidR="00EF6005" w:rsidRDefault="002300D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81AD8" w:rsidRPr="00F81AD8">
      <w:rPr>
        <w:noProof/>
        <w:lang w:val="sk-SK"/>
      </w:rPr>
      <w:t>1</w:t>
    </w:r>
    <w:r>
      <w:rPr>
        <w:noProof/>
        <w:lang w:val="sk-SK"/>
      </w:rPr>
      <w:fldChar w:fldCharType="end"/>
    </w:r>
  </w:p>
  <w:p w14:paraId="4C616519" w14:textId="77777777" w:rsidR="00EF6005" w:rsidRDefault="00EF60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C6122" w14:textId="77777777" w:rsidR="00D17CA5" w:rsidRDefault="00D17CA5">
      <w:r>
        <w:separator/>
      </w:r>
    </w:p>
  </w:footnote>
  <w:footnote w:type="continuationSeparator" w:id="0">
    <w:p w14:paraId="69110586" w14:textId="77777777" w:rsidR="00D17CA5" w:rsidRDefault="00D17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F5DDD" w14:textId="0E9B9E8B" w:rsidR="00F81AD8" w:rsidRDefault="00F81AD8" w:rsidP="00F81AD8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2016/00580-ZME, </w:t>
    </w:r>
    <w:r w:rsidRPr="002E5545">
      <w:rPr>
        <w:sz w:val="18"/>
        <w:szCs w:val="18"/>
        <w:lang w:val="sk-SK"/>
      </w:rPr>
      <w:t>2017/03249-ZME</w:t>
    </w:r>
  </w:p>
  <w:p w14:paraId="5000C133" w14:textId="031DF911" w:rsidR="00F81AD8" w:rsidRDefault="00F81AD8" w:rsidP="00F81AD8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Pr="00B03FD6">
      <w:rPr>
        <w:sz w:val="18"/>
        <w:szCs w:val="18"/>
        <w:lang w:val="sk-SK"/>
      </w:rPr>
      <w:t>2017/03381-Z1B – TIAPRIDAL tbl</w:t>
    </w:r>
    <w:r>
      <w:rPr>
        <w:sz w:val="18"/>
        <w:szCs w:val="18"/>
        <w:lang w:val="sk-SK"/>
      </w:rPr>
      <w:t xml:space="preserve"> </w:t>
    </w:r>
  </w:p>
  <w:p w14:paraId="01EB9D3A" w14:textId="77777777" w:rsidR="00F81AD8" w:rsidRDefault="00F81AD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2AD66" w14:textId="4FC637F3" w:rsidR="00505FF1" w:rsidRDefault="00EF350C" w:rsidP="00505FF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2016/00580-ZME</w:t>
    </w:r>
    <w:r w:rsidR="002E5545">
      <w:rPr>
        <w:sz w:val="18"/>
        <w:szCs w:val="18"/>
        <w:lang w:val="sk-SK"/>
      </w:rPr>
      <w:t xml:space="preserve">, </w:t>
    </w:r>
    <w:r w:rsidR="002E5545" w:rsidRPr="002E5545">
      <w:rPr>
        <w:sz w:val="18"/>
        <w:szCs w:val="18"/>
        <w:lang w:val="sk-SK"/>
      </w:rPr>
      <w:t>2017/03249-ZME</w:t>
    </w:r>
  </w:p>
  <w:p w14:paraId="771D4DB6" w14:textId="025D3F45" w:rsidR="00370C88" w:rsidRDefault="00370C88" w:rsidP="00505FF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</w:t>
    </w:r>
    <w:r w:rsidR="00945A10">
      <w:rPr>
        <w:sz w:val="18"/>
        <w:szCs w:val="18"/>
        <w:lang w:val="sk-SK"/>
      </w:rPr>
      <w:t> </w:t>
    </w:r>
    <w:r>
      <w:rPr>
        <w:sz w:val="18"/>
        <w:szCs w:val="18"/>
        <w:lang w:val="sk-SK"/>
      </w:rPr>
      <w:t>zmene</w:t>
    </w:r>
    <w:r w:rsidR="00945A10">
      <w:rPr>
        <w:sz w:val="18"/>
        <w:szCs w:val="18"/>
        <w:lang w:val="sk-SK"/>
      </w:rPr>
      <w:t>, ev.</w:t>
    </w:r>
    <w:r w:rsidR="00071705">
      <w:rPr>
        <w:sz w:val="18"/>
        <w:szCs w:val="18"/>
        <w:lang w:val="sk-SK"/>
      </w:rPr>
      <w:t xml:space="preserve"> </w:t>
    </w:r>
    <w:r w:rsidR="00945A10">
      <w:rPr>
        <w:sz w:val="18"/>
        <w:szCs w:val="18"/>
        <w:lang w:val="sk-SK"/>
      </w:rPr>
      <w:t>č.</w:t>
    </w:r>
    <w:r>
      <w:rPr>
        <w:sz w:val="18"/>
        <w:szCs w:val="18"/>
        <w:lang w:val="sk-SK"/>
      </w:rPr>
      <w:t>:</w:t>
    </w:r>
    <w:r w:rsidR="00945A10">
      <w:rPr>
        <w:sz w:val="18"/>
        <w:szCs w:val="18"/>
        <w:lang w:val="sk-SK"/>
      </w:rPr>
      <w:t xml:space="preserve"> </w:t>
    </w:r>
    <w:r w:rsidR="00945A10" w:rsidRPr="00D22313">
      <w:rPr>
        <w:sz w:val="18"/>
        <w:szCs w:val="18"/>
        <w:highlight w:val="green"/>
        <w:lang w:val="sk-SK"/>
      </w:rPr>
      <w:t>2017/03381-Z1B – TIAPRIDAL tbl</w:t>
    </w:r>
    <w:r>
      <w:rPr>
        <w:sz w:val="18"/>
        <w:szCs w:val="18"/>
        <w:lang w:val="sk-SK"/>
      </w:rPr>
      <w:t xml:space="preserve"> </w:t>
    </w:r>
  </w:p>
  <w:p w14:paraId="30930004" w14:textId="77777777" w:rsidR="00505FF1" w:rsidRDefault="00505FF1" w:rsidP="00137093">
    <w:pPr>
      <w:pStyle w:val="Hlavika"/>
      <w:rPr>
        <w:sz w:val="18"/>
        <w:szCs w:val="18"/>
        <w:lang w:val="sk-SK"/>
      </w:rPr>
    </w:pPr>
  </w:p>
  <w:p w14:paraId="12747997" w14:textId="77777777" w:rsidR="00B41F71" w:rsidRPr="004F6D45" w:rsidRDefault="00B41F71" w:rsidP="004F6D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90CA3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F4D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EA14FF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0E4B1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AB2D5F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8520C1"/>
    <w:multiLevelType w:val="multilevel"/>
    <w:tmpl w:val="6608AC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C3D7B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E704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E73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235DE0"/>
    <w:multiLevelType w:val="single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DC058F3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971B6C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F142F0"/>
    <w:multiLevelType w:val="singleLevel"/>
    <w:tmpl w:val="AC2207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531FE8"/>
    <w:multiLevelType w:val="hybridMultilevel"/>
    <w:tmpl w:val="7A629CF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256AC3"/>
    <w:multiLevelType w:val="hybridMultilevel"/>
    <w:tmpl w:val="F20432E6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BC169F"/>
    <w:multiLevelType w:val="multilevel"/>
    <w:tmpl w:val="38B01D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36E3663B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5E384C"/>
    <w:multiLevelType w:val="multilevel"/>
    <w:tmpl w:val="F63CF3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9CB59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E114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CD09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EB6D20"/>
    <w:multiLevelType w:val="hybridMultilevel"/>
    <w:tmpl w:val="F5E01BA0"/>
    <w:lvl w:ilvl="0" w:tplc="041B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4E42B6"/>
    <w:multiLevelType w:val="singleLevel"/>
    <w:tmpl w:val="AC2207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D84F59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357D5"/>
    <w:multiLevelType w:val="multilevel"/>
    <w:tmpl w:val="A96E72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6" w15:restartNumberingAfterBreak="0">
    <w:nsid w:val="479D0FC4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FB11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BB2E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FC1EFE"/>
    <w:multiLevelType w:val="hybridMultilevel"/>
    <w:tmpl w:val="CCDA5C5A"/>
    <w:lvl w:ilvl="0" w:tplc="041B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69C780D"/>
    <w:multiLevelType w:val="hybridMultilevel"/>
    <w:tmpl w:val="B9629A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F6B62"/>
    <w:multiLevelType w:val="multilevel"/>
    <w:tmpl w:val="9ABA48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2" w15:restartNumberingAfterBreak="0">
    <w:nsid w:val="60DC24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54964E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19C2BF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6603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D868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8015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FD64E6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37"/>
  </w:num>
  <w:num w:numId="4">
    <w:abstractNumId w:val="34"/>
  </w:num>
  <w:num w:numId="5">
    <w:abstractNumId w:val="38"/>
  </w:num>
  <w:num w:numId="6">
    <w:abstractNumId w:val="32"/>
  </w:num>
  <w:num w:numId="7">
    <w:abstractNumId w:val="27"/>
  </w:num>
  <w:num w:numId="8">
    <w:abstractNumId w:val="8"/>
  </w:num>
  <w:num w:numId="9">
    <w:abstractNumId w:val="4"/>
  </w:num>
  <w:num w:numId="10">
    <w:abstractNumId w:val="21"/>
  </w:num>
  <w:num w:numId="11">
    <w:abstractNumId w:val="19"/>
  </w:num>
  <w:num w:numId="12">
    <w:abstractNumId w:val="36"/>
  </w:num>
  <w:num w:numId="13">
    <w:abstractNumId w:val="13"/>
  </w:num>
  <w:num w:numId="14">
    <w:abstractNumId w:val="23"/>
  </w:num>
  <w:num w:numId="15">
    <w:abstractNumId w:val="26"/>
  </w:num>
  <w:num w:numId="16">
    <w:abstractNumId w:val="3"/>
  </w:num>
  <w:num w:numId="17">
    <w:abstractNumId w:val="1"/>
  </w:num>
  <w:num w:numId="18">
    <w:abstractNumId w:val="11"/>
  </w:num>
  <w:num w:numId="19">
    <w:abstractNumId w:val="17"/>
  </w:num>
  <w:num w:numId="20">
    <w:abstractNumId w:val="33"/>
  </w:num>
  <w:num w:numId="21">
    <w:abstractNumId w:val="12"/>
  </w:num>
  <w:num w:numId="22">
    <w:abstractNumId w:val="16"/>
  </w:num>
  <w:num w:numId="23">
    <w:abstractNumId w:val="5"/>
  </w:num>
  <w:num w:numId="24">
    <w:abstractNumId w:val="24"/>
  </w:num>
  <w:num w:numId="25">
    <w:abstractNumId w:val="28"/>
  </w:num>
  <w:num w:numId="26">
    <w:abstractNumId w:val="2"/>
  </w:num>
  <w:num w:numId="27">
    <w:abstractNumId w:val="35"/>
  </w:num>
  <w:num w:numId="28">
    <w:abstractNumId w:val="6"/>
  </w:num>
  <w:num w:numId="29">
    <w:abstractNumId w:val="18"/>
  </w:num>
  <w:num w:numId="30">
    <w:abstractNumId w:val="10"/>
  </w:num>
  <w:num w:numId="31">
    <w:abstractNumId w:val="7"/>
  </w:num>
  <w:num w:numId="32">
    <w:abstractNumId w:val="29"/>
  </w:num>
  <w:num w:numId="33">
    <w:abstractNumId w:val="22"/>
  </w:num>
  <w:num w:numId="34">
    <w:abstractNumId w:val="25"/>
  </w:num>
  <w:num w:numId="35">
    <w:abstractNumId w:val="31"/>
  </w:num>
  <w:num w:numId="36">
    <w:abstractNumId w:val="15"/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8">
    <w:abstractNumId w:val="1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45"/>
    <w:rsid w:val="00013A18"/>
    <w:rsid w:val="00013E93"/>
    <w:rsid w:val="000278E9"/>
    <w:rsid w:val="00027954"/>
    <w:rsid w:val="000372CB"/>
    <w:rsid w:val="00053754"/>
    <w:rsid w:val="00054F92"/>
    <w:rsid w:val="000572F9"/>
    <w:rsid w:val="00061AD0"/>
    <w:rsid w:val="00062FD7"/>
    <w:rsid w:val="00065B40"/>
    <w:rsid w:val="00071705"/>
    <w:rsid w:val="0008017D"/>
    <w:rsid w:val="00080450"/>
    <w:rsid w:val="000909D1"/>
    <w:rsid w:val="000923FC"/>
    <w:rsid w:val="000945BE"/>
    <w:rsid w:val="000A2674"/>
    <w:rsid w:val="000A6B01"/>
    <w:rsid w:val="000B1838"/>
    <w:rsid w:val="000B5332"/>
    <w:rsid w:val="000B5D56"/>
    <w:rsid w:val="000C17CB"/>
    <w:rsid w:val="000C1800"/>
    <w:rsid w:val="000C2120"/>
    <w:rsid w:val="000C4E21"/>
    <w:rsid w:val="000D092A"/>
    <w:rsid w:val="000D2990"/>
    <w:rsid w:val="000D3458"/>
    <w:rsid w:val="000D38FA"/>
    <w:rsid w:val="000E27B5"/>
    <w:rsid w:val="000E69ED"/>
    <w:rsid w:val="000F71C7"/>
    <w:rsid w:val="00103339"/>
    <w:rsid w:val="00112D1A"/>
    <w:rsid w:val="001134AB"/>
    <w:rsid w:val="00126D0F"/>
    <w:rsid w:val="00126E7F"/>
    <w:rsid w:val="00137093"/>
    <w:rsid w:val="001375ED"/>
    <w:rsid w:val="0014252C"/>
    <w:rsid w:val="00143DB1"/>
    <w:rsid w:val="001456F4"/>
    <w:rsid w:val="00147498"/>
    <w:rsid w:val="0015309B"/>
    <w:rsid w:val="00153FB4"/>
    <w:rsid w:val="0015562B"/>
    <w:rsid w:val="00161FB8"/>
    <w:rsid w:val="00163935"/>
    <w:rsid w:val="00164579"/>
    <w:rsid w:val="001678CE"/>
    <w:rsid w:val="00176889"/>
    <w:rsid w:val="001772DA"/>
    <w:rsid w:val="00186C08"/>
    <w:rsid w:val="00196B4E"/>
    <w:rsid w:val="001A416A"/>
    <w:rsid w:val="001B5388"/>
    <w:rsid w:val="001C1A33"/>
    <w:rsid w:val="001D0F9C"/>
    <w:rsid w:val="001D255C"/>
    <w:rsid w:val="001E1229"/>
    <w:rsid w:val="001E4852"/>
    <w:rsid w:val="001E7310"/>
    <w:rsid w:val="001E7E2C"/>
    <w:rsid w:val="001F1829"/>
    <w:rsid w:val="001F544E"/>
    <w:rsid w:val="00203B3B"/>
    <w:rsid w:val="0021220B"/>
    <w:rsid w:val="00214EE1"/>
    <w:rsid w:val="00226DB0"/>
    <w:rsid w:val="002300D1"/>
    <w:rsid w:val="002326CE"/>
    <w:rsid w:val="00237D0E"/>
    <w:rsid w:val="00243574"/>
    <w:rsid w:val="00245AD7"/>
    <w:rsid w:val="00247872"/>
    <w:rsid w:val="0025406C"/>
    <w:rsid w:val="002550CE"/>
    <w:rsid w:val="002619D6"/>
    <w:rsid w:val="002708E1"/>
    <w:rsid w:val="002736FE"/>
    <w:rsid w:val="00274656"/>
    <w:rsid w:val="0028576C"/>
    <w:rsid w:val="00286863"/>
    <w:rsid w:val="00297302"/>
    <w:rsid w:val="00297544"/>
    <w:rsid w:val="002A1D61"/>
    <w:rsid w:val="002A4305"/>
    <w:rsid w:val="002A704A"/>
    <w:rsid w:val="002B3AC6"/>
    <w:rsid w:val="002B5426"/>
    <w:rsid w:val="002C5420"/>
    <w:rsid w:val="002C5620"/>
    <w:rsid w:val="002D4C17"/>
    <w:rsid w:val="002D5F3E"/>
    <w:rsid w:val="002D76AB"/>
    <w:rsid w:val="002E3F48"/>
    <w:rsid w:val="002E4E01"/>
    <w:rsid w:val="002E5545"/>
    <w:rsid w:val="002F3739"/>
    <w:rsid w:val="002F386C"/>
    <w:rsid w:val="002F724E"/>
    <w:rsid w:val="00302544"/>
    <w:rsid w:val="00303FB7"/>
    <w:rsid w:val="00334B47"/>
    <w:rsid w:val="00340D37"/>
    <w:rsid w:val="003432AD"/>
    <w:rsid w:val="00343F4B"/>
    <w:rsid w:val="003466A9"/>
    <w:rsid w:val="0034679C"/>
    <w:rsid w:val="00353CC7"/>
    <w:rsid w:val="00357BA6"/>
    <w:rsid w:val="00363BC1"/>
    <w:rsid w:val="003652A2"/>
    <w:rsid w:val="00367107"/>
    <w:rsid w:val="00370C88"/>
    <w:rsid w:val="00371536"/>
    <w:rsid w:val="00371C71"/>
    <w:rsid w:val="00384CC8"/>
    <w:rsid w:val="0039343B"/>
    <w:rsid w:val="003A4E56"/>
    <w:rsid w:val="003A53D3"/>
    <w:rsid w:val="003B003D"/>
    <w:rsid w:val="003B2CC7"/>
    <w:rsid w:val="003B2D28"/>
    <w:rsid w:val="003C0F5B"/>
    <w:rsid w:val="003C1D1B"/>
    <w:rsid w:val="003C6C3C"/>
    <w:rsid w:val="003D38B4"/>
    <w:rsid w:val="003E511B"/>
    <w:rsid w:val="003F08DA"/>
    <w:rsid w:val="003F17B7"/>
    <w:rsid w:val="003F1A02"/>
    <w:rsid w:val="003F684A"/>
    <w:rsid w:val="004033A5"/>
    <w:rsid w:val="00404D0D"/>
    <w:rsid w:val="00405A64"/>
    <w:rsid w:val="004064EB"/>
    <w:rsid w:val="00410296"/>
    <w:rsid w:val="004235ED"/>
    <w:rsid w:val="0043101C"/>
    <w:rsid w:val="004344C1"/>
    <w:rsid w:val="00435B9E"/>
    <w:rsid w:val="00444453"/>
    <w:rsid w:val="004457A2"/>
    <w:rsid w:val="00453F7E"/>
    <w:rsid w:val="00454628"/>
    <w:rsid w:val="0045547C"/>
    <w:rsid w:val="0046149C"/>
    <w:rsid w:val="004619CD"/>
    <w:rsid w:val="0047636D"/>
    <w:rsid w:val="0048322F"/>
    <w:rsid w:val="004837F2"/>
    <w:rsid w:val="004909FA"/>
    <w:rsid w:val="00494ED0"/>
    <w:rsid w:val="00495A68"/>
    <w:rsid w:val="00495E5D"/>
    <w:rsid w:val="00496B35"/>
    <w:rsid w:val="004978B5"/>
    <w:rsid w:val="004A393E"/>
    <w:rsid w:val="004B0E4F"/>
    <w:rsid w:val="004C20DF"/>
    <w:rsid w:val="004C47F9"/>
    <w:rsid w:val="004C66D0"/>
    <w:rsid w:val="004D0FE7"/>
    <w:rsid w:val="004E4402"/>
    <w:rsid w:val="004F6D45"/>
    <w:rsid w:val="00501C47"/>
    <w:rsid w:val="00504198"/>
    <w:rsid w:val="00505FF1"/>
    <w:rsid w:val="00524583"/>
    <w:rsid w:val="005246A4"/>
    <w:rsid w:val="00526AAA"/>
    <w:rsid w:val="00533E2F"/>
    <w:rsid w:val="005420FC"/>
    <w:rsid w:val="005436A0"/>
    <w:rsid w:val="0054645D"/>
    <w:rsid w:val="005544AB"/>
    <w:rsid w:val="00561DEE"/>
    <w:rsid w:val="00571C3A"/>
    <w:rsid w:val="00571EC4"/>
    <w:rsid w:val="0058014D"/>
    <w:rsid w:val="00583B88"/>
    <w:rsid w:val="005920A0"/>
    <w:rsid w:val="0059444C"/>
    <w:rsid w:val="005A106E"/>
    <w:rsid w:val="005A7C60"/>
    <w:rsid w:val="005B0E19"/>
    <w:rsid w:val="005B13B4"/>
    <w:rsid w:val="005B30C8"/>
    <w:rsid w:val="005B47C7"/>
    <w:rsid w:val="005D70A0"/>
    <w:rsid w:val="005D7B6D"/>
    <w:rsid w:val="005D7CE7"/>
    <w:rsid w:val="005E072F"/>
    <w:rsid w:val="005E67B0"/>
    <w:rsid w:val="005E7F86"/>
    <w:rsid w:val="005F519E"/>
    <w:rsid w:val="005F5AD8"/>
    <w:rsid w:val="005F5B52"/>
    <w:rsid w:val="006026C2"/>
    <w:rsid w:val="00606A53"/>
    <w:rsid w:val="00614CC4"/>
    <w:rsid w:val="006301DD"/>
    <w:rsid w:val="00632F5D"/>
    <w:rsid w:val="00636389"/>
    <w:rsid w:val="0064578B"/>
    <w:rsid w:val="006610A9"/>
    <w:rsid w:val="006671F5"/>
    <w:rsid w:val="0067407C"/>
    <w:rsid w:val="006751F7"/>
    <w:rsid w:val="00675F32"/>
    <w:rsid w:val="006766D0"/>
    <w:rsid w:val="00677F7D"/>
    <w:rsid w:val="0068406E"/>
    <w:rsid w:val="0068665A"/>
    <w:rsid w:val="00686C3A"/>
    <w:rsid w:val="00696FA4"/>
    <w:rsid w:val="006A098F"/>
    <w:rsid w:val="006A681A"/>
    <w:rsid w:val="006B5C93"/>
    <w:rsid w:val="006B6586"/>
    <w:rsid w:val="006C1028"/>
    <w:rsid w:val="006D54D7"/>
    <w:rsid w:val="006E3C69"/>
    <w:rsid w:val="006E4F7C"/>
    <w:rsid w:val="006E5316"/>
    <w:rsid w:val="006F76A4"/>
    <w:rsid w:val="006F7BD3"/>
    <w:rsid w:val="007041BC"/>
    <w:rsid w:val="0071050F"/>
    <w:rsid w:val="00710ADE"/>
    <w:rsid w:val="00716993"/>
    <w:rsid w:val="007207F7"/>
    <w:rsid w:val="0072301D"/>
    <w:rsid w:val="00723B91"/>
    <w:rsid w:val="00727F99"/>
    <w:rsid w:val="007349C3"/>
    <w:rsid w:val="00735BB8"/>
    <w:rsid w:val="00737171"/>
    <w:rsid w:val="007469DB"/>
    <w:rsid w:val="00750008"/>
    <w:rsid w:val="00757E00"/>
    <w:rsid w:val="00773919"/>
    <w:rsid w:val="00796712"/>
    <w:rsid w:val="007A04FD"/>
    <w:rsid w:val="007A119D"/>
    <w:rsid w:val="007A375C"/>
    <w:rsid w:val="007C27D5"/>
    <w:rsid w:val="007C498C"/>
    <w:rsid w:val="007D056D"/>
    <w:rsid w:val="007D70F7"/>
    <w:rsid w:val="007E2CFB"/>
    <w:rsid w:val="007E449E"/>
    <w:rsid w:val="007F0907"/>
    <w:rsid w:val="007F0F58"/>
    <w:rsid w:val="00805447"/>
    <w:rsid w:val="00812298"/>
    <w:rsid w:val="00815A23"/>
    <w:rsid w:val="00820DBD"/>
    <w:rsid w:val="00821CEF"/>
    <w:rsid w:val="0082440B"/>
    <w:rsid w:val="00827EC6"/>
    <w:rsid w:val="00827FA7"/>
    <w:rsid w:val="0083207F"/>
    <w:rsid w:val="00833D69"/>
    <w:rsid w:val="008357D0"/>
    <w:rsid w:val="00840ACF"/>
    <w:rsid w:val="008550F0"/>
    <w:rsid w:val="00860FF0"/>
    <w:rsid w:val="008632FE"/>
    <w:rsid w:val="00875E22"/>
    <w:rsid w:val="00876D06"/>
    <w:rsid w:val="00877A7F"/>
    <w:rsid w:val="008A0683"/>
    <w:rsid w:val="008A386E"/>
    <w:rsid w:val="008A3AAE"/>
    <w:rsid w:val="008C69A7"/>
    <w:rsid w:val="008D61C4"/>
    <w:rsid w:val="008D7E21"/>
    <w:rsid w:val="008E7451"/>
    <w:rsid w:val="008F1C73"/>
    <w:rsid w:val="00907B53"/>
    <w:rsid w:val="00912F16"/>
    <w:rsid w:val="009179AF"/>
    <w:rsid w:val="00921271"/>
    <w:rsid w:val="009263FE"/>
    <w:rsid w:val="00926E54"/>
    <w:rsid w:val="009276F2"/>
    <w:rsid w:val="00927D74"/>
    <w:rsid w:val="00930007"/>
    <w:rsid w:val="00931045"/>
    <w:rsid w:val="009359B2"/>
    <w:rsid w:val="00936DC9"/>
    <w:rsid w:val="00936F2B"/>
    <w:rsid w:val="00945A10"/>
    <w:rsid w:val="009476E4"/>
    <w:rsid w:val="0095039B"/>
    <w:rsid w:val="00950851"/>
    <w:rsid w:val="00950ACA"/>
    <w:rsid w:val="00951ED1"/>
    <w:rsid w:val="009542F4"/>
    <w:rsid w:val="00954AF9"/>
    <w:rsid w:val="00960880"/>
    <w:rsid w:val="009659AF"/>
    <w:rsid w:val="00974F99"/>
    <w:rsid w:val="0098121E"/>
    <w:rsid w:val="00990C20"/>
    <w:rsid w:val="009917DF"/>
    <w:rsid w:val="00991EEB"/>
    <w:rsid w:val="009923C6"/>
    <w:rsid w:val="009A063B"/>
    <w:rsid w:val="009A0C1E"/>
    <w:rsid w:val="009A2AF9"/>
    <w:rsid w:val="009A347A"/>
    <w:rsid w:val="009B44C6"/>
    <w:rsid w:val="009C7D34"/>
    <w:rsid w:val="009D145A"/>
    <w:rsid w:val="009D4DBB"/>
    <w:rsid w:val="009D79E1"/>
    <w:rsid w:val="009E1055"/>
    <w:rsid w:val="009E7951"/>
    <w:rsid w:val="009E7F6B"/>
    <w:rsid w:val="009F2B5A"/>
    <w:rsid w:val="009F5A48"/>
    <w:rsid w:val="009F5F43"/>
    <w:rsid w:val="00A03634"/>
    <w:rsid w:val="00A03BED"/>
    <w:rsid w:val="00A053B1"/>
    <w:rsid w:val="00A0550E"/>
    <w:rsid w:val="00A10BE7"/>
    <w:rsid w:val="00A12A82"/>
    <w:rsid w:val="00A13EB4"/>
    <w:rsid w:val="00A13F62"/>
    <w:rsid w:val="00A174FF"/>
    <w:rsid w:val="00A3115F"/>
    <w:rsid w:val="00A35C4B"/>
    <w:rsid w:val="00A416A1"/>
    <w:rsid w:val="00A421A9"/>
    <w:rsid w:val="00A51325"/>
    <w:rsid w:val="00A52338"/>
    <w:rsid w:val="00A557CC"/>
    <w:rsid w:val="00A57A93"/>
    <w:rsid w:val="00A62ABC"/>
    <w:rsid w:val="00A8090A"/>
    <w:rsid w:val="00A81981"/>
    <w:rsid w:val="00A8218C"/>
    <w:rsid w:val="00A86AE0"/>
    <w:rsid w:val="00A90BC7"/>
    <w:rsid w:val="00A90DCE"/>
    <w:rsid w:val="00AA0B22"/>
    <w:rsid w:val="00AA35F4"/>
    <w:rsid w:val="00AA7A12"/>
    <w:rsid w:val="00AC051E"/>
    <w:rsid w:val="00AC2515"/>
    <w:rsid w:val="00AC2C59"/>
    <w:rsid w:val="00AC47CA"/>
    <w:rsid w:val="00AC5ED4"/>
    <w:rsid w:val="00AD43E6"/>
    <w:rsid w:val="00AD541A"/>
    <w:rsid w:val="00AD70BE"/>
    <w:rsid w:val="00AD7E02"/>
    <w:rsid w:val="00AE2934"/>
    <w:rsid w:val="00AE499D"/>
    <w:rsid w:val="00AF27F4"/>
    <w:rsid w:val="00AF4A36"/>
    <w:rsid w:val="00AF662E"/>
    <w:rsid w:val="00AF717A"/>
    <w:rsid w:val="00B0185E"/>
    <w:rsid w:val="00B03FD6"/>
    <w:rsid w:val="00B06847"/>
    <w:rsid w:val="00B0734A"/>
    <w:rsid w:val="00B20EBB"/>
    <w:rsid w:val="00B2324E"/>
    <w:rsid w:val="00B27033"/>
    <w:rsid w:val="00B34E8B"/>
    <w:rsid w:val="00B4022A"/>
    <w:rsid w:val="00B41F71"/>
    <w:rsid w:val="00B42844"/>
    <w:rsid w:val="00B4511C"/>
    <w:rsid w:val="00B5344F"/>
    <w:rsid w:val="00B53F11"/>
    <w:rsid w:val="00B65FBB"/>
    <w:rsid w:val="00B662BE"/>
    <w:rsid w:val="00B81C9D"/>
    <w:rsid w:val="00B9053E"/>
    <w:rsid w:val="00B9499F"/>
    <w:rsid w:val="00BA5F7B"/>
    <w:rsid w:val="00BA7EF0"/>
    <w:rsid w:val="00BB2949"/>
    <w:rsid w:val="00BC167E"/>
    <w:rsid w:val="00BD189D"/>
    <w:rsid w:val="00BD37A4"/>
    <w:rsid w:val="00BD5193"/>
    <w:rsid w:val="00BE0E42"/>
    <w:rsid w:val="00BE393E"/>
    <w:rsid w:val="00BE5B80"/>
    <w:rsid w:val="00BE660F"/>
    <w:rsid w:val="00BF37A3"/>
    <w:rsid w:val="00C01245"/>
    <w:rsid w:val="00C02925"/>
    <w:rsid w:val="00C0472A"/>
    <w:rsid w:val="00C17AFC"/>
    <w:rsid w:val="00C24401"/>
    <w:rsid w:val="00C2743C"/>
    <w:rsid w:val="00C361FB"/>
    <w:rsid w:val="00C42F9E"/>
    <w:rsid w:val="00C43F9D"/>
    <w:rsid w:val="00C45AA0"/>
    <w:rsid w:val="00C561F4"/>
    <w:rsid w:val="00C632FD"/>
    <w:rsid w:val="00C66BC2"/>
    <w:rsid w:val="00C72025"/>
    <w:rsid w:val="00C762F8"/>
    <w:rsid w:val="00C8532D"/>
    <w:rsid w:val="00C86126"/>
    <w:rsid w:val="00C94941"/>
    <w:rsid w:val="00C96E28"/>
    <w:rsid w:val="00CA06EA"/>
    <w:rsid w:val="00CA5559"/>
    <w:rsid w:val="00CA6CD0"/>
    <w:rsid w:val="00CB1F45"/>
    <w:rsid w:val="00CB36BA"/>
    <w:rsid w:val="00CB401D"/>
    <w:rsid w:val="00CB5440"/>
    <w:rsid w:val="00CC0F88"/>
    <w:rsid w:val="00CC141A"/>
    <w:rsid w:val="00CC3297"/>
    <w:rsid w:val="00CC534F"/>
    <w:rsid w:val="00CD1969"/>
    <w:rsid w:val="00CD340D"/>
    <w:rsid w:val="00CD6E1E"/>
    <w:rsid w:val="00CE2CF8"/>
    <w:rsid w:val="00CE3D15"/>
    <w:rsid w:val="00CE45AB"/>
    <w:rsid w:val="00CF5341"/>
    <w:rsid w:val="00CF7297"/>
    <w:rsid w:val="00D01FFA"/>
    <w:rsid w:val="00D02561"/>
    <w:rsid w:val="00D04DB8"/>
    <w:rsid w:val="00D12E70"/>
    <w:rsid w:val="00D161BA"/>
    <w:rsid w:val="00D17CA5"/>
    <w:rsid w:val="00D17D5E"/>
    <w:rsid w:val="00D22313"/>
    <w:rsid w:val="00D230F8"/>
    <w:rsid w:val="00D33A46"/>
    <w:rsid w:val="00D44B86"/>
    <w:rsid w:val="00D452CE"/>
    <w:rsid w:val="00D45BB3"/>
    <w:rsid w:val="00D45EEC"/>
    <w:rsid w:val="00D604AF"/>
    <w:rsid w:val="00D65231"/>
    <w:rsid w:val="00D66338"/>
    <w:rsid w:val="00D66F51"/>
    <w:rsid w:val="00D67C77"/>
    <w:rsid w:val="00D84374"/>
    <w:rsid w:val="00D84ACD"/>
    <w:rsid w:val="00D908FD"/>
    <w:rsid w:val="00D95406"/>
    <w:rsid w:val="00D95A05"/>
    <w:rsid w:val="00D960B2"/>
    <w:rsid w:val="00DA18B5"/>
    <w:rsid w:val="00DA2A0C"/>
    <w:rsid w:val="00DA714C"/>
    <w:rsid w:val="00DB12D4"/>
    <w:rsid w:val="00DB5788"/>
    <w:rsid w:val="00DB605B"/>
    <w:rsid w:val="00DC5896"/>
    <w:rsid w:val="00DD5022"/>
    <w:rsid w:val="00DD5D9F"/>
    <w:rsid w:val="00DD5FBF"/>
    <w:rsid w:val="00DF2C46"/>
    <w:rsid w:val="00DF58D6"/>
    <w:rsid w:val="00DF5E8C"/>
    <w:rsid w:val="00DF6CE3"/>
    <w:rsid w:val="00E15182"/>
    <w:rsid w:val="00E16FFF"/>
    <w:rsid w:val="00E17FE7"/>
    <w:rsid w:val="00E20352"/>
    <w:rsid w:val="00E2226F"/>
    <w:rsid w:val="00E3105F"/>
    <w:rsid w:val="00E310B6"/>
    <w:rsid w:val="00E32407"/>
    <w:rsid w:val="00E45A10"/>
    <w:rsid w:val="00E46761"/>
    <w:rsid w:val="00E46A6F"/>
    <w:rsid w:val="00E474DA"/>
    <w:rsid w:val="00E51234"/>
    <w:rsid w:val="00E538AD"/>
    <w:rsid w:val="00E603FE"/>
    <w:rsid w:val="00E64DE0"/>
    <w:rsid w:val="00E65A32"/>
    <w:rsid w:val="00E75DCA"/>
    <w:rsid w:val="00E823BC"/>
    <w:rsid w:val="00E87A88"/>
    <w:rsid w:val="00E91293"/>
    <w:rsid w:val="00E91E56"/>
    <w:rsid w:val="00E9466E"/>
    <w:rsid w:val="00EA1575"/>
    <w:rsid w:val="00EA4856"/>
    <w:rsid w:val="00EA5174"/>
    <w:rsid w:val="00EB15FC"/>
    <w:rsid w:val="00EB34CE"/>
    <w:rsid w:val="00EB48F5"/>
    <w:rsid w:val="00EC2D25"/>
    <w:rsid w:val="00EC2EF9"/>
    <w:rsid w:val="00EC7182"/>
    <w:rsid w:val="00ED2355"/>
    <w:rsid w:val="00EF2911"/>
    <w:rsid w:val="00EF350C"/>
    <w:rsid w:val="00EF5196"/>
    <w:rsid w:val="00EF6005"/>
    <w:rsid w:val="00EF7E65"/>
    <w:rsid w:val="00F12D73"/>
    <w:rsid w:val="00F12F84"/>
    <w:rsid w:val="00F22C3D"/>
    <w:rsid w:val="00F231F5"/>
    <w:rsid w:val="00F251D9"/>
    <w:rsid w:val="00F27086"/>
    <w:rsid w:val="00F3554D"/>
    <w:rsid w:val="00F619A2"/>
    <w:rsid w:val="00F65CC3"/>
    <w:rsid w:val="00F718DB"/>
    <w:rsid w:val="00F74703"/>
    <w:rsid w:val="00F76898"/>
    <w:rsid w:val="00F7737F"/>
    <w:rsid w:val="00F81AD8"/>
    <w:rsid w:val="00F8448C"/>
    <w:rsid w:val="00F8620C"/>
    <w:rsid w:val="00F86770"/>
    <w:rsid w:val="00F90D89"/>
    <w:rsid w:val="00F93516"/>
    <w:rsid w:val="00F96AE5"/>
    <w:rsid w:val="00FA3498"/>
    <w:rsid w:val="00FA59E4"/>
    <w:rsid w:val="00FA686E"/>
    <w:rsid w:val="00FB349A"/>
    <w:rsid w:val="00FB383E"/>
    <w:rsid w:val="00FB5DAB"/>
    <w:rsid w:val="00FB61DA"/>
    <w:rsid w:val="00FB7E95"/>
    <w:rsid w:val="00FC5604"/>
    <w:rsid w:val="00FC58AA"/>
    <w:rsid w:val="00FD07BE"/>
    <w:rsid w:val="00FD5C57"/>
    <w:rsid w:val="00FE1D16"/>
    <w:rsid w:val="00FE4A58"/>
    <w:rsid w:val="00FE7349"/>
    <w:rsid w:val="00FF2911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B6851A"/>
  <w15:docId w15:val="{B06E5935-0596-47E2-810E-CE838710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5FC"/>
    <w:rPr>
      <w:lang w:val="cs-CZ" w:eastAsia="cs-CZ"/>
    </w:rPr>
  </w:style>
  <w:style w:type="paragraph" w:styleId="Nadpis1">
    <w:name w:val="heading 1"/>
    <w:basedOn w:val="Normlny"/>
    <w:next w:val="Normlny"/>
    <w:qFormat/>
    <w:rsid w:val="00EB15FC"/>
    <w:pPr>
      <w:keepNext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qFormat/>
    <w:rsid w:val="00EB15FC"/>
    <w:pPr>
      <w:keepNext/>
      <w:jc w:val="both"/>
      <w:outlineLvl w:val="1"/>
    </w:pPr>
    <w:rPr>
      <w:b/>
      <w:sz w:val="22"/>
      <w:lang w:val="en-GB"/>
    </w:rPr>
  </w:style>
  <w:style w:type="paragraph" w:styleId="Nadpis3">
    <w:name w:val="heading 3"/>
    <w:basedOn w:val="Normlny"/>
    <w:next w:val="Normlny"/>
    <w:qFormat/>
    <w:rsid w:val="00EB15FC"/>
    <w:pPr>
      <w:keepNext/>
      <w:jc w:val="both"/>
      <w:outlineLvl w:val="2"/>
    </w:pPr>
    <w:rPr>
      <w:sz w:val="24"/>
      <w:lang w:val="en-GB"/>
    </w:rPr>
  </w:style>
  <w:style w:type="paragraph" w:styleId="Nadpis4">
    <w:name w:val="heading 4"/>
    <w:basedOn w:val="Normlny"/>
    <w:next w:val="Normlny"/>
    <w:qFormat/>
    <w:rsid w:val="00EB15FC"/>
    <w:pPr>
      <w:keepNext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B15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B15FC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EB15FC"/>
    <w:pPr>
      <w:jc w:val="center"/>
    </w:pPr>
    <w:rPr>
      <w:b/>
      <w:sz w:val="28"/>
      <w:u w:val="single"/>
      <w:lang w:val="sk-SK"/>
    </w:rPr>
  </w:style>
  <w:style w:type="paragraph" w:styleId="Zkladntext">
    <w:name w:val="Body Text"/>
    <w:basedOn w:val="Normlny"/>
    <w:rsid w:val="00EB15FC"/>
    <w:rPr>
      <w:sz w:val="22"/>
      <w:lang w:val="sk-SK"/>
    </w:rPr>
  </w:style>
  <w:style w:type="paragraph" w:styleId="Zkladntext2">
    <w:name w:val="Body Text 2"/>
    <w:basedOn w:val="Normlny"/>
    <w:rsid w:val="00EB15FC"/>
    <w:pPr>
      <w:jc w:val="both"/>
    </w:pPr>
    <w:rPr>
      <w:sz w:val="22"/>
      <w:lang w:val="en-GB"/>
    </w:rPr>
  </w:style>
  <w:style w:type="paragraph" w:styleId="Zkladntext3">
    <w:name w:val="Body Text 3"/>
    <w:basedOn w:val="Normlny"/>
    <w:rsid w:val="00EB15FC"/>
    <w:pPr>
      <w:jc w:val="both"/>
    </w:pPr>
    <w:rPr>
      <w:sz w:val="24"/>
      <w:lang w:val="sk-SK"/>
    </w:rPr>
  </w:style>
  <w:style w:type="character" w:styleId="slostrany">
    <w:name w:val="page number"/>
    <w:basedOn w:val="Predvolenpsmoodseku"/>
    <w:rsid w:val="00EB15FC"/>
  </w:style>
  <w:style w:type="paragraph" w:styleId="Textbubliny">
    <w:name w:val="Balloon Text"/>
    <w:basedOn w:val="Normlny"/>
    <w:semiHidden/>
    <w:rsid w:val="004F6D45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61FB8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A714C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Retraitcorpsdetexte3">
    <w:name w:val="Retrait corps de texte 3"/>
    <w:basedOn w:val="Default"/>
    <w:next w:val="Default"/>
    <w:rsid w:val="00DA714C"/>
    <w:rPr>
      <w:color w:val="auto"/>
    </w:rPr>
  </w:style>
  <w:style w:type="character" w:customStyle="1" w:styleId="longtext">
    <w:name w:val="long_text"/>
    <w:basedOn w:val="Predvolenpsmoodseku"/>
    <w:rsid w:val="00926E54"/>
  </w:style>
  <w:style w:type="character" w:styleId="Hypertextovprepojenie">
    <w:name w:val="Hyperlink"/>
    <w:rsid w:val="007349C3"/>
    <w:rPr>
      <w:color w:val="0000FF"/>
      <w:u w:val="single"/>
    </w:rPr>
  </w:style>
  <w:style w:type="character" w:styleId="Odkaznakomentr">
    <w:name w:val="annotation reference"/>
    <w:rsid w:val="00B4284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2844"/>
  </w:style>
  <w:style w:type="character" w:customStyle="1" w:styleId="TextkomentraChar">
    <w:name w:val="Text komentára Char"/>
    <w:link w:val="Textkomentra"/>
    <w:rsid w:val="00B42844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42844"/>
    <w:rPr>
      <w:b/>
      <w:bCs/>
    </w:rPr>
  </w:style>
  <w:style w:type="character" w:customStyle="1" w:styleId="PredmetkomentraChar">
    <w:name w:val="Predmet komentára Char"/>
    <w:link w:val="Predmetkomentra"/>
    <w:rsid w:val="00B42844"/>
    <w:rPr>
      <w:b/>
      <w:bCs/>
      <w:lang w:val="cs-CZ" w:eastAsia="cs-CZ"/>
    </w:rPr>
  </w:style>
  <w:style w:type="character" w:customStyle="1" w:styleId="HlavikaChar">
    <w:name w:val="Hlavička Char"/>
    <w:link w:val="Hlavika"/>
    <w:rsid w:val="00505FF1"/>
    <w:rPr>
      <w:lang w:val="cs-CZ" w:eastAsia="cs-CZ"/>
    </w:rPr>
  </w:style>
  <w:style w:type="paragraph" w:customStyle="1" w:styleId="EMEAEnBodyText">
    <w:name w:val="EMEA En Body Text"/>
    <w:basedOn w:val="Normlny"/>
    <w:rsid w:val="00960880"/>
    <w:pPr>
      <w:spacing w:before="120" w:after="120"/>
      <w:jc w:val="both"/>
    </w:pPr>
    <w:rPr>
      <w:sz w:val="22"/>
      <w:lang w:val="en-US" w:eastAsia="en-US"/>
    </w:rPr>
  </w:style>
  <w:style w:type="paragraph" w:styleId="Revzia">
    <w:name w:val="Revision"/>
    <w:hidden/>
    <w:uiPriority w:val="99"/>
    <w:semiHidden/>
    <w:rsid w:val="00B0734A"/>
    <w:rPr>
      <w:lang w:val="cs-CZ" w:eastAsia="cs-CZ"/>
    </w:rPr>
  </w:style>
  <w:style w:type="character" w:customStyle="1" w:styleId="PtaChar">
    <w:name w:val="Päta Char"/>
    <w:link w:val="Pta"/>
    <w:uiPriority w:val="99"/>
    <w:rsid w:val="00EF6005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2974</Words>
  <Characters>20461</Characters>
  <Application>Microsoft Office Word</Application>
  <DocSecurity>4</DocSecurity>
  <Lines>170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CORE DATA SHEET</vt:lpstr>
    </vt:vector>
  </TitlesOfParts>
  <Company>Sanofi-Synthelabo Slovakia</Company>
  <LinksUpToDate>false</LinksUpToDate>
  <CharactersWithSpaces>23389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DATA SHEET</dc:title>
  <dc:subject/>
  <dc:creator>Ingrid Krišková</dc:creator>
  <cp:keywords/>
  <cp:lastModifiedBy>Dočolomanská, Petra</cp:lastModifiedBy>
  <cp:revision>2</cp:revision>
  <cp:lastPrinted>2017-06-20T12:30:00Z</cp:lastPrinted>
  <dcterms:created xsi:type="dcterms:W3CDTF">2018-11-14T09:28:00Z</dcterms:created>
  <dcterms:modified xsi:type="dcterms:W3CDTF">2018-11-14T09:28:00Z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