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7312C" w14:textId="77777777" w:rsidR="00F16618" w:rsidRPr="00B12F7A" w:rsidRDefault="00F16618" w:rsidP="00F16618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14:paraId="532610D1" w14:textId="77777777" w:rsidR="00F16618" w:rsidRPr="00B12F7A" w:rsidRDefault="00F16618" w:rsidP="00F16618">
      <w:pPr>
        <w:pStyle w:val="Zkladntext"/>
        <w:jc w:val="both"/>
        <w:rPr>
          <w:sz w:val="22"/>
          <w:szCs w:val="22"/>
          <w:lang w:val="sk-SK"/>
        </w:rPr>
      </w:pPr>
    </w:p>
    <w:p w14:paraId="766005BA" w14:textId="77777777" w:rsidR="00F16618" w:rsidRPr="00B12F7A" w:rsidRDefault="00F16618" w:rsidP="00F16618">
      <w:pPr>
        <w:pStyle w:val="Zkladntext"/>
        <w:jc w:val="both"/>
        <w:rPr>
          <w:sz w:val="22"/>
          <w:szCs w:val="22"/>
          <w:lang w:val="sk-SK"/>
        </w:rPr>
      </w:pPr>
    </w:p>
    <w:p w14:paraId="5CC8AEAC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1.</w:t>
      </w:r>
      <w:r w:rsidRPr="00B12F7A">
        <w:rPr>
          <w:b/>
          <w:sz w:val="22"/>
          <w:szCs w:val="22"/>
          <w:lang w:val="sk-SK"/>
        </w:rPr>
        <w:tab/>
        <w:t>NÁZOV LIEKU</w:t>
      </w:r>
    </w:p>
    <w:p w14:paraId="19E1F1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BF2D145" w14:textId="77777777" w:rsidR="00AF0B1F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TIAPRIDAL</w:t>
      </w:r>
    </w:p>
    <w:p w14:paraId="7D5303AD" w14:textId="77777777" w:rsidR="00764087" w:rsidRDefault="00764087" w:rsidP="00764087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137,90</w:t>
      </w:r>
      <w:r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>/ml</w:t>
      </w:r>
    </w:p>
    <w:p w14:paraId="74C10C37" w14:textId="0D7A6066" w:rsidR="00F16618" w:rsidRPr="00B12F7A" w:rsidRDefault="00AD136C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perorálne kvapky </w:t>
      </w:r>
    </w:p>
    <w:p w14:paraId="2CFE8A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C0C6A3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3547DD4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2.</w:t>
      </w:r>
      <w:r w:rsidRPr="00B12F7A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14:paraId="1B6BF56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7B30E0C" w14:textId="77777777" w:rsidR="00AD136C" w:rsidRDefault="00AD136C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 ml </w:t>
      </w:r>
      <w:r w:rsidR="00C21490">
        <w:rPr>
          <w:sz w:val="22"/>
          <w:szCs w:val="22"/>
          <w:lang w:val="sk-SK"/>
        </w:rPr>
        <w:t xml:space="preserve">perorálnych kvapiek </w:t>
      </w:r>
      <w:r>
        <w:rPr>
          <w:sz w:val="22"/>
          <w:szCs w:val="22"/>
          <w:lang w:val="sk-SK"/>
        </w:rPr>
        <w:t xml:space="preserve">obsahuje </w:t>
      </w:r>
      <w:r w:rsidR="00F16618" w:rsidRPr="00B12F7A">
        <w:rPr>
          <w:sz w:val="22"/>
          <w:szCs w:val="22"/>
          <w:lang w:val="sk-SK"/>
        </w:rPr>
        <w:t>153,21</w:t>
      </w:r>
      <w:r>
        <w:rPr>
          <w:sz w:val="22"/>
          <w:szCs w:val="22"/>
          <w:lang w:val="sk-SK"/>
        </w:rPr>
        <w:t xml:space="preserve"> mg</w:t>
      </w:r>
      <w:r w:rsidR="00F16618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tiapridiumchlorid</w:t>
      </w:r>
      <w:r>
        <w:rPr>
          <w:sz w:val="22"/>
          <w:szCs w:val="22"/>
          <w:lang w:val="sk-SK"/>
        </w:rPr>
        <w:t xml:space="preserve">u </w:t>
      </w:r>
      <w:r w:rsidR="00F16618" w:rsidRPr="00B12F7A">
        <w:rPr>
          <w:sz w:val="22"/>
          <w:szCs w:val="22"/>
          <w:lang w:val="sk-SK"/>
        </w:rPr>
        <w:t xml:space="preserve">(čo zodpovedá 137,90 mg tiapridu). </w:t>
      </w:r>
      <w:r w:rsidR="00764087">
        <w:rPr>
          <w:sz w:val="22"/>
          <w:szCs w:val="22"/>
          <w:lang w:val="sk-SK"/>
        </w:rPr>
        <w:t>1 ml perorálnych kvapiek predstavuje približne 28 kvapiek.</w:t>
      </w:r>
    </w:p>
    <w:p w14:paraId="4B2EA5B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Jedna kvapka obsahuje 5,55 mg tiapridiumchloridu (čo zodpovedá 5,0 mg tiapridu).</w:t>
      </w:r>
    </w:p>
    <w:p w14:paraId="579868F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D00E0B9" w14:textId="739BB5C3" w:rsidR="00E45561" w:rsidRDefault="00E45561" w:rsidP="00F16618">
      <w:pPr>
        <w:rPr>
          <w:sz w:val="22"/>
          <w:szCs w:val="22"/>
          <w:lang w:val="sk-SK"/>
        </w:rPr>
      </w:pPr>
      <w:r w:rsidRPr="00E45561">
        <w:rPr>
          <w:sz w:val="22"/>
          <w:szCs w:val="22"/>
          <w:u w:val="single"/>
          <w:lang w:val="sk-SK"/>
        </w:rPr>
        <w:t>Pomocn</w:t>
      </w:r>
      <w:r w:rsidR="005273EB">
        <w:rPr>
          <w:sz w:val="22"/>
          <w:szCs w:val="22"/>
          <w:u w:val="single"/>
          <w:lang w:val="sk-SK"/>
        </w:rPr>
        <w:t>é</w:t>
      </w:r>
      <w:r w:rsidRPr="00E45561">
        <w:rPr>
          <w:sz w:val="22"/>
          <w:szCs w:val="22"/>
          <w:u w:val="single"/>
          <w:lang w:val="sk-SK"/>
        </w:rPr>
        <w:t xml:space="preserve"> látk</w:t>
      </w:r>
      <w:r w:rsidR="005273EB">
        <w:rPr>
          <w:sz w:val="22"/>
          <w:szCs w:val="22"/>
          <w:u w:val="single"/>
          <w:lang w:val="sk-SK"/>
        </w:rPr>
        <w:t>y</w:t>
      </w:r>
      <w:r w:rsidRPr="00E45561">
        <w:rPr>
          <w:sz w:val="22"/>
          <w:szCs w:val="22"/>
          <w:u w:val="single"/>
          <w:lang w:val="sk-SK"/>
        </w:rPr>
        <w:t xml:space="preserve"> so známym účinkom:</w:t>
      </w:r>
      <w:r>
        <w:rPr>
          <w:sz w:val="22"/>
          <w:szCs w:val="22"/>
          <w:lang w:val="sk-SK"/>
        </w:rPr>
        <w:t xml:space="preserve"> metylparabén, propylparabén</w:t>
      </w:r>
      <w:r w:rsidR="0086524C">
        <w:rPr>
          <w:sz w:val="22"/>
          <w:szCs w:val="22"/>
        </w:rPr>
        <w:t>,</w:t>
      </w:r>
      <w:r w:rsidR="0086524C">
        <w:t xml:space="preserve"> </w:t>
      </w:r>
      <w:r w:rsidR="0086524C">
        <w:rPr>
          <w:sz w:val="22"/>
          <w:szCs w:val="22"/>
        </w:rPr>
        <w:t>1 ml perorálnych kvapiek obsahuje 4,47 mg sodíka</w:t>
      </w:r>
      <w:r w:rsidR="00CD065D">
        <w:rPr>
          <w:sz w:val="22"/>
          <w:szCs w:val="22"/>
          <w:lang w:val="sk-SK"/>
        </w:rPr>
        <w:t>.</w:t>
      </w:r>
    </w:p>
    <w:p w14:paraId="75B9C3C3" w14:textId="77777777" w:rsidR="00E45561" w:rsidRDefault="00E45561" w:rsidP="00F16618">
      <w:pPr>
        <w:rPr>
          <w:sz w:val="22"/>
          <w:szCs w:val="22"/>
          <w:lang w:val="sk-SK"/>
        </w:rPr>
      </w:pPr>
    </w:p>
    <w:p w14:paraId="729816A2" w14:textId="77777777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Úplný zoznam pomocných látok, pozri časť 6.1.</w:t>
      </w:r>
    </w:p>
    <w:p w14:paraId="4FA93C5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A7D8AD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D43FF6C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3.</w:t>
      </w:r>
      <w:r w:rsidRPr="00B12F7A">
        <w:rPr>
          <w:b/>
          <w:sz w:val="22"/>
          <w:szCs w:val="22"/>
          <w:lang w:val="sk-SK"/>
        </w:rPr>
        <w:tab/>
        <w:t>LIEKOVÁ FORMA</w:t>
      </w:r>
    </w:p>
    <w:p w14:paraId="24AA97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F790A87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Perorálne kvapky.</w:t>
      </w:r>
    </w:p>
    <w:p w14:paraId="2195B131" w14:textId="77777777" w:rsidR="00F16618" w:rsidRDefault="00774085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B12F7A">
        <w:rPr>
          <w:sz w:val="22"/>
          <w:szCs w:val="22"/>
          <w:lang w:val="sk-SK"/>
        </w:rPr>
        <w:t xml:space="preserve">íry bezfarebný </w:t>
      </w:r>
      <w:r w:rsidR="00AF0B1F">
        <w:rPr>
          <w:sz w:val="22"/>
          <w:szCs w:val="22"/>
          <w:lang w:val="sk-SK"/>
        </w:rPr>
        <w:t xml:space="preserve">alebo takmer bezfarebný </w:t>
      </w:r>
      <w:r w:rsidRPr="00B12F7A">
        <w:rPr>
          <w:sz w:val="22"/>
          <w:szCs w:val="22"/>
          <w:lang w:val="sk-SK"/>
        </w:rPr>
        <w:t>roztok</w:t>
      </w:r>
      <w:r w:rsidR="00AF0B1F">
        <w:rPr>
          <w:sz w:val="22"/>
          <w:szCs w:val="22"/>
          <w:lang w:val="sk-SK"/>
        </w:rPr>
        <w:t xml:space="preserve"> s citrusovou vôňou</w:t>
      </w:r>
      <w:r w:rsidRPr="00B12F7A">
        <w:rPr>
          <w:sz w:val="22"/>
          <w:szCs w:val="22"/>
          <w:lang w:val="sk-SK"/>
        </w:rPr>
        <w:t>.</w:t>
      </w:r>
    </w:p>
    <w:p w14:paraId="06BB579B" w14:textId="77777777" w:rsidR="00774085" w:rsidRPr="00B12F7A" w:rsidRDefault="00774085" w:rsidP="00F16618">
      <w:pPr>
        <w:pStyle w:val="Zkladntext"/>
        <w:rPr>
          <w:b/>
          <w:sz w:val="22"/>
          <w:szCs w:val="22"/>
          <w:lang w:val="sk-SK"/>
        </w:rPr>
      </w:pPr>
    </w:p>
    <w:p w14:paraId="5C1C8EA1" w14:textId="77777777" w:rsidR="00F16618" w:rsidRPr="00B12F7A" w:rsidRDefault="00F16618" w:rsidP="00F16618">
      <w:pPr>
        <w:pStyle w:val="Zkladntext"/>
        <w:rPr>
          <w:b/>
          <w:sz w:val="22"/>
          <w:szCs w:val="22"/>
          <w:lang w:val="sk-SK"/>
        </w:rPr>
      </w:pPr>
    </w:p>
    <w:p w14:paraId="4E988E9A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4.</w:t>
      </w:r>
      <w:r w:rsidRPr="00B12F7A">
        <w:rPr>
          <w:b/>
          <w:sz w:val="22"/>
          <w:szCs w:val="22"/>
          <w:lang w:val="sk-SK"/>
        </w:rPr>
        <w:tab/>
        <w:t>KLINICKÉ ÚDAJE</w:t>
      </w:r>
    </w:p>
    <w:p w14:paraId="4DA39B29" w14:textId="77777777" w:rsidR="00F16618" w:rsidRPr="00B12F7A" w:rsidRDefault="00F16618" w:rsidP="00774085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u w:val="single"/>
          <w:lang w:val="sk-SK"/>
        </w:rPr>
      </w:pPr>
    </w:p>
    <w:p w14:paraId="18845F58" w14:textId="77777777" w:rsidR="00F16618" w:rsidRPr="00B12F7A" w:rsidRDefault="00F16618" w:rsidP="00774085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Terapeutické indikácie</w:t>
      </w:r>
    </w:p>
    <w:p w14:paraId="294A789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90095CA" w14:textId="77777777" w:rsidR="00F16618" w:rsidRPr="00B12F7A" w:rsidRDefault="00F16618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Poruchy správania v starobe.</w:t>
      </w:r>
    </w:p>
    <w:p w14:paraId="167F3FED" w14:textId="77777777" w:rsidR="00F16618" w:rsidRPr="00B12F7A" w:rsidRDefault="00F16618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Poruchy správania pri chronickom abúze alkoholu.</w:t>
      </w:r>
    </w:p>
    <w:p w14:paraId="2AC41CE6" w14:textId="77777777" w:rsidR="00F16618" w:rsidRPr="00B12F7A" w:rsidRDefault="00610736" w:rsidP="005E1500">
      <w:pPr>
        <w:pStyle w:val="Zkladntext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Závažná chorea pri Huntingtonovej chorobe.</w:t>
      </w:r>
    </w:p>
    <w:p w14:paraId="4095671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E9FC3E7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Dávkovanie a spôsob pod</w:t>
      </w:r>
      <w:r w:rsidR="000A2AAD" w:rsidRPr="00B12F7A">
        <w:rPr>
          <w:b/>
          <w:bCs/>
          <w:sz w:val="22"/>
          <w:szCs w:val="22"/>
          <w:lang w:val="sk-SK"/>
        </w:rPr>
        <w:t>áv</w:t>
      </w:r>
      <w:r w:rsidRPr="00B12F7A">
        <w:rPr>
          <w:b/>
          <w:bCs/>
          <w:sz w:val="22"/>
          <w:szCs w:val="22"/>
          <w:lang w:val="sk-SK"/>
        </w:rPr>
        <w:t>ania</w:t>
      </w:r>
    </w:p>
    <w:p w14:paraId="122B4EC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2793A27" w14:textId="2CC83B21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>Poruchy správania u</w:t>
      </w:r>
      <w:r w:rsidR="00AC1797" w:rsidRPr="00CB0EE1">
        <w:rPr>
          <w:b/>
          <w:sz w:val="22"/>
          <w:szCs w:val="22"/>
          <w:lang w:val="sk-SK"/>
        </w:rPr>
        <w:t> dementných pacientov</w:t>
      </w:r>
      <w:r w:rsidRPr="00CB0EE1">
        <w:rPr>
          <w:b/>
          <w:sz w:val="22"/>
          <w:szCs w:val="22"/>
          <w:lang w:val="sk-SK"/>
        </w:rPr>
        <w:t>:</w:t>
      </w:r>
      <w:r w:rsidRPr="00CB0EE1">
        <w:rPr>
          <w:sz w:val="22"/>
          <w:szCs w:val="22"/>
          <w:lang w:val="sk-SK"/>
        </w:rPr>
        <w:t xml:space="preserve"> 200-400 mg/deň.</w:t>
      </w:r>
    </w:p>
    <w:p w14:paraId="1FB89D32" w14:textId="77777777" w:rsidR="00F16618" w:rsidRPr="00CB0EE1" w:rsidRDefault="00774085" w:rsidP="00F16618">
      <w:pPr>
        <w:pStyle w:val="Zkladntext"/>
        <w:rPr>
          <w:sz w:val="22"/>
          <w:szCs w:val="22"/>
          <w:lang w:val="sk-SK"/>
        </w:rPr>
      </w:pPr>
      <w:r w:rsidRPr="00CB0EE1">
        <w:rPr>
          <w:sz w:val="22"/>
          <w:szCs w:val="22"/>
          <w:lang w:val="sk-SK"/>
        </w:rPr>
        <w:t>Začiatočná</w:t>
      </w:r>
      <w:r w:rsidR="00AD183A" w:rsidRPr="00CB0EE1">
        <w:rPr>
          <w:sz w:val="22"/>
          <w:szCs w:val="22"/>
          <w:lang w:val="sk-SK"/>
        </w:rPr>
        <w:t xml:space="preserve"> </w:t>
      </w:r>
      <w:r w:rsidR="00F16618" w:rsidRPr="00CB0EE1">
        <w:rPr>
          <w:sz w:val="22"/>
          <w:szCs w:val="22"/>
          <w:lang w:val="sk-SK"/>
        </w:rPr>
        <w:t>dávka 50 mg (t.j. 10 kvapiek) dvakrát denne, s postupným zvyšovaním počas 2-3 dní na 100 mg (t.j. 20 kvapiek) 3-krát denne. Maximálna dávka je 400 mg/deň (t.j. 80 kvapiek denne).</w:t>
      </w:r>
    </w:p>
    <w:p w14:paraId="08735565" w14:textId="77777777" w:rsidR="00F16618" w:rsidRPr="00635FF3" w:rsidRDefault="00F16618" w:rsidP="00F16618">
      <w:pPr>
        <w:pStyle w:val="Zkladntext"/>
        <w:rPr>
          <w:sz w:val="22"/>
          <w:szCs w:val="22"/>
          <w:highlight w:val="cyan"/>
          <w:lang w:val="sk-SK"/>
        </w:rPr>
      </w:pPr>
    </w:p>
    <w:p w14:paraId="4B9FA915" w14:textId="77777777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>Poruchy správania pri abstinencii alkoholu:</w:t>
      </w:r>
      <w:r w:rsidRPr="00CB0EE1">
        <w:rPr>
          <w:sz w:val="22"/>
          <w:szCs w:val="22"/>
          <w:lang w:val="sk-SK"/>
        </w:rPr>
        <w:t xml:space="preserve"> 300-400 mg/deň.</w:t>
      </w:r>
    </w:p>
    <w:p w14:paraId="4726569B" w14:textId="77777777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  <w:r w:rsidRPr="00CB0EE1">
        <w:rPr>
          <w:sz w:val="22"/>
          <w:szCs w:val="22"/>
          <w:lang w:val="sk-SK"/>
        </w:rPr>
        <w:t>300-400 mg/deň, t.j. 20 kvapiek 3 až 4 krát denne počas 2 mesiacov.</w:t>
      </w:r>
    </w:p>
    <w:p w14:paraId="24D55931" w14:textId="77777777" w:rsidR="00F16618" w:rsidRPr="00CB0EE1" w:rsidRDefault="00F16618" w:rsidP="00F16618">
      <w:pPr>
        <w:pStyle w:val="Zkladntext"/>
        <w:rPr>
          <w:sz w:val="22"/>
          <w:szCs w:val="22"/>
          <w:lang w:val="sk-SK"/>
        </w:rPr>
      </w:pPr>
    </w:p>
    <w:p w14:paraId="27CB8152" w14:textId="1182E2A1" w:rsidR="00F16618" w:rsidRPr="00B12F7A" w:rsidRDefault="00AC1797" w:rsidP="00F16618">
      <w:pPr>
        <w:pStyle w:val="Zkladntext"/>
        <w:rPr>
          <w:sz w:val="22"/>
          <w:szCs w:val="22"/>
          <w:lang w:val="sk-SK"/>
        </w:rPr>
      </w:pPr>
      <w:r w:rsidRPr="00CB0EE1">
        <w:rPr>
          <w:b/>
          <w:sz w:val="22"/>
          <w:szCs w:val="22"/>
          <w:lang w:val="sk-SK"/>
        </w:rPr>
        <w:t xml:space="preserve">Závažná chorea pri </w:t>
      </w:r>
      <w:r w:rsidR="00F16618" w:rsidRPr="00CB0EE1">
        <w:rPr>
          <w:b/>
          <w:sz w:val="22"/>
          <w:szCs w:val="22"/>
          <w:lang w:val="sk-SK"/>
        </w:rPr>
        <w:t>Huntingtonov</w:t>
      </w:r>
      <w:r w:rsidRPr="00CB0EE1">
        <w:rPr>
          <w:b/>
          <w:sz w:val="22"/>
          <w:szCs w:val="22"/>
          <w:lang w:val="sk-SK"/>
        </w:rPr>
        <w:t>ej</w:t>
      </w:r>
      <w:r w:rsidR="00F16618" w:rsidRPr="00CB0EE1">
        <w:rPr>
          <w:b/>
          <w:sz w:val="22"/>
          <w:szCs w:val="22"/>
          <w:lang w:val="sk-SK"/>
        </w:rPr>
        <w:t xml:space="preserve"> chor</w:t>
      </w:r>
      <w:r w:rsidRPr="00CB0EE1">
        <w:rPr>
          <w:b/>
          <w:sz w:val="22"/>
          <w:szCs w:val="22"/>
          <w:lang w:val="sk-SK"/>
        </w:rPr>
        <w:t>obe</w:t>
      </w:r>
      <w:r w:rsidR="00F16618" w:rsidRPr="00CB0EE1">
        <w:rPr>
          <w:b/>
          <w:sz w:val="22"/>
          <w:szCs w:val="22"/>
          <w:lang w:val="sk-SK"/>
        </w:rPr>
        <w:t>:</w:t>
      </w:r>
      <w:r w:rsidR="00F16618" w:rsidRPr="00CB0EE1">
        <w:rPr>
          <w:sz w:val="22"/>
          <w:szCs w:val="22"/>
          <w:lang w:val="sk-SK"/>
        </w:rPr>
        <w:t xml:space="preserve"> 300-1200 mg/deň</w:t>
      </w:r>
    </w:p>
    <w:p w14:paraId="452CFC6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9DCF966" w14:textId="653CF24F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Pediatrická populácia</w:t>
      </w:r>
    </w:p>
    <w:p w14:paraId="5D58BE68" w14:textId="6E28A6E6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Bežná dávka je 100-150 mg/deň, maximálne 300 mg/deň.</w:t>
      </w:r>
      <w:r w:rsidRPr="00B12F7A">
        <w:rPr>
          <w:b/>
          <w:sz w:val="22"/>
          <w:szCs w:val="22"/>
          <w:lang w:val="sk-SK"/>
        </w:rPr>
        <w:t xml:space="preserve"> </w:t>
      </w:r>
    </w:p>
    <w:p w14:paraId="308D7B64" w14:textId="77777777" w:rsidR="00F16618" w:rsidRPr="00B12F7A" w:rsidRDefault="00F16618" w:rsidP="00F16618">
      <w:pPr>
        <w:rPr>
          <w:sz w:val="22"/>
          <w:szCs w:val="22"/>
          <w:lang w:val="sk-SK"/>
        </w:rPr>
      </w:pPr>
    </w:p>
    <w:p w14:paraId="3EC37C7A" w14:textId="60260542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Porucha funkcie obličiek</w:t>
      </w:r>
    </w:p>
    <w:p w14:paraId="6C8B234B" w14:textId="2DA4A1A0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Dávka sa má znížiť na 75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normálnej dávky u pacientov s klírensom kreatinínu</w:t>
      </w:r>
      <w:r w:rsidRPr="00B12F7A">
        <w:rPr>
          <w:b/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30-60 ml/min, na 50 % normálnej dávky u pacientov s klírensom kreatinínu 10-30 ml/min a na 25 % normálnej dávky u pacientov s klírensom kreatinínu menej ako 10 ml/min.</w:t>
      </w:r>
    </w:p>
    <w:p w14:paraId="17E515FF" w14:textId="77777777" w:rsidR="004E242C" w:rsidRDefault="004E242C" w:rsidP="00F16618">
      <w:pPr>
        <w:rPr>
          <w:b/>
          <w:sz w:val="22"/>
          <w:szCs w:val="22"/>
          <w:lang w:val="sk-SK"/>
        </w:rPr>
      </w:pPr>
    </w:p>
    <w:p w14:paraId="4A899CDF" w14:textId="1FD93924" w:rsidR="004E242C" w:rsidRDefault="004E242C" w:rsidP="00F16618">
      <w:pPr>
        <w:rPr>
          <w:b/>
          <w:sz w:val="22"/>
          <w:szCs w:val="22"/>
          <w:lang w:val="sk-SK"/>
        </w:rPr>
      </w:pPr>
      <w:r w:rsidRPr="00635FF3">
        <w:rPr>
          <w:sz w:val="22"/>
          <w:szCs w:val="22"/>
          <w:u w:val="single"/>
          <w:lang w:val="sk-SK"/>
        </w:rPr>
        <w:t>Porucha funkcie pečene</w:t>
      </w:r>
    </w:p>
    <w:p w14:paraId="1C53EA8F" w14:textId="6C7F875D" w:rsidR="00F16618" w:rsidRPr="00B12F7A" w:rsidRDefault="00F16618" w:rsidP="00F16618">
      <w:pPr>
        <w:rPr>
          <w:sz w:val="22"/>
          <w:szCs w:val="22"/>
          <w:lang w:val="sk-SK"/>
        </w:rPr>
      </w:pPr>
      <w:r w:rsidRPr="00CD5209">
        <w:rPr>
          <w:sz w:val="22"/>
          <w:szCs w:val="22"/>
          <w:lang w:val="sk-SK"/>
        </w:rPr>
        <w:t xml:space="preserve">Liek je </w:t>
      </w:r>
      <w:r w:rsidR="00CD5209" w:rsidRPr="00635FF3">
        <w:rPr>
          <w:sz w:val="22"/>
          <w:szCs w:val="22"/>
          <w:lang w:val="sk-SK"/>
        </w:rPr>
        <w:t>minimálne</w:t>
      </w:r>
      <w:r w:rsidR="002C6A0B">
        <w:rPr>
          <w:sz w:val="22"/>
          <w:szCs w:val="22"/>
          <w:lang w:val="sk-SK"/>
        </w:rPr>
        <w:t xml:space="preserve"> </w:t>
      </w:r>
      <w:r w:rsidRPr="00CD5209">
        <w:rPr>
          <w:sz w:val="22"/>
          <w:szCs w:val="22"/>
          <w:lang w:val="sk-SK"/>
        </w:rPr>
        <w:t>metabolizovaný</w:t>
      </w:r>
      <w:r w:rsidR="00CD5209" w:rsidRPr="00CD5209">
        <w:rPr>
          <w:sz w:val="22"/>
          <w:szCs w:val="22"/>
          <w:lang w:val="sk-SK"/>
        </w:rPr>
        <w:t xml:space="preserve"> v pečeni</w:t>
      </w:r>
      <w:r w:rsidRPr="00CD5209">
        <w:rPr>
          <w:sz w:val="22"/>
          <w:szCs w:val="22"/>
          <w:lang w:val="sk-SK"/>
        </w:rPr>
        <w:t>, preto nie je potrebn</w:t>
      </w:r>
      <w:r w:rsidR="00CD5209" w:rsidRPr="00CD5209">
        <w:rPr>
          <w:sz w:val="22"/>
          <w:szCs w:val="22"/>
          <w:lang w:val="sk-SK"/>
        </w:rPr>
        <w:t>á</w:t>
      </w:r>
      <w:r w:rsidRPr="00CD5209">
        <w:rPr>
          <w:sz w:val="22"/>
          <w:szCs w:val="22"/>
          <w:lang w:val="sk-SK"/>
        </w:rPr>
        <w:t xml:space="preserve"> </w:t>
      </w:r>
      <w:r w:rsidR="00CD5209" w:rsidRPr="00CD5209">
        <w:rPr>
          <w:sz w:val="22"/>
          <w:szCs w:val="22"/>
          <w:lang w:val="sk-SK"/>
        </w:rPr>
        <w:t>redukcia</w:t>
      </w:r>
      <w:r w:rsidRPr="00CD5209">
        <w:rPr>
          <w:sz w:val="22"/>
          <w:szCs w:val="22"/>
          <w:lang w:val="sk-SK"/>
        </w:rPr>
        <w:t xml:space="preserve"> dávky.</w:t>
      </w:r>
    </w:p>
    <w:p w14:paraId="5A5A37B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18DB39" w14:textId="77777777" w:rsidR="00F16618" w:rsidRPr="00B12F7A" w:rsidRDefault="00F16618" w:rsidP="00FD52F8">
      <w:pPr>
        <w:pStyle w:val="Zkladntext"/>
        <w:keepNext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4.3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Kontraindikácie</w:t>
      </w:r>
    </w:p>
    <w:p w14:paraId="1E9EEED4" w14:textId="77777777" w:rsidR="00F16618" w:rsidRPr="00B12F7A" w:rsidRDefault="00F16618" w:rsidP="008A3C59">
      <w:pPr>
        <w:pStyle w:val="Zkladntext"/>
        <w:keepNext/>
        <w:rPr>
          <w:sz w:val="22"/>
          <w:szCs w:val="22"/>
          <w:lang w:val="sk-SK"/>
        </w:rPr>
      </w:pPr>
    </w:p>
    <w:p w14:paraId="523CFBAE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Precitlivenosť na liečivo alebo na </w:t>
      </w:r>
      <w:r w:rsidR="00B12F7A" w:rsidRPr="00B12F7A">
        <w:rPr>
          <w:sz w:val="22"/>
          <w:szCs w:val="22"/>
          <w:lang w:val="sk-SK"/>
        </w:rPr>
        <w:t>ktorúkoľvek</w:t>
      </w:r>
      <w:r w:rsidRPr="00B12F7A">
        <w:rPr>
          <w:sz w:val="22"/>
          <w:szCs w:val="22"/>
          <w:lang w:val="sk-SK"/>
        </w:rPr>
        <w:t xml:space="preserve"> z pomocných látok </w:t>
      </w:r>
      <w:r w:rsidR="00B12F7A" w:rsidRPr="00B12F7A">
        <w:rPr>
          <w:sz w:val="22"/>
          <w:szCs w:val="22"/>
          <w:lang w:val="sk-SK"/>
        </w:rPr>
        <w:t>uvedených v časti 6.1</w:t>
      </w:r>
      <w:r w:rsidRPr="00B12F7A">
        <w:rPr>
          <w:sz w:val="22"/>
          <w:szCs w:val="22"/>
          <w:lang w:val="sk-SK"/>
        </w:rPr>
        <w:t>.</w:t>
      </w:r>
    </w:p>
    <w:p w14:paraId="089012B0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Súčasné prolaktín-dependentné tumory napr. tumor hypofýzy – prolaktinóm a rakovina prsníka. </w:t>
      </w:r>
    </w:p>
    <w:p w14:paraId="1A29A090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Feochromocytóm</w:t>
      </w:r>
      <w:r w:rsidR="00F81BD2">
        <w:rPr>
          <w:sz w:val="22"/>
          <w:szCs w:val="22"/>
          <w:lang w:val="sk-SK"/>
        </w:rPr>
        <w:t>.</w:t>
      </w:r>
    </w:p>
    <w:p w14:paraId="4A0177BF" w14:textId="77777777" w:rsidR="000616E7" w:rsidRDefault="00F16618" w:rsidP="00635FF3">
      <w:pPr>
        <w:numPr>
          <w:ilvl w:val="0"/>
          <w:numId w:val="9"/>
        </w:numPr>
        <w:ind w:left="567" w:hanging="567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Súčasné podávanie s levodopou </w:t>
      </w:r>
      <w:r w:rsidR="00610736" w:rsidRPr="00B12F7A">
        <w:rPr>
          <w:sz w:val="22"/>
          <w:szCs w:val="22"/>
          <w:lang w:val="sk-SK"/>
        </w:rPr>
        <w:t xml:space="preserve">alebo inými dopaminergnými liekmi </w:t>
      </w:r>
      <w:r w:rsidRPr="00B12F7A">
        <w:rPr>
          <w:sz w:val="22"/>
          <w:szCs w:val="22"/>
          <w:lang w:val="sk-SK"/>
        </w:rPr>
        <w:t xml:space="preserve">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4.5)</w:t>
      </w:r>
      <w:r w:rsidR="00F81BD2">
        <w:rPr>
          <w:sz w:val="22"/>
          <w:szCs w:val="22"/>
          <w:lang w:val="sk-SK"/>
        </w:rPr>
        <w:t>.</w:t>
      </w:r>
    </w:p>
    <w:p w14:paraId="355BC68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CDB473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4.4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Osobitné upozornenia a opatrenia pri používaní</w:t>
      </w:r>
    </w:p>
    <w:p w14:paraId="2346CDB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E4F8235" w14:textId="7378F4FE" w:rsidR="00F16618" w:rsidRPr="00B12F7A" w:rsidRDefault="00F16618" w:rsidP="00F16618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sym w:font="Symbol" w:char="F0B7"/>
      </w:r>
      <w:r w:rsidRPr="00B12F7A">
        <w:rPr>
          <w:b/>
          <w:sz w:val="22"/>
          <w:szCs w:val="22"/>
          <w:lang w:val="sk-SK"/>
        </w:rPr>
        <w:tab/>
      </w:r>
      <w:r w:rsidRPr="00B12F7A">
        <w:rPr>
          <w:sz w:val="22"/>
          <w:szCs w:val="22"/>
          <w:lang w:val="sk-SK"/>
        </w:rPr>
        <w:t>Rovnako ako pri iných neuroleptikách, môže sa vyskytnúť neuroleptický malígny syndróm, komplikácia s možnými smrteľnými následkami, charakterizovaný hypertermiou, svalovou rigiditou a autonómnou dysfunkciou</w:t>
      </w:r>
      <w:r w:rsidR="006347F7">
        <w:rPr>
          <w:sz w:val="22"/>
          <w:szCs w:val="22"/>
          <w:lang w:val="sk-SK"/>
        </w:rPr>
        <w:t xml:space="preserve"> (pozri časť 4.8)</w:t>
      </w:r>
      <w:r w:rsidR="006347F7" w:rsidRPr="00E20352">
        <w:rPr>
          <w:sz w:val="22"/>
          <w:szCs w:val="22"/>
          <w:lang w:val="sk-SK"/>
        </w:rPr>
        <w:t>.</w:t>
      </w:r>
      <w:r w:rsidR="006347F7">
        <w:rPr>
          <w:sz w:val="22"/>
          <w:szCs w:val="22"/>
          <w:lang w:val="sk-SK"/>
        </w:rPr>
        <w:t xml:space="preserve"> Zaznamenané boli prípady s atypickými príznakmi ako chýbajúca svalová rigidita alebo hypert</w:t>
      </w:r>
      <w:r w:rsidR="0026594B">
        <w:rPr>
          <w:sz w:val="22"/>
          <w:szCs w:val="22"/>
          <w:lang w:val="sk-SK"/>
        </w:rPr>
        <w:t>ó</w:t>
      </w:r>
      <w:r w:rsidR="006347F7">
        <w:rPr>
          <w:sz w:val="22"/>
          <w:szCs w:val="22"/>
          <w:lang w:val="sk-SK"/>
        </w:rPr>
        <w:t>nia a zníženie horúčky</w:t>
      </w:r>
      <w:r w:rsidRPr="00B12F7A">
        <w:rPr>
          <w:sz w:val="22"/>
          <w:szCs w:val="22"/>
          <w:lang w:val="sk-SK"/>
        </w:rPr>
        <w:t>. V prípade hypertermie neznámeho pôvodu sa má užívanie tiapridu prerušiť.</w:t>
      </w:r>
    </w:p>
    <w:p w14:paraId="7B430E15" w14:textId="7777777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Okrem výnimočných prípadov, tiaprid nemajú užívať pacienti s Parkinsonovou chorobou.</w:t>
      </w:r>
    </w:p>
    <w:p w14:paraId="56802BF2" w14:textId="0EE32F3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Neuroleptiká môžu znižovať prah epileptických záchvatov</w:t>
      </w:r>
      <w:r w:rsidR="00F51065">
        <w:rPr>
          <w:sz w:val="22"/>
          <w:szCs w:val="22"/>
          <w:lang w:val="sk-SK"/>
        </w:rPr>
        <w:t xml:space="preserve"> (pozri časť 4.8)</w:t>
      </w:r>
      <w:r w:rsidR="007E11A3">
        <w:rPr>
          <w:sz w:val="22"/>
          <w:szCs w:val="22"/>
          <w:lang w:val="sk-SK"/>
        </w:rPr>
        <w:t>.</w:t>
      </w:r>
      <w:r w:rsidRPr="00B12F7A">
        <w:rPr>
          <w:sz w:val="22"/>
          <w:szCs w:val="22"/>
          <w:lang w:val="sk-SK"/>
        </w:rPr>
        <w:t xml:space="preserve"> </w:t>
      </w:r>
      <w:r w:rsidR="00F51065">
        <w:rPr>
          <w:sz w:val="22"/>
          <w:szCs w:val="22"/>
          <w:lang w:val="sk-SK"/>
        </w:rPr>
        <w:t>P</w:t>
      </w:r>
      <w:r w:rsidRPr="00B12F7A">
        <w:rPr>
          <w:sz w:val="22"/>
          <w:szCs w:val="22"/>
          <w:lang w:val="sk-SK"/>
        </w:rPr>
        <w:t xml:space="preserve">acienti s epilepsiou majú byť </w:t>
      </w:r>
      <w:r w:rsidR="00F51065">
        <w:rPr>
          <w:sz w:val="22"/>
          <w:szCs w:val="22"/>
          <w:lang w:val="sk-SK"/>
        </w:rPr>
        <w:t xml:space="preserve">preto </w:t>
      </w:r>
      <w:r w:rsidRPr="00B12F7A">
        <w:rPr>
          <w:sz w:val="22"/>
          <w:szCs w:val="22"/>
          <w:lang w:val="sk-SK"/>
        </w:rPr>
        <w:t>počas liečby tiapridom starostlivo monitorovaní.</w:t>
      </w:r>
    </w:p>
    <w:p w14:paraId="0E22C78C" w14:textId="3C970416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V prípade obličkovej insuficiencie sa má </w:t>
      </w:r>
      <w:r w:rsidR="00F51065">
        <w:rPr>
          <w:sz w:val="22"/>
          <w:szCs w:val="22"/>
          <w:lang w:val="sk-SK"/>
        </w:rPr>
        <w:t xml:space="preserve">kvôli možnému riziku bezvedomia v dôsledku predávkovania </w:t>
      </w:r>
      <w:r w:rsidRPr="00B12F7A">
        <w:rPr>
          <w:sz w:val="22"/>
          <w:szCs w:val="22"/>
          <w:lang w:val="sk-SK"/>
        </w:rPr>
        <w:t xml:space="preserve">dávka </w:t>
      </w:r>
      <w:r w:rsidR="00F51065">
        <w:rPr>
          <w:sz w:val="22"/>
          <w:szCs w:val="22"/>
          <w:lang w:val="sk-SK"/>
        </w:rPr>
        <w:t xml:space="preserve">znížiť </w:t>
      </w:r>
      <w:r w:rsidRPr="00B12F7A">
        <w:rPr>
          <w:sz w:val="22"/>
          <w:szCs w:val="22"/>
          <w:lang w:val="sk-SK"/>
        </w:rPr>
        <w:t xml:space="preserve">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4.2</w:t>
      </w:r>
      <w:r w:rsidR="00F51065">
        <w:rPr>
          <w:sz w:val="22"/>
          <w:szCs w:val="22"/>
          <w:lang w:val="sk-SK"/>
        </w:rPr>
        <w:t xml:space="preserve"> a 4.9</w:t>
      </w:r>
      <w:r w:rsidRPr="00B12F7A">
        <w:rPr>
          <w:sz w:val="22"/>
          <w:szCs w:val="22"/>
          <w:lang w:val="sk-SK"/>
        </w:rPr>
        <w:t>).</w:t>
      </w:r>
    </w:p>
    <w:p w14:paraId="674DF729" w14:textId="088485D4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Rovnako ako pri iných neuroleptikách, sa má tiaprid u geriatrických pacientov podávať s veľkou opatrnosťou, kvôli možnému riziku </w:t>
      </w:r>
      <w:r w:rsidR="00F51065">
        <w:rPr>
          <w:sz w:val="22"/>
          <w:szCs w:val="22"/>
          <w:lang w:val="sk-SK"/>
        </w:rPr>
        <w:t>zníženia úrovne vedomia a kómy</w:t>
      </w:r>
      <w:r w:rsidRPr="00B12F7A">
        <w:rPr>
          <w:sz w:val="22"/>
          <w:szCs w:val="22"/>
          <w:lang w:val="sk-SK"/>
        </w:rPr>
        <w:t>.</w:t>
      </w:r>
    </w:p>
    <w:p w14:paraId="350FCDAA" w14:textId="5F0ED494" w:rsidR="004825AF" w:rsidRPr="00B12F7A" w:rsidRDefault="004825AF" w:rsidP="004825AF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Starší pacienti s demenciou</w:t>
      </w:r>
    </w:p>
    <w:p w14:paraId="3A51D092" w14:textId="77777777" w:rsidR="004825AF" w:rsidRPr="00B12F7A" w:rsidRDefault="004825AF" w:rsidP="004825AF">
      <w:pPr>
        <w:tabs>
          <w:tab w:val="left" w:pos="284"/>
          <w:tab w:val="left" w:pos="3969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 starších pacientov s psychózou súvisiacou s demenciou, ktorí sú liečení antipsychotikami, je zvýšené riziko smrti. Analýzy sedemnástich placebom-kontrolovaných</w:t>
      </w:r>
      <w:r w:rsidR="005F72A2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 xml:space="preserve"> štúdií (modálne trvanie 10 týždňov), prevažne u pacientov užívajúcich atypické antipsychotiká, odhalili 1,6 až 1,7-násobne väčšie riziko smrti u pacientov liečených liekmi ako u pacientov liečených placebom. Počas priebehu typickej 10 týždňovej kontrolovanej štúdie nastala smrť u približne 4,5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liekmi liečených pacientov, kým v skupine s placebom nastala u 2,6</w:t>
      </w:r>
      <w:r w:rsidR="00F22C6D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% pacientov. I keď sa príčiny smrti, ku ktorým došlo počas klinických skúšaní s atypickými antipsychotikami líšili, najčastejšie boli buď kardiovaskulárneho (napr. zlyhanie srdca, náhla smrť) alebo infekčného charakteru (napr. pneumónia). Observačné štúdie naznačujú, že podobne ako atypické antipsychotiká, aj liečba s konvenčnými antipsychotikami môže zvyšovať úmrtnosť. Rozsah, v ktorom môžu byť zistenia zvýšenej mortality v observačných štúdiách pripísané antipsychotikám, a nie niektorým vlastnostiam pacientov, nie je jasný. </w:t>
      </w:r>
    </w:p>
    <w:p w14:paraId="6FBB3466" w14:textId="77777777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Užívanie tiapridu u detí nebolo dôsledne sledované. Preto pri predpisovaní lieku deťom je potrebná opatrnosť (</w:t>
      </w:r>
      <w:r w:rsidR="007E5370" w:rsidRPr="00B12F7A">
        <w:rPr>
          <w:sz w:val="22"/>
          <w:szCs w:val="22"/>
          <w:lang w:val="sk-SK"/>
        </w:rPr>
        <w:t xml:space="preserve">pozri časť </w:t>
      </w:r>
      <w:r w:rsidRPr="00B12F7A">
        <w:rPr>
          <w:sz w:val="22"/>
          <w:szCs w:val="22"/>
          <w:lang w:val="sk-SK"/>
        </w:rPr>
        <w:t>4.2).</w:t>
      </w:r>
    </w:p>
    <w:p w14:paraId="7BD61234" w14:textId="56FE254E" w:rsidR="00F16618" w:rsidRPr="00B12F7A" w:rsidRDefault="00F16618" w:rsidP="00F16618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Predĺženie QT intervalu</w:t>
      </w:r>
    </w:p>
    <w:p w14:paraId="5E855D7C" w14:textId="77777777" w:rsidR="00F16618" w:rsidRPr="00B12F7A" w:rsidRDefault="00F16618" w:rsidP="00F16618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Tiaprid môže indukovať predĺženie QT intervalu. Je známe, že tento účinok zvyšuje riziko závažnej ventrikulárnej arytmie, ako je </w:t>
      </w:r>
      <w:r w:rsidRPr="00B12F7A">
        <w:rPr>
          <w:i/>
          <w:sz w:val="22"/>
          <w:szCs w:val="22"/>
          <w:lang w:val="sk-SK"/>
        </w:rPr>
        <w:t>torsade</w:t>
      </w:r>
      <w:r w:rsidR="005E0490" w:rsidRPr="00B12F7A">
        <w:rPr>
          <w:i/>
          <w:sz w:val="22"/>
          <w:szCs w:val="22"/>
          <w:lang w:val="sk-SK"/>
        </w:rPr>
        <w:t>s</w:t>
      </w:r>
      <w:r w:rsidRPr="00B12F7A">
        <w:rPr>
          <w:i/>
          <w:sz w:val="22"/>
          <w:szCs w:val="22"/>
          <w:lang w:val="sk-SK"/>
        </w:rPr>
        <w:t xml:space="preserve"> de pointes</w:t>
      </w:r>
      <w:r w:rsidRPr="00B12F7A">
        <w:rPr>
          <w:sz w:val="22"/>
          <w:szCs w:val="22"/>
          <w:lang w:val="sk-SK"/>
        </w:rPr>
        <w:t xml:space="preserve"> (pozri </w:t>
      </w:r>
      <w:r w:rsidR="007E5370" w:rsidRPr="00B12F7A">
        <w:rPr>
          <w:sz w:val="22"/>
          <w:szCs w:val="22"/>
          <w:lang w:val="sk-SK"/>
        </w:rPr>
        <w:t xml:space="preserve">časť </w:t>
      </w:r>
      <w:r w:rsidRPr="00B12F7A">
        <w:rPr>
          <w:sz w:val="22"/>
          <w:szCs w:val="22"/>
          <w:lang w:val="sk-SK"/>
        </w:rPr>
        <w:t>4.8). Odporúča sa, pred akýmkoľvek podaním, a ak je to možné v súlade s klinickým stavom pacienta, monitorovať faktory, ktoré môžu podporovať výskyt tejto poruchy rytmu ako napríklad:</w:t>
      </w:r>
    </w:p>
    <w:p w14:paraId="3D603CFB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bradykardia, menej ako 55 úderov za minútu</w:t>
      </w:r>
    </w:p>
    <w:p w14:paraId="30104858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elektrolytická nerovnováha, najmä hypokaliémia</w:t>
      </w:r>
    </w:p>
    <w:p w14:paraId="7BB425AB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kongenitálne predĺženie QT intervalu</w:t>
      </w:r>
    </w:p>
    <w:p w14:paraId="4915F8D2" w14:textId="77777777" w:rsidR="00F16618" w:rsidRPr="00B12F7A" w:rsidRDefault="00F16618" w:rsidP="00F16618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- </w:t>
      </w:r>
      <w:r w:rsidRPr="00B12F7A">
        <w:rPr>
          <w:sz w:val="22"/>
          <w:szCs w:val="22"/>
          <w:lang w:val="sk-SK"/>
        </w:rPr>
        <w:tab/>
        <w:t>súbežná liečba liekmi pravdepodobne spôsobujúcimi zjavnú bradykardiu (&lt; 55 úderov/min), elektrolytickú nerovnováhu, zníženú intrakardiálnu kondukciu alebo predĺženie QT intervalu (pozri časť 4.5).</w:t>
      </w:r>
    </w:p>
    <w:p w14:paraId="6AF7791D" w14:textId="77777777" w:rsidR="00F16618" w:rsidRPr="00B12F7A" w:rsidRDefault="00F16618" w:rsidP="00F16618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 sa má predpisovať s opatrnosťou pacientom s pretrvávajúcimi rizikovými faktormi, ktoré môžu predurčovať k predĺženiu QT intervalu.</w:t>
      </w:r>
    </w:p>
    <w:p w14:paraId="32EE2BCC" w14:textId="6EE9FE9E" w:rsidR="000616E7" w:rsidRDefault="00F16618" w:rsidP="00635FF3">
      <w:pPr>
        <w:keepNext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lastRenderedPageBreak/>
        <w:t>Mŕtvica</w:t>
      </w:r>
    </w:p>
    <w:p w14:paraId="7612F810" w14:textId="124BD23B" w:rsidR="000616E7" w:rsidRDefault="00F16618" w:rsidP="00635FF3">
      <w:pPr>
        <w:keepNext/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randomizovaných klinických štúdiách v porovnaní s placebom, vykonaných na populácii starších pacientov s demenciou a liečených niektorými atypickými antipsychotikami sa pozorovalo 3-násobné zvýšenie riz</w:t>
      </w:r>
      <w:r w:rsidR="007E11A3">
        <w:rPr>
          <w:sz w:val="22"/>
          <w:szCs w:val="22"/>
          <w:lang w:val="sk-SK"/>
        </w:rPr>
        <w:t>i</w:t>
      </w:r>
      <w:r w:rsidRPr="00B12F7A">
        <w:rPr>
          <w:sz w:val="22"/>
          <w:szCs w:val="22"/>
          <w:lang w:val="sk-SK"/>
        </w:rPr>
        <w:t>ka cerebrovaskulárnych príhod. Mechanizmus zvýšenia tohto rizika nie je známy. Nemožno vylúčiť zvýšenie rizika pri iných antipsychotikách alebo pri inej populácii pacientov. Tiaprid sa má užívať s opatrnosťou u pacientov s rizikovými faktormi mŕtvice.</w:t>
      </w:r>
    </w:p>
    <w:p w14:paraId="50C37E8A" w14:textId="21D9F913" w:rsidR="004825AF" w:rsidRPr="00B12F7A" w:rsidRDefault="000558DB" w:rsidP="004825AF">
      <w:pPr>
        <w:numPr>
          <w:ilvl w:val="0"/>
          <w:numId w:val="6"/>
        </w:numPr>
        <w:tabs>
          <w:tab w:val="left" w:pos="284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Venózna trombembólia</w:t>
      </w:r>
    </w:p>
    <w:p w14:paraId="76DA505E" w14:textId="77777777" w:rsidR="004825AF" w:rsidRDefault="004825AF" w:rsidP="004825AF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súvislosti s užívaním antipsychotík boli zaznamenané prípady venózne</w:t>
      </w:r>
      <w:r w:rsidR="00FB710F">
        <w:rPr>
          <w:sz w:val="22"/>
          <w:szCs w:val="22"/>
          <w:lang w:val="sk-SK"/>
        </w:rPr>
        <w:t>j trombembólie (VTE)</w:t>
      </w:r>
      <w:r w:rsidRPr="00B12F7A">
        <w:rPr>
          <w:sz w:val="22"/>
          <w:szCs w:val="22"/>
          <w:lang w:val="sk-SK"/>
        </w:rPr>
        <w:t>, niekedy fatálne.</w:t>
      </w:r>
      <w:r w:rsidR="00610736" w:rsidRPr="00B12F7A">
        <w:rPr>
          <w:sz w:val="22"/>
          <w:szCs w:val="22"/>
          <w:lang w:val="sk-SK"/>
        </w:rPr>
        <w:t xml:space="preserve"> Vzhľadom na to, že u pacientov liečených antipsychotikami sú často prítomné získané rizikové faktory pre VTE, musia byť všetky identifikované pred a počas liečby tiapridom a musia sa prijať preventívne opatrenia.</w:t>
      </w:r>
      <w:r w:rsidRPr="00B12F7A">
        <w:rPr>
          <w:sz w:val="22"/>
          <w:szCs w:val="22"/>
          <w:lang w:val="sk-SK"/>
        </w:rPr>
        <w:t xml:space="preserve"> Pri užívaní Tiapridalu u pacientov s rizikovými faktormi pre trombemb</w:t>
      </w:r>
      <w:r w:rsidR="0045780E">
        <w:rPr>
          <w:sz w:val="22"/>
          <w:szCs w:val="22"/>
          <w:lang w:val="sk-SK"/>
        </w:rPr>
        <w:t>óliu</w:t>
      </w:r>
      <w:r w:rsidR="00610736" w:rsidRPr="00B12F7A">
        <w:rPr>
          <w:sz w:val="22"/>
          <w:szCs w:val="22"/>
          <w:lang w:val="sk-SK"/>
        </w:rPr>
        <w:t xml:space="preserve"> je</w:t>
      </w:r>
      <w:r w:rsidRPr="00B12F7A">
        <w:rPr>
          <w:sz w:val="22"/>
          <w:szCs w:val="22"/>
          <w:lang w:val="sk-SK"/>
        </w:rPr>
        <w:t xml:space="preserve"> potrebná opatrnosť (pozri časť 4.8).</w:t>
      </w:r>
    </w:p>
    <w:p w14:paraId="304A16FE" w14:textId="77777777" w:rsidR="00C0796C" w:rsidRDefault="00C0796C" w:rsidP="00C0796C">
      <w:pPr>
        <w:numPr>
          <w:ilvl w:val="0"/>
          <w:numId w:val="6"/>
        </w:numPr>
        <w:tabs>
          <w:tab w:val="left" w:pos="284"/>
          <w:tab w:val="left" w:pos="3969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 prsníka</w:t>
      </w:r>
    </w:p>
    <w:p w14:paraId="2560D708" w14:textId="77777777" w:rsidR="00C0796C" w:rsidRPr="00B12F7A" w:rsidRDefault="00C0796C" w:rsidP="00FD52F8">
      <w:pPr>
        <w:tabs>
          <w:tab w:val="left" w:pos="284"/>
          <w:tab w:val="left" w:pos="3969"/>
        </w:tabs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Tiaprid môže zvyšovať hladiny prolaktínu. Preto je potrebná opatrnosť a pacienti s anamnézou alebo rodinnou anamnézou karcinómu prsníka musia byť počas liečby </w:t>
      </w:r>
      <w:r w:rsidR="00226359">
        <w:rPr>
          <w:sz w:val="22"/>
          <w:szCs w:val="22"/>
          <w:lang w:val="sk-SK"/>
        </w:rPr>
        <w:t xml:space="preserve">tiapridom </w:t>
      </w:r>
      <w:r>
        <w:rPr>
          <w:sz w:val="22"/>
          <w:szCs w:val="22"/>
          <w:lang w:val="sk-SK"/>
        </w:rPr>
        <w:t>dôsledne sledovaní.</w:t>
      </w:r>
    </w:p>
    <w:p w14:paraId="0F260FB2" w14:textId="77777777" w:rsidR="00886DBE" w:rsidRDefault="00886DBE" w:rsidP="00886DBE">
      <w:pPr>
        <w:numPr>
          <w:ilvl w:val="0"/>
          <w:numId w:val="8"/>
        </w:num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súvislosti s antipsychotikami, vrátane tiapridu, sa zaznamenala leukopénia, neutropénia a agranulocytóza. Neobjasnené infekcie alebo horúčka môžu byť prejavom krvných dyskrázií (pozri časť 4.8) a vyžadujú okamžité hematologické vyšetrenie.</w:t>
      </w:r>
    </w:p>
    <w:p w14:paraId="4234E593" w14:textId="77777777" w:rsidR="00E45561" w:rsidRDefault="00E45561" w:rsidP="00E45561">
      <w:pPr>
        <w:rPr>
          <w:sz w:val="22"/>
          <w:szCs w:val="22"/>
          <w:lang w:val="sk-SK"/>
        </w:rPr>
      </w:pPr>
    </w:p>
    <w:p w14:paraId="0257FDF1" w14:textId="4235032D" w:rsidR="00E45561" w:rsidRDefault="00E45561" w:rsidP="00E4556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 Tiapridal perorálne kvapky obsahuje metylparabén a propylparabén, ktoré môžu </w:t>
      </w:r>
      <w:r w:rsidR="008623B0">
        <w:rPr>
          <w:sz w:val="22"/>
          <w:szCs w:val="22"/>
          <w:lang w:val="sk-SK"/>
        </w:rPr>
        <w:t>vyvolať</w:t>
      </w:r>
      <w:r>
        <w:rPr>
          <w:sz w:val="22"/>
          <w:szCs w:val="22"/>
          <w:lang w:val="sk-SK"/>
        </w:rPr>
        <w:t xml:space="preserve"> alergické reakcie (možno oneskorené).</w:t>
      </w:r>
    </w:p>
    <w:p w14:paraId="160F8792" w14:textId="02337B80" w:rsidR="0086524C" w:rsidRPr="00B12F7A" w:rsidRDefault="0086524C" w:rsidP="00E4556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obsahuje menej ako 1 mmol sodíka (23 mg) v 1 ml</w:t>
      </w:r>
      <w:r>
        <w:rPr>
          <w:sz w:val="22"/>
          <w:szCs w:val="22"/>
        </w:rPr>
        <w:t xml:space="preserve"> perorálnych kvapiek</w:t>
      </w:r>
      <w:r>
        <w:rPr>
          <w:sz w:val="22"/>
          <w:szCs w:val="22"/>
          <w:lang w:val="sk-SK"/>
        </w:rPr>
        <w:t>, t.j. v podstate zanedbateľné množstvo sodíka.</w:t>
      </w:r>
    </w:p>
    <w:p w14:paraId="04B5A9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82A8D3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4.5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Liekové a iné interakcie</w:t>
      </w:r>
    </w:p>
    <w:p w14:paraId="237736DB" w14:textId="77777777" w:rsidR="00F16618" w:rsidRPr="00B12F7A" w:rsidRDefault="00F16618" w:rsidP="00F16618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Kontraindikované kombinácie</w:t>
      </w:r>
    </w:p>
    <w:p w14:paraId="2F80449B" w14:textId="77777777" w:rsidR="00610736" w:rsidRPr="00B12F7A" w:rsidRDefault="00610736" w:rsidP="00610736">
      <w:pPr>
        <w:rPr>
          <w:sz w:val="22"/>
          <w:szCs w:val="22"/>
          <w:lang w:val="sk-SK"/>
        </w:rPr>
      </w:pPr>
    </w:p>
    <w:p w14:paraId="66D4A800" w14:textId="77777777" w:rsidR="00D63300" w:rsidRPr="00B12F7A" w:rsidRDefault="003501C0" w:rsidP="00610736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Dopaminergné</w:t>
      </w:r>
      <w:r w:rsidR="00610736" w:rsidRPr="00B12F7A">
        <w:rPr>
          <w:sz w:val="22"/>
          <w:szCs w:val="22"/>
          <w:lang w:val="sk-SK"/>
        </w:rPr>
        <w:t xml:space="preserve"> agonisty, s výnimkou pacientov s Parkinsonovou chorobou (kabergolín, chinagolid), vzhľadom na</w:t>
      </w:r>
      <w:r w:rsidR="00F16618" w:rsidRPr="00B12F7A">
        <w:rPr>
          <w:sz w:val="22"/>
          <w:szCs w:val="22"/>
          <w:lang w:val="sk-SK"/>
        </w:rPr>
        <w:t xml:space="preserve"> recipročný antagonizmus </w:t>
      </w:r>
      <w:r w:rsidR="00610736" w:rsidRPr="00B12F7A">
        <w:rPr>
          <w:sz w:val="22"/>
          <w:szCs w:val="22"/>
          <w:lang w:val="sk-SK"/>
        </w:rPr>
        <w:t>dopaminergných agonistov</w:t>
      </w:r>
      <w:r w:rsidR="00F16618" w:rsidRPr="00B12F7A">
        <w:rPr>
          <w:sz w:val="22"/>
          <w:szCs w:val="22"/>
          <w:lang w:val="sk-SK"/>
        </w:rPr>
        <w:t xml:space="preserve"> a neuroleptík. </w:t>
      </w:r>
    </w:p>
    <w:p w14:paraId="073E02F6" w14:textId="77777777" w:rsidR="00F16618" w:rsidRPr="00B12F7A" w:rsidRDefault="00F16618" w:rsidP="00F16618">
      <w:pPr>
        <w:pStyle w:val="Nadpis1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Neodporúčané kombinácie</w:t>
      </w:r>
    </w:p>
    <w:p w14:paraId="71044D9D" w14:textId="77777777" w:rsidR="00610736" w:rsidRPr="00B12F7A" w:rsidRDefault="00610736" w:rsidP="00F16618">
      <w:pPr>
        <w:pStyle w:val="Zkladntext"/>
        <w:rPr>
          <w:sz w:val="22"/>
          <w:szCs w:val="22"/>
          <w:lang w:val="sk-SK"/>
        </w:rPr>
      </w:pPr>
    </w:p>
    <w:p w14:paraId="4D226D5B" w14:textId="77777777" w:rsidR="00610736" w:rsidRPr="00B12F7A" w:rsidRDefault="00F16618" w:rsidP="00F16618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Alkohol</w:t>
      </w:r>
    </w:p>
    <w:p w14:paraId="3CCA167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Alkohol zvyšuje sedatívny účinok neuroleptík. </w:t>
      </w:r>
      <w:r w:rsidR="00610736" w:rsidRPr="00B12F7A">
        <w:rPr>
          <w:sz w:val="22"/>
          <w:szCs w:val="22"/>
          <w:lang w:val="sk-SK"/>
        </w:rPr>
        <w:t>Vzhľadom na ovplyvnenie pozornosti môže byť nebezpečné viesť vozidlá alebo obsluhovať stroje.</w:t>
      </w:r>
      <w:r w:rsidR="00610736" w:rsidRPr="00B12F7A">
        <w:rPr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Je potrebné predchádzať konzumácii alkoholických nápojov a liekov obsahujúcich alkohol.</w:t>
      </w:r>
    </w:p>
    <w:p w14:paraId="2FCDE931" w14:textId="77777777" w:rsidR="00610736" w:rsidRPr="00B12F7A" w:rsidRDefault="00610736" w:rsidP="00F16618">
      <w:pPr>
        <w:pStyle w:val="Zkladntext"/>
        <w:rPr>
          <w:sz w:val="22"/>
          <w:szCs w:val="22"/>
          <w:lang w:val="sk-SK"/>
        </w:rPr>
      </w:pPr>
    </w:p>
    <w:p w14:paraId="0977DB97" w14:textId="77777777" w:rsidR="00F16618" w:rsidRPr="00B12F7A" w:rsidRDefault="00227481" w:rsidP="00F16618">
      <w:pPr>
        <w:pStyle w:val="Zkladntext"/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</w:t>
      </w:r>
      <w:r w:rsidR="00F16618" w:rsidRPr="00B12F7A">
        <w:rPr>
          <w:i/>
          <w:sz w:val="22"/>
          <w:szCs w:val="22"/>
          <w:lang w:val="sk-SK"/>
        </w:rPr>
        <w:t>iek</w:t>
      </w:r>
      <w:r w:rsidRPr="00B12F7A">
        <w:rPr>
          <w:i/>
          <w:sz w:val="22"/>
          <w:szCs w:val="22"/>
          <w:lang w:val="sk-SK"/>
        </w:rPr>
        <w:t>y</w:t>
      </w:r>
      <w:r w:rsidR="00F16618" w:rsidRPr="00B12F7A">
        <w:rPr>
          <w:i/>
          <w:sz w:val="22"/>
          <w:szCs w:val="22"/>
          <w:lang w:val="sk-SK"/>
        </w:rPr>
        <w:t>, ktoré môžu indukovať torsades de pointes alebo predĺžiť QT interval</w:t>
      </w:r>
    </w:p>
    <w:p w14:paraId="562FDAB7" w14:textId="77777777" w:rsidR="00227481" w:rsidRPr="00B12F7A" w:rsidRDefault="00227481" w:rsidP="00227481">
      <w:pPr>
        <w:tabs>
          <w:tab w:val="left" w:pos="284"/>
        </w:tabs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Antiarytmiká triedy Ia (chinidín, hydrochinidín, disopyramid) a antiarytmiká triedy III (amiodarón, sotalol, dofetilid, ibutilid), niektoré neuroleptiká (sultoprid, pipotiazín, sertindol, veralip</w:t>
      </w:r>
      <w:r w:rsidR="00F50B34">
        <w:rPr>
          <w:sz w:val="22"/>
          <w:szCs w:val="22"/>
          <w:lang w:val="sk-SK"/>
        </w:rPr>
        <w:t>r</w:t>
      </w:r>
      <w:r w:rsidRPr="00B12F7A">
        <w:rPr>
          <w:sz w:val="22"/>
          <w:szCs w:val="22"/>
          <w:lang w:val="sk-SK"/>
        </w:rPr>
        <w:t>id, chlorpromazín, levomepromazín, trifluórperazín, tioridazín, cyamemazín, sulpirid, pimozid, haloperidol, droperidol, flufenazín, pipamperón, flupentixol, zuklopentixol), niektoré antiparazitiká (halofantrín, lumefant</w:t>
      </w:r>
      <w:r w:rsidR="00173A7E" w:rsidRPr="00B12F7A">
        <w:rPr>
          <w:sz w:val="22"/>
          <w:szCs w:val="22"/>
          <w:lang w:val="sk-SK"/>
        </w:rPr>
        <w:t>r</w:t>
      </w:r>
      <w:r w:rsidRPr="00B12F7A">
        <w:rPr>
          <w:sz w:val="22"/>
          <w:szCs w:val="22"/>
          <w:lang w:val="sk-SK"/>
        </w:rPr>
        <w:t>ín, pentamidín), iné lieky: i.v. erytromycín, i.v. spiramycín, moxifloxacín, sparfloxacín, imipramínové antidepresíva, lítium, bepridil, cisaprid, difemanil, mizolastín, i.v. vinkamín.</w:t>
      </w:r>
    </w:p>
    <w:p w14:paraId="04E6746D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180D3A30" w14:textId="77777777" w:rsidR="00227481" w:rsidRPr="00B12F7A" w:rsidRDefault="00227481" w:rsidP="00227481">
      <w:pPr>
        <w:tabs>
          <w:tab w:val="left" w:pos="284"/>
        </w:tabs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Ak je to možné, vysaďte liek, ktorý môže vyvolať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, okrem liekov na liečbu infekcií. Ak nie je možné vyhnúť sa kombinovanej liečbe, pred začatím liečby skontrolujte QT interval a sledujte EKG.</w:t>
      </w:r>
    </w:p>
    <w:p w14:paraId="4E7E0CF1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54C35AA8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Levodopa</w:t>
      </w:r>
    </w:p>
    <w:p w14:paraId="6579C874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Recipročný antagonizmus levodopy a neuroleptík.</w:t>
      </w:r>
    </w:p>
    <w:p w14:paraId="0C0BF9CA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U pacientov s Parkinsonovou chorobou </w:t>
      </w:r>
      <w:r w:rsidR="004E2145" w:rsidRPr="00B12F7A">
        <w:rPr>
          <w:sz w:val="22"/>
          <w:szCs w:val="22"/>
          <w:lang w:val="sk-SK"/>
        </w:rPr>
        <w:t>sa majú použiť</w:t>
      </w:r>
      <w:r w:rsidRPr="00B12F7A">
        <w:rPr>
          <w:sz w:val="22"/>
          <w:szCs w:val="22"/>
          <w:lang w:val="sk-SK"/>
        </w:rPr>
        <w:t xml:space="preserve"> pri každom lieku najnižšie účinné dávky.</w:t>
      </w:r>
    </w:p>
    <w:p w14:paraId="427A6039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6BCA3A21" w14:textId="77777777" w:rsidR="00227481" w:rsidRPr="00B12F7A" w:rsidRDefault="003501C0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Dopaminergné</w:t>
      </w:r>
      <w:r w:rsidR="00227481" w:rsidRPr="00B12F7A">
        <w:rPr>
          <w:i/>
          <w:sz w:val="22"/>
          <w:szCs w:val="22"/>
          <w:lang w:val="sk-SK"/>
        </w:rPr>
        <w:t xml:space="preserve"> agonisty s výnimkou levodopy</w:t>
      </w:r>
      <w:r w:rsidR="00227481" w:rsidRPr="00B12F7A">
        <w:rPr>
          <w:sz w:val="22"/>
          <w:szCs w:val="22"/>
          <w:lang w:val="sk-SK"/>
        </w:rPr>
        <w:t xml:space="preserve"> (</w:t>
      </w:r>
      <w:r w:rsidR="00227481" w:rsidRPr="00B12F7A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amantadín, apomorfín, bromokryptín, entakapón, lizurid, pergolid, piribedil, pramipexol, ropinirol, selegilín) u pacientov s Parkinsonovou chorobou.</w:t>
      </w:r>
    </w:p>
    <w:p w14:paraId="4824F282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Recipročný antagonizmus dopaminergných agonistov a neuroleptík.</w:t>
      </w:r>
    </w:p>
    <w:p w14:paraId="4C783C11" w14:textId="77777777" w:rsidR="00227481" w:rsidRPr="00B12F7A" w:rsidRDefault="003501C0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Dopaminergné</w:t>
      </w:r>
      <w:r w:rsidR="00227481" w:rsidRPr="00B12F7A">
        <w:rPr>
          <w:sz w:val="22"/>
          <w:szCs w:val="22"/>
          <w:lang w:val="sk-SK"/>
        </w:rPr>
        <w:t xml:space="preserve"> agonisty môžu vyvolať alebo zhoršiť psychotické poruchy.</w:t>
      </w:r>
    </w:p>
    <w:p w14:paraId="3BA54605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Ak sa neuroleptickej liečbe nedá vyhnúť u pacientov s Parkinsonovou chorobou liečených dopaminergnými agonistami, musí sa dávka týchto látok postupne znižovať a vysadiť (náhle vysadenie dopaminergných agonistov môže vyvolať neuroleptický malígny syndróm).</w:t>
      </w:r>
    </w:p>
    <w:p w14:paraId="4E7C1298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08E236D3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Metadón</w:t>
      </w:r>
    </w:p>
    <w:p w14:paraId="695DFBD1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ventrikulárnej arytmie, najmä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55925F7C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6B65FABA" w14:textId="77777777" w:rsidR="00227481" w:rsidRPr="00B12F7A" w:rsidRDefault="00227481" w:rsidP="00227481">
      <w:pPr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Kombinácie, ktoré vyžadujú osobitné opatrenia pri používaní</w:t>
      </w:r>
    </w:p>
    <w:p w14:paraId="425093E0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</w:p>
    <w:p w14:paraId="2845DE34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Lieky vyvolávajúce bradykardiu</w:t>
      </w:r>
      <w:r w:rsidRPr="00B12F7A">
        <w:rPr>
          <w:sz w:val="22"/>
          <w:szCs w:val="22"/>
          <w:lang w:val="sk-SK"/>
        </w:rPr>
        <w:t xml:space="preserve"> (najmä antiarytmiká triedy Ia, betablokátory, niektoré antiarytmiká triedy II, niektorí antagonisty vápnika, napr. diltiazem a verapamil, klonidín, guanfacín; srdcové glykozidy, pilokarpín, inhibítory cholínesterázy):</w:t>
      </w:r>
    </w:p>
    <w:p w14:paraId="1B6A44F6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56E46390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Klinické a elektrokardiografické monitorovanie.</w:t>
      </w:r>
    </w:p>
    <w:p w14:paraId="12CC6F1F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47CFA9A4" w14:textId="77777777" w:rsidR="00227481" w:rsidRPr="00B12F7A" w:rsidRDefault="00227481" w:rsidP="00227481">
      <w:pPr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Betablokátory pri zlyhaní srdca (bisoprolol, karvedilol, metoprolol, nebivolol)</w:t>
      </w:r>
    </w:p>
    <w:p w14:paraId="04ABC6F5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 Je nevyhnutné klinické a EKG monitorovanie.</w:t>
      </w:r>
    </w:p>
    <w:p w14:paraId="4CFC5854" w14:textId="77777777" w:rsidR="00227481" w:rsidRPr="00B12F7A" w:rsidRDefault="00227481" w:rsidP="00227481">
      <w:pPr>
        <w:rPr>
          <w:sz w:val="22"/>
          <w:szCs w:val="22"/>
          <w:lang w:val="sk-SK"/>
        </w:rPr>
      </w:pPr>
    </w:p>
    <w:p w14:paraId="07D5789E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Lieky, ktoré indukujú elektrolytickú nerovnováhu, najmä znižujúce hladinu draslíka</w:t>
      </w:r>
      <w:r w:rsidRPr="00B12F7A">
        <w:rPr>
          <w:sz w:val="22"/>
          <w:szCs w:val="22"/>
          <w:lang w:val="sk-SK"/>
        </w:rPr>
        <w:t xml:space="preserve"> (diuretiká znižujúce hladinu draslíka, stimulujúce laxatíva, i.v. amfotericín B, glukokortikoidy, tetrakosaktidy, kosyntropín).</w:t>
      </w:r>
    </w:p>
    <w:p w14:paraId="238100AB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Zvýšené riziko ventrikulárnych arytmií, predovšetkým </w:t>
      </w:r>
      <w:r w:rsidRPr="00B12F7A">
        <w:rPr>
          <w:i/>
          <w:sz w:val="22"/>
          <w:szCs w:val="22"/>
          <w:lang w:val="sk-SK"/>
        </w:rPr>
        <w:t>torsades de pointes</w:t>
      </w:r>
      <w:r w:rsidRPr="00B12F7A">
        <w:rPr>
          <w:sz w:val="22"/>
          <w:szCs w:val="22"/>
          <w:lang w:val="sk-SK"/>
        </w:rPr>
        <w:t>.</w:t>
      </w:r>
    </w:p>
    <w:p w14:paraId="27036D99" w14:textId="77777777" w:rsidR="00227481" w:rsidRPr="00B12F7A" w:rsidRDefault="00227481" w:rsidP="00227481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 začatím liečby tiapridom upravte akúkoľvek hypokaliémiu a zabezpečte klinické pozorovanie, monitorovanie elektrolytov a EKG.</w:t>
      </w:r>
    </w:p>
    <w:p w14:paraId="49905961" w14:textId="77777777" w:rsidR="00DE7440" w:rsidRPr="00B12F7A" w:rsidRDefault="00DE7440" w:rsidP="00F16618">
      <w:pPr>
        <w:rPr>
          <w:sz w:val="22"/>
          <w:szCs w:val="22"/>
          <w:lang w:val="sk-SK"/>
        </w:rPr>
      </w:pPr>
    </w:p>
    <w:p w14:paraId="41C1AD10" w14:textId="77777777" w:rsidR="00F16618" w:rsidRPr="00B12F7A" w:rsidRDefault="00F16618" w:rsidP="008A3C59">
      <w:pPr>
        <w:pStyle w:val="Nadpis1"/>
        <w:keepNext w:val="0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12F7A">
        <w:rPr>
          <w:rFonts w:ascii="Times New Roman" w:hAnsi="Times New Roman"/>
          <w:sz w:val="22"/>
          <w:szCs w:val="22"/>
          <w:lang w:val="sk-SK"/>
        </w:rPr>
        <w:t>Iné kombinácie, ktoré je potrebné vziať do úvahy</w:t>
      </w:r>
    </w:p>
    <w:p w14:paraId="3E191BF3" w14:textId="77777777" w:rsidR="00227481" w:rsidRPr="00B12F7A" w:rsidRDefault="00227481" w:rsidP="00F16618">
      <w:pPr>
        <w:pStyle w:val="Zkladntext"/>
        <w:rPr>
          <w:sz w:val="22"/>
          <w:szCs w:val="22"/>
          <w:lang w:val="sk-SK"/>
        </w:rPr>
      </w:pPr>
    </w:p>
    <w:p w14:paraId="64520AA6" w14:textId="77777777" w:rsidR="00227481" w:rsidRPr="00B12F7A" w:rsidRDefault="00227481" w:rsidP="00227481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Antihypertenzíva (všetky):</w:t>
      </w:r>
    </w:p>
    <w:p w14:paraId="3A6F662F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Antihypertenzívny účinok a zvýšené riziko ortostatickej hypotenzie (prídavný účinok).</w:t>
      </w:r>
    </w:p>
    <w:p w14:paraId="5EAFF7C8" w14:textId="77777777" w:rsidR="00227481" w:rsidRPr="00B12F7A" w:rsidRDefault="00227481" w:rsidP="00227481">
      <w:pPr>
        <w:pStyle w:val="Zkladntext"/>
        <w:rPr>
          <w:sz w:val="22"/>
          <w:szCs w:val="22"/>
          <w:lang w:val="sk-SK"/>
        </w:rPr>
      </w:pPr>
    </w:p>
    <w:p w14:paraId="1FC1A447" w14:textId="77777777" w:rsidR="00227481" w:rsidRPr="008A3C59" w:rsidRDefault="00227481" w:rsidP="00227481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 xml:space="preserve">Iné </w:t>
      </w:r>
      <w:r w:rsidRPr="008A3C59">
        <w:rPr>
          <w:i/>
          <w:sz w:val="22"/>
          <w:szCs w:val="22"/>
          <w:lang w:val="sk-SK"/>
        </w:rPr>
        <w:t>l</w:t>
      </w:r>
      <w:r w:rsidR="00F16618" w:rsidRPr="008A3C59">
        <w:rPr>
          <w:i/>
          <w:sz w:val="22"/>
          <w:szCs w:val="22"/>
          <w:lang w:val="sk-SK"/>
        </w:rPr>
        <w:t xml:space="preserve">ieky znižujúce aktivitu CNS: </w:t>
      </w:r>
    </w:p>
    <w:p w14:paraId="62C7EB7E" w14:textId="77777777" w:rsidR="00F16618" w:rsidRPr="00B12F7A" w:rsidRDefault="00227481" w:rsidP="00227481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Narkotiká</w:t>
      </w:r>
      <w:r w:rsidR="00F16618" w:rsidRPr="00B12F7A">
        <w:rPr>
          <w:sz w:val="22"/>
          <w:szCs w:val="22"/>
          <w:lang w:val="sk-SK"/>
        </w:rPr>
        <w:t xml:space="preserve"> (analgetiká</w:t>
      </w:r>
      <w:r w:rsidRPr="00B12F7A">
        <w:rPr>
          <w:sz w:val="22"/>
          <w:szCs w:val="22"/>
          <w:lang w:val="sk-SK"/>
        </w:rPr>
        <w:t>, </w:t>
      </w:r>
      <w:r w:rsidR="00F16618" w:rsidRPr="00B12F7A">
        <w:rPr>
          <w:sz w:val="22"/>
          <w:szCs w:val="22"/>
          <w:lang w:val="sk-SK"/>
        </w:rPr>
        <w:t>antitusiká</w:t>
      </w:r>
      <w:r w:rsidRPr="00B12F7A">
        <w:rPr>
          <w:sz w:val="22"/>
          <w:szCs w:val="22"/>
          <w:lang w:val="sk-SK"/>
        </w:rPr>
        <w:t xml:space="preserve"> a opioidná substitučná liečba</w:t>
      </w:r>
      <w:r w:rsidR="00F16618" w:rsidRPr="00B12F7A">
        <w:rPr>
          <w:sz w:val="22"/>
          <w:szCs w:val="22"/>
          <w:lang w:val="sk-SK"/>
        </w:rPr>
        <w:t xml:space="preserve">), </w:t>
      </w:r>
      <w:r w:rsidRPr="00B12F7A">
        <w:rPr>
          <w:sz w:val="22"/>
          <w:szCs w:val="22"/>
          <w:lang w:val="sk-SK"/>
        </w:rPr>
        <w:t>sedatívne</w:t>
      </w:r>
      <w:r w:rsidR="00F16618" w:rsidRPr="00B12F7A">
        <w:rPr>
          <w:sz w:val="22"/>
          <w:szCs w:val="22"/>
          <w:lang w:val="sk-SK"/>
        </w:rPr>
        <w:t xml:space="preserve"> H1 antihistamin</w:t>
      </w:r>
      <w:r w:rsidRPr="00B12F7A">
        <w:rPr>
          <w:sz w:val="22"/>
          <w:szCs w:val="22"/>
          <w:lang w:val="sk-SK"/>
        </w:rPr>
        <w:t>iká</w:t>
      </w:r>
      <w:r w:rsidR="00F16618" w:rsidRPr="00B12F7A">
        <w:rPr>
          <w:sz w:val="22"/>
          <w:szCs w:val="22"/>
          <w:lang w:val="sk-SK"/>
        </w:rPr>
        <w:t xml:space="preserve">, barbituráty, </w:t>
      </w:r>
      <w:r w:rsidRPr="00B12F7A">
        <w:rPr>
          <w:sz w:val="22"/>
          <w:szCs w:val="22"/>
          <w:lang w:val="sk-SK"/>
        </w:rPr>
        <w:t xml:space="preserve">benzodiazepíny, iné </w:t>
      </w:r>
      <w:r w:rsidR="00F16618" w:rsidRPr="00B12F7A">
        <w:rPr>
          <w:sz w:val="22"/>
          <w:szCs w:val="22"/>
          <w:lang w:val="sk-SK"/>
        </w:rPr>
        <w:t>nebenzodiazepínové anxiolytiká,</w:t>
      </w:r>
      <w:r w:rsidRPr="00B12F7A">
        <w:rPr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hypnotiká, neuroleptiká, sedatívne antidepresíva (amitriptylín, doxepín, mianserín, mirtazapín, trimipramín), centrálne účinkujúce antihypertenzíva; iné lieky: baklofen, talidomid, pizotifén,</w:t>
      </w:r>
      <w:r w:rsidR="00F16618" w:rsidRPr="00B12F7A">
        <w:rPr>
          <w:sz w:val="22"/>
          <w:szCs w:val="22"/>
          <w:lang w:val="sk-SK"/>
        </w:rPr>
        <w:t xml:space="preserve"> klonidín a odvodené látky.</w:t>
      </w:r>
    </w:p>
    <w:p w14:paraId="2AA2275A" w14:textId="77777777" w:rsidR="00261C9F" w:rsidRPr="00B12F7A" w:rsidRDefault="00261C9F" w:rsidP="00261C9F">
      <w:pPr>
        <w:pStyle w:val="Zkladntext"/>
        <w:rPr>
          <w:rStyle w:val="longtext"/>
          <w:sz w:val="22"/>
          <w:szCs w:val="22"/>
          <w:shd w:val="clear" w:color="auto" w:fill="FFFFFF"/>
          <w:lang w:val="sk-SK"/>
        </w:rPr>
      </w:pPr>
      <w:r w:rsidRPr="00B12F7A">
        <w:rPr>
          <w:rStyle w:val="longtext"/>
          <w:sz w:val="22"/>
          <w:szCs w:val="22"/>
          <w:shd w:val="clear" w:color="auto" w:fill="FFFFFF"/>
          <w:lang w:val="sk-SK"/>
        </w:rPr>
        <w:t xml:space="preserve">Zvýšenie centrálnej depresie. Znížená pozornosť môže spôsobiť nebezpečenstvo pri vedení vozidiel a obsluhe strojov. </w:t>
      </w:r>
    </w:p>
    <w:p w14:paraId="29CC74B9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23A6AC8F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Betablokátory</w:t>
      </w:r>
      <w:r w:rsidRPr="00B12F7A">
        <w:rPr>
          <w:sz w:val="22"/>
          <w:szCs w:val="22"/>
          <w:lang w:val="sk-SK"/>
        </w:rPr>
        <w:t xml:space="preserve"> (s výnimkou esmololu, sotalolu a betablokátorov používaných pri zlyhaní srdca)</w:t>
      </w:r>
    </w:p>
    <w:p w14:paraId="4C36AB23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Vazodilatačný účinok a riziko hypotenzie, najmä posturálna hypotenzia (prídavný účinok).</w:t>
      </w:r>
    </w:p>
    <w:p w14:paraId="6850389A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68985272" w14:textId="77777777" w:rsidR="00261C9F" w:rsidRPr="00B12F7A" w:rsidRDefault="00261C9F" w:rsidP="00261C9F">
      <w:pPr>
        <w:pStyle w:val="Zkladntext"/>
        <w:rPr>
          <w:i/>
          <w:sz w:val="22"/>
          <w:szCs w:val="22"/>
          <w:lang w:val="sk-SK"/>
        </w:rPr>
      </w:pPr>
      <w:r w:rsidRPr="00B12F7A">
        <w:rPr>
          <w:i/>
          <w:sz w:val="22"/>
          <w:szCs w:val="22"/>
          <w:lang w:val="sk-SK"/>
        </w:rPr>
        <w:t>Nitrátové deriváty a príbuzné látky</w:t>
      </w:r>
    </w:p>
    <w:p w14:paraId="369FCBD6" w14:textId="77777777" w:rsidR="00B31F7E" w:rsidRDefault="007016F2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Riziko hypotenzie, najmä posturálna hypotenzia.</w:t>
      </w:r>
    </w:p>
    <w:p w14:paraId="2B5BA437" w14:textId="77777777" w:rsidR="007016F2" w:rsidRPr="00B12F7A" w:rsidRDefault="007016F2" w:rsidP="00F16618">
      <w:pPr>
        <w:pStyle w:val="Zkladntext"/>
        <w:rPr>
          <w:sz w:val="22"/>
          <w:szCs w:val="22"/>
          <w:lang w:val="sk-SK"/>
        </w:rPr>
      </w:pPr>
    </w:p>
    <w:p w14:paraId="75B792CA" w14:textId="77777777" w:rsidR="000616E7" w:rsidRDefault="00F16618" w:rsidP="00635FF3">
      <w:pPr>
        <w:pStyle w:val="Zkladntext"/>
        <w:keepNext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4.6</w:t>
      </w:r>
      <w:r w:rsidR="00D112B1">
        <w:rPr>
          <w:b/>
          <w:bCs/>
          <w:sz w:val="22"/>
          <w:szCs w:val="22"/>
          <w:lang w:val="sk-SK"/>
        </w:rPr>
        <w:tab/>
      </w:r>
      <w:r w:rsidR="00BD4078">
        <w:rPr>
          <w:b/>
          <w:bCs/>
          <w:sz w:val="22"/>
          <w:szCs w:val="22"/>
          <w:lang w:val="sk-SK"/>
        </w:rPr>
        <w:t xml:space="preserve">Fertilita, </w:t>
      </w:r>
      <w:r w:rsidR="00BD4078">
        <w:rPr>
          <w:b/>
          <w:sz w:val="22"/>
          <w:szCs w:val="22"/>
          <w:lang w:val="sk-SK"/>
        </w:rPr>
        <w:t>g</w:t>
      </w:r>
      <w:r w:rsidRPr="00B12F7A">
        <w:rPr>
          <w:b/>
          <w:sz w:val="22"/>
          <w:szCs w:val="22"/>
          <w:lang w:val="sk-SK"/>
        </w:rPr>
        <w:t>ravidita a laktácia</w:t>
      </w:r>
    </w:p>
    <w:p w14:paraId="1E875428" w14:textId="77777777" w:rsidR="000616E7" w:rsidRDefault="000616E7" w:rsidP="00635FF3">
      <w:pPr>
        <w:pStyle w:val="Zkladntext"/>
        <w:keepNext/>
        <w:rPr>
          <w:sz w:val="22"/>
          <w:szCs w:val="22"/>
          <w:u w:val="single"/>
          <w:lang w:val="sk-SK"/>
        </w:rPr>
      </w:pPr>
    </w:p>
    <w:p w14:paraId="48B45746" w14:textId="77777777" w:rsidR="000616E7" w:rsidRDefault="00F16618" w:rsidP="00635FF3">
      <w:pPr>
        <w:pStyle w:val="Zkladntext"/>
        <w:keepNext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Gravidita</w:t>
      </w:r>
    </w:p>
    <w:p w14:paraId="498502FA" w14:textId="77777777" w:rsidR="00261C9F" w:rsidRPr="008A3C59" w:rsidRDefault="00261C9F" w:rsidP="00261C9F">
      <w:pPr>
        <w:pStyle w:val="Zkladntext"/>
        <w:rPr>
          <w:sz w:val="22"/>
          <w:szCs w:val="22"/>
          <w:lang w:val="sk-SK"/>
        </w:rPr>
      </w:pPr>
      <w:r w:rsidRPr="008A3C59">
        <w:rPr>
          <w:sz w:val="22"/>
          <w:szCs w:val="22"/>
          <w:lang w:val="sk-SK"/>
        </w:rPr>
        <w:t xml:space="preserve">V prípade, že je liečba potrebná na udržanie správnej duševnej rovnováhy a zabránenie dekompenzácie, musí sa počas tehotenstva začať alebo pokračovať v účinnom dávkovaní. </w:t>
      </w:r>
    </w:p>
    <w:p w14:paraId="0ED015E7" w14:textId="77777777" w:rsidR="00F16618" w:rsidRPr="00B12F7A" w:rsidRDefault="00261C9F" w:rsidP="00261C9F">
      <w:pPr>
        <w:pStyle w:val="Nadpis3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K dispozícii sú limitované klinické údaje o gravidných ženách vystavených účinku tiapridu. </w:t>
      </w:r>
    </w:p>
    <w:p w14:paraId="5FE4F3AA" w14:textId="77777777" w:rsidR="00886DBE" w:rsidRPr="00B12F7A" w:rsidRDefault="00F16618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Štúdie na zvieratách nepreukázali priame alebo nepriame škodlivé účinky na graviditu, embryonálny/fetálny vývoj, pôrod alebo postnatálny vývoj.</w:t>
      </w:r>
    </w:p>
    <w:p w14:paraId="6D64BC2A" w14:textId="77777777" w:rsidR="00261C9F" w:rsidRPr="00B12F7A" w:rsidRDefault="00F16618" w:rsidP="008A3C59">
      <w:pPr>
        <w:pStyle w:val="Nadpis3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</w:p>
    <w:p w14:paraId="4C937751" w14:textId="77777777" w:rsidR="00A80BD3" w:rsidRDefault="00A80BD3" w:rsidP="00A80B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Novorodenci, vystavení pôsobeniu antipsychotík (vrátane tiapridu) počas tretieho trimestra gravidity matky, sú vystavení riziku nežiaducich účinkov vrátane extrapyramidálnych príznakov a/alebo syndrómu z vysadenia, ktoré môžu byť premenlivé čo sa týka závažnosti a dĺžky trvania po pôrode (pozri časť 4.8). Boli hlásené prípady agitovanosti, hypertónie, hypotónie, trasu, ospalosti, dýchacích ťažkostí alebo porúch kŕmenia. V dôsledku toho majú byť novorodenci starostlivo sledovaní.</w:t>
      </w:r>
    </w:p>
    <w:p w14:paraId="5055332B" w14:textId="77777777" w:rsidR="00AC4650" w:rsidRPr="00B12F7A" w:rsidRDefault="00AC4650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6F98E32B" w14:textId="77777777" w:rsidR="00300897" w:rsidRPr="00FD52F8" w:rsidRDefault="00300897" w:rsidP="00F16618">
      <w:pPr>
        <w:pStyle w:val="Zkladntext3"/>
        <w:spacing w:after="0"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Dojčenie</w:t>
      </w:r>
    </w:p>
    <w:p w14:paraId="574FCDB3" w14:textId="77777777" w:rsidR="00F16618" w:rsidRPr="00B12F7A" w:rsidRDefault="00F16618" w:rsidP="00F16618">
      <w:pPr>
        <w:pStyle w:val="Zkladntext3"/>
        <w:spacing w:after="0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Štúdie na zvieratách preukázali vylučovanie tiapridu do materského mlieka. Nie je známe, či sa tiaprid vylučuje do materského mlieka u ľudí. Dojčenie sa počas liečby neodporúča.</w:t>
      </w:r>
    </w:p>
    <w:p w14:paraId="2B932737" w14:textId="77777777" w:rsidR="00261C9F" w:rsidRPr="00B12F7A" w:rsidRDefault="00261C9F" w:rsidP="00261C9F">
      <w:pPr>
        <w:pStyle w:val="Zkladntext"/>
        <w:rPr>
          <w:sz w:val="22"/>
          <w:szCs w:val="22"/>
          <w:lang w:val="sk-SK"/>
        </w:rPr>
      </w:pPr>
    </w:p>
    <w:p w14:paraId="475444FE" w14:textId="77777777" w:rsidR="00261C9F" w:rsidRPr="00FD52F8" w:rsidRDefault="00261C9F" w:rsidP="008A3C59">
      <w:pPr>
        <w:pStyle w:val="Zkladntext"/>
        <w:keepNext/>
        <w:rPr>
          <w:sz w:val="22"/>
          <w:szCs w:val="22"/>
          <w:u w:val="single"/>
          <w:lang w:val="sk-SK"/>
        </w:rPr>
      </w:pPr>
      <w:r w:rsidRPr="00FD52F8">
        <w:rPr>
          <w:sz w:val="22"/>
          <w:szCs w:val="22"/>
          <w:u w:val="single"/>
          <w:lang w:val="sk-SK"/>
        </w:rPr>
        <w:t>Fertilita</w:t>
      </w:r>
    </w:p>
    <w:p w14:paraId="06E7A037" w14:textId="77777777" w:rsidR="00261C9F" w:rsidRPr="00B12F7A" w:rsidRDefault="00DF4ACD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Na zvieratách sa pozorovalo zníženie plodnosti súvisiace s farmakologickým účinkom lieku (nepriamy prolaktínový účinok).</w:t>
      </w:r>
    </w:p>
    <w:p w14:paraId="7EFA0C95" w14:textId="77777777" w:rsidR="00261C9F" w:rsidRPr="00B12F7A" w:rsidRDefault="00261C9F" w:rsidP="00261C9F">
      <w:pPr>
        <w:pStyle w:val="Nadpis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B12F7A">
        <w:rPr>
          <w:rFonts w:ascii="Times New Roman" w:hAnsi="Times New Roman" w:cs="Times New Roman"/>
          <w:b w:val="0"/>
          <w:sz w:val="22"/>
          <w:szCs w:val="22"/>
          <w:lang w:val="sk-SK"/>
        </w:rPr>
        <w:t>U ľudí môže podávanie tiapridu vzhľadom na interakciu s dopamínovými receptormi spôsobiť hyperprolaktinémiu, ktorá môže byť spojená s amenoreou, anovuláciou a zhoršenou fertilitou (pozri časť 4.8).</w:t>
      </w:r>
    </w:p>
    <w:p w14:paraId="59C1AF95" w14:textId="77777777" w:rsidR="00AC4650" w:rsidRPr="00B12F7A" w:rsidRDefault="00AC4650" w:rsidP="00F16618">
      <w:pPr>
        <w:pStyle w:val="Zkladntext"/>
        <w:rPr>
          <w:sz w:val="22"/>
          <w:szCs w:val="22"/>
          <w:lang w:val="sk-SK"/>
        </w:rPr>
      </w:pPr>
    </w:p>
    <w:p w14:paraId="7679BFEA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4.7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37C47D9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8125D2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Aj pri odporúčaných dávkach môže tiaprid pôsobiť upokojujúco a to môže zhoršiť schopnosť viesť vozidlá a obsluhovať stroje (pozri časť 4.8).</w:t>
      </w:r>
    </w:p>
    <w:p w14:paraId="438B5D9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492DA00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4.8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Nežiaduce účinky</w:t>
      </w:r>
    </w:p>
    <w:p w14:paraId="20C211E9" w14:textId="77777777" w:rsidR="00F16618" w:rsidRPr="00B12F7A" w:rsidRDefault="00F16618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5035DE4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Nežiaduce účinky boli zoradené podľa frekvencie výskytu použitím nasledujúcej konvencie: veľmi časté (≥ 1/10); časté (≥ 1/100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1/10); menej časté (≥ 1/1</w:t>
      </w:r>
      <w:r w:rsidR="001C7863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1/100); zriedkavé (≥ 1/10</w:t>
      </w:r>
      <w:r w:rsidR="00455F54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</w:t>
      </w:r>
      <w:r w:rsidR="00E17C58" w:rsidRPr="00B12F7A">
        <w:rPr>
          <w:sz w:val="22"/>
          <w:szCs w:val="22"/>
          <w:lang w:val="sk-SK"/>
        </w:rPr>
        <w:t xml:space="preserve"> až</w:t>
      </w:r>
      <w:r w:rsidRPr="00B12F7A">
        <w:rPr>
          <w:sz w:val="22"/>
          <w:szCs w:val="22"/>
          <w:lang w:val="sk-SK"/>
        </w:rPr>
        <w:t xml:space="preserve"> &lt; 1/1</w:t>
      </w:r>
      <w:r w:rsidR="001C7863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000); veľmi zriedkavé (&lt; 1/10</w:t>
      </w:r>
      <w:r w:rsidR="00455F54" w:rsidRPr="00B12F7A">
        <w:rPr>
          <w:sz w:val="22"/>
          <w:szCs w:val="22"/>
          <w:lang w:val="sk-SK"/>
        </w:rPr>
        <w:t xml:space="preserve"> </w:t>
      </w:r>
      <w:r w:rsidRPr="00B12F7A">
        <w:rPr>
          <w:sz w:val="22"/>
          <w:szCs w:val="22"/>
          <w:lang w:val="sk-SK"/>
        </w:rPr>
        <w:t>000), neznáme (z dostupných údajov).</w:t>
      </w:r>
    </w:p>
    <w:p w14:paraId="74A8ACC0" w14:textId="77777777" w:rsidR="006C6D9F" w:rsidRPr="00635FF3" w:rsidRDefault="006C6D9F" w:rsidP="005C0F4C">
      <w:pPr>
        <w:rPr>
          <w:sz w:val="22"/>
          <w:szCs w:val="22"/>
          <w:lang w:val="sk-SK"/>
        </w:rPr>
      </w:pPr>
    </w:p>
    <w:p w14:paraId="05F835D1" w14:textId="77777777" w:rsidR="005C0F4C" w:rsidRPr="00635FF3" w:rsidRDefault="005C0F4C" w:rsidP="005C0F4C">
      <w:pPr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krvi a lymfatického systému:</w:t>
      </w:r>
    </w:p>
    <w:p w14:paraId="1E355457" w14:textId="77777777" w:rsidR="005C0F4C" w:rsidRPr="00635FF3" w:rsidRDefault="008A042A" w:rsidP="00E70812">
      <w:pPr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</w:t>
      </w:r>
      <w:r w:rsidR="005C0F4C" w:rsidRPr="00635FF3">
        <w:rPr>
          <w:i/>
          <w:sz w:val="22"/>
          <w:szCs w:val="22"/>
          <w:lang w:val="sk-SK"/>
        </w:rPr>
        <w:t>:</w:t>
      </w:r>
      <w:r w:rsidR="005C0F4C" w:rsidRPr="00635FF3">
        <w:rPr>
          <w:sz w:val="22"/>
          <w:szCs w:val="22"/>
          <w:lang w:val="sk-SK"/>
        </w:rPr>
        <w:tab/>
        <w:t>leukopénia, neutropénia</w:t>
      </w:r>
      <w:r w:rsidR="00B472FA" w:rsidRPr="00635FF3">
        <w:rPr>
          <w:sz w:val="22"/>
          <w:szCs w:val="22"/>
          <w:lang w:val="sk-SK"/>
        </w:rPr>
        <w:t>,</w:t>
      </w:r>
      <w:r w:rsidR="005C0F4C" w:rsidRPr="00635FF3">
        <w:rPr>
          <w:sz w:val="22"/>
          <w:szCs w:val="22"/>
          <w:lang w:val="sk-SK"/>
        </w:rPr>
        <w:t xml:space="preserve"> </w:t>
      </w:r>
      <w:r w:rsidR="00B472FA" w:rsidRPr="00635FF3">
        <w:rPr>
          <w:sz w:val="22"/>
          <w:szCs w:val="22"/>
          <w:lang w:val="sk-SK"/>
        </w:rPr>
        <w:t xml:space="preserve">agranulocytóza </w:t>
      </w:r>
      <w:r w:rsidR="005C0F4C" w:rsidRPr="00635FF3">
        <w:rPr>
          <w:sz w:val="22"/>
          <w:szCs w:val="22"/>
          <w:lang w:val="sk-SK"/>
        </w:rPr>
        <w:t>(pozri časť 4.4).</w:t>
      </w:r>
    </w:p>
    <w:p w14:paraId="08FED34F" w14:textId="77777777" w:rsidR="00F16618" w:rsidRPr="00635FF3" w:rsidRDefault="00F16618" w:rsidP="00F16618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2FD39DE" w14:textId="77777777" w:rsidR="00F16618" w:rsidRPr="00635FF3" w:rsidRDefault="00F16618" w:rsidP="00F16618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endokrinného systému</w:t>
      </w:r>
      <w:r w:rsidR="00DE7231" w:rsidRPr="00635FF3">
        <w:rPr>
          <w:sz w:val="22"/>
          <w:szCs w:val="22"/>
          <w:lang w:val="sk-SK"/>
        </w:rPr>
        <w:t>:</w:t>
      </w:r>
    </w:p>
    <w:p w14:paraId="37A1CE05" w14:textId="52F767B6" w:rsidR="002E342E" w:rsidRPr="00635FF3" w:rsidRDefault="002E342E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</w:t>
      </w:r>
      <w:r w:rsidR="00F16618" w:rsidRPr="00635FF3">
        <w:rPr>
          <w:i/>
          <w:sz w:val="22"/>
          <w:szCs w:val="22"/>
          <w:lang w:val="sk-SK"/>
        </w:rPr>
        <w:t>asté:</w:t>
      </w:r>
      <w:r w:rsidR="00F16618" w:rsidRPr="00635FF3">
        <w:rPr>
          <w:sz w:val="22"/>
          <w:szCs w:val="22"/>
          <w:lang w:val="sk-SK"/>
        </w:rPr>
        <w:tab/>
      </w:r>
      <w:r w:rsidR="00055156" w:rsidRPr="00635FF3">
        <w:rPr>
          <w:sz w:val="22"/>
          <w:szCs w:val="22"/>
          <w:lang w:val="sk-SK"/>
        </w:rPr>
        <w:t>t</w:t>
      </w:r>
      <w:r w:rsidR="00DE7231" w:rsidRPr="00635FF3">
        <w:rPr>
          <w:sz w:val="22"/>
          <w:szCs w:val="22"/>
          <w:lang w:val="sk-SK"/>
        </w:rPr>
        <w:t>iaprid s</w:t>
      </w:r>
      <w:r w:rsidR="00982AF5" w:rsidRPr="00635FF3">
        <w:rPr>
          <w:sz w:val="22"/>
          <w:szCs w:val="22"/>
          <w:lang w:val="sk-SK"/>
        </w:rPr>
        <w:t>p</w:t>
      </w:r>
      <w:r w:rsidR="00DE7231" w:rsidRPr="00635FF3">
        <w:rPr>
          <w:sz w:val="22"/>
          <w:szCs w:val="22"/>
          <w:lang w:val="sk-SK"/>
        </w:rPr>
        <w:t>ôsobuje zvýšenie plazmatických hladín prolaktínu, ktoré sa upravia po vysadení lieku</w:t>
      </w:r>
      <w:r w:rsidR="00982AF5" w:rsidRPr="00635FF3">
        <w:rPr>
          <w:sz w:val="22"/>
          <w:szCs w:val="22"/>
          <w:lang w:val="sk-SK"/>
        </w:rPr>
        <w:t>.</w:t>
      </w:r>
      <w:r w:rsidR="00DE7231" w:rsidRPr="00635FF3">
        <w:rPr>
          <w:sz w:val="22"/>
          <w:szCs w:val="22"/>
          <w:lang w:val="sk-SK"/>
        </w:rPr>
        <w:t xml:space="preserve"> </w:t>
      </w:r>
    </w:p>
    <w:p w14:paraId="55695D86" w14:textId="1A7578A8" w:rsidR="00F16618" w:rsidRPr="00635FF3" w:rsidRDefault="002E342E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Pr="00635FF3">
        <w:rPr>
          <w:i/>
          <w:sz w:val="22"/>
          <w:szCs w:val="22"/>
          <w:lang w:val="sk-SK"/>
        </w:rPr>
        <w:tab/>
      </w:r>
      <w:r w:rsidR="00F81BD2" w:rsidRPr="00635FF3">
        <w:rPr>
          <w:sz w:val="22"/>
          <w:szCs w:val="22"/>
          <w:lang w:val="sk-SK"/>
        </w:rPr>
        <w:t>H</w:t>
      </w:r>
      <w:r w:rsidR="00261C9F" w:rsidRPr="00635FF3">
        <w:rPr>
          <w:sz w:val="22"/>
          <w:szCs w:val="22"/>
          <w:lang w:val="sk-SK"/>
        </w:rPr>
        <w:t>yperprolaktinémia</w:t>
      </w:r>
      <w:r w:rsidR="00982AF5" w:rsidRPr="00635FF3">
        <w:rPr>
          <w:sz w:val="22"/>
          <w:szCs w:val="22"/>
          <w:lang w:val="sk-SK"/>
        </w:rPr>
        <w:t xml:space="preserve"> </w:t>
      </w:r>
      <w:r w:rsidR="00F16618" w:rsidRPr="00635FF3">
        <w:rPr>
          <w:sz w:val="22"/>
          <w:szCs w:val="22"/>
          <w:lang w:val="sk-SK"/>
        </w:rPr>
        <w:t xml:space="preserve">môže </w:t>
      </w:r>
      <w:r w:rsidR="00261C9F" w:rsidRPr="00635FF3">
        <w:rPr>
          <w:sz w:val="22"/>
          <w:szCs w:val="22"/>
          <w:lang w:val="sk-SK"/>
        </w:rPr>
        <w:t xml:space="preserve">v niektorých prípadoch </w:t>
      </w:r>
      <w:r w:rsidR="00F16618" w:rsidRPr="00635FF3">
        <w:rPr>
          <w:sz w:val="22"/>
          <w:szCs w:val="22"/>
          <w:lang w:val="sk-SK"/>
        </w:rPr>
        <w:t xml:space="preserve">vyústiť do galaktorey, amenorey, gynekomastie, </w:t>
      </w:r>
      <w:r w:rsidR="008A042A" w:rsidRPr="00635FF3">
        <w:rPr>
          <w:sz w:val="22"/>
          <w:szCs w:val="22"/>
          <w:lang w:val="sk-SK"/>
        </w:rPr>
        <w:t>zväčšenia</w:t>
      </w:r>
      <w:r w:rsidR="008562DD" w:rsidRPr="00635FF3">
        <w:rPr>
          <w:sz w:val="22"/>
          <w:szCs w:val="22"/>
          <w:lang w:val="sk-SK"/>
        </w:rPr>
        <w:t xml:space="preserve"> a </w:t>
      </w:r>
      <w:r w:rsidR="008A042A" w:rsidRPr="00635FF3">
        <w:rPr>
          <w:sz w:val="22"/>
          <w:szCs w:val="22"/>
          <w:lang w:val="sk-SK"/>
        </w:rPr>
        <w:t>bolesti</w:t>
      </w:r>
      <w:r w:rsidR="008562DD" w:rsidRPr="00635FF3">
        <w:rPr>
          <w:sz w:val="22"/>
          <w:szCs w:val="22"/>
          <w:lang w:val="sk-SK"/>
        </w:rPr>
        <w:t xml:space="preserve"> prsníkov</w:t>
      </w:r>
      <w:r w:rsidR="008A042A" w:rsidRPr="00635FF3">
        <w:rPr>
          <w:sz w:val="22"/>
          <w:szCs w:val="22"/>
          <w:lang w:val="sk-SK"/>
        </w:rPr>
        <w:t>, neschopnosti dosiahnuť</w:t>
      </w:r>
      <w:r w:rsidR="00CF1757" w:rsidRPr="00635FF3">
        <w:rPr>
          <w:sz w:val="22"/>
          <w:szCs w:val="22"/>
          <w:lang w:val="sk-SK"/>
        </w:rPr>
        <w:t xml:space="preserve"> orgazmu</w:t>
      </w:r>
      <w:r w:rsidR="008A042A" w:rsidRPr="00635FF3">
        <w:rPr>
          <w:sz w:val="22"/>
          <w:szCs w:val="22"/>
          <w:lang w:val="sk-SK"/>
        </w:rPr>
        <w:t>s</w:t>
      </w:r>
      <w:r w:rsidR="00CF1757" w:rsidRPr="00635FF3">
        <w:rPr>
          <w:sz w:val="22"/>
          <w:szCs w:val="22"/>
          <w:lang w:val="sk-SK"/>
        </w:rPr>
        <w:t xml:space="preserve"> a </w:t>
      </w:r>
      <w:r w:rsidR="00ED3269" w:rsidRPr="00635FF3">
        <w:rPr>
          <w:sz w:val="22"/>
          <w:szCs w:val="22"/>
          <w:lang w:val="sk-SK"/>
        </w:rPr>
        <w:t>impotencie</w:t>
      </w:r>
      <w:r w:rsidR="00F16618" w:rsidRPr="00635FF3">
        <w:rPr>
          <w:sz w:val="22"/>
          <w:szCs w:val="22"/>
          <w:lang w:val="sk-SK"/>
        </w:rPr>
        <w:t>.</w:t>
      </w:r>
    </w:p>
    <w:p w14:paraId="4635B100" w14:textId="77777777" w:rsidR="00061D17" w:rsidRPr="00635FF3" w:rsidRDefault="00061D17" w:rsidP="00B472FA">
      <w:pPr>
        <w:pStyle w:val="Zkladntext"/>
        <w:tabs>
          <w:tab w:val="left" w:pos="0"/>
        </w:tabs>
        <w:rPr>
          <w:sz w:val="22"/>
          <w:szCs w:val="22"/>
        </w:rPr>
      </w:pPr>
    </w:p>
    <w:p w14:paraId="14D4263E" w14:textId="77777777" w:rsidR="00B472FA" w:rsidRPr="00635FF3" w:rsidRDefault="00B472FA" w:rsidP="00B472FA">
      <w:pPr>
        <w:pStyle w:val="Zkladntext"/>
        <w:tabs>
          <w:tab w:val="left" w:pos="0"/>
        </w:tabs>
        <w:rPr>
          <w:sz w:val="22"/>
          <w:szCs w:val="22"/>
        </w:rPr>
      </w:pPr>
      <w:r w:rsidRPr="00635FF3">
        <w:rPr>
          <w:sz w:val="22"/>
          <w:szCs w:val="22"/>
        </w:rPr>
        <w:t>Poruchy metabolizmu a výživy</w:t>
      </w:r>
      <w:r w:rsidR="00055156" w:rsidRPr="00635FF3">
        <w:rPr>
          <w:sz w:val="22"/>
          <w:szCs w:val="22"/>
        </w:rPr>
        <w:t>:</w:t>
      </w:r>
    </w:p>
    <w:p w14:paraId="29CBD8D0" w14:textId="77777777" w:rsidR="00B472FA" w:rsidRPr="00635FF3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</w:rPr>
      </w:pPr>
      <w:r w:rsidRPr="00635FF3">
        <w:rPr>
          <w:i/>
          <w:sz w:val="22"/>
          <w:szCs w:val="22"/>
        </w:rPr>
        <w:t>Neznáma frekvencia:</w:t>
      </w:r>
      <w:r w:rsidR="00172BA9" w:rsidRPr="00635FF3">
        <w:rPr>
          <w:sz w:val="22"/>
          <w:szCs w:val="22"/>
          <w:lang w:val="sk-SK"/>
        </w:rPr>
        <w:tab/>
      </w:r>
      <w:r w:rsidR="00055156" w:rsidRPr="00635FF3">
        <w:rPr>
          <w:sz w:val="22"/>
          <w:szCs w:val="22"/>
        </w:rPr>
        <w:t>h</w:t>
      </w:r>
      <w:r w:rsidRPr="00635FF3">
        <w:rPr>
          <w:sz w:val="22"/>
          <w:szCs w:val="22"/>
        </w:rPr>
        <w:t>yponatriémia, syndróm neprimeranej sekrécie antidiuretického hormónu (syndrome of inappropriate antidiuretic hormone secretion, SIADH).</w:t>
      </w:r>
    </w:p>
    <w:p w14:paraId="0C497790" w14:textId="77777777" w:rsidR="00061D17" w:rsidRPr="00635FF3" w:rsidRDefault="00061D17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797C742D" w14:textId="77777777" w:rsidR="00061D17" w:rsidRPr="00635FF3" w:rsidRDefault="00061D17" w:rsidP="00061D17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Psychické poruchy:</w:t>
      </w:r>
    </w:p>
    <w:p w14:paraId="3681CA46" w14:textId="77777777" w:rsidR="00061D17" w:rsidRPr="00635FF3" w:rsidRDefault="00061D17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="00055156" w:rsidRPr="00635FF3">
        <w:rPr>
          <w:sz w:val="22"/>
          <w:szCs w:val="22"/>
          <w:lang w:val="sk-SK"/>
        </w:rPr>
        <w:tab/>
        <w:t>s</w:t>
      </w:r>
      <w:r w:rsidRPr="00635FF3">
        <w:rPr>
          <w:sz w:val="22"/>
          <w:szCs w:val="22"/>
          <w:lang w:val="sk-SK"/>
        </w:rPr>
        <w:t>omnolencia/ospalosť/spavosť, nespavosť, agitácia, ľahostajnosť.</w:t>
      </w:r>
    </w:p>
    <w:p w14:paraId="2C39B6DF" w14:textId="77777777" w:rsidR="008A042A" w:rsidRPr="00635FF3" w:rsidRDefault="008A042A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</w:t>
      </w:r>
      <w:r w:rsidR="00172BA9" w:rsidRPr="00635FF3">
        <w:rPr>
          <w:sz w:val="22"/>
          <w:szCs w:val="22"/>
          <w:lang w:val="sk-SK"/>
        </w:rPr>
        <w:t>:</w:t>
      </w:r>
      <w:r w:rsidR="00172BA9" w:rsidRPr="00635FF3">
        <w:rPr>
          <w:sz w:val="22"/>
          <w:szCs w:val="22"/>
          <w:lang w:val="sk-SK"/>
        </w:rPr>
        <w:tab/>
      </w:r>
      <w:r w:rsidRPr="00635FF3">
        <w:rPr>
          <w:sz w:val="22"/>
          <w:szCs w:val="22"/>
          <w:lang w:val="sk-SK"/>
        </w:rPr>
        <w:t>zmätenosť, halucinácie.</w:t>
      </w:r>
    </w:p>
    <w:p w14:paraId="3D2961E1" w14:textId="77777777" w:rsidR="00061D17" w:rsidRPr="00635FF3" w:rsidRDefault="00061D17" w:rsidP="00061D17">
      <w:pPr>
        <w:pStyle w:val="Zkladntext"/>
        <w:tabs>
          <w:tab w:val="left" w:pos="0"/>
        </w:tabs>
        <w:rPr>
          <w:sz w:val="22"/>
          <w:szCs w:val="22"/>
        </w:rPr>
      </w:pPr>
    </w:p>
    <w:p w14:paraId="779CB88C" w14:textId="77777777" w:rsidR="00B472FA" w:rsidRPr="00635FF3" w:rsidRDefault="00B472FA" w:rsidP="00B472FA">
      <w:pPr>
        <w:pStyle w:val="Zkladntext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nervového systému</w:t>
      </w:r>
      <w:r w:rsidR="00150945" w:rsidRPr="00635FF3">
        <w:rPr>
          <w:sz w:val="22"/>
          <w:szCs w:val="22"/>
          <w:lang w:val="sk-SK"/>
        </w:rPr>
        <w:t>:</w:t>
      </w:r>
    </w:p>
    <w:p w14:paraId="5260BB75" w14:textId="77777777" w:rsidR="00B472FA" w:rsidRPr="00635FF3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="00172BA9" w:rsidRPr="00635FF3">
        <w:rPr>
          <w:sz w:val="22"/>
          <w:szCs w:val="22"/>
          <w:lang w:val="sk-SK"/>
        </w:rPr>
        <w:tab/>
        <w:t>z</w:t>
      </w:r>
      <w:r w:rsidRPr="00635FF3">
        <w:rPr>
          <w:sz w:val="22"/>
          <w:szCs w:val="22"/>
          <w:lang w:val="sk-SK"/>
        </w:rPr>
        <w:t>ávrat/vertigo, bolesť hlavy.</w:t>
      </w:r>
    </w:p>
    <w:p w14:paraId="64046738" w14:textId="1F016462" w:rsidR="00B472FA" w:rsidRPr="00635FF3" w:rsidRDefault="00B472FA" w:rsidP="00E70812">
      <w:pPr>
        <w:pStyle w:val="Zkladntext"/>
        <w:tabs>
          <w:tab w:val="left" w:pos="2268"/>
        </w:tabs>
        <w:ind w:left="2268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Parkinsonova choroba a súvisiace symptómy: tremor, hypert</w:t>
      </w:r>
      <w:r w:rsidR="002C6A0B" w:rsidRPr="00635FF3">
        <w:rPr>
          <w:sz w:val="22"/>
          <w:szCs w:val="22"/>
          <w:lang w:val="sk-SK"/>
        </w:rPr>
        <w:t>ó</w:t>
      </w:r>
      <w:r w:rsidRPr="00635FF3">
        <w:rPr>
          <w:sz w:val="22"/>
          <w:szCs w:val="22"/>
          <w:lang w:val="sk-SK"/>
        </w:rPr>
        <w:t>nia, hypokinéza a hypersalivácia. Tieto symptómy sú vo všeobecnosti, po podaní antiparkinsoník, vratné.</w:t>
      </w:r>
    </w:p>
    <w:p w14:paraId="17F8C8E1" w14:textId="77777777" w:rsidR="00B472FA" w:rsidRPr="00635FF3" w:rsidRDefault="00FB0FCB" w:rsidP="00172BA9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="00B472FA" w:rsidRPr="00635FF3">
        <w:rPr>
          <w:i/>
          <w:sz w:val="22"/>
          <w:szCs w:val="22"/>
          <w:lang w:val="sk-SK"/>
        </w:rPr>
        <w:tab/>
      </w:r>
      <w:r w:rsidR="00172BA9" w:rsidRPr="00635FF3">
        <w:rPr>
          <w:sz w:val="22"/>
          <w:szCs w:val="22"/>
          <w:lang w:val="sk-SK"/>
        </w:rPr>
        <w:t>a</w:t>
      </w:r>
      <w:r w:rsidR="00B472FA" w:rsidRPr="00635FF3">
        <w:rPr>
          <w:sz w:val="22"/>
          <w:szCs w:val="22"/>
          <w:lang w:val="sk-SK"/>
        </w:rPr>
        <w:t>katízia, dystónia (kŕč, sťah krčných svalov, okulogyrická kríza, trizmus). Tieto symptómy sú vo všeobecnosti, po podaní antiparkinsoník, vratné.</w:t>
      </w:r>
    </w:p>
    <w:p w14:paraId="3E3F2B0B" w14:textId="77777777" w:rsidR="00B472FA" w:rsidRPr="00635FF3" w:rsidRDefault="00B472FA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Zriedkavé:</w:t>
      </w:r>
      <w:r w:rsidR="00FB0FCB" w:rsidRPr="00635FF3">
        <w:rPr>
          <w:sz w:val="22"/>
          <w:szCs w:val="22"/>
          <w:lang w:val="sk-SK"/>
        </w:rPr>
        <w:tab/>
        <w:t>a</w:t>
      </w:r>
      <w:r w:rsidRPr="00635FF3">
        <w:rPr>
          <w:sz w:val="22"/>
          <w:szCs w:val="22"/>
          <w:lang w:val="sk-SK"/>
        </w:rPr>
        <w:t>kútna dyskinéza. Tento symptóm je vo všeobecnosti, po podaní antiparkinsoník, vratný.</w:t>
      </w:r>
    </w:p>
    <w:p w14:paraId="18630D88" w14:textId="77777777" w:rsidR="00FB0FCB" w:rsidRPr="00635FF3" w:rsidRDefault="00FB0FCB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i/>
          <w:sz w:val="22"/>
          <w:szCs w:val="22"/>
          <w:lang w:val="sk-SK"/>
        </w:rPr>
        <w:tab/>
      </w:r>
      <w:r w:rsidRPr="00635FF3">
        <w:rPr>
          <w:sz w:val="22"/>
          <w:szCs w:val="22"/>
          <w:lang w:val="sk-SK"/>
        </w:rPr>
        <w:t>rovnako ako aj pri iných neuroleptikách, sa po viac ako trojmesačnom užívaní neuroleptika zaznamenala tardívna dyskinéza (charakterizovaná rytmickými, mimovoľnými pohybmi najmä jazyka a/alebo tváre). Antiparkinsoniká sú neúčinné alebo môžu indukovať zhoršenie príznakov.</w:t>
      </w:r>
    </w:p>
    <w:p w14:paraId="2B0AC74A" w14:textId="77777777" w:rsidR="00FB0FCB" w:rsidRPr="00635FF3" w:rsidRDefault="00C771C8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ab/>
        <w:t>R</w:t>
      </w:r>
      <w:r w:rsidR="00FB0FCB" w:rsidRPr="00635FF3">
        <w:rPr>
          <w:sz w:val="22"/>
          <w:szCs w:val="22"/>
          <w:lang w:val="sk-SK"/>
        </w:rPr>
        <w:t>ovnako ako pri iných neuroleptikách, zaznamenal sa neuroleptický malígny syndróm (pozri časť 4.4), ktorý môže byť komplikáciou so smrteľnými následkami.</w:t>
      </w:r>
    </w:p>
    <w:p w14:paraId="578C3427" w14:textId="77777777" w:rsidR="00C771C8" w:rsidRPr="00635FF3" w:rsidRDefault="00C771C8" w:rsidP="00E70812">
      <w:pPr>
        <w:pStyle w:val="Zkladntext"/>
        <w:tabs>
          <w:tab w:val="left" w:pos="2268"/>
        </w:tabs>
        <w:ind w:left="2268"/>
        <w:rPr>
          <w:sz w:val="22"/>
          <w:szCs w:val="22"/>
        </w:rPr>
      </w:pPr>
      <w:r w:rsidRPr="00635FF3">
        <w:rPr>
          <w:sz w:val="22"/>
          <w:szCs w:val="22"/>
        </w:rPr>
        <w:t>S</w:t>
      </w:r>
      <w:r w:rsidR="00401876" w:rsidRPr="00635FF3">
        <w:rPr>
          <w:sz w:val="22"/>
          <w:szCs w:val="22"/>
        </w:rPr>
        <w:t>trata vedomia/</w:t>
      </w:r>
      <w:r w:rsidRPr="00635FF3">
        <w:rPr>
          <w:sz w:val="22"/>
          <w:szCs w:val="22"/>
        </w:rPr>
        <w:t>synkopa.</w:t>
      </w:r>
    </w:p>
    <w:p w14:paraId="38B9A6F1" w14:textId="77777777" w:rsidR="00FB0FCB" w:rsidRPr="00635FF3" w:rsidRDefault="00C771C8" w:rsidP="00E70812">
      <w:pPr>
        <w:pStyle w:val="Zkladntext"/>
        <w:tabs>
          <w:tab w:val="left" w:pos="2268"/>
        </w:tabs>
        <w:ind w:left="2268"/>
        <w:rPr>
          <w:sz w:val="22"/>
          <w:szCs w:val="22"/>
        </w:rPr>
      </w:pPr>
      <w:r w:rsidRPr="00635FF3">
        <w:rPr>
          <w:sz w:val="22"/>
          <w:szCs w:val="22"/>
        </w:rPr>
        <w:t>K</w:t>
      </w:r>
      <w:r w:rsidR="00FB0FCB" w:rsidRPr="00635FF3">
        <w:rPr>
          <w:sz w:val="22"/>
          <w:szCs w:val="22"/>
        </w:rPr>
        <w:t>ŕče.</w:t>
      </w:r>
    </w:p>
    <w:p w14:paraId="45463F2C" w14:textId="77777777" w:rsidR="00696B77" w:rsidRPr="00635FF3" w:rsidRDefault="00696B77" w:rsidP="00E871B1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2F249BC" w14:textId="77777777" w:rsidR="00C771C8" w:rsidRPr="00635FF3" w:rsidRDefault="00C771C8" w:rsidP="00C771C8">
      <w:pPr>
        <w:pStyle w:val="Zkladntext"/>
        <w:tabs>
          <w:tab w:val="left" w:pos="0"/>
        </w:tabs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srdca a srdcovej činnosti</w:t>
      </w:r>
      <w:r w:rsidR="00150945" w:rsidRPr="00635FF3">
        <w:rPr>
          <w:sz w:val="22"/>
          <w:szCs w:val="22"/>
          <w:lang w:val="sk-SK"/>
        </w:rPr>
        <w:t>:</w:t>
      </w:r>
    </w:p>
    <w:p w14:paraId="14038778" w14:textId="77777777" w:rsidR="00C771C8" w:rsidRPr="00635FF3" w:rsidRDefault="00C771C8" w:rsidP="00E70812">
      <w:pPr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</w:r>
      <w:r w:rsidR="00150945" w:rsidRPr="00635FF3">
        <w:rPr>
          <w:sz w:val="22"/>
          <w:szCs w:val="22"/>
          <w:lang w:val="sk-SK"/>
        </w:rPr>
        <w:t>p</w:t>
      </w:r>
      <w:r w:rsidRPr="00635FF3">
        <w:rPr>
          <w:sz w:val="22"/>
          <w:szCs w:val="22"/>
          <w:lang w:val="sk-SK"/>
        </w:rPr>
        <w:t xml:space="preserve">redĺženie QT intervalu, ventrikulárna arytmia, ako napríklad </w:t>
      </w:r>
      <w:r w:rsidRPr="00635FF3">
        <w:rPr>
          <w:i/>
          <w:sz w:val="22"/>
          <w:szCs w:val="22"/>
          <w:lang w:val="sk-SK"/>
        </w:rPr>
        <w:t>torsades de pointes</w:t>
      </w:r>
      <w:r w:rsidRPr="00635FF3">
        <w:rPr>
          <w:sz w:val="22"/>
          <w:szCs w:val="22"/>
          <w:lang w:val="sk-SK"/>
        </w:rPr>
        <w:t>, ventrikulárna tachykardia, ktorá môže vyústiť do ventrikulárnej fibrilácie alebo zastavenia srdca a náhlej smrti (pozri časť 4.4).</w:t>
      </w:r>
    </w:p>
    <w:p w14:paraId="6670B5B9" w14:textId="77777777" w:rsidR="00C771C8" w:rsidRPr="00635FF3" w:rsidRDefault="00C771C8" w:rsidP="00E70812">
      <w:pPr>
        <w:pStyle w:val="Zkladntext"/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CF85DB7" w14:textId="77777777" w:rsidR="00150945" w:rsidRPr="00635FF3" w:rsidRDefault="00150945" w:rsidP="00150945">
      <w:pPr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ciev:</w:t>
      </w:r>
    </w:p>
    <w:p w14:paraId="2F2FF159" w14:textId="77777777" w:rsidR="00150945" w:rsidRPr="00635FF3" w:rsidRDefault="00150945" w:rsidP="00E70812">
      <w:pPr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  <w:t>venózna tromb</w:t>
      </w:r>
      <w:r w:rsidR="00BA74D4" w:rsidRPr="00635FF3">
        <w:rPr>
          <w:sz w:val="22"/>
          <w:szCs w:val="22"/>
          <w:lang w:val="sk-SK"/>
        </w:rPr>
        <w:t>o</w:t>
      </w:r>
      <w:r w:rsidRPr="00635FF3">
        <w:rPr>
          <w:sz w:val="22"/>
          <w:szCs w:val="22"/>
          <w:lang w:val="sk-SK"/>
        </w:rPr>
        <w:t>embólia, vrátane pľúcnej embólie, niekedy fatálnej a hlboká žilová trombóza (pozri časť 4.4).</w:t>
      </w:r>
    </w:p>
    <w:p w14:paraId="5D4AC231" w14:textId="77777777" w:rsidR="00150945" w:rsidRPr="00635FF3" w:rsidRDefault="00150945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ab/>
      </w:r>
      <w:r w:rsidRPr="00635FF3">
        <w:rPr>
          <w:sz w:val="22"/>
          <w:szCs w:val="22"/>
          <w:lang w:val="sk-SK"/>
        </w:rPr>
        <w:t>Hypotenzia, zvyčajne ortostatická.</w:t>
      </w:r>
    </w:p>
    <w:p w14:paraId="1808A9FF" w14:textId="77777777" w:rsidR="00150945" w:rsidRPr="00635FF3" w:rsidRDefault="00150945" w:rsidP="00150945">
      <w:pPr>
        <w:ind w:left="1701" w:hanging="1701"/>
        <w:rPr>
          <w:sz w:val="22"/>
          <w:szCs w:val="22"/>
          <w:lang w:val="sk-SK"/>
        </w:rPr>
      </w:pPr>
    </w:p>
    <w:p w14:paraId="1F6E4719" w14:textId="77777777" w:rsidR="00150945" w:rsidRPr="00635FF3" w:rsidRDefault="00150945" w:rsidP="00150945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dýchacej sústavy, hrudníka a mediastína:</w:t>
      </w:r>
    </w:p>
    <w:p w14:paraId="64AA4B0B" w14:textId="77777777" w:rsidR="00150945" w:rsidRPr="00635FF3" w:rsidRDefault="00150945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="008B020E" w:rsidRPr="00635FF3">
        <w:rPr>
          <w:sz w:val="22"/>
          <w:szCs w:val="22"/>
          <w:lang w:val="sk-SK"/>
        </w:rPr>
        <w:tab/>
        <w:t>a</w:t>
      </w:r>
      <w:r w:rsidRPr="00635FF3">
        <w:rPr>
          <w:sz w:val="22"/>
          <w:szCs w:val="22"/>
          <w:lang w:val="sk-SK"/>
        </w:rPr>
        <w:t>spiračná pneumónia</w:t>
      </w:r>
      <w:r w:rsidR="009E25C4" w:rsidRPr="00635FF3">
        <w:rPr>
          <w:sz w:val="22"/>
          <w:szCs w:val="22"/>
          <w:lang w:val="sk-SK"/>
        </w:rPr>
        <w:t>, útlm dychu</w:t>
      </w:r>
      <w:r w:rsidR="008B020E" w:rsidRPr="00635FF3">
        <w:rPr>
          <w:sz w:val="22"/>
          <w:szCs w:val="22"/>
          <w:lang w:val="sk-SK"/>
        </w:rPr>
        <w:t xml:space="preserve"> v súvislosti s používaním ďalších </w:t>
      </w:r>
      <w:r w:rsidR="00C22849" w:rsidRPr="00635FF3">
        <w:rPr>
          <w:sz w:val="22"/>
          <w:szCs w:val="22"/>
          <w:lang w:val="sk-SK"/>
        </w:rPr>
        <w:t>liekov tlmiacich</w:t>
      </w:r>
      <w:r w:rsidR="00823B52" w:rsidRPr="00635FF3">
        <w:rPr>
          <w:sz w:val="22"/>
          <w:szCs w:val="22"/>
          <w:lang w:val="sk-SK"/>
        </w:rPr>
        <w:t xml:space="preserve"> CNS</w:t>
      </w:r>
      <w:r w:rsidRPr="00635FF3">
        <w:rPr>
          <w:sz w:val="22"/>
          <w:szCs w:val="22"/>
          <w:lang w:val="sk-SK"/>
        </w:rPr>
        <w:t>.</w:t>
      </w:r>
    </w:p>
    <w:p w14:paraId="740DD157" w14:textId="77777777" w:rsidR="00150945" w:rsidRPr="00635FF3" w:rsidRDefault="00150945" w:rsidP="00150945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124E978" w14:textId="77777777" w:rsidR="000E43E9" w:rsidRPr="00635FF3" w:rsidRDefault="000E43E9" w:rsidP="000E43E9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gastrointestinálneho traktu</w:t>
      </w:r>
      <w:r w:rsidR="009E25C4" w:rsidRPr="00635FF3">
        <w:rPr>
          <w:sz w:val="22"/>
          <w:szCs w:val="22"/>
          <w:lang w:val="sk-SK"/>
        </w:rPr>
        <w:t>:</w:t>
      </w:r>
    </w:p>
    <w:p w14:paraId="101D8BF8" w14:textId="77777777" w:rsidR="000E43E9" w:rsidRPr="00635FF3" w:rsidRDefault="000E43E9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="009535A6" w:rsidRPr="00635FF3">
        <w:rPr>
          <w:sz w:val="22"/>
          <w:szCs w:val="22"/>
          <w:lang w:val="sk-SK"/>
        </w:rPr>
        <w:tab/>
        <w:t>z</w:t>
      </w:r>
      <w:r w:rsidRPr="00635FF3">
        <w:rPr>
          <w:sz w:val="22"/>
          <w:szCs w:val="22"/>
          <w:lang w:val="sk-SK"/>
        </w:rPr>
        <w:t>ápcha, črevná obštrukcia, ileus.</w:t>
      </w:r>
    </w:p>
    <w:p w14:paraId="588F67BC" w14:textId="77777777" w:rsidR="00C22849" w:rsidRPr="00635FF3" w:rsidRDefault="00C22849" w:rsidP="00C22849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08B6B72" w14:textId="77777777" w:rsidR="00C22849" w:rsidRPr="00635FF3" w:rsidRDefault="00C22849" w:rsidP="00C22849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Poruchy pečene a žlčových ciest</w:t>
      </w:r>
      <w:r w:rsidR="00EB1B51" w:rsidRPr="00635FF3">
        <w:rPr>
          <w:bCs/>
          <w:sz w:val="22"/>
          <w:szCs w:val="22"/>
          <w:lang w:val="pl-PL"/>
        </w:rPr>
        <w:t>:</w:t>
      </w:r>
    </w:p>
    <w:p w14:paraId="4FA5A737" w14:textId="77777777" w:rsidR="00C22849" w:rsidRPr="00635FF3" w:rsidRDefault="00C22849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="00EB1B51" w:rsidRPr="00635FF3">
        <w:rPr>
          <w:sz w:val="22"/>
          <w:szCs w:val="22"/>
          <w:lang w:val="sk-SK"/>
        </w:rPr>
        <w:tab/>
        <w:t>z</w:t>
      </w:r>
      <w:r w:rsidRPr="00635FF3">
        <w:rPr>
          <w:sz w:val="22"/>
          <w:szCs w:val="22"/>
          <w:lang w:val="sk-SK"/>
        </w:rPr>
        <w:t>výšenie pečeňových enzýmov.</w:t>
      </w:r>
    </w:p>
    <w:p w14:paraId="210CC8AB" w14:textId="77777777" w:rsidR="00EB1B51" w:rsidRPr="00635FF3" w:rsidRDefault="00EB1B51" w:rsidP="00EB1B5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27AF9E1" w14:textId="77777777" w:rsidR="00EB1B51" w:rsidRPr="00635FF3" w:rsidRDefault="00EB1B51" w:rsidP="00EB1B51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Poruchy kože a podkožného tkaniva:</w:t>
      </w:r>
    </w:p>
    <w:p w14:paraId="42D0D13B" w14:textId="77777777" w:rsidR="00EB1B51" w:rsidRPr="00635FF3" w:rsidRDefault="00EB1B51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  <w:t>vyrážka vrátane erytematóznej vyrážky, makulopapulárna vyrážka a žihľavka.</w:t>
      </w:r>
    </w:p>
    <w:p w14:paraId="5FF78985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6638FEE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Poruchy kostrovej a svalovej sústavy a spojivového tkaniva:</w:t>
      </w:r>
    </w:p>
    <w:p w14:paraId="2495646C" w14:textId="77777777" w:rsidR="00743A5F" w:rsidRPr="00635FF3" w:rsidRDefault="00743A5F" w:rsidP="00E70812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  <w:t>zvýšená hladina kreatínfosfokinázy v krvi, rabdomyolýza.</w:t>
      </w:r>
    </w:p>
    <w:p w14:paraId="123A373D" w14:textId="77777777" w:rsidR="00743A5F" w:rsidRPr="00635FF3" w:rsidRDefault="00743A5F" w:rsidP="00743A5F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E65D4E2" w14:textId="77777777" w:rsidR="00743A5F" w:rsidRPr="00635FF3" w:rsidRDefault="00743A5F" w:rsidP="00743A5F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Stavy v gravidite, v šestonedelí a perinatálnom období:</w:t>
      </w:r>
    </w:p>
    <w:p w14:paraId="03A4C503" w14:textId="77777777" w:rsidR="00743A5F" w:rsidRPr="00635FF3" w:rsidRDefault="00743A5F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Pr="00635FF3">
        <w:rPr>
          <w:sz w:val="22"/>
          <w:szCs w:val="22"/>
          <w:lang w:val="sk-SK"/>
        </w:rPr>
        <w:tab/>
        <w:t>novorodenecký syndróm z vysadenia (pozri časť 4.6).</w:t>
      </w:r>
    </w:p>
    <w:p w14:paraId="5DEE17D7" w14:textId="769C7665" w:rsidR="00261C9F" w:rsidRPr="00635FF3" w:rsidRDefault="00E6007A" w:rsidP="00261C9F">
      <w:pPr>
        <w:pStyle w:val="Zkladntext"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 w:rsidDel="00E6007A">
        <w:rPr>
          <w:sz w:val="22"/>
          <w:szCs w:val="22"/>
          <w:lang w:val="sk-SK"/>
        </w:rPr>
        <w:t xml:space="preserve"> </w:t>
      </w:r>
    </w:p>
    <w:p w14:paraId="1215811A" w14:textId="77777777" w:rsidR="00F16618" w:rsidRPr="00635FF3" w:rsidRDefault="00261C9F" w:rsidP="00E70812">
      <w:pPr>
        <w:pStyle w:val="Zkladntext"/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sz w:val="22"/>
          <w:szCs w:val="22"/>
          <w:lang w:val="sk-SK"/>
        </w:rPr>
        <w:t>Celkové poruchy a reakcie v mieste podania</w:t>
      </w:r>
      <w:r w:rsidR="00E6007A" w:rsidRPr="00635FF3">
        <w:rPr>
          <w:sz w:val="22"/>
          <w:szCs w:val="22"/>
          <w:lang w:val="sk-SK"/>
        </w:rPr>
        <w:t>:</w:t>
      </w:r>
    </w:p>
    <w:p w14:paraId="5E068ECC" w14:textId="6B76FE6B" w:rsidR="00F16618" w:rsidRPr="00635FF3" w:rsidRDefault="00F16618" w:rsidP="00E70812">
      <w:pPr>
        <w:pStyle w:val="Zkladntext"/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Časté:</w:t>
      </w:r>
      <w:r w:rsidRPr="00635FF3">
        <w:rPr>
          <w:sz w:val="22"/>
          <w:szCs w:val="22"/>
          <w:lang w:val="sk-SK"/>
        </w:rPr>
        <w:t xml:space="preserve"> </w:t>
      </w:r>
      <w:r w:rsidRPr="00635FF3">
        <w:rPr>
          <w:sz w:val="22"/>
          <w:szCs w:val="22"/>
          <w:lang w:val="sk-SK"/>
        </w:rPr>
        <w:tab/>
      </w:r>
      <w:r w:rsidR="00E6007A" w:rsidRPr="00635FF3">
        <w:rPr>
          <w:sz w:val="22"/>
          <w:szCs w:val="22"/>
          <w:lang w:val="sk-SK"/>
        </w:rPr>
        <w:t>a</w:t>
      </w:r>
      <w:r w:rsidRPr="00635FF3">
        <w:rPr>
          <w:sz w:val="22"/>
          <w:szCs w:val="22"/>
          <w:lang w:val="sk-SK"/>
        </w:rPr>
        <w:t>sténia/únava.</w:t>
      </w:r>
    </w:p>
    <w:p w14:paraId="3CA10578" w14:textId="4F0B4748" w:rsidR="00F16618" w:rsidRPr="00635FF3" w:rsidRDefault="00F16618" w:rsidP="00E70812">
      <w:pPr>
        <w:pStyle w:val="Zkladntext"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Menej časté:</w:t>
      </w:r>
      <w:r w:rsidRPr="00635FF3">
        <w:rPr>
          <w:sz w:val="22"/>
          <w:szCs w:val="22"/>
          <w:lang w:val="sk-SK"/>
        </w:rPr>
        <w:t xml:space="preserve"> </w:t>
      </w:r>
      <w:r w:rsidRPr="00635FF3">
        <w:rPr>
          <w:sz w:val="22"/>
          <w:szCs w:val="22"/>
          <w:lang w:val="sk-SK"/>
        </w:rPr>
        <w:tab/>
      </w:r>
      <w:r w:rsidR="00E6007A" w:rsidRPr="00635FF3">
        <w:rPr>
          <w:sz w:val="22"/>
          <w:szCs w:val="22"/>
          <w:lang w:val="sk-SK"/>
        </w:rPr>
        <w:t>z</w:t>
      </w:r>
      <w:r w:rsidRPr="00635FF3">
        <w:rPr>
          <w:sz w:val="22"/>
          <w:szCs w:val="22"/>
          <w:lang w:val="sk-SK"/>
        </w:rPr>
        <w:t>výšenie telesnej hmotnosti.</w:t>
      </w:r>
    </w:p>
    <w:p w14:paraId="41DA7410" w14:textId="77777777" w:rsidR="00CA6E1B" w:rsidRPr="00635FF3" w:rsidRDefault="00CA6E1B" w:rsidP="00CA6E1B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74A34F58" w14:textId="77777777" w:rsidR="00CA6E1B" w:rsidRPr="00635FF3" w:rsidRDefault="00CA6E1B" w:rsidP="00FD52F8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635FF3">
        <w:rPr>
          <w:bCs/>
          <w:sz w:val="22"/>
          <w:szCs w:val="22"/>
          <w:lang w:val="pl-PL"/>
        </w:rPr>
        <w:t>Úrazy, otravy a komplikácie liečebného postupu</w:t>
      </w:r>
      <w:r w:rsidR="00E6007A" w:rsidRPr="00635FF3">
        <w:rPr>
          <w:bCs/>
          <w:sz w:val="22"/>
          <w:szCs w:val="22"/>
          <w:lang w:val="pl-PL"/>
        </w:rPr>
        <w:t>:</w:t>
      </w:r>
    </w:p>
    <w:p w14:paraId="3827D263" w14:textId="2C57874F" w:rsidR="00CA6E1B" w:rsidRPr="00093CBC" w:rsidRDefault="00CA6E1B" w:rsidP="00E70812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635FF3">
        <w:rPr>
          <w:i/>
          <w:sz w:val="22"/>
          <w:szCs w:val="22"/>
          <w:lang w:val="sk-SK"/>
        </w:rPr>
        <w:t>Neznáma frekvencia:</w:t>
      </w:r>
      <w:r w:rsidR="00E6007A" w:rsidRPr="00635FF3">
        <w:rPr>
          <w:sz w:val="22"/>
          <w:szCs w:val="22"/>
          <w:lang w:val="sk-SK"/>
        </w:rPr>
        <w:tab/>
      </w:r>
      <w:r w:rsidR="006C6D9F" w:rsidRPr="00635FF3">
        <w:rPr>
          <w:sz w:val="22"/>
          <w:szCs w:val="22"/>
          <w:lang w:val="sk-SK"/>
        </w:rPr>
        <w:t>p</w:t>
      </w:r>
      <w:r w:rsidRPr="00635FF3">
        <w:rPr>
          <w:sz w:val="22"/>
          <w:szCs w:val="22"/>
          <w:lang w:val="sk-SK"/>
        </w:rPr>
        <w:t>ády</w:t>
      </w:r>
      <w:r w:rsidR="006C6D9F" w:rsidRPr="00635FF3">
        <w:rPr>
          <w:sz w:val="22"/>
          <w:szCs w:val="22"/>
          <w:lang w:val="sk-SK"/>
        </w:rPr>
        <w:t>, najmä u starších pacientov</w:t>
      </w:r>
      <w:r w:rsidRPr="00635FF3">
        <w:rPr>
          <w:sz w:val="22"/>
          <w:szCs w:val="22"/>
          <w:lang w:val="sk-SK"/>
        </w:rPr>
        <w:t>.</w:t>
      </w:r>
    </w:p>
    <w:p w14:paraId="6ABEFDB3" w14:textId="77777777" w:rsidR="00F16618" w:rsidRPr="00093CBC" w:rsidRDefault="00F16618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3C179EC9" w14:textId="77777777" w:rsidR="00882FF7" w:rsidRPr="00E82EC3" w:rsidRDefault="00882FF7" w:rsidP="00882FF7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93CBC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713347EE" w14:textId="77777777" w:rsidR="00882FF7" w:rsidRPr="00E82EC3" w:rsidRDefault="00882FF7" w:rsidP="00882FF7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E82EC3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82EC3">
        <w:rPr>
          <w:sz w:val="22"/>
          <w:szCs w:val="22"/>
          <w:lang w:val="sk-SK"/>
        </w:rPr>
        <w:t xml:space="preserve"> </w:t>
      </w:r>
      <w:r w:rsidRPr="00E82EC3">
        <w:rPr>
          <w:noProof/>
          <w:sz w:val="22"/>
          <w:szCs w:val="22"/>
          <w:lang w:val="sk-SK"/>
        </w:rPr>
        <w:t>Umožňuje priebežné monitorovanie pomeru prínosu</w:t>
      </w:r>
      <w:r w:rsidRPr="00E82EC3">
        <w:rPr>
          <w:sz w:val="22"/>
          <w:szCs w:val="22"/>
          <w:lang w:val="sk-SK"/>
        </w:rPr>
        <w:t xml:space="preserve"> a</w:t>
      </w:r>
      <w:r w:rsidRPr="00E82EC3">
        <w:rPr>
          <w:noProof/>
          <w:sz w:val="22"/>
          <w:szCs w:val="22"/>
          <w:lang w:val="sk-SK"/>
        </w:rPr>
        <w:t> rizika lieku.</w:t>
      </w:r>
      <w:r w:rsidRPr="00E82EC3">
        <w:rPr>
          <w:sz w:val="22"/>
          <w:szCs w:val="22"/>
          <w:lang w:val="sk-SK"/>
        </w:rPr>
        <w:t xml:space="preserve"> Od </w:t>
      </w:r>
      <w:r w:rsidRPr="00E82EC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CA6E1B">
        <w:rPr>
          <w:noProof/>
          <w:sz w:val="22"/>
          <w:szCs w:val="22"/>
          <w:lang w:val="sk-SK"/>
        </w:rPr>
        <w:t>na</w:t>
      </w:r>
      <w:r w:rsidRPr="00E82EC3">
        <w:rPr>
          <w:noProof/>
          <w:sz w:val="22"/>
          <w:szCs w:val="22"/>
          <w:lang w:val="sk-SK"/>
        </w:rPr>
        <w:t xml:space="preserve"> </w:t>
      </w:r>
      <w:r w:rsidRPr="002B2570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A6E1B" w:rsidRPr="002B2570">
        <w:rPr>
          <w:noProof/>
          <w:sz w:val="22"/>
          <w:szCs w:val="22"/>
          <w:highlight w:val="lightGray"/>
          <w:lang w:val="sk-SK"/>
        </w:rPr>
        <w:t>centrum</w:t>
      </w:r>
      <w:r w:rsidRPr="002B2570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2B257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2B2570">
          <w:rPr>
            <w:rStyle w:val="Hypertextovprepojenie"/>
            <w:sz w:val="22"/>
            <w:szCs w:val="22"/>
            <w:highlight w:val="lightGray"/>
            <w:lang w:val="en-GB"/>
          </w:rPr>
          <w:t xml:space="preserve">rílohe </w:t>
        </w:r>
        <w:r w:rsidRPr="002B257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E82EC3">
        <w:rPr>
          <w:noProof/>
          <w:sz w:val="22"/>
          <w:szCs w:val="22"/>
          <w:lang w:val="sk-SK"/>
        </w:rPr>
        <w:t>.</w:t>
      </w:r>
    </w:p>
    <w:p w14:paraId="575B572B" w14:textId="77777777" w:rsidR="00882FF7" w:rsidRPr="00B12F7A" w:rsidRDefault="00882FF7" w:rsidP="00F16618">
      <w:pPr>
        <w:pStyle w:val="Zkladntext"/>
        <w:rPr>
          <w:sz w:val="22"/>
          <w:szCs w:val="22"/>
          <w:u w:val="single"/>
          <w:lang w:val="sk-SK"/>
        </w:rPr>
      </w:pPr>
    </w:p>
    <w:p w14:paraId="662BE110" w14:textId="77777777" w:rsidR="00F16618" w:rsidRPr="00B12F7A" w:rsidRDefault="00F16618" w:rsidP="00FD52F8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4.9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Predávkovanie</w:t>
      </w:r>
    </w:p>
    <w:p w14:paraId="3C6617DA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3ADD565" w14:textId="77777777" w:rsidR="00261C9F" w:rsidRPr="00B12F7A" w:rsidRDefault="00261C9F" w:rsidP="00261C9F">
      <w:pPr>
        <w:pStyle w:val="Zkladntext"/>
        <w:rPr>
          <w:sz w:val="22"/>
          <w:szCs w:val="22"/>
          <w:u w:val="single"/>
          <w:lang w:val="sk-SK"/>
        </w:rPr>
      </w:pPr>
      <w:r w:rsidRPr="00B12F7A">
        <w:rPr>
          <w:sz w:val="22"/>
          <w:szCs w:val="22"/>
          <w:u w:val="single"/>
          <w:lang w:val="sk-SK"/>
        </w:rPr>
        <w:t>Príznaky</w:t>
      </w:r>
    </w:p>
    <w:p w14:paraId="2EE05D4F" w14:textId="34EEB16D" w:rsidR="00F16618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Skúsenosti s predávkovaním sú obmedzené. Môže sa pozorovať ospanlivosť</w:t>
      </w:r>
      <w:r w:rsidR="0061381C">
        <w:rPr>
          <w:sz w:val="22"/>
          <w:szCs w:val="22"/>
          <w:lang w:val="sk-SK"/>
        </w:rPr>
        <w:t>,</w:t>
      </w:r>
      <w:r w:rsidRPr="00B12F7A">
        <w:rPr>
          <w:sz w:val="22"/>
          <w:szCs w:val="22"/>
          <w:lang w:val="sk-SK"/>
        </w:rPr>
        <w:t xml:space="preserve"> útlm, kóma, hypotenzia a extrapyramídové symptómy. </w:t>
      </w:r>
    </w:p>
    <w:p w14:paraId="70685C77" w14:textId="77777777" w:rsidR="004B7E2D" w:rsidRPr="00B12F7A" w:rsidRDefault="001F5009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Smrteľné </w:t>
      </w:r>
      <w:r w:rsidR="00B342C1">
        <w:rPr>
          <w:sz w:val="22"/>
          <w:szCs w:val="22"/>
          <w:lang w:val="sk-SK"/>
        </w:rPr>
        <w:t xml:space="preserve">následky boli hlásené </w:t>
      </w:r>
      <w:r w:rsidR="004B7E2D">
        <w:rPr>
          <w:sz w:val="22"/>
          <w:szCs w:val="22"/>
          <w:lang w:val="sk-SK"/>
        </w:rPr>
        <w:t>v kombinácii s inými psychotropnými látkami</w:t>
      </w:r>
      <w:r w:rsidR="00403036">
        <w:rPr>
          <w:sz w:val="22"/>
          <w:szCs w:val="22"/>
          <w:lang w:val="sk-SK"/>
        </w:rPr>
        <w:t>, ale i v monoterapii s</w:t>
      </w:r>
      <w:r w:rsidR="007E3B7E">
        <w:rPr>
          <w:sz w:val="22"/>
          <w:szCs w:val="22"/>
          <w:lang w:val="sk-SK"/>
        </w:rPr>
        <w:t> </w:t>
      </w:r>
      <w:r w:rsidR="00403036">
        <w:rPr>
          <w:sz w:val="22"/>
          <w:szCs w:val="22"/>
          <w:lang w:val="sk-SK"/>
        </w:rPr>
        <w:t>tiapridom</w:t>
      </w:r>
      <w:r w:rsidR="004B7E2D">
        <w:rPr>
          <w:sz w:val="22"/>
          <w:szCs w:val="22"/>
          <w:lang w:val="sk-SK"/>
        </w:rPr>
        <w:t>.</w:t>
      </w:r>
    </w:p>
    <w:p w14:paraId="6EB026FB" w14:textId="77777777" w:rsidR="001C7863" w:rsidRDefault="001C7863" w:rsidP="00261C9F">
      <w:pPr>
        <w:pStyle w:val="Zkladntext"/>
        <w:rPr>
          <w:sz w:val="22"/>
          <w:szCs w:val="22"/>
          <w:u w:val="single"/>
          <w:lang w:val="sk-SK"/>
        </w:rPr>
      </w:pPr>
    </w:p>
    <w:p w14:paraId="76D45ECC" w14:textId="77777777" w:rsidR="00261C9F" w:rsidRPr="00B12F7A" w:rsidRDefault="00261C9F" w:rsidP="00261C9F">
      <w:pPr>
        <w:pStyle w:val="Zkladntext"/>
        <w:rPr>
          <w:sz w:val="22"/>
          <w:szCs w:val="22"/>
          <w:u w:val="single"/>
          <w:lang w:val="sk-SK"/>
        </w:rPr>
      </w:pPr>
      <w:r w:rsidRPr="00B12F7A">
        <w:rPr>
          <w:sz w:val="22"/>
          <w:szCs w:val="22"/>
          <w:u w:val="single"/>
          <w:lang w:val="sk-SK"/>
        </w:rPr>
        <w:t>Liečba</w:t>
      </w:r>
    </w:p>
    <w:p w14:paraId="4C459C7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Pri akútnom predávkovaní sa má zvážiť možnosť užívania viacerých liekov. </w:t>
      </w:r>
    </w:p>
    <w:p w14:paraId="258F56E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Keďže tiaprid je slabo dialyzovateľný, hemodialýza sa kvôli eliminácii nemá používať. </w:t>
      </w:r>
    </w:p>
    <w:p w14:paraId="0706543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Neexistuje špecifické antidotum tiapridu. Odporúčajú sa vhodné podporné opatrenia za prísneho monitorovania vitálnych funkcií a do prebratia pacienta sa odporúča monitorovanie činnosti srdca (riziko predĺženia QT intervalu a následné ventrikulárne arytmie).</w:t>
      </w:r>
    </w:p>
    <w:p w14:paraId="18DA33A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 prípade ťažkých extrapyramídových symptómov sa majú podať anticholinergné lieky.</w:t>
      </w:r>
    </w:p>
    <w:p w14:paraId="05FB52F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5A9F53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4321182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5.</w:t>
      </w:r>
      <w:r w:rsidRPr="00B12F7A">
        <w:rPr>
          <w:b/>
          <w:sz w:val="22"/>
          <w:szCs w:val="22"/>
          <w:lang w:val="sk-SK"/>
        </w:rPr>
        <w:tab/>
        <w:t>FARMAKOLOGICKÉ VLASTNOSTI</w:t>
      </w:r>
    </w:p>
    <w:p w14:paraId="7FD674BA" w14:textId="77777777" w:rsidR="00F16618" w:rsidRPr="00B12F7A" w:rsidRDefault="00F16618" w:rsidP="007E3B7E">
      <w:pPr>
        <w:pStyle w:val="Zkladntext"/>
        <w:keepNext/>
        <w:ind w:left="567" w:hanging="567"/>
        <w:rPr>
          <w:sz w:val="22"/>
          <w:szCs w:val="22"/>
          <w:lang w:val="sk-SK"/>
        </w:rPr>
      </w:pPr>
    </w:p>
    <w:p w14:paraId="6148EEDE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5.1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Farmakodynamické vlastnosti</w:t>
      </w:r>
    </w:p>
    <w:p w14:paraId="460098AF" w14:textId="77777777" w:rsidR="001961DB" w:rsidRPr="00B12F7A" w:rsidRDefault="001961DB" w:rsidP="00E268D7">
      <w:pPr>
        <w:pStyle w:val="Zkladntext"/>
        <w:keepNext/>
        <w:rPr>
          <w:sz w:val="22"/>
          <w:szCs w:val="22"/>
          <w:lang w:val="sk-SK"/>
        </w:rPr>
      </w:pPr>
    </w:p>
    <w:p w14:paraId="1FEE49D8" w14:textId="0C1E5D8D" w:rsidR="001961DB" w:rsidRPr="00B12F7A" w:rsidRDefault="001961DB" w:rsidP="001961DB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Farmakoterapeutická skupina: </w:t>
      </w:r>
      <w:r w:rsidR="001729FC">
        <w:rPr>
          <w:sz w:val="22"/>
          <w:szCs w:val="22"/>
          <w:lang w:val="sk-SK"/>
        </w:rPr>
        <w:t>p</w:t>
      </w:r>
      <w:r w:rsidR="00763390">
        <w:rPr>
          <w:sz w:val="22"/>
          <w:szCs w:val="22"/>
          <w:lang w:val="sk-SK"/>
        </w:rPr>
        <w:t xml:space="preserve">sycholeptiká, </w:t>
      </w:r>
      <w:r w:rsidR="007E3B7E">
        <w:rPr>
          <w:sz w:val="22"/>
          <w:szCs w:val="22"/>
          <w:lang w:val="sk-SK"/>
        </w:rPr>
        <w:t>benzamidy</w:t>
      </w:r>
      <w:r w:rsidR="001F3A53">
        <w:rPr>
          <w:sz w:val="22"/>
          <w:szCs w:val="22"/>
          <w:lang w:val="sk-SK"/>
        </w:rPr>
        <w:t>.</w:t>
      </w:r>
    </w:p>
    <w:p w14:paraId="139395E6" w14:textId="77777777" w:rsidR="001961DB" w:rsidRPr="00B12F7A" w:rsidRDefault="001961DB" w:rsidP="001961DB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ATC kód: N05AL03</w:t>
      </w:r>
      <w:r w:rsidR="00C1378C">
        <w:rPr>
          <w:sz w:val="22"/>
          <w:szCs w:val="22"/>
          <w:lang w:val="sk-SK"/>
        </w:rPr>
        <w:t>.</w:t>
      </w:r>
    </w:p>
    <w:p w14:paraId="1FEA556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BDAF06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Tiaprid je atypické neuroleptikum, nezávislé na adenylátcykláze, ktoré selektívne blokuje dopamínergné D</w:t>
      </w:r>
      <w:r w:rsidRPr="00FD52F8">
        <w:rPr>
          <w:sz w:val="22"/>
          <w:szCs w:val="22"/>
          <w:vertAlign w:val="subscript"/>
          <w:lang w:val="sk-SK"/>
        </w:rPr>
        <w:t>2</w:t>
      </w:r>
      <w:r w:rsidRPr="00B12F7A">
        <w:rPr>
          <w:sz w:val="22"/>
          <w:szCs w:val="22"/>
          <w:lang w:val="sk-SK"/>
        </w:rPr>
        <w:t xml:space="preserve"> receptory. Jeho afinita k dopamínergným D</w:t>
      </w:r>
      <w:r w:rsidRPr="00FD52F8">
        <w:rPr>
          <w:sz w:val="22"/>
          <w:szCs w:val="22"/>
          <w:vertAlign w:val="subscript"/>
          <w:lang w:val="sk-SK"/>
        </w:rPr>
        <w:t>1</w:t>
      </w:r>
      <w:r w:rsidRPr="00B12F7A">
        <w:rPr>
          <w:sz w:val="22"/>
          <w:szCs w:val="22"/>
          <w:lang w:val="sk-SK"/>
        </w:rPr>
        <w:t xml:space="preserve"> receptorom je nízka. Je dokázané, že jeho aktivitu potencuje stimulácia a senzibilizácia receptorov. </w:t>
      </w:r>
    </w:p>
    <w:p w14:paraId="1945DB7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Anxiolytický účinok tiapridu bol dokázaný na niekoľkých zvieracích stresových modeloch, ktoré zahrňovali i pokusy s abstinenčnými príznakmi. Naviac bolo dokázané, že tiaprid má pozitívny účinok na bdelosť u pacientov v starobe. Mechanizmus jeho anxiolytického pôsobenia nebol dodnes objasnený, ale líši sa od jeho antidopamínergnej aktivity. </w:t>
      </w:r>
    </w:p>
    <w:p w14:paraId="2802214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4C28218" w14:textId="77777777" w:rsidR="00F16618" w:rsidRPr="00B12F7A" w:rsidRDefault="00F16618" w:rsidP="00FD52F8">
      <w:pPr>
        <w:pStyle w:val="Zkladntext"/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5.2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Farmakokinetické vlastnosti</w:t>
      </w:r>
    </w:p>
    <w:p w14:paraId="6505B77F" w14:textId="77777777" w:rsidR="00F16618" w:rsidRPr="00B12F7A" w:rsidRDefault="00F16618" w:rsidP="008A3C59">
      <w:pPr>
        <w:pStyle w:val="Zkladntext"/>
        <w:keepNext/>
        <w:rPr>
          <w:sz w:val="22"/>
          <w:szCs w:val="22"/>
          <w:lang w:val="sk-SK"/>
        </w:rPr>
      </w:pPr>
    </w:p>
    <w:p w14:paraId="275D68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Po perorálnom podaní 200 mg tiapridu je vrchol plazmatickej koncentrácie 1,3 </w:t>
      </w:r>
      <w:r w:rsidRPr="00B12F7A">
        <w:rPr>
          <w:sz w:val="22"/>
          <w:szCs w:val="22"/>
          <w:lang w:val="sk-SK"/>
        </w:rPr>
        <w:sym w:font="Symbol" w:char="F06D"/>
      </w:r>
      <w:r w:rsidRPr="00B12F7A">
        <w:rPr>
          <w:sz w:val="22"/>
          <w:szCs w:val="22"/>
          <w:lang w:val="sk-SK"/>
        </w:rPr>
        <w:t xml:space="preserve">g/ml dosiahnutý za jednu hodinu. </w:t>
      </w:r>
    </w:p>
    <w:p w14:paraId="458AE00F" w14:textId="03F7A366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Biologická dostupnosť tiapridu vo forme tabliet alebo kvapiek je 75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%. Absolútna biologická dostupnosť je zvýšená o 20 %, ak sa T</w:t>
      </w:r>
      <w:r w:rsidR="001961DB" w:rsidRPr="00B12F7A">
        <w:rPr>
          <w:sz w:val="22"/>
          <w:szCs w:val="22"/>
          <w:lang w:val="sk-SK"/>
        </w:rPr>
        <w:t>iapridal</w:t>
      </w:r>
      <w:r w:rsidRPr="00B12F7A">
        <w:rPr>
          <w:sz w:val="22"/>
          <w:szCs w:val="22"/>
          <w:lang w:val="sk-SK"/>
        </w:rPr>
        <w:t xml:space="preserve"> užíva pred jedlom. Absorpcia je pomalšia u pacientov v</w:t>
      </w:r>
      <w:r w:rsidR="00CD065D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 xml:space="preserve">starobe. </w:t>
      </w:r>
    </w:p>
    <w:p w14:paraId="7BC279E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Telesná distribúcia je rýchla (menej ako 1 hodina). Tiaprid prechádza bez akumulácie cez hematoencefalitickú i placentárnu bariéru. Prienik do materského mlieka bol pozorovaný v pokusoch na zvieratách s pomerom mlieko/krv 1,2. </w:t>
      </w:r>
    </w:p>
    <w:p w14:paraId="6ECADC84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Neviaže sa na proteíny krvnej plazmy, slabo sa viaže na erytrocyty. </w:t>
      </w:r>
    </w:p>
    <w:p w14:paraId="777AB93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 ľudí sa metabolizuje len málo. 70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% podanej látky sa vylučuje močom v nezmenenej forme. Polčas eliminácie je 2,9 hod. u žien a 3,6 hod. u mužov. Vylučuje sa hlavne močom, renálny klírens je 330 ml/min. U pacientov so zlyhaním obličiek je vylučovanie v korelácii s klírensom kreatinínu. Dávkovanie je potrebné prispôsobiť závažnosti renálnej insuficiencie u pacientov s klírensom kreatinínu menším ako 20 ml/min.</w:t>
      </w:r>
    </w:p>
    <w:p w14:paraId="3A21AB7C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U pacientov s klírensom kreatinínu 11-20 ml/min sa odporúča podávať polovicu zvyčajnej dávky a u pacientov s klírensom kreatinínu pod 10 ml/min štvrtinu zvyčajnej dávky. </w:t>
      </w:r>
    </w:p>
    <w:p w14:paraId="38BC88CB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33D897EF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7496A8B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6.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FARMACEUTICKÉ INFORMÁCIE</w:t>
      </w:r>
    </w:p>
    <w:p w14:paraId="76890B3E" w14:textId="77777777" w:rsidR="00F16618" w:rsidRPr="00B12F7A" w:rsidRDefault="00F16618" w:rsidP="00C1378C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u w:val="single"/>
          <w:lang w:val="sk-SK"/>
        </w:rPr>
      </w:pPr>
    </w:p>
    <w:p w14:paraId="028144EF" w14:textId="77777777" w:rsidR="00F16618" w:rsidRPr="00B12F7A" w:rsidRDefault="00F16618" w:rsidP="00C1378C">
      <w:pPr>
        <w:pStyle w:val="Zkladntext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6.1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Zoznam pomocných látok</w:t>
      </w:r>
    </w:p>
    <w:p w14:paraId="343E3E9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F428C8" w14:textId="77777777" w:rsidR="001C7863" w:rsidRDefault="001C786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F16618" w:rsidRPr="00B12F7A">
        <w:rPr>
          <w:sz w:val="22"/>
          <w:szCs w:val="22"/>
          <w:lang w:val="sk-SK"/>
        </w:rPr>
        <w:t>etylparabén</w:t>
      </w:r>
    </w:p>
    <w:p w14:paraId="7BCD7025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propylparabén</w:t>
      </w:r>
    </w:p>
    <w:p w14:paraId="13544670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kyselina chlorovodíkov</w:t>
      </w:r>
      <w:r w:rsidR="002C0DBF">
        <w:rPr>
          <w:sz w:val="22"/>
          <w:szCs w:val="22"/>
          <w:lang w:val="sk-SK"/>
        </w:rPr>
        <w:t>á</w:t>
      </w:r>
    </w:p>
    <w:p w14:paraId="231EE811" w14:textId="77777777" w:rsidR="001C7863" w:rsidRPr="00FD52F8" w:rsidRDefault="00F16618" w:rsidP="00F16618">
      <w:pPr>
        <w:pStyle w:val="Zkladntext"/>
        <w:rPr>
          <w:sz w:val="22"/>
          <w:szCs w:val="22"/>
          <w:lang w:val="sk-SK"/>
        </w:rPr>
      </w:pPr>
      <w:r w:rsidRPr="00FD52F8">
        <w:rPr>
          <w:sz w:val="22"/>
          <w:szCs w:val="22"/>
          <w:lang w:val="sk-SK"/>
        </w:rPr>
        <w:t>káliumsorbát</w:t>
      </w:r>
    </w:p>
    <w:p w14:paraId="73B9A28C" w14:textId="77777777" w:rsidR="001C7863" w:rsidRDefault="00384445" w:rsidP="00F16618">
      <w:pPr>
        <w:pStyle w:val="Zkladntext"/>
        <w:rPr>
          <w:sz w:val="22"/>
          <w:szCs w:val="22"/>
          <w:lang w:val="sk-SK"/>
        </w:rPr>
      </w:pPr>
      <w:r w:rsidRPr="00FD52F8">
        <w:rPr>
          <w:sz w:val="22"/>
          <w:szCs w:val="22"/>
          <w:lang w:val="sk-SK"/>
        </w:rPr>
        <w:t xml:space="preserve">sodná soľ </w:t>
      </w:r>
      <w:r w:rsidR="00F16618" w:rsidRPr="00FD52F8">
        <w:rPr>
          <w:sz w:val="22"/>
          <w:szCs w:val="22"/>
          <w:lang w:val="sk-SK"/>
        </w:rPr>
        <w:t>sacharín</w:t>
      </w:r>
      <w:r w:rsidRPr="00FD52F8">
        <w:rPr>
          <w:sz w:val="22"/>
          <w:szCs w:val="22"/>
          <w:lang w:val="sk-SK"/>
        </w:rPr>
        <w:t>u</w:t>
      </w:r>
    </w:p>
    <w:p w14:paraId="339DD4EA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citrónová aróma</w:t>
      </w:r>
    </w:p>
    <w:p w14:paraId="48FDD8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čistená voda</w:t>
      </w:r>
    </w:p>
    <w:p w14:paraId="4D73B28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A94AE65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6.2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Inkompatibility</w:t>
      </w:r>
    </w:p>
    <w:p w14:paraId="64F3523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5A6465F" w14:textId="2720F51C" w:rsidR="00F16618" w:rsidRPr="00B12F7A" w:rsidRDefault="001C786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36E6996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797FE07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6.3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Čas použiteľnosti</w:t>
      </w:r>
    </w:p>
    <w:p w14:paraId="2CF924D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D062A55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Pred otvorením: 2 roky</w:t>
      </w:r>
    </w:p>
    <w:p w14:paraId="2092F8DD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 xml:space="preserve">Po </w:t>
      </w:r>
      <w:r w:rsidR="00E722BE">
        <w:rPr>
          <w:sz w:val="22"/>
          <w:szCs w:val="22"/>
          <w:lang w:val="sk-SK"/>
        </w:rPr>
        <w:t xml:space="preserve">prvom </w:t>
      </w:r>
      <w:r w:rsidRPr="00B12F7A">
        <w:rPr>
          <w:sz w:val="22"/>
          <w:szCs w:val="22"/>
          <w:lang w:val="sk-SK"/>
        </w:rPr>
        <w:t>otvorení: 45 dní</w:t>
      </w:r>
    </w:p>
    <w:p w14:paraId="4162050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868006F" w14:textId="77777777" w:rsidR="00F16618" w:rsidRPr="00B12F7A" w:rsidRDefault="00F16618" w:rsidP="00FD52F8">
      <w:pPr>
        <w:pStyle w:val="Zkladntext"/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6.4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 xml:space="preserve">Špeciálne upozornenia na uchovávanie </w:t>
      </w:r>
    </w:p>
    <w:p w14:paraId="78E59E2D" w14:textId="77777777" w:rsidR="00F16618" w:rsidRPr="00B12F7A" w:rsidRDefault="00F16618" w:rsidP="00F16618">
      <w:pPr>
        <w:pStyle w:val="Zkladntext"/>
        <w:rPr>
          <w:b/>
          <w:sz w:val="22"/>
          <w:szCs w:val="22"/>
          <w:lang w:val="sk-SK"/>
        </w:rPr>
      </w:pPr>
    </w:p>
    <w:p w14:paraId="1BF22E38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Uchovávajte pri teplote do 25</w:t>
      </w:r>
      <w:r w:rsidR="00E17C58" w:rsidRPr="00B12F7A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°C.</w:t>
      </w:r>
    </w:p>
    <w:p w14:paraId="34E3D636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239DB47A" w14:textId="77777777" w:rsidR="00F16618" w:rsidRPr="00B12F7A" w:rsidRDefault="00F16618" w:rsidP="00FD52F8">
      <w:pPr>
        <w:pStyle w:val="Zkladntext"/>
        <w:ind w:left="567" w:hanging="567"/>
        <w:rPr>
          <w:b/>
          <w:bCs/>
          <w:sz w:val="22"/>
          <w:szCs w:val="22"/>
          <w:lang w:val="sk-SK"/>
        </w:rPr>
      </w:pPr>
      <w:r w:rsidRPr="00B12F7A">
        <w:rPr>
          <w:b/>
          <w:bCs/>
          <w:sz w:val="22"/>
          <w:szCs w:val="22"/>
          <w:lang w:val="sk-SK"/>
        </w:rPr>
        <w:t>6.5</w:t>
      </w:r>
      <w:r w:rsidR="00D112B1">
        <w:rPr>
          <w:b/>
          <w:bCs/>
          <w:sz w:val="22"/>
          <w:szCs w:val="22"/>
          <w:lang w:val="sk-SK"/>
        </w:rPr>
        <w:tab/>
      </w:r>
      <w:r w:rsidRPr="00B12F7A">
        <w:rPr>
          <w:b/>
          <w:bCs/>
          <w:sz w:val="22"/>
          <w:szCs w:val="22"/>
          <w:lang w:val="sk-SK"/>
        </w:rPr>
        <w:t>Druh obalu a obsah balenia</w:t>
      </w:r>
    </w:p>
    <w:p w14:paraId="7421848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44E56769" w14:textId="77777777" w:rsidR="001C7863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30 ml sklenená fľaška jantárovej farby s</w:t>
      </w:r>
      <w:r w:rsidR="001C7863">
        <w:rPr>
          <w:sz w:val="22"/>
          <w:szCs w:val="22"/>
          <w:lang w:val="sk-SK"/>
        </w:rPr>
        <w:t> </w:t>
      </w:r>
      <w:r w:rsidRPr="00B12F7A">
        <w:rPr>
          <w:sz w:val="22"/>
          <w:szCs w:val="22"/>
          <w:lang w:val="sk-SK"/>
        </w:rPr>
        <w:t>kvapkadlom</w:t>
      </w:r>
    </w:p>
    <w:p w14:paraId="2FBD0E7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Veľkosť balenia: 1 x 30 ml</w:t>
      </w:r>
    </w:p>
    <w:p w14:paraId="02E0FDF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0C7AD30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EFF8505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7.</w:t>
      </w:r>
      <w:r w:rsidRPr="00B12F7A">
        <w:rPr>
          <w:b/>
          <w:sz w:val="22"/>
          <w:szCs w:val="22"/>
          <w:lang w:val="sk-SK"/>
        </w:rPr>
        <w:tab/>
        <w:t>DRŽITEĽ ROZHODNUTIA O REGISTRÁCII</w:t>
      </w:r>
    </w:p>
    <w:p w14:paraId="0B9F05D9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EB015BE" w14:textId="77777777" w:rsidR="001C7863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sanofi-aventis Slovakia s.r.o.</w:t>
      </w:r>
    </w:p>
    <w:p w14:paraId="743F17E6" w14:textId="77777777" w:rsidR="001C7863" w:rsidRDefault="004E6A7A" w:rsidP="00F166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Einsteinova 24</w:t>
      </w:r>
    </w:p>
    <w:p w14:paraId="3384D8C1" w14:textId="77777777" w:rsidR="001C7863" w:rsidRDefault="004E6A7A" w:rsidP="00F166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851 01 </w:t>
      </w:r>
      <w:r w:rsidR="00F16618" w:rsidRPr="00B12F7A">
        <w:rPr>
          <w:sz w:val="22"/>
          <w:szCs w:val="22"/>
          <w:lang w:val="sk-SK"/>
        </w:rPr>
        <w:t>Bratislava</w:t>
      </w:r>
    </w:p>
    <w:p w14:paraId="0A7C23E1" w14:textId="77777777" w:rsidR="00F16618" w:rsidRPr="00B12F7A" w:rsidRDefault="00F16618" w:rsidP="00F16618">
      <w:pPr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Slovenská republika</w:t>
      </w:r>
    </w:p>
    <w:p w14:paraId="57793851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60726380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F600ACE" w14:textId="77777777" w:rsidR="00F16618" w:rsidRPr="00B12F7A" w:rsidRDefault="00F16618" w:rsidP="00FD52F8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8.</w:t>
      </w:r>
      <w:r w:rsidRPr="00B12F7A">
        <w:rPr>
          <w:b/>
          <w:sz w:val="22"/>
          <w:szCs w:val="22"/>
          <w:lang w:val="sk-SK"/>
        </w:rPr>
        <w:tab/>
        <w:t>REGISTRAČNÉ ČÍSLO</w:t>
      </w:r>
    </w:p>
    <w:p w14:paraId="428B4A7E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4B58C7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  <w:r w:rsidRPr="00B12F7A">
        <w:rPr>
          <w:sz w:val="22"/>
          <w:szCs w:val="22"/>
          <w:lang w:val="sk-SK"/>
        </w:rPr>
        <w:t>68/0061/01-S</w:t>
      </w:r>
    </w:p>
    <w:p w14:paraId="73DA1F5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11F07D4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202192E" w14:textId="77777777" w:rsidR="00F16618" w:rsidRPr="00B12F7A" w:rsidRDefault="00F16618" w:rsidP="00FD52F8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9.</w:t>
      </w:r>
      <w:r w:rsidRPr="00B12F7A">
        <w:rPr>
          <w:b/>
          <w:sz w:val="22"/>
          <w:szCs w:val="22"/>
          <w:lang w:val="sk-SK"/>
        </w:rPr>
        <w:tab/>
        <w:t>DÁTUM PRVEJ REGISTRÁCIE/ PREDĹŽENIA REGISTRÁCIE</w:t>
      </w:r>
    </w:p>
    <w:p w14:paraId="358CC923" w14:textId="77777777" w:rsidR="00F16618" w:rsidRPr="00B12F7A" w:rsidRDefault="00F16618" w:rsidP="00FD52F8">
      <w:pPr>
        <w:pStyle w:val="Zkladntext"/>
        <w:keepNext/>
        <w:tabs>
          <w:tab w:val="left" w:pos="284"/>
        </w:tabs>
        <w:rPr>
          <w:b/>
          <w:sz w:val="22"/>
          <w:szCs w:val="22"/>
          <w:lang w:val="sk-SK"/>
        </w:rPr>
      </w:pPr>
    </w:p>
    <w:p w14:paraId="750D0BDE" w14:textId="77777777" w:rsidR="00A80BD3" w:rsidRDefault="00A80BD3" w:rsidP="00FD52F8">
      <w:pPr>
        <w:pStyle w:val="Zkladntext"/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F16618" w:rsidRPr="00B12F7A">
        <w:rPr>
          <w:sz w:val="22"/>
          <w:szCs w:val="22"/>
          <w:lang w:val="sk-SK"/>
        </w:rPr>
        <w:t>01.</w:t>
      </w:r>
      <w:r w:rsidR="00C97595">
        <w:rPr>
          <w:sz w:val="22"/>
          <w:szCs w:val="22"/>
          <w:lang w:val="sk-SK"/>
        </w:rPr>
        <w:t xml:space="preserve"> </w:t>
      </w:r>
      <w:r w:rsidR="001C7863">
        <w:rPr>
          <w:sz w:val="22"/>
          <w:szCs w:val="22"/>
          <w:lang w:val="sk-SK"/>
        </w:rPr>
        <w:t xml:space="preserve">marca </w:t>
      </w:r>
      <w:r w:rsidR="00F16618" w:rsidRPr="00B12F7A">
        <w:rPr>
          <w:sz w:val="22"/>
          <w:szCs w:val="22"/>
          <w:lang w:val="sk-SK"/>
        </w:rPr>
        <w:t>2001</w:t>
      </w:r>
    </w:p>
    <w:p w14:paraId="108D40C8" w14:textId="77777777" w:rsidR="00F16618" w:rsidRPr="00B12F7A" w:rsidRDefault="00A80BD3" w:rsidP="00F16618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</w:t>
      </w:r>
      <w:r w:rsidR="007A500C">
        <w:rPr>
          <w:sz w:val="22"/>
          <w:szCs w:val="22"/>
          <w:lang w:val="sk-SK"/>
        </w:rPr>
        <w:t xml:space="preserve"> </w:t>
      </w:r>
      <w:r w:rsidR="007A500C" w:rsidRPr="007A500C">
        <w:rPr>
          <w:sz w:val="22"/>
          <w:szCs w:val="22"/>
          <w:lang w:val="sk-SK"/>
        </w:rPr>
        <w:t>posledného</w:t>
      </w:r>
      <w:r>
        <w:rPr>
          <w:sz w:val="22"/>
          <w:szCs w:val="22"/>
          <w:lang w:val="sk-SK"/>
        </w:rPr>
        <w:t xml:space="preserve"> predĺženia registrácie: </w:t>
      </w:r>
      <w:r w:rsidR="007E5370" w:rsidRPr="00B12F7A">
        <w:rPr>
          <w:sz w:val="22"/>
          <w:szCs w:val="22"/>
          <w:lang w:val="sk-SK"/>
        </w:rPr>
        <w:t>22.</w:t>
      </w:r>
      <w:r w:rsidR="00544B32">
        <w:rPr>
          <w:sz w:val="22"/>
          <w:szCs w:val="22"/>
          <w:lang w:val="sk-SK"/>
        </w:rPr>
        <w:t xml:space="preserve"> </w:t>
      </w:r>
      <w:r w:rsidR="001C7863">
        <w:rPr>
          <w:sz w:val="22"/>
          <w:szCs w:val="22"/>
          <w:lang w:val="sk-SK"/>
        </w:rPr>
        <w:t xml:space="preserve">septembra </w:t>
      </w:r>
      <w:r w:rsidR="007E5370" w:rsidRPr="00B12F7A">
        <w:rPr>
          <w:sz w:val="22"/>
          <w:szCs w:val="22"/>
          <w:lang w:val="sk-SK"/>
        </w:rPr>
        <w:t>2006</w:t>
      </w:r>
      <w:r w:rsidR="00BB1581" w:rsidRPr="00B12F7A">
        <w:rPr>
          <w:sz w:val="22"/>
          <w:szCs w:val="22"/>
          <w:lang w:val="sk-SK"/>
        </w:rPr>
        <w:t xml:space="preserve"> </w:t>
      </w:r>
    </w:p>
    <w:p w14:paraId="15FAF952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83B8F4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7FF3DA53" w14:textId="77777777" w:rsidR="00F16618" w:rsidRPr="00B12F7A" w:rsidRDefault="00F16618" w:rsidP="00FD52F8">
      <w:pPr>
        <w:pStyle w:val="Zkladntext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B12F7A">
        <w:rPr>
          <w:b/>
          <w:sz w:val="22"/>
          <w:szCs w:val="22"/>
          <w:lang w:val="sk-SK"/>
        </w:rPr>
        <w:t>10.</w:t>
      </w:r>
      <w:r w:rsidR="00D112B1">
        <w:rPr>
          <w:b/>
          <w:sz w:val="22"/>
          <w:szCs w:val="22"/>
          <w:lang w:val="sk-SK"/>
        </w:rPr>
        <w:tab/>
      </w:r>
      <w:r w:rsidRPr="00B12F7A">
        <w:rPr>
          <w:b/>
          <w:sz w:val="22"/>
          <w:szCs w:val="22"/>
          <w:lang w:val="sk-SK"/>
        </w:rPr>
        <w:t>DÁTUM REVÍZIE TEXTU</w:t>
      </w:r>
    </w:p>
    <w:p w14:paraId="490B8BF3" w14:textId="77777777" w:rsidR="00F16618" w:rsidRPr="00B12F7A" w:rsidRDefault="00F16618" w:rsidP="00F16618">
      <w:pPr>
        <w:pStyle w:val="Zkladntext"/>
        <w:rPr>
          <w:sz w:val="22"/>
          <w:szCs w:val="22"/>
          <w:lang w:val="sk-SK"/>
        </w:rPr>
      </w:pPr>
    </w:p>
    <w:p w14:paraId="5B04D566" w14:textId="616DE520" w:rsidR="00C021FD" w:rsidRPr="00B12F7A" w:rsidRDefault="00E40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1</w:t>
      </w:r>
      <w:bookmarkStart w:id="0" w:name="_GoBack"/>
      <w:bookmarkEnd w:id="0"/>
      <w:r w:rsidR="00923FA5">
        <w:rPr>
          <w:sz w:val="22"/>
          <w:szCs w:val="22"/>
          <w:lang w:val="sk-SK"/>
        </w:rPr>
        <w:t>/2018</w:t>
      </w:r>
    </w:p>
    <w:sectPr w:rsidR="00C021FD" w:rsidRPr="00B12F7A" w:rsidSect="00020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0A8D6" w14:textId="77777777" w:rsidR="00525D45" w:rsidRDefault="00525D45">
      <w:r>
        <w:separator/>
      </w:r>
    </w:p>
  </w:endnote>
  <w:endnote w:type="continuationSeparator" w:id="0">
    <w:p w14:paraId="539EEF71" w14:textId="77777777" w:rsidR="00525D45" w:rsidRDefault="0052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C1311" w14:textId="77777777" w:rsidR="00D820FA" w:rsidRDefault="00D820F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95ABA" w14:textId="77777777" w:rsidR="00AD136C" w:rsidRPr="00FD52F8" w:rsidRDefault="0039086A">
    <w:pPr>
      <w:pStyle w:val="Pta"/>
      <w:jc w:val="center"/>
      <w:rPr>
        <w:sz w:val="18"/>
        <w:szCs w:val="18"/>
      </w:rPr>
    </w:pPr>
    <w:r w:rsidRPr="00FD52F8">
      <w:rPr>
        <w:sz w:val="18"/>
        <w:szCs w:val="18"/>
      </w:rPr>
      <w:fldChar w:fldCharType="begin"/>
    </w:r>
    <w:r w:rsidR="00AD136C" w:rsidRPr="00FD52F8">
      <w:rPr>
        <w:sz w:val="18"/>
        <w:szCs w:val="18"/>
      </w:rPr>
      <w:instrText>PAGE   \* MERGEFORMAT</w:instrText>
    </w:r>
    <w:r w:rsidRPr="00FD52F8">
      <w:rPr>
        <w:sz w:val="18"/>
        <w:szCs w:val="18"/>
      </w:rPr>
      <w:fldChar w:fldCharType="separate"/>
    </w:r>
    <w:r w:rsidR="00E408CA" w:rsidRPr="00E408CA">
      <w:rPr>
        <w:noProof/>
        <w:sz w:val="18"/>
        <w:szCs w:val="18"/>
        <w:lang w:val="sk-SK"/>
      </w:rPr>
      <w:t>9</w:t>
    </w:r>
    <w:r w:rsidRPr="00FD52F8">
      <w:rPr>
        <w:sz w:val="18"/>
        <w:szCs w:val="18"/>
      </w:rPr>
      <w:fldChar w:fldCharType="end"/>
    </w:r>
  </w:p>
  <w:p w14:paraId="1EEA656B" w14:textId="77777777" w:rsidR="005671AE" w:rsidRPr="000A1F9A" w:rsidRDefault="005671AE" w:rsidP="00C73285">
    <w:pPr>
      <w:pStyle w:val="Pt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0A223" w14:textId="77777777" w:rsidR="00AD136C" w:rsidRPr="00FD52F8" w:rsidRDefault="0039086A">
    <w:pPr>
      <w:pStyle w:val="Pta"/>
      <w:jc w:val="center"/>
      <w:rPr>
        <w:sz w:val="18"/>
        <w:szCs w:val="18"/>
      </w:rPr>
    </w:pPr>
    <w:r w:rsidRPr="00FD52F8">
      <w:rPr>
        <w:sz w:val="18"/>
        <w:szCs w:val="18"/>
      </w:rPr>
      <w:fldChar w:fldCharType="begin"/>
    </w:r>
    <w:r w:rsidR="00AD136C" w:rsidRPr="00FD52F8">
      <w:rPr>
        <w:sz w:val="18"/>
        <w:szCs w:val="18"/>
      </w:rPr>
      <w:instrText>PAGE   \* MERGEFORMAT</w:instrText>
    </w:r>
    <w:r w:rsidRPr="00FD52F8">
      <w:rPr>
        <w:sz w:val="18"/>
        <w:szCs w:val="18"/>
      </w:rPr>
      <w:fldChar w:fldCharType="separate"/>
    </w:r>
    <w:r w:rsidR="00020AAB" w:rsidRPr="00020AAB">
      <w:rPr>
        <w:noProof/>
        <w:sz w:val="18"/>
        <w:szCs w:val="18"/>
        <w:lang w:val="sk-SK"/>
      </w:rPr>
      <w:t>1</w:t>
    </w:r>
    <w:r w:rsidRPr="00FD52F8">
      <w:rPr>
        <w:sz w:val="18"/>
        <w:szCs w:val="18"/>
      </w:rPr>
      <w:fldChar w:fldCharType="end"/>
    </w:r>
  </w:p>
  <w:p w14:paraId="42E8E644" w14:textId="77777777" w:rsidR="005671AE" w:rsidRPr="000A1F9A" w:rsidRDefault="005671AE" w:rsidP="00C73285">
    <w:pPr>
      <w:pStyle w:val="Pt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BFF08" w14:textId="77777777" w:rsidR="00525D45" w:rsidRDefault="00525D45">
      <w:r>
        <w:separator/>
      </w:r>
    </w:p>
  </w:footnote>
  <w:footnote w:type="continuationSeparator" w:id="0">
    <w:p w14:paraId="6E5915B3" w14:textId="77777777" w:rsidR="00525D45" w:rsidRDefault="00525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3BE12" w14:textId="77777777" w:rsidR="00D820FA" w:rsidRDefault="00D820F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EFE70" w14:textId="55FE8386" w:rsidR="00020AAB" w:rsidRDefault="00020AAB" w:rsidP="00020AAB">
    <w:pPr>
      <w:pStyle w:val="Hlavika"/>
      <w:rPr>
        <w:sz w:val="18"/>
        <w:szCs w:val="18"/>
        <w:lang w:val="sk-SK"/>
      </w:rPr>
    </w:pPr>
    <w:r w:rsidRPr="00635FF3">
      <w:rPr>
        <w:sz w:val="18"/>
        <w:szCs w:val="18"/>
        <w:lang w:val="sk-SK"/>
      </w:rPr>
      <w:t>Schválený text k rozhodnutiu o zmene, ev. č.: 2016/00580-ZME, 2017/03249-ZME</w:t>
    </w:r>
  </w:p>
  <w:p w14:paraId="5D08B5AD" w14:textId="77777777" w:rsidR="005671AE" w:rsidRPr="00CD6134" w:rsidRDefault="005671AE" w:rsidP="00C73285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D4C6F" w14:textId="5998D56F" w:rsidR="00764087" w:rsidRDefault="00CD065D" w:rsidP="0076408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2016/00580-ZME</w:t>
    </w:r>
  </w:p>
  <w:p w14:paraId="1649F0E7" w14:textId="0318376B" w:rsidR="00527767" w:rsidRDefault="00527767" w:rsidP="0076408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</w:t>
    </w:r>
    <w:r w:rsidR="00020AAB" w:rsidRPr="00635FF3">
      <w:rPr>
        <w:sz w:val="18"/>
        <w:szCs w:val="18"/>
        <w:highlight w:val="yellow"/>
        <w:lang w:val="sk-SK"/>
      </w:rPr>
      <w:t>2017/03249-ZME</w:t>
    </w:r>
    <w:r w:rsidR="00020AAB" w:rsidDel="00020AAB">
      <w:rPr>
        <w:sz w:val="18"/>
        <w:szCs w:val="18"/>
        <w:lang w:val="sk-SK"/>
      </w:rPr>
      <w:t xml:space="preserve"> </w:t>
    </w:r>
  </w:p>
  <w:p w14:paraId="2DAB98B3" w14:textId="77777777" w:rsidR="005671AE" w:rsidRDefault="005671AE" w:rsidP="00C73285">
    <w:pPr>
      <w:pStyle w:val="Hlavika"/>
      <w:rPr>
        <w:sz w:val="20"/>
        <w:lang w:val="sk-SK"/>
      </w:rPr>
    </w:pPr>
  </w:p>
  <w:p w14:paraId="2B0DD783" w14:textId="77777777" w:rsidR="005671AE" w:rsidRPr="008958B4" w:rsidRDefault="005671AE" w:rsidP="00C73285">
    <w:pPr>
      <w:pStyle w:val="Hlavika"/>
      <w:rPr>
        <w:sz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0E4B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D7B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E704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256AC3"/>
    <w:multiLevelType w:val="hybridMultilevel"/>
    <w:tmpl w:val="F20432E6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B54A21"/>
    <w:multiLevelType w:val="hybridMultilevel"/>
    <w:tmpl w:val="233E44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5F71"/>
    <w:multiLevelType w:val="hybridMultilevel"/>
    <w:tmpl w:val="A536BBA2"/>
    <w:lvl w:ilvl="0" w:tplc="520CF8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2662"/>
    <w:multiLevelType w:val="hybridMultilevel"/>
    <w:tmpl w:val="5D829F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10F25"/>
    <w:multiLevelType w:val="hybridMultilevel"/>
    <w:tmpl w:val="5D54CE88"/>
    <w:lvl w:ilvl="0" w:tplc="FFFFFFFF">
      <w:start w:val="1"/>
      <w:numFmt w:val="bullet"/>
      <w:lvlText w:val=""/>
      <w:legacy w:legacy="1" w:legacySpace="57" w:legacyIndent="227"/>
      <w:lvlJc w:val="left"/>
      <w:pPr>
        <w:ind w:left="227" w:hanging="227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227"/>
        </w:tabs>
        <w:ind w:left="12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7"/>
        </w:tabs>
        <w:ind w:left="1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7"/>
        </w:tabs>
        <w:ind w:left="2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7"/>
        </w:tabs>
        <w:ind w:left="33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7"/>
        </w:tabs>
        <w:ind w:left="4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7"/>
        </w:tabs>
        <w:ind w:left="4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7"/>
        </w:tabs>
        <w:ind w:left="55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7"/>
        </w:tabs>
        <w:ind w:left="62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18"/>
    <w:rsid w:val="0001654A"/>
    <w:rsid w:val="00020AAB"/>
    <w:rsid w:val="00026FB4"/>
    <w:rsid w:val="00045AD5"/>
    <w:rsid w:val="00055156"/>
    <w:rsid w:val="000558DB"/>
    <w:rsid w:val="000616E7"/>
    <w:rsid w:val="00061D17"/>
    <w:rsid w:val="000762C6"/>
    <w:rsid w:val="00083EC6"/>
    <w:rsid w:val="00092D6C"/>
    <w:rsid w:val="00093CBC"/>
    <w:rsid w:val="00094331"/>
    <w:rsid w:val="00097705"/>
    <w:rsid w:val="000A2AAD"/>
    <w:rsid w:val="000B6E63"/>
    <w:rsid w:val="000C16EC"/>
    <w:rsid w:val="000D0992"/>
    <w:rsid w:val="000D2B36"/>
    <w:rsid w:val="000D6D7E"/>
    <w:rsid w:val="000E0582"/>
    <w:rsid w:val="000E43E9"/>
    <w:rsid w:val="000E477C"/>
    <w:rsid w:val="000F41C5"/>
    <w:rsid w:val="0010040E"/>
    <w:rsid w:val="00106209"/>
    <w:rsid w:val="00107FC4"/>
    <w:rsid w:val="001251CC"/>
    <w:rsid w:val="00150945"/>
    <w:rsid w:val="00164F68"/>
    <w:rsid w:val="001729FC"/>
    <w:rsid w:val="00172BA9"/>
    <w:rsid w:val="00173A7E"/>
    <w:rsid w:val="00183AC3"/>
    <w:rsid w:val="00190A7D"/>
    <w:rsid w:val="001961DB"/>
    <w:rsid w:val="001B539C"/>
    <w:rsid w:val="001C7863"/>
    <w:rsid w:val="001D63D7"/>
    <w:rsid w:val="001E4E17"/>
    <w:rsid w:val="001E7C44"/>
    <w:rsid w:val="001F20BB"/>
    <w:rsid w:val="001F2AB7"/>
    <w:rsid w:val="001F3A53"/>
    <w:rsid w:val="001F5009"/>
    <w:rsid w:val="001F6352"/>
    <w:rsid w:val="00211832"/>
    <w:rsid w:val="002262E7"/>
    <w:rsid w:val="00226359"/>
    <w:rsid w:val="00227481"/>
    <w:rsid w:val="00261C9F"/>
    <w:rsid w:val="0026594B"/>
    <w:rsid w:val="0026736E"/>
    <w:rsid w:val="002703A9"/>
    <w:rsid w:val="00294EC5"/>
    <w:rsid w:val="002A032B"/>
    <w:rsid w:val="002A03B2"/>
    <w:rsid w:val="002B2570"/>
    <w:rsid w:val="002B5500"/>
    <w:rsid w:val="002B58A9"/>
    <w:rsid w:val="002C0DBF"/>
    <w:rsid w:val="002C39FE"/>
    <w:rsid w:val="002C6A0B"/>
    <w:rsid w:val="002E342E"/>
    <w:rsid w:val="002F3BF5"/>
    <w:rsid w:val="00300897"/>
    <w:rsid w:val="003016C9"/>
    <w:rsid w:val="00302265"/>
    <w:rsid w:val="00307B02"/>
    <w:rsid w:val="003237ED"/>
    <w:rsid w:val="00326688"/>
    <w:rsid w:val="00334BA5"/>
    <w:rsid w:val="00337556"/>
    <w:rsid w:val="003423E3"/>
    <w:rsid w:val="003501C0"/>
    <w:rsid w:val="003516FD"/>
    <w:rsid w:val="00360A3F"/>
    <w:rsid w:val="00364AEC"/>
    <w:rsid w:val="003677B0"/>
    <w:rsid w:val="00384445"/>
    <w:rsid w:val="00385FB9"/>
    <w:rsid w:val="0039086A"/>
    <w:rsid w:val="003B388B"/>
    <w:rsid w:val="003B40DC"/>
    <w:rsid w:val="003C0709"/>
    <w:rsid w:val="003C577B"/>
    <w:rsid w:val="003C6FF7"/>
    <w:rsid w:val="003C7231"/>
    <w:rsid w:val="003D29B6"/>
    <w:rsid w:val="003D3C64"/>
    <w:rsid w:val="003D6406"/>
    <w:rsid w:val="003E6E3F"/>
    <w:rsid w:val="003F459D"/>
    <w:rsid w:val="003F689C"/>
    <w:rsid w:val="00401876"/>
    <w:rsid w:val="00403036"/>
    <w:rsid w:val="00407D94"/>
    <w:rsid w:val="004134D8"/>
    <w:rsid w:val="00426666"/>
    <w:rsid w:val="00430A0E"/>
    <w:rsid w:val="00445203"/>
    <w:rsid w:val="00455F54"/>
    <w:rsid w:val="0045780E"/>
    <w:rsid w:val="004825AF"/>
    <w:rsid w:val="004910C8"/>
    <w:rsid w:val="00495CD5"/>
    <w:rsid w:val="004B099D"/>
    <w:rsid w:val="004B37D2"/>
    <w:rsid w:val="004B7E2D"/>
    <w:rsid w:val="004C402F"/>
    <w:rsid w:val="004D16AE"/>
    <w:rsid w:val="004D51F2"/>
    <w:rsid w:val="004E0952"/>
    <w:rsid w:val="004E2145"/>
    <w:rsid w:val="004E242C"/>
    <w:rsid w:val="004E3CBF"/>
    <w:rsid w:val="004E6A7A"/>
    <w:rsid w:val="004F7262"/>
    <w:rsid w:val="00516BD3"/>
    <w:rsid w:val="00521937"/>
    <w:rsid w:val="0052430A"/>
    <w:rsid w:val="00525D45"/>
    <w:rsid w:val="005273EB"/>
    <w:rsid w:val="005274B6"/>
    <w:rsid w:val="00527767"/>
    <w:rsid w:val="00537680"/>
    <w:rsid w:val="00544B32"/>
    <w:rsid w:val="00557F16"/>
    <w:rsid w:val="005631A6"/>
    <w:rsid w:val="005671AE"/>
    <w:rsid w:val="005C0F4C"/>
    <w:rsid w:val="005C3A1D"/>
    <w:rsid w:val="005E0490"/>
    <w:rsid w:val="005E1500"/>
    <w:rsid w:val="005F72A2"/>
    <w:rsid w:val="005F767F"/>
    <w:rsid w:val="006020CD"/>
    <w:rsid w:val="00602D06"/>
    <w:rsid w:val="00610736"/>
    <w:rsid w:val="0061381C"/>
    <w:rsid w:val="00617112"/>
    <w:rsid w:val="00625399"/>
    <w:rsid w:val="006347F7"/>
    <w:rsid w:val="00635FF3"/>
    <w:rsid w:val="00642623"/>
    <w:rsid w:val="00652260"/>
    <w:rsid w:val="00681F1A"/>
    <w:rsid w:val="00686B73"/>
    <w:rsid w:val="00692653"/>
    <w:rsid w:val="00696B77"/>
    <w:rsid w:val="006A1DAD"/>
    <w:rsid w:val="006B1870"/>
    <w:rsid w:val="006C4DAA"/>
    <w:rsid w:val="006C5EE3"/>
    <w:rsid w:val="006C6D9F"/>
    <w:rsid w:val="006D71B6"/>
    <w:rsid w:val="006F2160"/>
    <w:rsid w:val="006F5450"/>
    <w:rsid w:val="007016F2"/>
    <w:rsid w:val="007162A5"/>
    <w:rsid w:val="00720B08"/>
    <w:rsid w:val="00730800"/>
    <w:rsid w:val="007427B0"/>
    <w:rsid w:val="00743A5F"/>
    <w:rsid w:val="00750B46"/>
    <w:rsid w:val="00763390"/>
    <w:rsid w:val="00764087"/>
    <w:rsid w:val="00770A34"/>
    <w:rsid w:val="00772BF5"/>
    <w:rsid w:val="00774085"/>
    <w:rsid w:val="0077435A"/>
    <w:rsid w:val="00783A3D"/>
    <w:rsid w:val="00790323"/>
    <w:rsid w:val="00791744"/>
    <w:rsid w:val="00791D77"/>
    <w:rsid w:val="007A500C"/>
    <w:rsid w:val="007A5437"/>
    <w:rsid w:val="007E11A3"/>
    <w:rsid w:val="007E143D"/>
    <w:rsid w:val="007E2131"/>
    <w:rsid w:val="007E3B7E"/>
    <w:rsid w:val="007E5370"/>
    <w:rsid w:val="007F1D7A"/>
    <w:rsid w:val="007F6460"/>
    <w:rsid w:val="00807C34"/>
    <w:rsid w:val="00821CFA"/>
    <w:rsid w:val="00823B52"/>
    <w:rsid w:val="00841AD6"/>
    <w:rsid w:val="008562DD"/>
    <w:rsid w:val="008623B0"/>
    <w:rsid w:val="0086524C"/>
    <w:rsid w:val="00867D46"/>
    <w:rsid w:val="00871F47"/>
    <w:rsid w:val="008808EC"/>
    <w:rsid w:val="00882FF7"/>
    <w:rsid w:val="00886DBE"/>
    <w:rsid w:val="008A042A"/>
    <w:rsid w:val="008A0D0E"/>
    <w:rsid w:val="008A3C59"/>
    <w:rsid w:val="008A59FA"/>
    <w:rsid w:val="008A7CE3"/>
    <w:rsid w:val="008B020E"/>
    <w:rsid w:val="008C2779"/>
    <w:rsid w:val="008C63EF"/>
    <w:rsid w:val="008C650E"/>
    <w:rsid w:val="008E6F92"/>
    <w:rsid w:val="008F6233"/>
    <w:rsid w:val="00904020"/>
    <w:rsid w:val="00923FA5"/>
    <w:rsid w:val="0092781E"/>
    <w:rsid w:val="00942C5A"/>
    <w:rsid w:val="009534DD"/>
    <w:rsid w:val="009535A6"/>
    <w:rsid w:val="0095369E"/>
    <w:rsid w:val="00955C83"/>
    <w:rsid w:val="00956253"/>
    <w:rsid w:val="00971A40"/>
    <w:rsid w:val="00974EC6"/>
    <w:rsid w:val="00982AF5"/>
    <w:rsid w:val="00986A96"/>
    <w:rsid w:val="00987561"/>
    <w:rsid w:val="00987842"/>
    <w:rsid w:val="0099583B"/>
    <w:rsid w:val="009B035F"/>
    <w:rsid w:val="009B2541"/>
    <w:rsid w:val="009C75AB"/>
    <w:rsid w:val="009D67CA"/>
    <w:rsid w:val="009E25C4"/>
    <w:rsid w:val="009E30E6"/>
    <w:rsid w:val="009F030D"/>
    <w:rsid w:val="009F6DFC"/>
    <w:rsid w:val="00A031BD"/>
    <w:rsid w:val="00A0654E"/>
    <w:rsid w:val="00A11713"/>
    <w:rsid w:val="00A2261D"/>
    <w:rsid w:val="00A34531"/>
    <w:rsid w:val="00A351AD"/>
    <w:rsid w:val="00A41970"/>
    <w:rsid w:val="00A50D59"/>
    <w:rsid w:val="00A80BD3"/>
    <w:rsid w:val="00A84D6E"/>
    <w:rsid w:val="00AA731F"/>
    <w:rsid w:val="00AB112D"/>
    <w:rsid w:val="00AC1462"/>
    <w:rsid w:val="00AC1797"/>
    <w:rsid w:val="00AC25FB"/>
    <w:rsid w:val="00AC4650"/>
    <w:rsid w:val="00AD136C"/>
    <w:rsid w:val="00AD183A"/>
    <w:rsid w:val="00AD6C10"/>
    <w:rsid w:val="00AD7EA5"/>
    <w:rsid w:val="00AF0B1F"/>
    <w:rsid w:val="00AF62B1"/>
    <w:rsid w:val="00B12F69"/>
    <w:rsid w:val="00B12F7A"/>
    <w:rsid w:val="00B16944"/>
    <w:rsid w:val="00B16E25"/>
    <w:rsid w:val="00B31F7E"/>
    <w:rsid w:val="00B33F6B"/>
    <w:rsid w:val="00B342C1"/>
    <w:rsid w:val="00B472FA"/>
    <w:rsid w:val="00BA3149"/>
    <w:rsid w:val="00BA74D4"/>
    <w:rsid w:val="00BB1581"/>
    <w:rsid w:val="00BB26B4"/>
    <w:rsid w:val="00BC374D"/>
    <w:rsid w:val="00BC5ECA"/>
    <w:rsid w:val="00BC6316"/>
    <w:rsid w:val="00BD15D8"/>
    <w:rsid w:val="00BD2566"/>
    <w:rsid w:val="00BD4078"/>
    <w:rsid w:val="00BE0184"/>
    <w:rsid w:val="00BF5548"/>
    <w:rsid w:val="00BF7538"/>
    <w:rsid w:val="00C021FD"/>
    <w:rsid w:val="00C0796C"/>
    <w:rsid w:val="00C1378C"/>
    <w:rsid w:val="00C145BA"/>
    <w:rsid w:val="00C21490"/>
    <w:rsid w:val="00C22849"/>
    <w:rsid w:val="00C23D09"/>
    <w:rsid w:val="00C26F69"/>
    <w:rsid w:val="00C323DA"/>
    <w:rsid w:val="00C325FA"/>
    <w:rsid w:val="00C455C3"/>
    <w:rsid w:val="00C550E2"/>
    <w:rsid w:val="00C665AA"/>
    <w:rsid w:val="00C73285"/>
    <w:rsid w:val="00C74814"/>
    <w:rsid w:val="00C76A33"/>
    <w:rsid w:val="00C771C8"/>
    <w:rsid w:val="00C82CC3"/>
    <w:rsid w:val="00C90977"/>
    <w:rsid w:val="00C9274B"/>
    <w:rsid w:val="00C97595"/>
    <w:rsid w:val="00CA6E1B"/>
    <w:rsid w:val="00CB05AB"/>
    <w:rsid w:val="00CB0EE1"/>
    <w:rsid w:val="00CD065D"/>
    <w:rsid w:val="00CD5209"/>
    <w:rsid w:val="00CE6F6E"/>
    <w:rsid w:val="00CE747C"/>
    <w:rsid w:val="00CF1757"/>
    <w:rsid w:val="00CF3FA3"/>
    <w:rsid w:val="00D01733"/>
    <w:rsid w:val="00D02777"/>
    <w:rsid w:val="00D112B1"/>
    <w:rsid w:val="00D143A2"/>
    <w:rsid w:val="00D24055"/>
    <w:rsid w:val="00D4404A"/>
    <w:rsid w:val="00D44B93"/>
    <w:rsid w:val="00D464B9"/>
    <w:rsid w:val="00D63300"/>
    <w:rsid w:val="00D8072F"/>
    <w:rsid w:val="00D820FA"/>
    <w:rsid w:val="00D83777"/>
    <w:rsid w:val="00D92010"/>
    <w:rsid w:val="00D92247"/>
    <w:rsid w:val="00DA18EB"/>
    <w:rsid w:val="00DB475E"/>
    <w:rsid w:val="00DC1E89"/>
    <w:rsid w:val="00DD6F6A"/>
    <w:rsid w:val="00DE7231"/>
    <w:rsid w:val="00DE7440"/>
    <w:rsid w:val="00DF0F5A"/>
    <w:rsid w:val="00DF46E3"/>
    <w:rsid w:val="00DF4ACD"/>
    <w:rsid w:val="00DF78DF"/>
    <w:rsid w:val="00E13DA1"/>
    <w:rsid w:val="00E17C58"/>
    <w:rsid w:val="00E266BE"/>
    <w:rsid w:val="00E268D7"/>
    <w:rsid w:val="00E35E58"/>
    <w:rsid w:val="00E408CA"/>
    <w:rsid w:val="00E42C7D"/>
    <w:rsid w:val="00E45561"/>
    <w:rsid w:val="00E528F2"/>
    <w:rsid w:val="00E6007A"/>
    <w:rsid w:val="00E63B12"/>
    <w:rsid w:val="00E70411"/>
    <w:rsid w:val="00E70812"/>
    <w:rsid w:val="00E722BE"/>
    <w:rsid w:val="00E72333"/>
    <w:rsid w:val="00E82EC3"/>
    <w:rsid w:val="00E871B1"/>
    <w:rsid w:val="00EA063C"/>
    <w:rsid w:val="00EA0E7F"/>
    <w:rsid w:val="00EA638B"/>
    <w:rsid w:val="00EB1B51"/>
    <w:rsid w:val="00EB730F"/>
    <w:rsid w:val="00EC07DB"/>
    <w:rsid w:val="00ED3269"/>
    <w:rsid w:val="00EF7958"/>
    <w:rsid w:val="00F06CEA"/>
    <w:rsid w:val="00F105BF"/>
    <w:rsid w:val="00F14636"/>
    <w:rsid w:val="00F16618"/>
    <w:rsid w:val="00F16A92"/>
    <w:rsid w:val="00F22C6D"/>
    <w:rsid w:val="00F24DDC"/>
    <w:rsid w:val="00F32DB6"/>
    <w:rsid w:val="00F50B34"/>
    <w:rsid w:val="00F51065"/>
    <w:rsid w:val="00F54F4A"/>
    <w:rsid w:val="00F75815"/>
    <w:rsid w:val="00F81BD2"/>
    <w:rsid w:val="00F84D17"/>
    <w:rsid w:val="00F9420B"/>
    <w:rsid w:val="00FA6879"/>
    <w:rsid w:val="00FA6A3D"/>
    <w:rsid w:val="00FA734D"/>
    <w:rsid w:val="00FB0FCB"/>
    <w:rsid w:val="00FB1C4F"/>
    <w:rsid w:val="00FB6429"/>
    <w:rsid w:val="00FB710F"/>
    <w:rsid w:val="00FC6195"/>
    <w:rsid w:val="00FD52F8"/>
    <w:rsid w:val="00FF1204"/>
    <w:rsid w:val="00FF340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25E0F"/>
  <w15:docId w15:val="{DF17C0DD-B92B-4D0C-A87C-456931D8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6618"/>
    <w:rPr>
      <w:rFonts w:eastAsia="Times New Roman"/>
      <w:lang w:val="cs-CZ" w:eastAsia="cs-CZ"/>
    </w:rPr>
  </w:style>
  <w:style w:type="paragraph" w:styleId="Nadpis1">
    <w:name w:val="heading 1"/>
    <w:basedOn w:val="Normlny"/>
    <w:next w:val="Normlny"/>
    <w:qFormat/>
    <w:rsid w:val="00F166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y"/>
    <w:next w:val="Normlny"/>
    <w:qFormat/>
    <w:rsid w:val="00F16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16618"/>
    <w:rPr>
      <w:color w:val="000000"/>
      <w:sz w:val="24"/>
    </w:rPr>
  </w:style>
  <w:style w:type="paragraph" w:styleId="Hlavika">
    <w:name w:val="header"/>
    <w:basedOn w:val="Normlny"/>
    <w:link w:val="HlavikaChar"/>
    <w:rsid w:val="00F16618"/>
    <w:rPr>
      <w:color w:val="000000"/>
      <w:sz w:val="24"/>
    </w:rPr>
  </w:style>
  <w:style w:type="paragraph" w:styleId="Pta">
    <w:name w:val="footer"/>
    <w:basedOn w:val="Normlny"/>
    <w:link w:val="PtaChar"/>
    <w:uiPriority w:val="99"/>
    <w:rsid w:val="00F16618"/>
    <w:rPr>
      <w:color w:val="000000"/>
      <w:sz w:val="24"/>
    </w:rPr>
  </w:style>
  <w:style w:type="character" w:styleId="slostrany">
    <w:name w:val="page number"/>
    <w:basedOn w:val="Predvolenpsmoodseku"/>
    <w:rsid w:val="00F16618"/>
  </w:style>
  <w:style w:type="paragraph" w:styleId="Zkladntext3">
    <w:name w:val="Body Text 3"/>
    <w:basedOn w:val="Normlny"/>
    <w:rsid w:val="00F16618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semiHidden/>
    <w:rsid w:val="004825AF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D63300"/>
  </w:style>
  <w:style w:type="character" w:customStyle="1" w:styleId="hpsatn">
    <w:name w:val="hps atn"/>
    <w:basedOn w:val="Predvolenpsmoodseku"/>
    <w:rsid w:val="00D63300"/>
  </w:style>
  <w:style w:type="character" w:customStyle="1" w:styleId="atn">
    <w:name w:val="atn"/>
    <w:basedOn w:val="Predvolenpsmoodseku"/>
    <w:rsid w:val="00AC4650"/>
  </w:style>
  <w:style w:type="character" w:customStyle="1" w:styleId="longtext">
    <w:name w:val="long_text"/>
    <w:basedOn w:val="Predvolenpsmoodseku"/>
    <w:rsid w:val="00B31F7E"/>
  </w:style>
  <w:style w:type="paragraph" w:customStyle="1" w:styleId="Default">
    <w:name w:val="Default"/>
    <w:rsid w:val="00886DBE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Hypertextovprepojenie">
    <w:name w:val="Hyperlink"/>
    <w:rsid w:val="00882FF7"/>
    <w:rPr>
      <w:color w:val="0000FF"/>
      <w:u w:val="single"/>
    </w:rPr>
  </w:style>
  <w:style w:type="character" w:styleId="Odkaznakomentr">
    <w:name w:val="annotation reference"/>
    <w:rsid w:val="005671A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671AE"/>
  </w:style>
  <w:style w:type="character" w:customStyle="1" w:styleId="TextkomentraChar">
    <w:name w:val="Text komentára Char"/>
    <w:link w:val="Textkomentra"/>
    <w:rsid w:val="005671AE"/>
    <w:rPr>
      <w:rFonts w:eastAsia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671AE"/>
    <w:rPr>
      <w:b/>
      <w:bCs/>
    </w:rPr>
  </w:style>
  <w:style w:type="character" w:customStyle="1" w:styleId="PredmetkomentraChar">
    <w:name w:val="Predmet komentára Char"/>
    <w:link w:val="Predmetkomentra"/>
    <w:rsid w:val="005671AE"/>
    <w:rPr>
      <w:rFonts w:eastAsia="Times New Roman"/>
      <w:b/>
      <w:bCs/>
      <w:lang w:val="cs-CZ" w:eastAsia="cs-CZ"/>
    </w:rPr>
  </w:style>
  <w:style w:type="character" w:customStyle="1" w:styleId="PtaChar">
    <w:name w:val="Päta Char"/>
    <w:link w:val="Pta"/>
    <w:uiPriority w:val="99"/>
    <w:rsid w:val="00AD136C"/>
    <w:rPr>
      <w:rFonts w:eastAsia="Times New Roman"/>
      <w:color w:val="000000"/>
      <w:sz w:val="24"/>
      <w:lang w:val="cs-CZ" w:eastAsia="cs-CZ"/>
    </w:rPr>
  </w:style>
  <w:style w:type="paragraph" w:customStyle="1" w:styleId="Normlny0">
    <w:name w:val="Norm‡lny"/>
    <w:rsid w:val="008A59FA"/>
    <w:rPr>
      <w:rFonts w:eastAsia="Times New Roman"/>
      <w:lang w:eastAsia="en-US"/>
    </w:rPr>
  </w:style>
  <w:style w:type="character" w:customStyle="1" w:styleId="HlavikaChar">
    <w:name w:val="Hlavička Char"/>
    <w:link w:val="Hlavika"/>
    <w:rsid w:val="00764087"/>
    <w:rPr>
      <w:rFonts w:eastAsia="Times New Roman"/>
      <w:color w:val="000000"/>
      <w:sz w:val="24"/>
      <w:lang w:val="cs-CZ" w:eastAsia="cs-CZ"/>
    </w:rPr>
  </w:style>
  <w:style w:type="paragraph" w:styleId="Revzia">
    <w:name w:val="Revision"/>
    <w:hidden/>
    <w:uiPriority w:val="99"/>
    <w:semiHidden/>
    <w:rsid w:val="00E42C7D"/>
    <w:rPr>
      <w:rFonts w:eastAsia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2531</Words>
  <Characters>17555</Characters>
  <Application>Microsoft Office Word</Application>
  <DocSecurity>4</DocSecurity>
  <Lines>146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sanofi-aventis</Company>
  <LinksUpToDate>false</LinksUpToDate>
  <CharactersWithSpaces>20046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Kacvinská</dc:creator>
  <cp:keywords/>
  <cp:lastModifiedBy>Dočolomanská, Petra</cp:lastModifiedBy>
  <cp:revision>2</cp:revision>
  <cp:lastPrinted>2018-11-14T09:24:00Z</cp:lastPrinted>
  <dcterms:created xsi:type="dcterms:W3CDTF">2018-11-14T09:25:00Z</dcterms:created>
  <dcterms:modified xsi:type="dcterms:W3CDTF">2018-11-14T09:25:00Z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