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25327" w14:textId="73BCE000" w:rsidR="0054647D" w:rsidRDefault="0054647D" w:rsidP="00F67C57">
      <w:pPr>
        <w:pStyle w:val="SPCnadpis"/>
        <w:tabs>
          <w:tab w:val="left" w:pos="7150"/>
        </w:tabs>
        <w:rPr>
          <w:lang w:val="sk-SK"/>
        </w:rPr>
      </w:pPr>
      <w:bookmarkStart w:id="0" w:name="_GoBack"/>
      <w:bookmarkEnd w:id="0"/>
    </w:p>
    <w:p w14:paraId="40E652F7" w14:textId="77777777" w:rsidR="004124B1" w:rsidRPr="00EC5E95" w:rsidRDefault="004124B1" w:rsidP="00015569">
      <w:pPr>
        <w:pStyle w:val="SPCnadpis"/>
        <w:rPr>
          <w:lang w:val="sk-SK"/>
        </w:rPr>
      </w:pPr>
      <w:r w:rsidRPr="00EC5E95">
        <w:rPr>
          <w:lang w:val="sk-SK"/>
        </w:rPr>
        <w:t>SÚHRN CHARAKTERISTICKÝCH VLASTNOSTÍ LIEKU</w:t>
      </w:r>
    </w:p>
    <w:p w14:paraId="5F099F53" w14:textId="77777777" w:rsidR="0076116E" w:rsidRPr="00EC5E95" w:rsidRDefault="004124B1" w:rsidP="00015569">
      <w:pPr>
        <w:pStyle w:val="Styl1"/>
        <w:rPr>
          <w:noProof w:val="0"/>
          <w:lang w:val="sk-SK"/>
        </w:rPr>
      </w:pPr>
      <w:r w:rsidRPr="00EC5E95">
        <w:rPr>
          <w:noProof w:val="0"/>
          <w:lang w:val="sk-SK"/>
        </w:rPr>
        <w:t>NÁZOV LIEKU</w:t>
      </w:r>
    </w:p>
    <w:p w14:paraId="0F322BF1" w14:textId="3A799AC3" w:rsidR="00015569" w:rsidRPr="00EC5E95" w:rsidRDefault="00B046C6" w:rsidP="00A84884">
      <w:pPr>
        <w:pStyle w:val="Normlndobloku"/>
        <w:rPr>
          <w:lang w:val="sk-SK"/>
        </w:rPr>
      </w:pPr>
      <w:r w:rsidRPr="00EC5E95">
        <w:rPr>
          <w:lang w:val="sk-SK"/>
        </w:rPr>
        <w:t>RAMIMED 2,5</w:t>
      </w:r>
      <w:r w:rsidR="004B2A05" w:rsidRPr="00EC5E95">
        <w:rPr>
          <w:lang w:val="sk-SK"/>
        </w:rPr>
        <w:t> </w:t>
      </w:r>
      <w:r w:rsidRPr="00EC5E95">
        <w:rPr>
          <w:lang w:val="sk-SK"/>
        </w:rPr>
        <w:t>mg</w:t>
      </w:r>
    </w:p>
    <w:p w14:paraId="12CC6889" w14:textId="6632F577" w:rsidR="00015569" w:rsidRPr="00EC5E95" w:rsidRDefault="00015569" w:rsidP="00A84884">
      <w:pPr>
        <w:pStyle w:val="Normlndobloku"/>
        <w:rPr>
          <w:lang w:val="sk-SK"/>
        </w:rPr>
      </w:pPr>
      <w:r w:rsidRPr="00EC5E95">
        <w:rPr>
          <w:lang w:val="sk-SK"/>
        </w:rPr>
        <w:t>RAMIMED 5</w:t>
      </w:r>
      <w:r w:rsidR="004B2A05" w:rsidRPr="00EC5E95">
        <w:rPr>
          <w:lang w:val="sk-SK"/>
        </w:rPr>
        <w:t> </w:t>
      </w:r>
      <w:r w:rsidRPr="00EC5E95">
        <w:rPr>
          <w:lang w:val="sk-SK"/>
        </w:rPr>
        <w:t>mg</w:t>
      </w:r>
    </w:p>
    <w:p w14:paraId="46D31B26" w14:textId="4BFFD323" w:rsidR="00674506" w:rsidRPr="00EC5E95" w:rsidRDefault="00015569" w:rsidP="00A84884">
      <w:pPr>
        <w:pStyle w:val="Normlndobloku"/>
        <w:rPr>
          <w:lang w:val="sk-SK"/>
        </w:rPr>
      </w:pPr>
      <w:r w:rsidRPr="00EC5E95">
        <w:rPr>
          <w:lang w:val="sk-SK"/>
        </w:rPr>
        <w:t>RAMIMED 10</w:t>
      </w:r>
      <w:r w:rsidR="004B2A05" w:rsidRPr="00EC5E95">
        <w:rPr>
          <w:lang w:val="sk-SK"/>
        </w:rPr>
        <w:t> </w:t>
      </w:r>
      <w:r w:rsidRPr="00EC5E95">
        <w:rPr>
          <w:lang w:val="sk-SK"/>
        </w:rPr>
        <w:t>mg</w:t>
      </w:r>
    </w:p>
    <w:p w14:paraId="2BC5504E" w14:textId="3053B7B0" w:rsidR="00BA736D" w:rsidRPr="00EC5E95" w:rsidRDefault="00EC5E95" w:rsidP="00A84884">
      <w:pPr>
        <w:pStyle w:val="Normlndobloku"/>
        <w:rPr>
          <w:lang w:val="sk-SK"/>
        </w:rPr>
      </w:pPr>
      <w:r w:rsidRPr="00EC5E95">
        <w:rPr>
          <w:lang w:val="sk-SK"/>
        </w:rPr>
        <w:t>t</w:t>
      </w:r>
      <w:r w:rsidR="00BA736D" w:rsidRPr="00EC5E95">
        <w:rPr>
          <w:lang w:val="sk-SK"/>
        </w:rPr>
        <w:t>ablety</w:t>
      </w:r>
    </w:p>
    <w:p w14:paraId="4BA68F76" w14:textId="16BAA9D7" w:rsidR="0076116E" w:rsidRPr="001E636D" w:rsidRDefault="004124B1" w:rsidP="00015569">
      <w:pPr>
        <w:pStyle w:val="Styl1"/>
        <w:rPr>
          <w:noProof w:val="0"/>
          <w:lang w:val="sk-SK"/>
        </w:rPr>
      </w:pPr>
      <w:r w:rsidRPr="00EC5E95">
        <w:rPr>
          <w:noProof w:val="0"/>
          <w:lang w:val="sk-SK"/>
        </w:rPr>
        <w:t>KVALITATÍVNE A</w:t>
      </w:r>
      <w:r w:rsidR="004B2A05" w:rsidRPr="00571DB3">
        <w:rPr>
          <w:noProof w:val="0"/>
          <w:lang w:val="sk-SK"/>
        </w:rPr>
        <w:t> </w:t>
      </w:r>
      <w:r w:rsidRPr="00571DB3">
        <w:rPr>
          <w:noProof w:val="0"/>
          <w:lang w:val="sk-SK"/>
        </w:rPr>
        <w:t>KVANTITATÍVNE ZLOŽENIE</w:t>
      </w:r>
    </w:p>
    <w:p w14:paraId="4FDA7483" w14:textId="12125AD9" w:rsidR="00EC5348" w:rsidRPr="00EC5E95" w:rsidRDefault="00EC5348" w:rsidP="0087630B">
      <w:pPr>
        <w:pStyle w:val="Styl3"/>
      </w:pPr>
      <w:r w:rsidRPr="00C3029B">
        <w:t>RAMIMED 2,5</w:t>
      </w:r>
      <w:r w:rsidR="004B2A05" w:rsidRPr="00EC5E95">
        <w:t> </w:t>
      </w:r>
      <w:r w:rsidRPr="00EC5E95">
        <w:t>mg</w:t>
      </w:r>
    </w:p>
    <w:p w14:paraId="0AB4ACD8" w14:textId="65340415" w:rsidR="00EC5348" w:rsidRPr="00EC5E95" w:rsidRDefault="004B2A05" w:rsidP="00A84884">
      <w:pPr>
        <w:pStyle w:val="Normlndobloku"/>
        <w:rPr>
          <w:lang w:val="sk-SK"/>
        </w:rPr>
      </w:pPr>
      <w:r w:rsidRPr="00EC5E95">
        <w:rPr>
          <w:lang w:val="sk-SK"/>
        </w:rPr>
        <w:t>Jedna tableta obsahuje 2,5 </w:t>
      </w:r>
      <w:r w:rsidR="00EC5348" w:rsidRPr="00EC5E95">
        <w:rPr>
          <w:lang w:val="sk-SK"/>
        </w:rPr>
        <w:t xml:space="preserve">mg </w:t>
      </w:r>
      <w:proofErr w:type="spellStart"/>
      <w:r w:rsidR="00EC5348" w:rsidRPr="00EC5E95">
        <w:rPr>
          <w:lang w:val="sk-SK"/>
        </w:rPr>
        <w:t>ramiprilu</w:t>
      </w:r>
      <w:proofErr w:type="spellEnd"/>
      <w:r w:rsidR="00EC5348" w:rsidRPr="00EC5E95">
        <w:rPr>
          <w:lang w:val="sk-SK"/>
        </w:rPr>
        <w:t>.</w:t>
      </w:r>
    </w:p>
    <w:p w14:paraId="5057997C" w14:textId="178D7DE3" w:rsidR="008E1CD6" w:rsidRPr="00EC5E95" w:rsidRDefault="008E1CD6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Pomocná látka so známym účinkom: </w:t>
      </w:r>
      <w:proofErr w:type="spellStart"/>
      <w:r w:rsidR="004B2A05" w:rsidRPr="00EC5E95">
        <w:rPr>
          <w:lang w:val="sk-SK"/>
        </w:rPr>
        <w:t>monohydrát</w:t>
      </w:r>
      <w:proofErr w:type="spellEnd"/>
      <w:r w:rsidR="004B2A05" w:rsidRPr="00EC5E95">
        <w:rPr>
          <w:lang w:val="sk-SK"/>
        </w:rPr>
        <w:t xml:space="preserve"> laktóz</w:t>
      </w:r>
      <w:r w:rsidRPr="00EC5E95">
        <w:rPr>
          <w:lang w:val="sk-SK"/>
        </w:rPr>
        <w:t>y 159 mg</w:t>
      </w:r>
    </w:p>
    <w:p w14:paraId="4BA7FAAB" w14:textId="2A23224A" w:rsidR="00EC5348" w:rsidRPr="00EC5E95" w:rsidRDefault="004B2A05" w:rsidP="0087630B">
      <w:pPr>
        <w:pStyle w:val="Styl3"/>
      </w:pPr>
      <w:r w:rsidRPr="00EC5E95">
        <w:t>RAMIMED 5 </w:t>
      </w:r>
      <w:r w:rsidR="00EC5348" w:rsidRPr="00EC5E95">
        <w:t>mg</w:t>
      </w:r>
    </w:p>
    <w:p w14:paraId="06485D0C" w14:textId="20E74CE6" w:rsidR="00EC5348" w:rsidRPr="00EC5E95" w:rsidRDefault="004B2A05" w:rsidP="00A84884">
      <w:pPr>
        <w:pStyle w:val="Normlndobloku"/>
        <w:rPr>
          <w:lang w:val="sk-SK"/>
        </w:rPr>
      </w:pPr>
      <w:r w:rsidRPr="00EC5E95">
        <w:rPr>
          <w:lang w:val="sk-SK"/>
        </w:rPr>
        <w:t>Jedna tableta obsahuje 5 </w:t>
      </w:r>
      <w:r w:rsidR="00EC5348" w:rsidRPr="00EC5E95">
        <w:rPr>
          <w:lang w:val="sk-SK"/>
        </w:rPr>
        <w:t xml:space="preserve">mg </w:t>
      </w:r>
      <w:proofErr w:type="spellStart"/>
      <w:r w:rsidR="00EC5348" w:rsidRPr="00EC5E95">
        <w:rPr>
          <w:lang w:val="sk-SK"/>
        </w:rPr>
        <w:t>ramiprilu</w:t>
      </w:r>
      <w:proofErr w:type="spellEnd"/>
      <w:r w:rsidR="00EC5348" w:rsidRPr="00EC5E95">
        <w:rPr>
          <w:lang w:val="sk-SK"/>
        </w:rPr>
        <w:t>.</w:t>
      </w:r>
    </w:p>
    <w:p w14:paraId="2126508E" w14:textId="647DC920" w:rsidR="00E564A2" w:rsidRPr="00EC5E95" w:rsidRDefault="00E564A2" w:rsidP="00A84884">
      <w:pPr>
        <w:pStyle w:val="Normlndobloku"/>
        <w:rPr>
          <w:lang w:val="sk-SK"/>
        </w:rPr>
      </w:pPr>
      <w:r w:rsidRPr="00EC5E95">
        <w:rPr>
          <w:lang w:val="sk-SK"/>
        </w:rPr>
        <w:t>Pomocná látka so z</w:t>
      </w:r>
      <w:r w:rsidR="004B2A05" w:rsidRPr="00EC5E95">
        <w:rPr>
          <w:lang w:val="sk-SK"/>
        </w:rPr>
        <w:t xml:space="preserve">námym účinkom: </w:t>
      </w:r>
      <w:proofErr w:type="spellStart"/>
      <w:r w:rsidR="004B2A05" w:rsidRPr="00EC5E95">
        <w:rPr>
          <w:lang w:val="sk-SK"/>
        </w:rPr>
        <w:t>monohydrát</w:t>
      </w:r>
      <w:proofErr w:type="spellEnd"/>
      <w:r w:rsidR="004B2A05" w:rsidRPr="00EC5E95">
        <w:rPr>
          <w:lang w:val="sk-SK"/>
        </w:rPr>
        <w:t xml:space="preserve"> laktóz</w:t>
      </w:r>
      <w:r w:rsidRPr="00EC5E95">
        <w:rPr>
          <w:lang w:val="sk-SK"/>
        </w:rPr>
        <w:t>y 96 mg</w:t>
      </w:r>
    </w:p>
    <w:p w14:paraId="55ED1E18" w14:textId="4899CBF5" w:rsidR="00EC5348" w:rsidRPr="00EC5E95" w:rsidRDefault="004B2A05" w:rsidP="0087630B">
      <w:pPr>
        <w:pStyle w:val="Styl3"/>
      </w:pPr>
      <w:r w:rsidRPr="00EC5E95">
        <w:t>RAMIMED 10 </w:t>
      </w:r>
      <w:r w:rsidR="00EC5348" w:rsidRPr="00EC5E95">
        <w:t>mg</w:t>
      </w:r>
    </w:p>
    <w:p w14:paraId="04A855A4" w14:textId="4F324F18" w:rsidR="00EC5348" w:rsidRPr="00EC5E95" w:rsidRDefault="004B2A05" w:rsidP="00A84884">
      <w:pPr>
        <w:pStyle w:val="Normlndobloku"/>
        <w:rPr>
          <w:lang w:val="sk-SK"/>
        </w:rPr>
      </w:pPr>
      <w:r w:rsidRPr="00EC5E95">
        <w:rPr>
          <w:lang w:val="sk-SK"/>
        </w:rPr>
        <w:t>Jedna tableta obsahuje 10 </w:t>
      </w:r>
      <w:r w:rsidR="00EC5348" w:rsidRPr="00EC5E95">
        <w:rPr>
          <w:lang w:val="sk-SK"/>
        </w:rPr>
        <w:t xml:space="preserve">mg </w:t>
      </w:r>
      <w:proofErr w:type="spellStart"/>
      <w:r w:rsidR="00EC5348" w:rsidRPr="00EC5E95">
        <w:rPr>
          <w:lang w:val="sk-SK"/>
        </w:rPr>
        <w:t>ramiprilu</w:t>
      </w:r>
      <w:proofErr w:type="spellEnd"/>
      <w:r w:rsidR="00EC5348" w:rsidRPr="00EC5E95">
        <w:rPr>
          <w:lang w:val="sk-SK"/>
        </w:rPr>
        <w:t>.</w:t>
      </w:r>
    </w:p>
    <w:p w14:paraId="48EA1CAA" w14:textId="5811246F" w:rsidR="00E564A2" w:rsidRPr="00EC5E95" w:rsidRDefault="00E564A2" w:rsidP="00A84884">
      <w:pPr>
        <w:pStyle w:val="Normlndobloku"/>
        <w:rPr>
          <w:lang w:val="sk-SK"/>
        </w:rPr>
      </w:pPr>
      <w:r w:rsidRPr="00EC5E95">
        <w:rPr>
          <w:lang w:val="sk-SK"/>
        </w:rPr>
        <w:t>Pomocná látka so z</w:t>
      </w:r>
      <w:r w:rsidR="004B2A05" w:rsidRPr="00EC5E95">
        <w:rPr>
          <w:lang w:val="sk-SK"/>
        </w:rPr>
        <w:t xml:space="preserve">námym účinkom: </w:t>
      </w:r>
      <w:proofErr w:type="spellStart"/>
      <w:r w:rsidR="004B2A05" w:rsidRPr="00EC5E95">
        <w:rPr>
          <w:lang w:val="sk-SK"/>
        </w:rPr>
        <w:t>monohydrát</w:t>
      </w:r>
      <w:proofErr w:type="spellEnd"/>
      <w:r w:rsidR="004B2A05" w:rsidRPr="00EC5E95">
        <w:rPr>
          <w:lang w:val="sk-SK"/>
        </w:rPr>
        <w:t xml:space="preserve"> laktóz</w:t>
      </w:r>
      <w:r w:rsidRPr="00EC5E95">
        <w:rPr>
          <w:lang w:val="sk-SK"/>
        </w:rPr>
        <w:t>y 193 mg</w:t>
      </w:r>
    </w:p>
    <w:p w14:paraId="585A866A" w14:textId="77777777" w:rsidR="0076116E" w:rsidRPr="00EC5E95" w:rsidRDefault="004124B1" w:rsidP="000F6B9E">
      <w:pPr>
        <w:pStyle w:val="Normlndobloku"/>
        <w:rPr>
          <w:lang w:val="sk-SK"/>
        </w:rPr>
      </w:pPr>
      <w:r w:rsidRPr="00EC5E95">
        <w:rPr>
          <w:lang w:val="sk-SK"/>
        </w:rPr>
        <w:t>Úplný zoznam pomocných látok, pozri časť 6.1.</w:t>
      </w:r>
    </w:p>
    <w:p w14:paraId="23E3767D" w14:textId="77777777" w:rsidR="004124B1" w:rsidRPr="00EC5E95" w:rsidRDefault="00EC5348" w:rsidP="00015569">
      <w:pPr>
        <w:pStyle w:val="Styl1"/>
        <w:rPr>
          <w:noProof w:val="0"/>
          <w:lang w:val="sk-SK"/>
        </w:rPr>
      </w:pPr>
      <w:r w:rsidRPr="00EC5E95">
        <w:rPr>
          <w:noProof w:val="0"/>
          <w:lang w:val="sk-SK"/>
        </w:rPr>
        <w:t>LIEKOVÁ FORMA</w:t>
      </w:r>
    </w:p>
    <w:p w14:paraId="6845550D" w14:textId="77777777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>Tablet</w:t>
      </w:r>
      <w:r w:rsidR="00DD48A1" w:rsidRPr="00EC5E95">
        <w:rPr>
          <w:lang w:val="sk-SK"/>
        </w:rPr>
        <w:t>a</w:t>
      </w:r>
    </w:p>
    <w:p w14:paraId="46DCC40A" w14:textId="24AF9290" w:rsidR="00DD48A1" w:rsidRPr="00EC5E95" w:rsidRDefault="004B2A05" w:rsidP="00A84884">
      <w:pPr>
        <w:pStyle w:val="Normlndobloku"/>
        <w:rPr>
          <w:lang w:val="sk-SK"/>
        </w:rPr>
      </w:pPr>
      <w:r w:rsidRPr="00EC5E95">
        <w:rPr>
          <w:lang w:val="sk-SK"/>
        </w:rPr>
        <w:t>2,5 </w:t>
      </w:r>
      <w:r w:rsidR="00DD48A1" w:rsidRPr="00EC5E95">
        <w:rPr>
          <w:lang w:val="sk-SK"/>
        </w:rPr>
        <w:t>mg tableta:</w:t>
      </w:r>
    </w:p>
    <w:p w14:paraId="1E599830" w14:textId="77777777" w:rsidR="00DD48A1" w:rsidRPr="00EC5E95" w:rsidRDefault="00DD48A1" w:rsidP="00A84884">
      <w:pPr>
        <w:pStyle w:val="Normlndobloku"/>
        <w:rPr>
          <w:lang w:val="sk-SK"/>
        </w:rPr>
      </w:pPr>
      <w:r w:rsidRPr="00EC5E95">
        <w:rPr>
          <w:lang w:val="sk-SK"/>
        </w:rPr>
        <w:t>Ploché žlté tablety v tvare kapsuly, s </w:t>
      </w:r>
      <w:r w:rsidR="003E2854" w:rsidRPr="00EC5E95">
        <w:rPr>
          <w:lang w:val="sk-SK"/>
        </w:rPr>
        <w:t>de</w:t>
      </w:r>
      <w:r w:rsidRPr="00EC5E95">
        <w:rPr>
          <w:lang w:val="sk-SK"/>
        </w:rPr>
        <w:t xml:space="preserve">liacou ryhou </w:t>
      </w:r>
      <w:r w:rsidR="00EB5EF2" w:rsidRPr="00EC5E95">
        <w:rPr>
          <w:lang w:val="sk-SK"/>
        </w:rPr>
        <w:t>na</w:t>
      </w:r>
      <w:r w:rsidRPr="00EC5E95">
        <w:rPr>
          <w:lang w:val="sk-SK"/>
        </w:rPr>
        <w:t> jednej stran</w:t>
      </w:r>
      <w:r w:rsidR="00EB5EF2" w:rsidRPr="00EC5E95">
        <w:rPr>
          <w:lang w:val="sk-SK"/>
        </w:rPr>
        <w:t>e</w:t>
      </w:r>
      <w:r w:rsidRPr="00EC5E95">
        <w:rPr>
          <w:lang w:val="sk-SK"/>
        </w:rPr>
        <w:t xml:space="preserve"> a na okrajoch</w:t>
      </w:r>
      <w:r w:rsidR="00467B67" w:rsidRPr="00EC5E95">
        <w:rPr>
          <w:lang w:val="sk-SK"/>
        </w:rPr>
        <w:t>,</w:t>
      </w:r>
      <w:r w:rsidRPr="00EC5E95">
        <w:rPr>
          <w:lang w:val="sk-SK"/>
        </w:rPr>
        <w:t xml:space="preserve"> s vyrazeným označením „R2“</w:t>
      </w:r>
    </w:p>
    <w:p w14:paraId="6E303A22" w14:textId="7E9668CA" w:rsidR="00DD48A1" w:rsidRPr="00EC5E95" w:rsidRDefault="004B2A05" w:rsidP="00A84884">
      <w:pPr>
        <w:pStyle w:val="Normlndobloku"/>
        <w:rPr>
          <w:lang w:val="sk-SK"/>
        </w:rPr>
      </w:pPr>
      <w:r w:rsidRPr="00EC5E95">
        <w:rPr>
          <w:lang w:val="sk-SK"/>
        </w:rPr>
        <w:t>5 </w:t>
      </w:r>
      <w:r w:rsidR="00DD48A1" w:rsidRPr="00EC5E95">
        <w:rPr>
          <w:lang w:val="sk-SK"/>
        </w:rPr>
        <w:t>mg tableta:</w:t>
      </w:r>
    </w:p>
    <w:p w14:paraId="4B331C3E" w14:textId="77777777" w:rsidR="00DD48A1" w:rsidRPr="00EC5E95" w:rsidRDefault="00DD48A1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Ploché </w:t>
      </w:r>
      <w:r w:rsidR="003E2854" w:rsidRPr="00EC5E95">
        <w:rPr>
          <w:lang w:val="sk-SK"/>
        </w:rPr>
        <w:t>ružové</w:t>
      </w:r>
      <w:r w:rsidRPr="00EC5E95">
        <w:rPr>
          <w:lang w:val="sk-SK"/>
        </w:rPr>
        <w:t xml:space="preserve"> tablety v tvare kapsuly, s </w:t>
      </w:r>
      <w:r w:rsidR="003E2854" w:rsidRPr="00EC5E95">
        <w:rPr>
          <w:lang w:val="sk-SK"/>
        </w:rPr>
        <w:t>de</w:t>
      </w:r>
      <w:r w:rsidRPr="00EC5E95">
        <w:rPr>
          <w:lang w:val="sk-SK"/>
        </w:rPr>
        <w:t xml:space="preserve">liacou ryhou </w:t>
      </w:r>
      <w:r w:rsidR="00EB5EF2" w:rsidRPr="00EC5E95">
        <w:rPr>
          <w:lang w:val="sk-SK"/>
        </w:rPr>
        <w:t>na</w:t>
      </w:r>
      <w:r w:rsidRPr="00EC5E95">
        <w:rPr>
          <w:lang w:val="sk-SK"/>
        </w:rPr>
        <w:t> jednej stran</w:t>
      </w:r>
      <w:r w:rsidR="00EB5EF2" w:rsidRPr="00EC5E95">
        <w:rPr>
          <w:lang w:val="sk-SK"/>
        </w:rPr>
        <w:t>e</w:t>
      </w:r>
      <w:r w:rsidRPr="00EC5E95">
        <w:rPr>
          <w:lang w:val="sk-SK"/>
        </w:rPr>
        <w:t xml:space="preserve"> a na okrajoch</w:t>
      </w:r>
      <w:r w:rsidR="00467B67" w:rsidRPr="00EC5E95">
        <w:rPr>
          <w:lang w:val="sk-SK"/>
        </w:rPr>
        <w:t>,</w:t>
      </w:r>
      <w:r w:rsidRPr="00EC5E95">
        <w:rPr>
          <w:lang w:val="sk-SK"/>
        </w:rPr>
        <w:t xml:space="preserve"> s vyrazeným označením „R3“</w:t>
      </w:r>
    </w:p>
    <w:p w14:paraId="02CF53F7" w14:textId="6B3EFC59" w:rsidR="00DD48A1" w:rsidRPr="00EC5E95" w:rsidRDefault="004B2A05" w:rsidP="00A84884">
      <w:pPr>
        <w:pStyle w:val="Normlndobloku"/>
        <w:rPr>
          <w:lang w:val="sk-SK"/>
        </w:rPr>
      </w:pPr>
      <w:r w:rsidRPr="00EC5E95">
        <w:rPr>
          <w:lang w:val="sk-SK"/>
        </w:rPr>
        <w:t>5 </w:t>
      </w:r>
      <w:r w:rsidR="00DD48A1" w:rsidRPr="00EC5E95">
        <w:rPr>
          <w:lang w:val="sk-SK"/>
        </w:rPr>
        <w:t>mg tableta:</w:t>
      </w:r>
    </w:p>
    <w:p w14:paraId="66D4CB3F" w14:textId="77777777" w:rsidR="00DD48A1" w:rsidRPr="00EC5E95" w:rsidRDefault="00DD48A1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Ploché </w:t>
      </w:r>
      <w:r w:rsidR="003E2854" w:rsidRPr="00EC5E95">
        <w:rPr>
          <w:lang w:val="sk-SK"/>
        </w:rPr>
        <w:t>biele</w:t>
      </w:r>
      <w:r w:rsidRPr="00EC5E95">
        <w:rPr>
          <w:lang w:val="sk-SK"/>
        </w:rPr>
        <w:t xml:space="preserve"> tablety v tvare kapsuly, s </w:t>
      </w:r>
      <w:r w:rsidR="003E2854" w:rsidRPr="00EC5E95">
        <w:rPr>
          <w:lang w:val="sk-SK"/>
        </w:rPr>
        <w:t>de</w:t>
      </w:r>
      <w:r w:rsidRPr="00EC5E95">
        <w:rPr>
          <w:lang w:val="sk-SK"/>
        </w:rPr>
        <w:t xml:space="preserve">liacou ryhou </w:t>
      </w:r>
      <w:r w:rsidR="00EB5EF2" w:rsidRPr="00EC5E95">
        <w:rPr>
          <w:lang w:val="sk-SK"/>
        </w:rPr>
        <w:t>na</w:t>
      </w:r>
      <w:r w:rsidRPr="00EC5E95">
        <w:rPr>
          <w:lang w:val="sk-SK"/>
        </w:rPr>
        <w:t> jednej stran</w:t>
      </w:r>
      <w:r w:rsidR="00EB5EF2" w:rsidRPr="00EC5E95">
        <w:rPr>
          <w:lang w:val="sk-SK"/>
        </w:rPr>
        <w:t>e</w:t>
      </w:r>
      <w:r w:rsidRPr="00EC5E95">
        <w:rPr>
          <w:lang w:val="sk-SK"/>
        </w:rPr>
        <w:t xml:space="preserve"> a na okrajoch</w:t>
      </w:r>
      <w:r w:rsidR="00467B67" w:rsidRPr="00EC5E95">
        <w:rPr>
          <w:lang w:val="sk-SK"/>
        </w:rPr>
        <w:t>,</w:t>
      </w:r>
      <w:r w:rsidRPr="00EC5E95">
        <w:rPr>
          <w:lang w:val="sk-SK"/>
        </w:rPr>
        <w:t xml:space="preserve"> s vyrazeným označením „R4“</w:t>
      </w:r>
    </w:p>
    <w:p w14:paraId="0C8629A7" w14:textId="6A63E2FB" w:rsidR="00DD48A1" w:rsidRPr="00EC5E95" w:rsidRDefault="00DD48A1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Tablety sa môžu rozdeliť na </w:t>
      </w:r>
      <w:r w:rsidR="00E564A2" w:rsidRPr="00EC5E95">
        <w:rPr>
          <w:lang w:val="sk-SK"/>
        </w:rPr>
        <w:t xml:space="preserve">dve </w:t>
      </w:r>
      <w:r w:rsidRPr="00EC5E95">
        <w:rPr>
          <w:lang w:val="sk-SK"/>
        </w:rPr>
        <w:t xml:space="preserve">rovnaké </w:t>
      </w:r>
      <w:r w:rsidR="00E564A2" w:rsidRPr="00EC5E95">
        <w:rPr>
          <w:lang w:val="sk-SK"/>
        </w:rPr>
        <w:t>dávky</w:t>
      </w:r>
      <w:r w:rsidRPr="00EC5E95">
        <w:rPr>
          <w:lang w:val="sk-SK"/>
        </w:rPr>
        <w:t>.</w:t>
      </w:r>
    </w:p>
    <w:p w14:paraId="11F89628" w14:textId="77777777" w:rsidR="0076116E" w:rsidRPr="00EC5E95" w:rsidRDefault="004124B1" w:rsidP="00015569">
      <w:pPr>
        <w:pStyle w:val="Styl1"/>
        <w:rPr>
          <w:noProof w:val="0"/>
          <w:lang w:val="sk-SK"/>
        </w:rPr>
      </w:pPr>
      <w:r w:rsidRPr="00EC5E95">
        <w:rPr>
          <w:noProof w:val="0"/>
          <w:lang w:val="sk-SK"/>
        </w:rPr>
        <w:lastRenderedPageBreak/>
        <w:t>KLINICKÉ ÚDAJE</w:t>
      </w:r>
    </w:p>
    <w:p w14:paraId="08A52FA3" w14:textId="77777777" w:rsidR="0076116E" w:rsidRPr="00EC5E95" w:rsidRDefault="004124B1" w:rsidP="00015569">
      <w:pPr>
        <w:pStyle w:val="Styl2"/>
        <w:rPr>
          <w:noProof w:val="0"/>
          <w:lang w:val="sk-SK"/>
        </w:rPr>
      </w:pPr>
      <w:r w:rsidRPr="00EC5E95">
        <w:rPr>
          <w:noProof w:val="0"/>
          <w:lang w:val="sk-SK"/>
        </w:rPr>
        <w:t>Terapeutické indikácie</w:t>
      </w:r>
    </w:p>
    <w:p w14:paraId="44212F0C" w14:textId="77777777" w:rsidR="0076116E" w:rsidRPr="00EC5E95" w:rsidRDefault="004124B1" w:rsidP="00A84884">
      <w:pPr>
        <w:pStyle w:val="Normlndoblokusodrkami"/>
        <w:rPr>
          <w:noProof w:val="0"/>
          <w:lang w:val="sk-SK"/>
        </w:rPr>
      </w:pPr>
      <w:r w:rsidRPr="00EC5E95">
        <w:rPr>
          <w:noProof w:val="0"/>
          <w:lang w:val="sk-SK"/>
        </w:rPr>
        <w:t>Liečba hypertenzie.</w:t>
      </w:r>
    </w:p>
    <w:p w14:paraId="4816A6FE" w14:textId="6360EAA7" w:rsidR="00DD48A1" w:rsidRPr="00EC5E95" w:rsidRDefault="004124B1" w:rsidP="00A84884">
      <w:pPr>
        <w:pStyle w:val="Normlndoblokusodrkami"/>
        <w:rPr>
          <w:noProof w:val="0"/>
          <w:lang w:val="sk-SK"/>
        </w:rPr>
      </w:pPr>
      <w:r w:rsidRPr="00EC5E95">
        <w:rPr>
          <w:noProof w:val="0"/>
          <w:lang w:val="sk-SK"/>
        </w:rPr>
        <w:t>Kardiovaskulárna prevencia: redukci</w:t>
      </w:r>
      <w:r w:rsidR="004B2A05" w:rsidRPr="00EC5E95">
        <w:rPr>
          <w:noProof w:val="0"/>
          <w:lang w:val="sk-SK"/>
        </w:rPr>
        <w:t>a kardiovaskulárnej morbidity a mortality u </w:t>
      </w:r>
      <w:r w:rsidRPr="00EC5E95">
        <w:rPr>
          <w:noProof w:val="0"/>
          <w:lang w:val="sk-SK"/>
        </w:rPr>
        <w:t>pacientov:</w:t>
      </w:r>
    </w:p>
    <w:p w14:paraId="28112AA1" w14:textId="44B6BBF6" w:rsidR="0076116E" w:rsidRPr="00EC5E95" w:rsidRDefault="004B2A05" w:rsidP="00A84884">
      <w:pPr>
        <w:pStyle w:val="Odrky2"/>
        <w:rPr>
          <w:lang w:val="sk-SK"/>
        </w:rPr>
      </w:pPr>
      <w:r w:rsidRPr="00EC5E95">
        <w:rPr>
          <w:lang w:val="sk-SK"/>
        </w:rPr>
        <w:t>s </w:t>
      </w:r>
      <w:r w:rsidR="004124B1" w:rsidRPr="00EC5E95">
        <w:rPr>
          <w:lang w:val="sk-SK"/>
        </w:rPr>
        <w:t xml:space="preserve">preukázaným </w:t>
      </w:r>
      <w:proofErr w:type="spellStart"/>
      <w:r w:rsidR="004124B1" w:rsidRPr="00EC5E95">
        <w:rPr>
          <w:lang w:val="sk-SK"/>
        </w:rPr>
        <w:t>aterotrombotickým</w:t>
      </w:r>
      <w:proofErr w:type="spellEnd"/>
      <w:r w:rsidRPr="00EC5E95">
        <w:rPr>
          <w:lang w:val="sk-SK"/>
        </w:rPr>
        <w:t xml:space="preserve"> kardiovaskulárnym ochorením (s </w:t>
      </w:r>
      <w:r w:rsidR="004124B1" w:rsidRPr="00EC5E95">
        <w:rPr>
          <w:lang w:val="sk-SK"/>
        </w:rPr>
        <w:t>anamnézou koronárneho srdcového ochorenia alebo mozgovej príhody, či ochorenia periférnych ciev) alebo</w:t>
      </w:r>
    </w:p>
    <w:p w14:paraId="359D197D" w14:textId="3FB33B75" w:rsidR="0076116E" w:rsidRPr="00EC5E95" w:rsidRDefault="004B2A05" w:rsidP="00A84884">
      <w:pPr>
        <w:pStyle w:val="Odrky2"/>
        <w:rPr>
          <w:lang w:val="sk-SK"/>
        </w:rPr>
      </w:pPr>
      <w:r w:rsidRPr="00EC5E95">
        <w:rPr>
          <w:lang w:val="sk-SK"/>
        </w:rPr>
        <w:t>s </w:t>
      </w:r>
      <w:r w:rsidR="004124B1" w:rsidRPr="00EC5E95">
        <w:rPr>
          <w:lang w:val="sk-SK"/>
        </w:rPr>
        <w:t>diab</w:t>
      </w:r>
      <w:r w:rsidRPr="00EC5E95">
        <w:rPr>
          <w:lang w:val="sk-SK"/>
        </w:rPr>
        <w:t>etom a </w:t>
      </w:r>
      <w:r w:rsidR="004124B1" w:rsidRPr="00EC5E95">
        <w:rPr>
          <w:lang w:val="sk-SK"/>
        </w:rPr>
        <w:t>ešte aspoň jedným kardiovaskulárnym rizikovým faktorom (pozri časť 5.1).</w:t>
      </w:r>
    </w:p>
    <w:p w14:paraId="66E79052" w14:textId="77777777" w:rsidR="0076116E" w:rsidRPr="00EC5E95" w:rsidRDefault="004124B1" w:rsidP="00A84884">
      <w:pPr>
        <w:pStyle w:val="Normlndoblokusodrkami"/>
        <w:rPr>
          <w:noProof w:val="0"/>
          <w:lang w:val="sk-SK"/>
        </w:rPr>
      </w:pPr>
      <w:r w:rsidRPr="00EC5E95">
        <w:rPr>
          <w:noProof w:val="0"/>
          <w:lang w:val="sk-SK"/>
        </w:rPr>
        <w:t>Liečba poruchy obličiek:</w:t>
      </w:r>
    </w:p>
    <w:p w14:paraId="5C9897AB" w14:textId="77777777" w:rsidR="0076116E" w:rsidRPr="00EC5E95" w:rsidRDefault="004124B1" w:rsidP="00A84884">
      <w:pPr>
        <w:pStyle w:val="Odrky2"/>
        <w:rPr>
          <w:lang w:val="sk-SK"/>
        </w:rPr>
      </w:pPr>
      <w:proofErr w:type="spellStart"/>
      <w:r w:rsidRPr="00EC5E95">
        <w:rPr>
          <w:lang w:val="sk-SK"/>
        </w:rPr>
        <w:t>Incipientná</w:t>
      </w:r>
      <w:proofErr w:type="spellEnd"/>
      <w:r w:rsidRPr="00EC5E95">
        <w:rPr>
          <w:lang w:val="sk-SK"/>
        </w:rPr>
        <w:t xml:space="preserve"> </w:t>
      </w:r>
      <w:proofErr w:type="spellStart"/>
      <w:r w:rsidRPr="00EC5E95">
        <w:rPr>
          <w:lang w:val="sk-SK"/>
        </w:rPr>
        <w:t>glomerulárna</w:t>
      </w:r>
      <w:proofErr w:type="spellEnd"/>
      <w:r w:rsidRPr="00EC5E95">
        <w:rPr>
          <w:lang w:val="sk-SK"/>
        </w:rPr>
        <w:t xml:space="preserve"> diabetická </w:t>
      </w:r>
      <w:proofErr w:type="spellStart"/>
      <w:r w:rsidRPr="00EC5E95">
        <w:rPr>
          <w:lang w:val="sk-SK"/>
        </w:rPr>
        <w:t>nefropatia</w:t>
      </w:r>
      <w:proofErr w:type="spellEnd"/>
      <w:r w:rsidRPr="00EC5E95">
        <w:rPr>
          <w:lang w:val="sk-SK"/>
        </w:rPr>
        <w:t xml:space="preserve"> definovaná prítomnosťou </w:t>
      </w:r>
      <w:proofErr w:type="spellStart"/>
      <w:r w:rsidRPr="00EC5E95">
        <w:rPr>
          <w:lang w:val="sk-SK"/>
        </w:rPr>
        <w:t>mikroalbuminúrie</w:t>
      </w:r>
      <w:proofErr w:type="spellEnd"/>
      <w:r w:rsidRPr="00EC5E95">
        <w:rPr>
          <w:lang w:val="sk-SK"/>
        </w:rPr>
        <w:t>,</w:t>
      </w:r>
    </w:p>
    <w:p w14:paraId="64FF5AF4" w14:textId="53DDE44B" w:rsidR="0076116E" w:rsidRPr="00EC5E95" w:rsidRDefault="004124B1" w:rsidP="00A84884">
      <w:pPr>
        <w:pStyle w:val="Odrky2"/>
        <w:rPr>
          <w:lang w:val="sk-SK"/>
        </w:rPr>
      </w:pPr>
      <w:r w:rsidRPr="00EC5E95">
        <w:rPr>
          <w:lang w:val="sk-SK"/>
        </w:rPr>
        <w:t xml:space="preserve">Preukázaná </w:t>
      </w:r>
      <w:proofErr w:type="spellStart"/>
      <w:r w:rsidRPr="00EC5E95">
        <w:rPr>
          <w:lang w:val="sk-SK"/>
        </w:rPr>
        <w:t>glomerulárna</w:t>
      </w:r>
      <w:proofErr w:type="spellEnd"/>
      <w:r w:rsidRPr="00EC5E95">
        <w:rPr>
          <w:lang w:val="sk-SK"/>
        </w:rPr>
        <w:t xml:space="preserve"> diabetická </w:t>
      </w:r>
      <w:proofErr w:type="spellStart"/>
      <w:r w:rsidRPr="00EC5E95">
        <w:rPr>
          <w:lang w:val="sk-SK"/>
        </w:rPr>
        <w:t>nefropatia</w:t>
      </w:r>
      <w:proofErr w:type="spellEnd"/>
      <w:r w:rsidRPr="00EC5E95">
        <w:rPr>
          <w:lang w:val="sk-SK"/>
        </w:rPr>
        <w:t xml:space="preserve"> definovaná </w:t>
      </w:r>
      <w:proofErr w:type="spellStart"/>
      <w:r w:rsidRPr="00EC5E95">
        <w:rPr>
          <w:lang w:val="sk-SK"/>
        </w:rPr>
        <w:t>makro</w:t>
      </w:r>
      <w:r w:rsidR="004B2A05" w:rsidRPr="00EC5E95">
        <w:rPr>
          <w:lang w:val="sk-SK"/>
        </w:rPr>
        <w:t>proteinúriou</w:t>
      </w:r>
      <w:proofErr w:type="spellEnd"/>
      <w:r w:rsidR="004B2A05" w:rsidRPr="00EC5E95">
        <w:rPr>
          <w:lang w:val="sk-SK"/>
        </w:rPr>
        <w:t xml:space="preserve"> u </w:t>
      </w:r>
      <w:r w:rsidRPr="00EC5E95">
        <w:rPr>
          <w:lang w:val="sk-SK"/>
        </w:rPr>
        <w:t>pacientov s</w:t>
      </w:r>
      <w:r w:rsidR="001C3DB2" w:rsidRPr="00EC5E95">
        <w:rPr>
          <w:lang w:val="sk-SK"/>
        </w:rPr>
        <w:t> </w:t>
      </w:r>
      <w:r w:rsidRPr="00EC5E95">
        <w:rPr>
          <w:lang w:val="sk-SK"/>
        </w:rPr>
        <w:t>ešte aspoň jedným kardiovaskulárnym rizikovým faktorom (pozri časť 5.1),</w:t>
      </w:r>
    </w:p>
    <w:p w14:paraId="335128B2" w14:textId="028BFA3A" w:rsidR="0076116E" w:rsidRPr="00EC5E95" w:rsidRDefault="004124B1" w:rsidP="00A84884">
      <w:pPr>
        <w:pStyle w:val="Odrky2"/>
        <w:rPr>
          <w:lang w:val="sk-SK"/>
        </w:rPr>
      </w:pPr>
      <w:r w:rsidRPr="00EC5E95">
        <w:rPr>
          <w:lang w:val="sk-SK"/>
        </w:rPr>
        <w:t xml:space="preserve">Preukázaná </w:t>
      </w:r>
      <w:proofErr w:type="spellStart"/>
      <w:r w:rsidRPr="00EC5E95">
        <w:rPr>
          <w:lang w:val="sk-SK"/>
        </w:rPr>
        <w:t>glomerulárna</w:t>
      </w:r>
      <w:proofErr w:type="spellEnd"/>
      <w:r w:rsidRPr="00EC5E95">
        <w:rPr>
          <w:lang w:val="sk-SK"/>
        </w:rPr>
        <w:t xml:space="preserve"> nediabetická </w:t>
      </w:r>
      <w:proofErr w:type="spellStart"/>
      <w:r w:rsidRPr="00EC5E95">
        <w:rPr>
          <w:lang w:val="sk-SK"/>
        </w:rPr>
        <w:t>nefropatia</w:t>
      </w:r>
      <w:proofErr w:type="spellEnd"/>
      <w:r w:rsidRPr="00EC5E95">
        <w:rPr>
          <w:lang w:val="sk-SK"/>
        </w:rPr>
        <w:t xml:space="preserve"> d</w:t>
      </w:r>
      <w:r w:rsidR="004B2A05" w:rsidRPr="00EC5E95">
        <w:rPr>
          <w:lang w:val="sk-SK"/>
        </w:rPr>
        <w:t xml:space="preserve">efinovaná </w:t>
      </w:r>
      <w:proofErr w:type="spellStart"/>
      <w:r w:rsidR="004B2A05" w:rsidRPr="00EC5E95">
        <w:rPr>
          <w:lang w:val="sk-SK"/>
        </w:rPr>
        <w:t>makroproteinúriou</w:t>
      </w:r>
      <w:proofErr w:type="spellEnd"/>
      <w:r w:rsidR="004B2A05" w:rsidRPr="00EC5E95">
        <w:rPr>
          <w:lang w:val="sk-SK"/>
        </w:rPr>
        <w:t xml:space="preserve"> ≥ 3 </w:t>
      </w:r>
      <w:r w:rsidRPr="00EC5E95">
        <w:rPr>
          <w:lang w:val="sk-SK"/>
        </w:rPr>
        <w:t>g/deň) (pozri časť 5.1).</w:t>
      </w:r>
    </w:p>
    <w:p w14:paraId="4B92F746" w14:textId="77777777" w:rsidR="0076116E" w:rsidRPr="00EC5E95" w:rsidRDefault="004124B1" w:rsidP="00A84884">
      <w:pPr>
        <w:pStyle w:val="Normlndoblokusodrkami"/>
        <w:rPr>
          <w:noProof w:val="0"/>
          <w:lang w:val="sk-SK"/>
        </w:rPr>
      </w:pPr>
      <w:r w:rsidRPr="00EC5E95">
        <w:rPr>
          <w:noProof w:val="0"/>
          <w:lang w:val="sk-SK"/>
        </w:rPr>
        <w:t>Liečba symptomatického srdcového zlyhania.</w:t>
      </w:r>
    </w:p>
    <w:p w14:paraId="602524A0" w14:textId="7938ED0F" w:rsidR="0076116E" w:rsidRPr="00EC5E95" w:rsidRDefault="004124B1" w:rsidP="00A84884">
      <w:pPr>
        <w:pStyle w:val="Normlndoblokusodrkami"/>
        <w:rPr>
          <w:noProof w:val="0"/>
          <w:lang w:val="sk-SK"/>
        </w:rPr>
      </w:pPr>
      <w:r w:rsidRPr="00EC5E95">
        <w:rPr>
          <w:noProof w:val="0"/>
          <w:lang w:val="sk-SK"/>
        </w:rPr>
        <w:t>Sekundárna prevencia po akútnom infarkte myokardu: redukcia mortality od a</w:t>
      </w:r>
      <w:r w:rsidR="004B2A05" w:rsidRPr="00EC5E95">
        <w:rPr>
          <w:noProof w:val="0"/>
          <w:lang w:val="sk-SK"/>
        </w:rPr>
        <w:t>kútnej fázy infarktu myokardu u pacientov s </w:t>
      </w:r>
      <w:r w:rsidRPr="00EC5E95">
        <w:rPr>
          <w:noProof w:val="0"/>
          <w:lang w:val="sk-SK"/>
        </w:rPr>
        <w:t>klinickými príznakmi srdcového zlyhania so začiatkom liečby &gt; 48 hodín po akútnom infarkte myokardu.</w:t>
      </w:r>
    </w:p>
    <w:p w14:paraId="0BFAF30F" w14:textId="17EB62FF" w:rsidR="0076116E" w:rsidRPr="00EC5E95" w:rsidRDefault="004B2A05" w:rsidP="00015569">
      <w:pPr>
        <w:pStyle w:val="Styl2"/>
        <w:rPr>
          <w:noProof w:val="0"/>
          <w:lang w:val="sk-SK"/>
        </w:rPr>
      </w:pPr>
      <w:r w:rsidRPr="00EC5E95">
        <w:rPr>
          <w:noProof w:val="0"/>
          <w:lang w:val="sk-SK"/>
        </w:rPr>
        <w:t>Dávkovanie a </w:t>
      </w:r>
      <w:r w:rsidR="004124B1" w:rsidRPr="00EC5E95">
        <w:rPr>
          <w:noProof w:val="0"/>
          <w:lang w:val="sk-SK"/>
        </w:rPr>
        <w:t>spôsob podávania</w:t>
      </w:r>
    </w:p>
    <w:p w14:paraId="354B2D43" w14:textId="77777777" w:rsidR="00056924" w:rsidRPr="00EC5E95" w:rsidRDefault="00056924" w:rsidP="00F546C5">
      <w:pPr>
        <w:pStyle w:val="Styl2-2"/>
        <w:rPr>
          <w:lang w:val="sk-SK"/>
        </w:rPr>
      </w:pPr>
      <w:r w:rsidRPr="00EC5E95">
        <w:rPr>
          <w:lang w:val="sk-SK"/>
        </w:rPr>
        <w:t>Dávkovanie</w:t>
      </w:r>
    </w:p>
    <w:p w14:paraId="201440A1" w14:textId="4C3A8190" w:rsidR="0076116E" w:rsidRPr="00EC5E95" w:rsidRDefault="004124B1" w:rsidP="00456BE0">
      <w:pPr>
        <w:pStyle w:val="Styl3"/>
      </w:pPr>
      <w:r w:rsidRPr="00EC5E95">
        <w:t>Dospelí pacienti</w:t>
      </w:r>
    </w:p>
    <w:p w14:paraId="4400196F" w14:textId="77777777" w:rsidR="0076116E" w:rsidRPr="00EC5E95" w:rsidRDefault="004124B1" w:rsidP="00456BE0">
      <w:pPr>
        <w:pStyle w:val="Styl4"/>
      </w:pPr>
      <w:r w:rsidRPr="00EC5E95">
        <w:t>Pacienti liečení diuretikami</w:t>
      </w:r>
    </w:p>
    <w:p w14:paraId="52DC92F6" w14:textId="043E35E8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Po začatí liečby </w:t>
      </w:r>
      <w:r w:rsidR="00C30795" w:rsidRPr="00EC5E95">
        <w:rPr>
          <w:lang w:val="sk-SK"/>
        </w:rPr>
        <w:t>liekom</w:t>
      </w:r>
      <w:r w:rsidR="004B2A05" w:rsidRPr="00EC5E95">
        <w:rPr>
          <w:lang w:val="sk-SK"/>
        </w:rPr>
        <w:t xml:space="preserve"> </w:t>
      </w:r>
      <w:r w:rsidR="00EC5348" w:rsidRPr="00EC5E95">
        <w:rPr>
          <w:lang w:val="sk-SK"/>
        </w:rPr>
        <w:t>RAMIMED</w:t>
      </w:r>
      <w:r w:rsidRPr="00EC5E95">
        <w:rPr>
          <w:lang w:val="sk-SK"/>
        </w:rPr>
        <w:t xml:space="preserve"> sa môže vyskytnúť hypote</w:t>
      </w:r>
      <w:r w:rsidR="004B2A05" w:rsidRPr="00EC5E95">
        <w:rPr>
          <w:lang w:val="sk-SK"/>
        </w:rPr>
        <w:t>nzia. Je to pravdepodobnejšie u </w:t>
      </w:r>
      <w:r w:rsidRPr="00EC5E95">
        <w:rPr>
          <w:lang w:val="sk-SK"/>
        </w:rPr>
        <w:t>pacientov, ktorí sú súčasne liečení diuretikami. Odporúča sa opatrnosť, keďže títo pacienti môžu mať</w:t>
      </w:r>
      <w:r w:rsidR="004B2A05" w:rsidRPr="00EC5E95">
        <w:rPr>
          <w:lang w:val="sk-SK"/>
        </w:rPr>
        <w:t xml:space="preserve"> </w:t>
      </w:r>
      <w:proofErr w:type="spellStart"/>
      <w:r w:rsidR="004B2A05" w:rsidRPr="00EC5E95">
        <w:rPr>
          <w:lang w:val="sk-SK"/>
        </w:rPr>
        <w:t>depléciu</w:t>
      </w:r>
      <w:proofErr w:type="spellEnd"/>
      <w:r w:rsidR="004B2A05" w:rsidRPr="00EC5E95">
        <w:rPr>
          <w:lang w:val="sk-SK"/>
        </w:rPr>
        <w:t xml:space="preserve"> objemu a/alebo soli v </w:t>
      </w:r>
      <w:r w:rsidRPr="00EC5E95">
        <w:rPr>
          <w:lang w:val="sk-SK"/>
        </w:rPr>
        <w:t>organizme.</w:t>
      </w:r>
    </w:p>
    <w:p w14:paraId="72FEC6D3" w14:textId="51F9D3F2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Ak je to možné, je potrebné ukončiť liečbu diuretikom 2 až 3 dni pred začiatkom liečby </w:t>
      </w:r>
      <w:r w:rsidR="00E2331B" w:rsidRPr="00EC5E95">
        <w:rPr>
          <w:lang w:val="sk-SK"/>
        </w:rPr>
        <w:t>liekom</w:t>
      </w:r>
      <w:r w:rsidR="00D07135" w:rsidRPr="00EC5E95">
        <w:rPr>
          <w:lang w:val="sk-SK"/>
        </w:rPr>
        <w:t xml:space="preserve"> </w:t>
      </w:r>
      <w:r w:rsidR="00EC5348" w:rsidRPr="00EC5E95">
        <w:rPr>
          <w:lang w:val="sk-SK"/>
        </w:rPr>
        <w:t>RAMIMED</w:t>
      </w:r>
      <w:r w:rsidRPr="00EC5E95">
        <w:rPr>
          <w:lang w:val="sk-SK"/>
        </w:rPr>
        <w:t xml:space="preserve"> (pozri časť 4.4).</w:t>
      </w:r>
    </w:p>
    <w:p w14:paraId="331E763A" w14:textId="1028CB75" w:rsidR="0076116E" w:rsidRPr="00EC5E95" w:rsidRDefault="004B2A05" w:rsidP="00A84884">
      <w:pPr>
        <w:pStyle w:val="Normlndobloku"/>
        <w:rPr>
          <w:lang w:val="sk-SK"/>
        </w:rPr>
      </w:pPr>
      <w:r w:rsidRPr="00EC5E95">
        <w:rPr>
          <w:lang w:val="sk-SK"/>
        </w:rPr>
        <w:t>U pacientov s hypertenziou, u </w:t>
      </w:r>
      <w:r w:rsidR="004124B1" w:rsidRPr="00EC5E95">
        <w:rPr>
          <w:lang w:val="sk-SK"/>
        </w:rPr>
        <w:t xml:space="preserve">ktorých sa liečba diuretikom neukončí, sa musí liečba </w:t>
      </w:r>
      <w:r w:rsidR="00E2331B" w:rsidRPr="00EC5E95">
        <w:rPr>
          <w:lang w:val="sk-SK"/>
        </w:rPr>
        <w:t>liekom</w:t>
      </w:r>
      <w:r w:rsidR="00D07135" w:rsidRPr="00EC5E95">
        <w:rPr>
          <w:lang w:val="sk-SK"/>
        </w:rPr>
        <w:t xml:space="preserve"> </w:t>
      </w:r>
      <w:r w:rsidR="00EC5348" w:rsidRPr="00EC5E95">
        <w:rPr>
          <w:lang w:val="sk-SK"/>
        </w:rPr>
        <w:t>RAMIMED</w:t>
      </w:r>
      <w:r w:rsidR="004124B1" w:rsidRPr="00EC5E95">
        <w:rPr>
          <w:lang w:val="sk-SK"/>
        </w:rPr>
        <w:t xml:space="preserve"> </w:t>
      </w:r>
      <w:r w:rsidRPr="00EC5E95">
        <w:rPr>
          <w:lang w:val="sk-SK"/>
        </w:rPr>
        <w:t>začať dávkou 1,25 </w:t>
      </w:r>
      <w:r w:rsidR="004124B1" w:rsidRPr="00EC5E95">
        <w:rPr>
          <w:lang w:val="sk-SK"/>
        </w:rPr>
        <w:t>mg. Je potr</w:t>
      </w:r>
      <w:r w:rsidRPr="00EC5E95">
        <w:rPr>
          <w:lang w:val="sk-SK"/>
        </w:rPr>
        <w:t xml:space="preserve">ebné sledovať </w:t>
      </w:r>
      <w:proofErr w:type="spellStart"/>
      <w:r w:rsidRPr="00EC5E95">
        <w:rPr>
          <w:lang w:val="sk-SK"/>
        </w:rPr>
        <w:t>renálnu</w:t>
      </w:r>
      <w:proofErr w:type="spellEnd"/>
      <w:r w:rsidRPr="00EC5E95">
        <w:rPr>
          <w:lang w:val="sk-SK"/>
        </w:rPr>
        <w:t xml:space="preserve"> funkciu a </w:t>
      </w:r>
      <w:r w:rsidR="004124B1" w:rsidRPr="00EC5E95">
        <w:rPr>
          <w:lang w:val="sk-SK"/>
        </w:rPr>
        <w:t xml:space="preserve">sérový draslík. Následne sa musí dávkovanie </w:t>
      </w:r>
      <w:r w:rsidR="00E2331B" w:rsidRPr="00EC5E95">
        <w:rPr>
          <w:lang w:val="sk-SK"/>
        </w:rPr>
        <w:t>lieku</w:t>
      </w:r>
      <w:r w:rsidR="00D07135" w:rsidRPr="00EC5E95">
        <w:rPr>
          <w:lang w:val="sk-SK"/>
        </w:rPr>
        <w:t xml:space="preserve"> </w:t>
      </w:r>
      <w:r w:rsidR="00EC5348" w:rsidRPr="00EC5E95">
        <w:rPr>
          <w:lang w:val="sk-SK"/>
        </w:rPr>
        <w:t>RAMIMED</w:t>
      </w:r>
      <w:r w:rsidR="004124B1" w:rsidRPr="00EC5E95">
        <w:rPr>
          <w:lang w:val="sk-SK"/>
        </w:rPr>
        <w:t xml:space="preserve"> upraviť podľa cieľového krvného tlaku.</w:t>
      </w:r>
    </w:p>
    <w:p w14:paraId="32AA665D" w14:textId="77777777" w:rsidR="0076116E" w:rsidRPr="00456BE0" w:rsidRDefault="004124B1" w:rsidP="0087630B">
      <w:pPr>
        <w:pStyle w:val="Styl3"/>
        <w:rPr>
          <w:lang w:val="sk-SK"/>
        </w:rPr>
      </w:pPr>
      <w:r w:rsidRPr="00456BE0">
        <w:rPr>
          <w:lang w:val="sk-SK"/>
        </w:rPr>
        <w:t>Hypertenzia</w:t>
      </w:r>
    </w:p>
    <w:p w14:paraId="4E25C8B7" w14:textId="08120A32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>Dávku je potrebné prispôsobiť individuálne podľa prof</w:t>
      </w:r>
      <w:r w:rsidR="00D07135" w:rsidRPr="00EC5E95">
        <w:rPr>
          <w:lang w:val="sk-SK"/>
        </w:rPr>
        <w:t>ilu pacienta (pozri časť 4.4) a </w:t>
      </w:r>
      <w:r w:rsidRPr="00EC5E95">
        <w:rPr>
          <w:lang w:val="sk-SK"/>
        </w:rPr>
        <w:t>na základe kontroly krvného tlaku.</w:t>
      </w:r>
    </w:p>
    <w:p w14:paraId="1A91E089" w14:textId="1967FA86" w:rsidR="00A84884" w:rsidRPr="00EC5E95" w:rsidRDefault="00EC5348" w:rsidP="00A84884">
      <w:pPr>
        <w:pStyle w:val="Normlndobloku"/>
        <w:rPr>
          <w:lang w:val="sk-SK"/>
        </w:rPr>
      </w:pPr>
      <w:r w:rsidRPr="00EC5E95">
        <w:rPr>
          <w:lang w:val="sk-SK"/>
        </w:rPr>
        <w:t>RAMIMED</w:t>
      </w:r>
      <w:r w:rsidR="00D07135" w:rsidRPr="00EC5E95">
        <w:rPr>
          <w:lang w:val="sk-SK"/>
        </w:rPr>
        <w:t xml:space="preserve"> sa môže použiť v </w:t>
      </w:r>
      <w:proofErr w:type="spellStart"/>
      <w:r w:rsidR="00D07135" w:rsidRPr="00EC5E95">
        <w:rPr>
          <w:lang w:val="sk-SK"/>
        </w:rPr>
        <w:t>monoterapii</w:t>
      </w:r>
      <w:proofErr w:type="spellEnd"/>
      <w:r w:rsidR="00D07135" w:rsidRPr="00EC5E95">
        <w:rPr>
          <w:lang w:val="sk-SK"/>
        </w:rPr>
        <w:t xml:space="preserve"> alebo v kombinácii s </w:t>
      </w:r>
      <w:r w:rsidR="004124B1" w:rsidRPr="00EC5E95">
        <w:rPr>
          <w:lang w:val="sk-SK"/>
        </w:rPr>
        <w:t xml:space="preserve">inými skupinami </w:t>
      </w:r>
      <w:proofErr w:type="spellStart"/>
      <w:r w:rsidR="004124B1" w:rsidRPr="00EC5E95">
        <w:rPr>
          <w:lang w:val="sk-SK"/>
        </w:rPr>
        <w:t>antihypertenzív</w:t>
      </w:r>
      <w:proofErr w:type="spellEnd"/>
      <w:r w:rsidR="00D07135" w:rsidRPr="00EC5E95">
        <w:rPr>
          <w:lang w:val="sk-SK"/>
        </w:rPr>
        <w:t xml:space="preserve"> (pozri časti 4.3, 4.4, 4.5 a </w:t>
      </w:r>
      <w:r w:rsidR="00056924" w:rsidRPr="00EC5E95">
        <w:rPr>
          <w:lang w:val="sk-SK"/>
        </w:rPr>
        <w:t>5.1)</w:t>
      </w:r>
      <w:r w:rsidR="004124B1" w:rsidRPr="00EC5E95">
        <w:rPr>
          <w:lang w:val="sk-SK"/>
        </w:rPr>
        <w:t>.</w:t>
      </w:r>
    </w:p>
    <w:p w14:paraId="695FA941" w14:textId="77777777" w:rsidR="0076116E" w:rsidRPr="00456BE0" w:rsidRDefault="004124B1" w:rsidP="00456BE0">
      <w:pPr>
        <w:pStyle w:val="Styl4"/>
        <w:rPr>
          <w:lang w:val="sk-SK"/>
        </w:rPr>
      </w:pPr>
      <w:r w:rsidRPr="00456BE0">
        <w:rPr>
          <w:lang w:val="sk-SK"/>
        </w:rPr>
        <w:t>Počiatočná dávka</w:t>
      </w:r>
    </w:p>
    <w:p w14:paraId="15ED1961" w14:textId="250A9D3E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Liečba </w:t>
      </w:r>
      <w:r w:rsidR="000F38F4">
        <w:rPr>
          <w:lang w:val="sk-SK"/>
        </w:rPr>
        <w:t>liek</w:t>
      </w:r>
      <w:r w:rsidR="00D07135" w:rsidRPr="00EC5E95">
        <w:rPr>
          <w:lang w:val="sk-SK"/>
        </w:rPr>
        <w:t xml:space="preserve">om </w:t>
      </w:r>
      <w:r w:rsidR="00EC5348" w:rsidRPr="00EC5E95">
        <w:rPr>
          <w:lang w:val="sk-SK"/>
        </w:rPr>
        <w:t>RAMIMED</w:t>
      </w:r>
      <w:r w:rsidR="00D07135" w:rsidRPr="00EC5E95">
        <w:rPr>
          <w:lang w:val="sk-SK"/>
        </w:rPr>
        <w:t xml:space="preserve"> sa má začínať postupne s </w:t>
      </w:r>
      <w:r w:rsidRPr="00EC5E95">
        <w:rPr>
          <w:lang w:val="sk-SK"/>
        </w:rPr>
        <w:t>odp</w:t>
      </w:r>
      <w:r w:rsidR="00D07135" w:rsidRPr="00EC5E95">
        <w:rPr>
          <w:lang w:val="sk-SK"/>
        </w:rPr>
        <w:t>orúčanou počiatočnou dávkou 2,5 </w:t>
      </w:r>
      <w:r w:rsidRPr="00EC5E95">
        <w:rPr>
          <w:lang w:val="sk-SK"/>
        </w:rPr>
        <w:t>mg denne.</w:t>
      </w:r>
    </w:p>
    <w:p w14:paraId="43F34DE5" w14:textId="7725BCE8" w:rsidR="0076116E" w:rsidRPr="00EC5E95" w:rsidRDefault="00D07135" w:rsidP="00A84884">
      <w:pPr>
        <w:pStyle w:val="Normlndobloku"/>
        <w:rPr>
          <w:lang w:val="sk-SK"/>
        </w:rPr>
      </w:pPr>
      <w:r w:rsidRPr="00EC5E95">
        <w:rPr>
          <w:lang w:val="sk-SK"/>
        </w:rPr>
        <w:lastRenderedPageBreak/>
        <w:t>U pacientov s </w:t>
      </w:r>
      <w:r w:rsidR="004124B1" w:rsidRPr="00EC5E95">
        <w:rPr>
          <w:lang w:val="sk-SK"/>
        </w:rPr>
        <w:t xml:space="preserve">výrazne aktivovaným </w:t>
      </w:r>
      <w:proofErr w:type="spellStart"/>
      <w:r w:rsidR="004124B1" w:rsidRPr="00EC5E95">
        <w:rPr>
          <w:lang w:val="sk-SK"/>
        </w:rPr>
        <w:t>renín-angiotenzín-aldosterónovým</w:t>
      </w:r>
      <w:proofErr w:type="spellEnd"/>
      <w:r w:rsidR="004124B1" w:rsidRPr="00EC5E95">
        <w:rPr>
          <w:lang w:val="sk-SK"/>
        </w:rPr>
        <w:t xml:space="preserve"> systémom sa po úvodnej dávke môže vyskytnúť n</w:t>
      </w:r>
      <w:r w:rsidRPr="00EC5E95">
        <w:rPr>
          <w:lang w:val="sk-SK"/>
        </w:rPr>
        <w:t>admerný pokles krvného tlaku. U </w:t>
      </w:r>
      <w:r w:rsidR="004124B1" w:rsidRPr="00EC5E95">
        <w:rPr>
          <w:lang w:val="sk-SK"/>
        </w:rPr>
        <w:t>týchto pacientov sa odporúča počiatočná dávka 1,25</w:t>
      </w:r>
      <w:r w:rsidR="001C3DB2" w:rsidRPr="00EC5E95">
        <w:rPr>
          <w:lang w:val="sk-SK"/>
        </w:rPr>
        <w:t> </w:t>
      </w:r>
      <w:r w:rsidRPr="00EC5E95">
        <w:rPr>
          <w:lang w:val="sk-SK"/>
        </w:rPr>
        <w:t>mg a </w:t>
      </w:r>
      <w:r w:rsidR="004124B1" w:rsidRPr="00EC5E95">
        <w:rPr>
          <w:lang w:val="sk-SK"/>
        </w:rPr>
        <w:t>počiatočná liečba musí prebiehať pod dohľadom lekára (pozri časť 4.4).</w:t>
      </w:r>
    </w:p>
    <w:p w14:paraId="680011BF" w14:textId="7DCCF595" w:rsidR="0076116E" w:rsidRPr="00456BE0" w:rsidRDefault="00D07135" w:rsidP="0087630B">
      <w:pPr>
        <w:pStyle w:val="Styl4"/>
        <w:rPr>
          <w:lang w:val="sk-SK"/>
        </w:rPr>
      </w:pPr>
      <w:r w:rsidRPr="00456BE0">
        <w:rPr>
          <w:lang w:val="sk-SK"/>
        </w:rPr>
        <w:t>Titrácia a </w:t>
      </w:r>
      <w:r w:rsidR="004124B1" w:rsidRPr="00456BE0">
        <w:rPr>
          <w:lang w:val="sk-SK"/>
        </w:rPr>
        <w:t>udržiavanie dávky</w:t>
      </w:r>
    </w:p>
    <w:p w14:paraId="65B5B822" w14:textId="187BC498" w:rsidR="0076116E" w:rsidRPr="00EC5E95" w:rsidRDefault="00D07135" w:rsidP="00A84884">
      <w:pPr>
        <w:pStyle w:val="Normlndobloku"/>
        <w:rPr>
          <w:lang w:val="sk-SK"/>
        </w:rPr>
      </w:pPr>
      <w:r w:rsidRPr="00EC5E95">
        <w:rPr>
          <w:lang w:val="sk-SK"/>
        </w:rPr>
        <w:t>Dávka sa môže zdvojnásobiť v </w:t>
      </w:r>
      <w:r w:rsidR="004124B1" w:rsidRPr="00EC5E95">
        <w:rPr>
          <w:lang w:val="sk-SK"/>
        </w:rPr>
        <w:t>časovo</w:t>
      </w:r>
      <w:r w:rsidRPr="00EC5E95">
        <w:rPr>
          <w:lang w:val="sk-SK"/>
        </w:rPr>
        <w:t>m intervale od 2 do 4 týždňov s </w:t>
      </w:r>
      <w:r w:rsidR="004124B1" w:rsidRPr="00EC5E95">
        <w:rPr>
          <w:lang w:val="sk-SK"/>
        </w:rPr>
        <w:t xml:space="preserve">cieľom postupne dosiahnuť požadovaný krvný tlak. Maximálna povolená dávka </w:t>
      </w:r>
      <w:r w:rsidR="000F38F4">
        <w:rPr>
          <w:lang w:val="sk-SK"/>
        </w:rPr>
        <w:t>lie</w:t>
      </w:r>
      <w:r w:rsidRPr="00EC5E95">
        <w:rPr>
          <w:lang w:val="sk-SK"/>
        </w:rPr>
        <w:t xml:space="preserve">ku </w:t>
      </w:r>
      <w:r w:rsidR="00EC5348" w:rsidRPr="00EC5E95">
        <w:rPr>
          <w:lang w:val="sk-SK"/>
        </w:rPr>
        <w:t>RAMIMED</w:t>
      </w:r>
      <w:r w:rsidRPr="00EC5E95">
        <w:rPr>
          <w:lang w:val="sk-SK"/>
        </w:rPr>
        <w:t xml:space="preserve"> je 10 </w:t>
      </w:r>
      <w:r w:rsidR="004124B1" w:rsidRPr="00EC5E95">
        <w:rPr>
          <w:lang w:val="sk-SK"/>
        </w:rPr>
        <w:t>mg denne. Obvykle sa dávka podáva jedenkrát denne.</w:t>
      </w:r>
    </w:p>
    <w:p w14:paraId="0765D1D6" w14:textId="77777777" w:rsidR="0076116E" w:rsidRPr="00456BE0" w:rsidRDefault="004124B1" w:rsidP="0087630B">
      <w:pPr>
        <w:pStyle w:val="Styl3"/>
        <w:rPr>
          <w:lang w:val="sk-SK"/>
        </w:rPr>
      </w:pPr>
      <w:r w:rsidRPr="00456BE0">
        <w:rPr>
          <w:lang w:val="sk-SK"/>
        </w:rPr>
        <w:t>Kardiovaskulárna prevencia</w:t>
      </w:r>
    </w:p>
    <w:p w14:paraId="682FBE47" w14:textId="77777777" w:rsidR="0076116E" w:rsidRPr="00456BE0" w:rsidRDefault="004124B1" w:rsidP="00456BE0">
      <w:pPr>
        <w:pStyle w:val="Styl4"/>
        <w:rPr>
          <w:lang w:val="sk-SK"/>
        </w:rPr>
      </w:pPr>
      <w:r w:rsidRPr="00456BE0">
        <w:rPr>
          <w:lang w:val="sk-SK"/>
        </w:rPr>
        <w:t>Počiatočná dávka</w:t>
      </w:r>
    </w:p>
    <w:p w14:paraId="0AA3AB33" w14:textId="21D54125" w:rsidR="0076116E" w:rsidRPr="00EC5E95" w:rsidRDefault="00D07135" w:rsidP="00A84884">
      <w:pPr>
        <w:pStyle w:val="Normlndobloku"/>
        <w:rPr>
          <w:lang w:val="sk-SK"/>
        </w:rPr>
      </w:pPr>
      <w:r w:rsidRPr="00EC5E95">
        <w:rPr>
          <w:lang w:val="sk-SK"/>
        </w:rPr>
        <w:t>Odporúčaná úvodná dávka je 2,5 </w:t>
      </w:r>
      <w:r w:rsidR="004124B1" w:rsidRPr="00EC5E95">
        <w:rPr>
          <w:lang w:val="sk-SK"/>
        </w:rPr>
        <w:t xml:space="preserve">mg </w:t>
      </w:r>
      <w:r w:rsidR="00E2331B" w:rsidRPr="00EC5E95">
        <w:rPr>
          <w:lang w:val="sk-SK"/>
        </w:rPr>
        <w:t>lieku</w:t>
      </w:r>
      <w:r w:rsidRPr="00EC5E95">
        <w:rPr>
          <w:lang w:val="sk-SK"/>
        </w:rPr>
        <w:t xml:space="preserve"> </w:t>
      </w:r>
      <w:r w:rsidR="00EC5348" w:rsidRPr="00EC5E95">
        <w:rPr>
          <w:lang w:val="sk-SK"/>
        </w:rPr>
        <w:t>RAMIMED</w:t>
      </w:r>
      <w:r w:rsidR="004124B1" w:rsidRPr="00EC5E95">
        <w:rPr>
          <w:lang w:val="sk-SK"/>
        </w:rPr>
        <w:t xml:space="preserve"> jedenkrát denne.</w:t>
      </w:r>
    </w:p>
    <w:p w14:paraId="43EB6B3D" w14:textId="0D30EF7A" w:rsidR="0076116E" w:rsidRPr="00456BE0" w:rsidRDefault="00D07135" w:rsidP="0087630B">
      <w:pPr>
        <w:pStyle w:val="Styl4"/>
        <w:rPr>
          <w:lang w:val="sk-SK"/>
        </w:rPr>
      </w:pPr>
      <w:r w:rsidRPr="00456BE0">
        <w:rPr>
          <w:lang w:val="sk-SK"/>
        </w:rPr>
        <w:t>Titrácia a </w:t>
      </w:r>
      <w:r w:rsidR="004124B1" w:rsidRPr="00456BE0">
        <w:rPr>
          <w:lang w:val="sk-SK"/>
        </w:rPr>
        <w:t>udržiavanie dávky</w:t>
      </w:r>
    </w:p>
    <w:p w14:paraId="397DE757" w14:textId="6A145824" w:rsidR="0076116E" w:rsidRPr="00EC5E95" w:rsidRDefault="00D07135" w:rsidP="00A84884">
      <w:pPr>
        <w:pStyle w:val="Normlndobloku"/>
        <w:rPr>
          <w:lang w:val="sk-SK"/>
        </w:rPr>
      </w:pPr>
      <w:r w:rsidRPr="00EC5E95">
        <w:rPr>
          <w:lang w:val="sk-SK"/>
        </w:rPr>
        <w:t>Dávka sa má postupne zvyšovať v </w:t>
      </w:r>
      <w:r w:rsidR="004124B1" w:rsidRPr="00EC5E95">
        <w:rPr>
          <w:lang w:val="sk-SK"/>
        </w:rPr>
        <w:t>závislosti od toho, ako pacient liečivo toleruje. Odporúča sa po jednom alebo dvoch týždňoch l</w:t>
      </w:r>
      <w:r w:rsidRPr="00EC5E95">
        <w:rPr>
          <w:lang w:val="sk-SK"/>
        </w:rPr>
        <w:t>iečby dávku zdvojnásobiť a </w:t>
      </w:r>
      <w:r w:rsidR="004124B1" w:rsidRPr="00EC5E95">
        <w:rPr>
          <w:lang w:val="sk-SK"/>
        </w:rPr>
        <w:t xml:space="preserve">po ďalších dvoch až troch týždňoch ju zvýšiť </w:t>
      </w:r>
      <w:r w:rsidRPr="00EC5E95">
        <w:rPr>
          <w:lang w:val="sk-SK"/>
        </w:rPr>
        <w:t>na cieľovú udržiavaciu dávku 10 </w:t>
      </w:r>
      <w:r w:rsidR="004124B1" w:rsidRPr="00EC5E95">
        <w:rPr>
          <w:lang w:val="sk-SK"/>
        </w:rPr>
        <w:t xml:space="preserve">mg </w:t>
      </w:r>
      <w:r w:rsidR="00E2331B" w:rsidRPr="00EC5E95">
        <w:rPr>
          <w:lang w:val="sk-SK"/>
        </w:rPr>
        <w:t>lieku</w:t>
      </w:r>
      <w:r w:rsidRPr="00EC5E95">
        <w:rPr>
          <w:lang w:val="sk-SK"/>
        </w:rPr>
        <w:t xml:space="preserve"> </w:t>
      </w:r>
      <w:r w:rsidR="00EC5348" w:rsidRPr="00EC5E95">
        <w:rPr>
          <w:lang w:val="sk-SK"/>
        </w:rPr>
        <w:t>RAMIMED</w:t>
      </w:r>
      <w:r w:rsidR="004124B1" w:rsidRPr="00EC5E95">
        <w:rPr>
          <w:lang w:val="sk-SK"/>
        </w:rPr>
        <w:t xml:space="preserve"> jedenkrát denne.</w:t>
      </w:r>
    </w:p>
    <w:p w14:paraId="2E20C8D4" w14:textId="29865A83" w:rsidR="0076116E" w:rsidRPr="00EC5E95" w:rsidRDefault="00D07135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Pozri taktiež vyššie </w:t>
      </w:r>
      <w:r w:rsidR="004124B1" w:rsidRPr="00EC5E95">
        <w:rPr>
          <w:lang w:val="sk-SK"/>
        </w:rPr>
        <w:t>dávkovanie pre pacientov liečených diuretikami.</w:t>
      </w:r>
    </w:p>
    <w:p w14:paraId="3AC526C9" w14:textId="77777777" w:rsidR="0076116E" w:rsidRPr="00EC5E95" w:rsidRDefault="004124B1" w:rsidP="0087630B">
      <w:pPr>
        <w:pStyle w:val="Styl3"/>
      </w:pPr>
      <w:r w:rsidRPr="00EC5E95">
        <w:t>Liečba poruchy obličiek</w:t>
      </w:r>
    </w:p>
    <w:p w14:paraId="386DC895" w14:textId="33BCA474" w:rsidR="0076116E" w:rsidRPr="000F6B9E" w:rsidRDefault="00D07135" w:rsidP="00456BE0">
      <w:pPr>
        <w:pStyle w:val="Styl4"/>
      </w:pPr>
      <w:r w:rsidRPr="000F6B9E">
        <w:t>Pacienti s</w:t>
      </w:r>
      <w:r w:rsidRPr="00EC5E95">
        <w:rPr>
          <w:noProof w:val="0"/>
        </w:rPr>
        <w:t> </w:t>
      </w:r>
      <w:proofErr w:type="spellStart"/>
      <w:r w:rsidRPr="000F6B9E">
        <w:t>diabetom</w:t>
      </w:r>
      <w:proofErr w:type="spellEnd"/>
      <w:r w:rsidRPr="000F6B9E">
        <w:t xml:space="preserve"> a</w:t>
      </w:r>
      <w:r w:rsidRPr="00EC5E95">
        <w:rPr>
          <w:noProof w:val="0"/>
        </w:rPr>
        <w:t> </w:t>
      </w:r>
      <w:proofErr w:type="spellStart"/>
      <w:r w:rsidR="004124B1" w:rsidRPr="000F6B9E">
        <w:t>mikroalbuminúriou</w:t>
      </w:r>
      <w:proofErr w:type="spellEnd"/>
      <w:r w:rsidR="004124B1" w:rsidRPr="000F6B9E">
        <w:t>:</w:t>
      </w:r>
    </w:p>
    <w:p w14:paraId="66B4D49E" w14:textId="77777777" w:rsidR="0076116E" w:rsidRPr="000F6B9E" w:rsidRDefault="004124B1" w:rsidP="00456BE0">
      <w:pPr>
        <w:pStyle w:val="Styl4"/>
      </w:pPr>
      <w:r w:rsidRPr="000F6B9E">
        <w:t>Počiatočná dávka:</w:t>
      </w:r>
    </w:p>
    <w:p w14:paraId="424D9F18" w14:textId="33698520" w:rsidR="004124B1" w:rsidRPr="00EC5E95" w:rsidRDefault="00D07135" w:rsidP="00A84884">
      <w:pPr>
        <w:pStyle w:val="Normlndobloku"/>
        <w:rPr>
          <w:lang w:val="sk-SK"/>
        </w:rPr>
      </w:pPr>
      <w:r w:rsidRPr="00EC5E95">
        <w:rPr>
          <w:lang w:val="sk-SK"/>
        </w:rPr>
        <w:t>Odporúčaná úvodná dávka je 1,25 </w:t>
      </w:r>
      <w:r w:rsidR="004124B1" w:rsidRPr="00EC5E95">
        <w:rPr>
          <w:lang w:val="sk-SK"/>
        </w:rPr>
        <w:t xml:space="preserve">mg </w:t>
      </w:r>
      <w:r w:rsidR="00E2331B" w:rsidRPr="00EC5E95">
        <w:rPr>
          <w:lang w:val="sk-SK"/>
        </w:rPr>
        <w:t>lieku</w:t>
      </w:r>
      <w:r w:rsidRPr="00EC5E95">
        <w:rPr>
          <w:lang w:val="sk-SK"/>
        </w:rPr>
        <w:t xml:space="preserve"> </w:t>
      </w:r>
      <w:r w:rsidR="00EC5348" w:rsidRPr="00EC5E95">
        <w:rPr>
          <w:lang w:val="sk-SK"/>
        </w:rPr>
        <w:t>RAMIMED</w:t>
      </w:r>
      <w:r w:rsidR="004124B1" w:rsidRPr="00EC5E95">
        <w:rPr>
          <w:lang w:val="sk-SK"/>
        </w:rPr>
        <w:t xml:space="preserve"> jedenkrát denne.</w:t>
      </w:r>
    </w:p>
    <w:p w14:paraId="36DD3290" w14:textId="7224DE8F" w:rsidR="0076116E" w:rsidRPr="00456BE0" w:rsidRDefault="00D07135" w:rsidP="0087630B">
      <w:pPr>
        <w:pStyle w:val="Styl4"/>
        <w:rPr>
          <w:lang w:val="sk-SK"/>
        </w:rPr>
      </w:pPr>
      <w:r w:rsidRPr="00456BE0">
        <w:rPr>
          <w:lang w:val="sk-SK"/>
        </w:rPr>
        <w:t>Titrácia a </w:t>
      </w:r>
      <w:r w:rsidR="004124B1" w:rsidRPr="00456BE0">
        <w:rPr>
          <w:lang w:val="sk-SK"/>
        </w:rPr>
        <w:t>udržiavanie dávky</w:t>
      </w:r>
    </w:p>
    <w:p w14:paraId="5EE985CB" w14:textId="0DE57209" w:rsidR="0076116E" w:rsidRPr="00EC5E95" w:rsidRDefault="00D07135" w:rsidP="00A84884">
      <w:pPr>
        <w:pStyle w:val="Normlndobloku"/>
        <w:rPr>
          <w:lang w:val="sk-SK"/>
        </w:rPr>
      </w:pPr>
      <w:r w:rsidRPr="00EC5E95">
        <w:rPr>
          <w:lang w:val="sk-SK"/>
        </w:rPr>
        <w:t>Dávka sa postupne zvyšuje v </w:t>
      </w:r>
      <w:r w:rsidR="004124B1" w:rsidRPr="00EC5E95">
        <w:rPr>
          <w:lang w:val="sk-SK"/>
        </w:rPr>
        <w:t>závislosti od toho, ako pacient liečivo toleruje. Odporúča</w:t>
      </w:r>
      <w:r w:rsidRPr="00EC5E95">
        <w:rPr>
          <w:lang w:val="sk-SK"/>
        </w:rPr>
        <w:t xml:space="preserve"> sa zdvojnásobenie dávky na 2,5 </w:t>
      </w:r>
      <w:r w:rsidR="004124B1" w:rsidRPr="00EC5E95">
        <w:rPr>
          <w:lang w:val="sk-SK"/>
        </w:rPr>
        <w:t>mg jedenkrát denn</w:t>
      </w:r>
      <w:r w:rsidRPr="00EC5E95">
        <w:rPr>
          <w:lang w:val="sk-SK"/>
        </w:rPr>
        <w:t>e po dvoch týždňoch a </w:t>
      </w:r>
      <w:r w:rsidR="004124B1" w:rsidRPr="00EC5E95">
        <w:rPr>
          <w:lang w:val="sk-SK"/>
        </w:rPr>
        <w:t>potom po ďalších d</w:t>
      </w:r>
      <w:r w:rsidRPr="00EC5E95">
        <w:rPr>
          <w:lang w:val="sk-SK"/>
        </w:rPr>
        <w:t>voch týždňoch na 5 </w:t>
      </w:r>
      <w:r w:rsidR="004124B1" w:rsidRPr="00EC5E95">
        <w:rPr>
          <w:lang w:val="sk-SK"/>
        </w:rPr>
        <w:t>mg jedenkrát denne.</w:t>
      </w:r>
    </w:p>
    <w:p w14:paraId="3FBEA186" w14:textId="61482FF6" w:rsidR="0076116E" w:rsidRPr="00EC5E95" w:rsidRDefault="00D07135" w:rsidP="0087630B">
      <w:pPr>
        <w:pStyle w:val="Styl3"/>
      </w:pPr>
      <w:r w:rsidRPr="00EC5E95">
        <w:t>Pacienti s diabetom a </w:t>
      </w:r>
      <w:r w:rsidR="004124B1" w:rsidRPr="00EC5E95">
        <w:t>ešte aspoň jedným kardiovaskulárnym rizikom</w:t>
      </w:r>
    </w:p>
    <w:p w14:paraId="0F477749" w14:textId="77777777" w:rsidR="0076116E" w:rsidRPr="00EC5E95" w:rsidRDefault="004124B1" w:rsidP="00456BE0">
      <w:pPr>
        <w:pStyle w:val="Styl4"/>
      </w:pPr>
      <w:r w:rsidRPr="00EC5E95">
        <w:t>Počiatočná dávka:</w:t>
      </w:r>
    </w:p>
    <w:p w14:paraId="43B7EAAF" w14:textId="680A360C" w:rsidR="0076116E" w:rsidRPr="00EC5E95" w:rsidRDefault="00D07135" w:rsidP="00A84884">
      <w:pPr>
        <w:pStyle w:val="Normlndobloku"/>
        <w:rPr>
          <w:lang w:val="sk-SK"/>
        </w:rPr>
      </w:pPr>
      <w:r w:rsidRPr="00EC5E95">
        <w:rPr>
          <w:lang w:val="sk-SK"/>
        </w:rPr>
        <w:t>Odporúčaná úvodná dávka je 2,5 </w:t>
      </w:r>
      <w:r w:rsidR="004124B1" w:rsidRPr="00EC5E95">
        <w:rPr>
          <w:lang w:val="sk-SK"/>
        </w:rPr>
        <w:t xml:space="preserve">mg </w:t>
      </w:r>
      <w:r w:rsidR="00E2331B" w:rsidRPr="00EC5E95">
        <w:rPr>
          <w:lang w:val="sk-SK"/>
        </w:rPr>
        <w:t>lieku</w:t>
      </w:r>
      <w:r w:rsidRPr="00EC5E95">
        <w:rPr>
          <w:lang w:val="sk-SK"/>
        </w:rPr>
        <w:t xml:space="preserve"> </w:t>
      </w:r>
      <w:r w:rsidR="00EC5348" w:rsidRPr="00EC5E95">
        <w:rPr>
          <w:lang w:val="sk-SK"/>
        </w:rPr>
        <w:t>RAMIMED</w:t>
      </w:r>
      <w:r w:rsidR="004124B1" w:rsidRPr="00EC5E95">
        <w:rPr>
          <w:lang w:val="sk-SK"/>
        </w:rPr>
        <w:t xml:space="preserve"> jedenkrát denne.</w:t>
      </w:r>
    </w:p>
    <w:p w14:paraId="01B31A23" w14:textId="6AC8537B" w:rsidR="0076116E" w:rsidRPr="00456BE0" w:rsidRDefault="00D07135" w:rsidP="0087630B">
      <w:pPr>
        <w:pStyle w:val="Styl4"/>
        <w:rPr>
          <w:lang w:val="sk-SK"/>
        </w:rPr>
      </w:pPr>
      <w:r w:rsidRPr="00456BE0">
        <w:rPr>
          <w:lang w:val="sk-SK"/>
        </w:rPr>
        <w:t>Titrácia a </w:t>
      </w:r>
      <w:r w:rsidR="004124B1" w:rsidRPr="00456BE0">
        <w:rPr>
          <w:lang w:val="sk-SK"/>
        </w:rPr>
        <w:t>udržiavanie dávky</w:t>
      </w:r>
    </w:p>
    <w:p w14:paraId="4EFE6D08" w14:textId="531D3468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>Dávk</w:t>
      </w:r>
      <w:r w:rsidR="00D07135" w:rsidRPr="00EC5E95">
        <w:rPr>
          <w:lang w:val="sk-SK"/>
        </w:rPr>
        <w:t>a sa postupne zvyšuje v </w:t>
      </w:r>
      <w:r w:rsidRPr="00EC5E95">
        <w:rPr>
          <w:lang w:val="sk-SK"/>
        </w:rPr>
        <w:t>závislosti od toho, ako pacient liečivo toleruje. Odporúča sa zdvojnásobenie dávky p</w:t>
      </w:r>
      <w:r w:rsidR="00D07135" w:rsidRPr="00EC5E95">
        <w:rPr>
          <w:lang w:val="sk-SK"/>
        </w:rPr>
        <w:t>o jednom až dvoch týždňoch na 5 </w:t>
      </w:r>
      <w:r w:rsidRPr="00EC5E95">
        <w:rPr>
          <w:lang w:val="sk-SK"/>
        </w:rPr>
        <w:t xml:space="preserve">mg </w:t>
      </w:r>
      <w:r w:rsidR="00E2331B" w:rsidRPr="00EC5E95">
        <w:rPr>
          <w:lang w:val="sk-SK"/>
        </w:rPr>
        <w:t>lieku</w:t>
      </w:r>
      <w:r w:rsidR="00D07135" w:rsidRPr="00EC5E95">
        <w:rPr>
          <w:lang w:val="sk-SK"/>
        </w:rPr>
        <w:t xml:space="preserve"> </w:t>
      </w:r>
      <w:r w:rsidR="00EC5348" w:rsidRPr="00EC5E95">
        <w:rPr>
          <w:lang w:val="sk-SK"/>
        </w:rPr>
        <w:t>RAMIMED</w:t>
      </w:r>
      <w:r w:rsidR="00D07135" w:rsidRPr="00EC5E95">
        <w:rPr>
          <w:lang w:val="sk-SK"/>
        </w:rPr>
        <w:t xml:space="preserve"> jedenkrát denne a </w:t>
      </w:r>
      <w:r w:rsidRPr="00EC5E95">
        <w:rPr>
          <w:lang w:val="sk-SK"/>
        </w:rPr>
        <w:t xml:space="preserve">potom po ďalších </w:t>
      </w:r>
      <w:r w:rsidR="00D07135" w:rsidRPr="00EC5E95">
        <w:rPr>
          <w:lang w:val="sk-SK"/>
        </w:rPr>
        <w:t>dvoch až troch týždňoch na 10 </w:t>
      </w:r>
      <w:r w:rsidRPr="00EC5E95">
        <w:rPr>
          <w:lang w:val="sk-SK"/>
        </w:rPr>
        <w:t xml:space="preserve">mg </w:t>
      </w:r>
      <w:r w:rsidR="00E2331B" w:rsidRPr="00EC5E95">
        <w:rPr>
          <w:lang w:val="sk-SK"/>
        </w:rPr>
        <w:t>lieku</w:t>
      </w:r>
      <w:r w:rsidR="00D07135" w:rsidRPr="00EC5E95">
        <w:rPr>
          <w:lang w:val="sk-SK"/>
        </w:rPr>
        <w:t xml:space="preserve"> </w:t>
      </w:r>
      <w:r w:rsidR="00EC5348" w:rsidRPr="00EC5E95">
        <w:rPr>
          <w:lang w:val="sk-SK"/>
        </w:rPr>
        <w:t>RAMIMED</w:t>
      </w:r>
      <w:r w:rsidRPr="00EC5E95">
        <w:rPr>
          <w:lang w:val="sk-SK"/>
        </w:rPr>
        <w:t xml:space="preserve"> jedenkrát denne. Cieľová de</w:t>
      </w:r>
      <w:r w:rsidR="00D07135" w:rsidRPr="00EC5E95">
        <w:rPr>
          <w:lang w:val="sk-SK"/>
        </w:rPr>
        <w:t>nná dávka je 10 </w:t>
      </w:r>
      <w:r w:rsidRPr="00EC5E95">
        <w:rPr>
          <w:lang w:val="sk-SK"/>
        </w:rPr>
        <w:t>mg.</w:t>
      </w:r>
    </w:p>
    <w:p w14:paraId="11A9AE38" w14:textId="4CF6AD65" w:rsidR="0076116E" w:rsidRPr="00456BE0" w:rsidRDefault="00D07135" w:rsidP="0087630B">
      <w:pPr>
        <w:pStyle w:val="Styl3"/>
        <w:rPr>
          <w:lang w:val="sk-SK"/>
        </w:rPr>
      </w:pPr>
      <w:r w:rsidRPr="00456BE0">
        <w:rPr>
          <w:lang w:val="sk-SK"/>
        </w:rPr>
        <w:t>Pacienti s </w:t>
      </w:r>
      <w:r w:rsidR="004124B1" w:rsidRPr="00456BE0">
        <w:rPr>
          <w:lang w:val="sk-SK"/>
        </w:rPr>
        <w:t>nediabetickou nefropatiou de</w:t>
      </w:r>
      <w:r w:rsidRPr="00456BE0">
        <w:rPr>
          <w:lang w:val="sk-SK"/>
        </w:rPr>
        <w:t>finovanou makroproteinúriou ≥ 3 </w:t>
      </w:r>
      <w:r w:rsidR="004124B1" w:rsidRPr="00456BE0">
        <w:rPr>
          <w:lang w:val="sk-SK"/>
        </w:rPr>
        <w:t>g/deň</w:t>
      </w:r>
    </w:p>
    <w:p w14:paraId="358D4A73" w14:textId="77777777" w:rsidR="0076116E" w:rsidRPr="00456BE0" w:rsidRDefault="004124B1" w:rsidP="00456BE0">
      <w:pPr>
        <w:pStyle w:val="Styl4"/>
        <w:rPr>
          <w:lang w:val="sk-SK"/>
        </w:rPr>
      </w:pPr>
      <w:r w:rsidRPr="00456BE0">
        <w:rPr>
          <w:lang w:val="sk-SK"/>
        </w:rPr>
        <w:t>Počiatočná dávka:</w:t>
      </w:r>
    </w:p>
    <w:p w14:paraId="086DE8C9" w14:textId="51D77511" w:rsidR="0076116E" w:rsidRPr="00EC5E95" w:rsidRDefault="00D07135" w:rsidP="00A84884">
      <w:pPr>
        <w:pStyle w:val="Normlndobloku"/>
        <w:rPr>
          <w:lang w:val="sk-SK"/>
        </w:rPr>
      </w:pPr>
      <w:r w:rsidRPr="00EC5E95">
        <w:rPr>
          <w:lang w:val="sk-SK"/>
        </w:rPr>
        <w:t>Odporúčaná dávka je 1,25 </w:t>
      </w:r>
      <w:r w:rsidR="004124B1" w:rsidRPr="00EC5E95">
        <w:rPr>
          <w:lang w:val="sk-SK"/>
        </w:rPr>
        <w:t xml:space="preserve">mg </w:t>
      </w:r>
      <w:r w:rsidR="00E2331B" w:rsidRPr="00EC5E95">
        <w:rPr>
          <w:lang w:val="sk-SK"/>
        </w:rPr>
        <w:t>lieku</w:t>
      </w:r>
      <w:r w:rsidRPr="00EC5E95">
        <w:rPr>
          <w:lang w:val="sk-SK"/>
        </w:rPr>
        <w:t xml:space="preserve"> </w:t>
      </w:r>
      <w:r w:rsidR="00EC5348" w:rsidRPr="00EC5E95">
        <w:rPr>
          <w:lang w:val="sk-SK"/>
        </w:rPr>
        <w:t>RAMIMED</w:t>
      </w:r>
      <w:r w:rsidR="004124B1" w:rsidRPr="00EC5E95">
        <w:rPr>
          <w:lang w:val="sk-SK"/>
        </w:rPr>
        <w:t xml:space="preserve"> jedenkrát denne.</w:t>
      </w:r>
    </w:p>
    <w:p w14:paraId="7B8813AC" w14:textId="51B2DCC0" w:rsidR="0076116E" w:rsidRPr="00456BE0" w:rsidRDefault="00D07135" w:rsidP="0087630B">
      <w:pPr>
        <w:pStyle w:val="Styl4"/>
        <w:rPr>
          <w:lang w:val="sk-SK"/>
        </w:rPr>
      </w:pPr>
      <w:r w:rsidRPr="00456BE0">
        <w:rPr>
          <w:lang w:val="sk-SK"/>
        </w:rPr>
        <w:t>Titrácia a </w:t>
      </w:r>
      <w:r w:rsidR="004124B1" w:rsidRPr="00456BE0">
        <w:rPr>
          <w:lang w:val="sk-SK"/>
        </w:rPr>
        <w:t>udržiavanie dávky</w:t>
      </w:r>
    </w:p>
    <w:p w14:paraId="2E67B794" w14:textId="04C2437D" w:rsidR="0076116E" w:rsidRPr="00EC5E95" w:rsidRDefault="00D07135" w:rsidP="00A84884">
      <w:pPr>
        <w:pStyle w:val="Normlndobloku"/>
        <w:rPr>
          <w:lang w:val="sk-SK"/>
        </w:rPr>
      </w:pPr>
      <w:r w:rsidRPr="00EC5E95">
        <w:rPr>
          <w:lang w:val="sk-SK"/>
        </w:rPr>
        <w:t>Dávka sa postupne zvyšuje v </w:t>
      </w:r>
      <w:r w:rsidR="004124B1" w:rsidRPr="00EC5E95">
        <w:rPr>
          <w:lang w:val="sk-SK"/>
        </w:rPr>
        <w:t>závislosti od toho, ako pacient liečivo toleruje. Odporúča sa zdvojnásobenie</w:t>
      </w:r>
      <w:r w:rsidRPr="00EC5E95">
        <w:rPr>
          <w:lang w:val="sk-SK"/>
        </w:rPr>
        <w:t xml:space="preserve"> dávky po dvoch týždňoch na 2,5 mg jedenkrát denne a </w:t>
      </w:r>
      <w:r w:rsidR="004124B1" w:rsidRPr="00EC5E95">
        <w:rPr>
          <w:lang w:val="sk-SK"/>
        </w:rPr>
        <w:t>potom</w:t>
      </w:r>
      <w:r w:rsidRPr="00EC5E95">
        <w:rPr>
          <w:lang w:val="sk-SK"/>
        </w:rPr>
        <w:t xml:space="preserve"> po ďalších dvoch týždňoch na 5 </w:t>
      </w:r>
      <w:r w:rsidR="004124B1" w:rsidRPr="00EC5E95">
        <w:rPr>
          <w:lang w:val="sk-SK"/>
        </w:rPr>
        <w:t>mg jedenkrát denne.</w:t>
      </w:r>
    </w:p>
    <w:p w14:paraId="5BFA799D" w14:textId="77777777" w:rsidR="0076116E" w:rsidRPr="00456BE0" w:rsidRDefault="004124B1" w:rsidP="0087630B">
      <w:pPr>
        <w:pStyle w:val="Styl3"/>
        <w:rPr>
          <w:lang w:val="sk-SK"/>
        </w:rPr>
      </w:pPr>
      <w:r w:rsidRPr="00456BE0">
        <w:rPr>
          <w:lang w:val="sk-SK"/>
        </w:rPr>
        <w:lastRenderedPageBreak/>
        <w:t>Symptomatické zlyhanie srdca</w:t>
      </w:r>
    </w:p>
    <w:p w14:paraId="33185580" w14:textId="77777777" w:rsidR="0076116E" w:rsidRPr="00456BE0" w:rsidRDefault="004124B1" w:rsidP="00456BE0">
      <w:pPr>
        <w:pStyle w:val="Styl4"/>
        <w:rPr>
          <w:lang w:val="sk-SK"/>
        </w:rPr>
      </w:pPr>
      <w:r w:rsidRPr="00456BE0">
        <w:rPr>
          <w:lang w:val="sk-SK"/>
        </w:rPr>
        <w:t>Počiatočná dávka:</w:t>
      </w:r>
    </w:p>
    <w:p w14:paraId="4794E4B1" w14:textId="473E6C5E" w:rsidR="0076116E" w:rsidRPr="00EC5E95" w:rsidRDefault="00D07135" w:rsidP="00A84884">
      <w:pPr>
        <w:pStyle w:val="Normlndobloku"/>
        <w:rPr>
          <w:lang w:val="sk-SK"/>
        </w:rPr>
      </w:pPr>
      <w:r w:rsidRPr="00EC5E95">
        <w:rPr>
          <w:lang w:val="sk-SK"/>
        </w:rPr>
        <w:t>U </w:t>
      </w:r>
      <w:r w:rsidR="004124B1" w:rsidRPr="00EC5E95">
        <w:rPr>
          <w:lang w:val="sk-SK"/>
        </w:rPr>
        <w:t xml:space="preserve">pacientov stabilizovaných na liečbe diuretikami sa </w:t>
      </w:r>
      <w:r w:rsidRPr="00EC5E95">
        <w:rPr>
          <w:lang w:val="sk-SK"/>
        </w:rPr>
        <w:t>odporúča úvodná dávka 1,25 </w:t>
      </w:r>
      <w:r w:rsidR="004124B1" w:rsidRPr="00EC5E95">
        <w:rPr>
          <w:lang w:val="sk-SK"/>
        </w:rPr>
        <w:t>mg denne.</w:t>
      </w:r>
    </w:p>
    <w:p w14:paraId="3616484C" w14:textId="40D02279" w:rsidR="0076116E" w:rsidRPr="00456BE0" w:rsidRDefault="00D07135" w:rsidP="0087630B">
      <w:pPr>
        <w:pStyle w:val="Styl4"/>
        <w:rPr>
          <w:lang w:val="sk-SK"/>
        </w:rPr>
      </w:pPr>
      <w:r w:rsidRPr="00456BE0">
        <w:rPr>
          <w:lang w:val="sk-SK"/>
        </w:rPr>
        <w:t>Titrácia a </w:t>
      </w:r>
      <w:r w:rsidR="004124B1" w:rsidRPr="00456BE0">
        <w:rPr>
          <w:lang w:val="sk-SK"/>
        </w:rPr>
        <w:t>udržiavanie dávky</w:t>
      </w:r>
    </w:p>
    <w:p w14:paraId="0FE057F7" w14:textId="38502B76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Dávka </w:t>
      </w:r>
      <w:r w:rsidR="00E2331B" w:rsidRPr="00EC5E95">
        <w:rPr>
          <w:lang w:val="sk-SK"/>
        </w:rPr>
        <w:t>lieku</w:t>
      </w:r>
      <w:r w:rsidR="00D07135" w:rsidRPr="00EC5E95">
        <w:rPr>
          <w:lang w:val="sk-SK"/>
        </w:rPr>
        <w:t xml:space="preserve"> </w:t>
      </w:r>
      <w:r w:rsidR="00EC5348" w:rsidRPr="00EC5E95">
        <w:rPr>
          <w:lang w:val="sk-SK"/>
        </w:rPr>
        <w:t>RAMIMED</w:t>
      </w:r>
      <w:r w:rsidRPr="00EC5E95">
        <w:rPr>
          <w:lang w:val="sk-SK"/>
        </w:rPr>
        <w:t xml:space="preserve"> sa má </w:t>
      </w:r>
      <w:proofErr w:type="spellStart"/>
      <w:r w:rsidRPr="00EC5E95">
        <w:rPr>
          <w:lang w:val="sk-SK"/>
        </w:rPr>
        <w:t>titrovať</w:t>
      </w:r>
      <w:proofErr w:type="spellEnd"/>
      <w:r w:rsidRPr="00EC5E95">
        <w:rPr>
          <w:lang w:val="sk-SK"/>
        </w:rPr>
        <w:t xml:space="preserve"> zdvojnásobením dávky každý jeden až dva týždne do dosiahn</w:t>
      </w:r>
      <w:r w:rsidR="00D07135" w:rsidRPr="00EC5E95">
        <w:rPr>
          <w:lang w:val="sk-SK"/>
        </w:rPr>
        <w:t>utia maximálnej dennej dávky 10 </w:t>
      </w:r>
      <w:r w:rsidRPr="00EC5E95">
        <w:rPr>
          <w:lang w:val="sk-SK"/>
        </w:rPr>
        <w:t>mg. Výh</w:t>
      </w:r>
      <w:r w:rsidR="00D07135" w:rsidRPr="00EC5E95">
        <w:rPr>
          <w:lang w:val="sk-SK"/>
        </w:rPr>
        <w:t>odnejšie je podať dennú dávku v </w:t>
      </w:r>
      <w:r w:rsidRPr="00EC5E95">
        <w:rPr>
          <w:lang w:val="sk-SK"/>
        </w:rPr>
        <w:t>dvoch podaniach.</w:t>
      </w:r>
    </w:p>
    <w:p w14:paraId="2C9B55BB" w14:textId="76A028FA" w:rsidR="0076116E" w:rsidRPr="00456BE0" w:rsidRDefault="004124B1" w:rsidP="0087630B">
      <w:pPr>
        <w:pStyle w:val="Styl3"/>
        <w:rPr>
          <w:lang w:val="sk-SK"/>
        </w:rPr>
      </w:pPr>
      <w:r w:rsidRPr="00456BE0">
        <w:rPr>
          <w:lang w:val="sk-SK"/>
        </w:rPr>
        <w:t>Sekundárna prevencia</w:t>
      </w:r>
      <w:r w:rsidR="00D07135" w:rsidRPr="00456BE0">
        <w:rPr>
          <w:lang w:val="sk-SK"/>
        </w:rPr>
        <w:t xml:space="preserve"> po akútnom infarkte myokardu a </w:t>
      </w:r>
      <w:r w:rsidRPr="00456BE0">
        <w:rPr>
          <w:lang w:val="sk-SK"/>
        </w:rPr>
        <w:t>so srdcovým zlyhaním</w:t>
      </w:r>
    </w:p>
    <w:p w14:paraId="5E34A6D9" w14:textId="77777777" w:rsidR="0076116E" w:rsidRPr="00456BE0" w:rsidRDefault="004124B1" w:rsidP="00456BE0">
      <w:pPr>
        <w:pStyle w:val="Styl4"/>
        <w:rPr>
          <w:lang w:val="sk-SK"/>
        </w:rPr>
      </w:pPr>
      <w:r w:rsidRPr="00456BE0">
        <w:rPr>
          <w:lang w:val="sk-SK"/>
        </w:rPr>
        <w:t>Počiatočná dávka</w:t>
      </w:r>
    </w:p>
    <w:p w14:paraId="24F1AA5A" w14:textId="292D5862" w:rsidR="0076116E" w:rsidRPr="00EC5E95" w:rsidRDefault="00D07135" w:rsidP="00A84884">
      <w:pPr>
        <w:pStyle w:val="Normlndobloku"/>
        <w:rPr>
          <w:lang w:val="sk-SK"/>
        </w:rPr>
      </w:pPr>
      <w:r w:rsidRPr="00EC5E95">
        <w:rPr>
          <w:lang w:val="sk-SK"/>
        </w:rPr>
        <w:t>Po 48 hodinách po infarkte myokardu u klinicky a </w:t>
      </w:r>
      <w:proofErr w:type="spellStart"/>
      <w:r w:rsidR="004124B1" w:rsidRPr="00EC5E95">
        <w:rPr>
          <w:lang w:val="sk-SK"/>
        </w:rPr>
        <w:t>hemodynamicky</w:t>
      </w:r>
      <w:proofErr w:type="spellEnd"/>
      <w:r w:rsidR="004124B1" w:rsidRPr="00EC5E95">
        <w:rPr>
          <w:lang w:val="sk-SK"/>
        </w:rPr>
        <w:t xml:space="preserve"> stabilných pa</w:t>
      </w:r>
      <w:r w:rsidRPr="00EC5E95">
        <w:rPr>
          <w:lang w:val="sk-SK"/>
        </w:rPr>
        <w:t>cientov je počiatočná dávka 2,5 </w:t>
      </w:r>
      <w:r w:rsidR="004124B1" w:rsidRPr="00EC5E95">
        <w:rPr>
          <w:lang w:val="sk-SK"/>
        </w:rPr>
        <w:t>mg dvakrát denne počas troch dní. Ak paci</w:t>
      </w:r>
      <w:r w:rsidRPr="00EC5E95">
        <w:rPr>
          <w:lang w:val="sk-SK"/>
        </w:rPr>
        <w:t>ent netoleruje úvodnú dávku 2,5 mg, má sa mu podať dávka 1,25 </w:t>
      </w:r>
      <w:r w:rsidR="004124B1" w:rsidRPr="00EC5E95">
        <w:rPr>
          <w:lang w:val="sk-SK"/>
        </w:rPr>
        <w:t>mg dvakrát</w:t>
      </w:r>
      <w:r w:rsidRPr="00EC5E95">
        <w:rPr>
          <w:lang w:val="sk-SK"/>
        </w:rPr>
        <w:t xml:space="preserve"> denne počas 2 dní a</w:t>
      </w:r>
      <w:r w:rsidR="004947E0" w:rsidRPr="00EC5E95">
        <w:rPr>
          <w:lang w:val="sk-SK"/>
        </w:rPr>
        <w:t xml:space="preserve"> </w:t>
      </w:r>
      <w:r w:rsidRPr="00EC5E95">
        <w:rPr>
          <w:lang w:val="sk-SK"/>
        </w:rPr>
        <w:t>potom zvýšiť dávku na 2,5 mg a 5 </w:t>
      </w:r>
      <w:r w:rsidR="004124B1" w:rsidRPr="00EC5E95">
        <w:rPr>
          <w:lang w:val="sk-SK"/>
        </w:rPr>
        <w:t>mg dvakrát denne. Ak n</w:t>
      </w:r>
      <w:r w:rsidRPr="00EC5E95">
        <w:rPr>
          <w:lang w:val="sk-SK"/>
        </w:rPr>
        <w:t>ie je možné dávku zvýšiť na 2,5 </w:t>
      </w:r>
      <w:r w:rsidR="004124B1" w:rsidRPr="00EC5E95">
        <w:rPr>
          <w:lang w:val="sk-SK"/>
        </w:rPr>
        <w:t>mg dvakrát denne</w:t>
      </w:r>
      <w:r w:rsidR="00E2331B" w:rsidRPr="00EC5E95">
        <w:rPr>
          <w:lang w:val="sk-SK"/>
        </w:rPr>
        <w:t>,</w:t>
      </w:r>
      <w:r w:rsidR="004124B1" w:rsidRPr="00EC5E95">
        <w:rPr>
          <w:lang w:val="sk-SK"/>
        </w:rPr>
        <w:t xml:space="preserve"> liečbu je potrebné ukončiť.</w:t>
      </w:r>
    </w:p>
    <w:p w14:paraId="6620F82A" w14:textId="4BA469C3" w:rsidR="0076116E" w:rsidRPr="00EC5E95" w:rsidRDefault="00D07135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Pozri taktiež vyššie </w:t>
      </w:r>
      <w:r w:rsidR="004124B1" w:rsidRPr="00EC5E95">
        <w:rPr>
          <w:lang w:val="sk-SK"/>
        </w:rPr>
        <w:t>dávkovanie pre pacientov liečených diuretikami.</w:t>
      </w:r>
    </w:p>
    <w:p w14:paraId="19DD4950" w14:textId="7D7A4696" w:rsidR="0076116E" w:rsidRPr="00456BE0" w:rsidRDefault="00D07135" w:rsidP="0087630B">
      <w:pPr>
        <w:pStyle w:val="Styl4"/>
        <w:rPr>
          <w:lang w:val="sk-SK"/>
        </w:rPr>
      </w:pPr>
      <w:r w:rsidRPr="00456BE0">
        <w:rPr>
          <w:lang w:val="sk-SK"/>
        </w:rPr>
        <w:t>Titrácia a </w:t>
      </w:r>
      <w:r w:rsidR="004124B1" w:rsidRPr="00456BE0">
        <w:rPr>
          <w:lang w:val="sk-SK"/>
        </w:rPr>
        <w:t>udržiavanie dávky</w:t>
      </w:r>
    </w:p>
    <w:p w14:paraId="595244AC" w14:textId="3F740ACF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>Denná dávka sa postupne</w:t>
      </w:r>
      <w:r w:rsidR="00D07135" w:rsidRPr="00EC5E95">
        <w:rPr>
          <w:lang w:val="sk-SK"/>
        </w:rPr>
        <w:t xml:space="preserve"> zvyšuje zdvojnásobením dávky v </w:t>
      </w:r>
      <w:r w:rsidRPr="00EC5E95">
        <w:rPr>
          <w:lang w:val="sk-SK"/>
        </w:rPr>
        <w:t xml:space="preserve">intervaloch jedného až troch dní až po dosiahnutie </w:t>
      </w:r>
      <w:r w:rsidR="00D07135" w:rsidRPr="00EC5E95">
        <w:rPr>
          <w:lang w:val="sk-SK"/>
        </w:rPr>
        <w:t>cieľovej udržiavacej dávky 5 mg </w:t>
      </w:r>
      <w:r w:rsidRPr="00EC5E95">
        <w:rPr>
          <w:lang w:val="sk-SK"/>
        </w:rPr>
        <w:t>dvakrát denne.</w:t>
      </w:r>
    </w:p>
    <w:p w14:paraId="442166AE" w14:textId="77777777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>Ak je to možné, udržiavacia dávka sa rozdelí do dvoch podaní za deň.</w:t>
      </w:r>
    </w:p>
    <w:p w14:paraId="506D0623" w14:textId="32C0DF07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>Ak n</w:t>
      </w:r>
      <w:r w:rsidR="00D07135" w:rsidRPr="00EC5E95">
        <w:rPr>
          <w:lang w:val="sk-SK"/>
        </w:rPr>
        <w:t>ie je možné dávku zvýšiť na 2,5 </w:t>
      </w:r>
      <w:r w:rsidRPr="00EC5E95">
        <w:rPr>
          <w:lang w:val="sk-SK"/>
        </w:rPr>
        <w:t>mg dvakrát denne, liečbu je potrebné ukončiť. Stá</w:t>
      </w:r>
      <w:r w:rsidR="00D07135" w:rsidRPr="00EC5E95">
        <w:rPr>
          <w:lang w:val="sk-SK"/>
        </w:rPr>
        <w:t>le nie je dostatok skúseností s liečbou pacientov s </w:t>
      </w:r>
      <w:r w:rsidRPr="00EC5E95">
        <w:rPr>
          <w:lang w:val="sk-SK"/>
        </w:rPr>
        <w:t>ťažkým srdcovým zlyhaním (NYHA IV) bezprostredne po infarkte myokardu. Ak sa prijme rozhodnutie liečiť takýchto pacientov, odpor</w:t>
      </w:r>
      <w:r w:rsidR="00D07135" w:rsidRPr="00EC5E95">
        <w:rPr>
          <w:lang w:val="sk-SK"/>
        </w:rPr>
        <w:t>úča sa začať liečbu dávkou 1,25 mg jedenkrát denne a </w:t>
      </w:r>
      <w:r w:rsidRPr="00EC5E95">
        <w:rPr>
          <w:lang w:val="sk-SK"/>
        </w:rPr>
        <w:t>pri každom zvýšení dávky sa vyžaduje špeciálna opatrnosť.</w:t>
      </w:r>
    </w:p>
    <w:p w14:paraId="01916042" w14:textId="2C38CE90" w:rsidR="0076116E" w:rsidRPr="00EC5E95" w:rsidRDefault="00E2331B" w:rsidP="0087630B">
      <w:pPr>
        <w:pStyle w:val="Styl3"/>
      </w:pPr>
      <w:r w:rsidRPr="00EC5E95">
        <w:t>Osobitné</w:t>
      </w:r>
      <w:r w:rsidR="004124B1" w:rsidRPr="00EC5E95">
        <w:t xml:space="preserve"> skupiny pacientov</w:t>
      </w:r>
    </w:p>
    <w:p w14:paraId="41267AE6" w14:textId="1A592B94" w:rsidR="0076116E" w:rsidRPr="000F6B9E" w:rsidRDefault="004124B1" w:rsidP="00456BE0">
      <w:pPr>
        <w:pStyle w:val="Styl4"/>
      </w:pPr>
      <w:r w:rsidRPr="000F6B9E">
        <w:t xml:space="preserve">Pacienti </w:t>
      </w:r>
      <w:r w:rsidRPr="00EC5E95">
        <w:rPr>
          <w:noProof w:val="0"/>
        </w:rPr>
        <w:t>s</w:t>
      </w:r>
      <w:r w:rsidR="00C2004C" w:rsidRPr="00EC5E95">
        <w:rPr>
          <w:noProof w:val="0"/>
        </w:rPr>
        <w:t> </w:t>
      </w:r>
      <w:proofErr w:type="spellStart"/>
      <w:r w:rsidR="00C2004C" w:rsidRPr="00EC5E95">
        <w:rPr>
          <w:noProof w:val="0"/>
        </w:rPr>
        <w:t>poruchou</w:t>
      </w:r>
      <w:proofErr w:type="spellEnd"/>
      <w:r w:rsidR="00C2004C" w:rsidRPr="00EC5E95">
        <w:rPr>
          <w:noProof w:val="0"/>
        </w:rPr>
        <w:t xml:space="preserve"> </w:t>
      </w:r>
      <w:proofErr w:type="spellStart"/>
      <w:r w:rsidR="00C2004C" w:rsidRPr="00EC5E95">
        <w:rPr>
          <w:noProof w:val="0"/>
        </w:rPr>
        <w:t>funkcie</w:t>
      </w:r>
      <w:proofErr w:type="spellEnd"/>
      <w:r w:rsidR="00C2004C" w:rsidRPr="00EC5E95">
        <w:rPr>
          <w:noProof w:val="0"/>
        </w:rPr>
        <w:t xml:space="preserve"> </w:t>
      </w:r>
      <w:proofErr w:type="spellStart"/>
      <w:r w:rsidR="00C2004C" w:rsidRPr="00EC5E95">
        <w:rPr>
          <w:noProof w:val="0"/>
        </w:rPr>
        <w:t>obličiek</w:t>
      </w:r>
      <w:proofErr w:type="spellEnd"/>
    </w:p>
    <w:p w14:paraId="7C45A8DC" w14:textId="5D8845DA" w:rsidR="0076116E" w:rsidRPr="00EC5E95" w:rsidRDefault="008A3D18" w:rsidP="00A84884">
      <w:pPr>
        <w:pStyle w:val="Normlndobloku"/>
        <w:rPr>
          <w:lang w:val="sk-SK"/>
        </w:rPr>
      </w:pPr>
      <w:r w:rsidRPr="00EC5E95">
        <w:rPr>
          <w:lang w:val="sk-SK"/>
        </w:rPr>
        <w:t>Denná dávka u </w:t>
      </w:r>
      <w:r w:rsidR="004124B1" w:rsidRPr="00EC5E95">
        <w:rPr>
          <w:lang w:val="sk-SK"/>
        </w:rPr>
        <w:t>pacientov s</w:t>
      </w:r>
      <w:r w:rsidR="00C2004C" w:rsidRPr="00EC5E95">
        <w:rPr>
          <w:lang w:val="sk-SK"/>
        </w:rPr>
        <w:t> poruchou funkcie obličiek</w:t>
      </w:r>
      <w:r w:rsidR="004124B1" w:rsidRPr="00EC5E95">
        <w:rPr>
          <w:lang w:val="sk-SK"/>
        </w:rPr>
        <w:t xml:space="preserve"> vychádza z</w:t>
      </w:r>
      <w:r w:rsidRPr="00EC5E95">
        <w:rPr>
          <w:lang w:val="sk-SK"/>
        </w:rPr>
        <w:t> </w:t>
      </w:r>
      <w:proofErr w:type="spellStart"/>
      <w:r w:rsidR="004124B1" w:rsidRPr="00EC5E95">
        <w:rPr>
          <w:lang w:val="sk-SK"/>
        </w:rPr>
        <w:t>klírensu</w:t>
      </w:r>
      <w:proofErr w:type="spellEnd"/>
      <w:r w:rsidR="004124B1" w:rsidRPr="00EC5E95">
        <w:rPr>
          <w:lang w:val="sk-SK"/>
        </w:rPr>
        <w:t xml:space="preserve"> </w:t>
      </w:r>
      <w:proofErr w:type="spellStart"/>
      <w:r w:rsidR="004124B1" w:rsidRPr="00EC5E95">
        <w:rPr>
          <w:lang w:val="sk-SK"/>
        </w:rPr>
        <w:t>kreatinínu</w:t>
      </w:r>
      <w:proofErr w:type="spellEnd"/>
      <w:r w:rsidR="004124B1" w:rsidRPr="00EC5E95">
        <w:rPr>
          <w:lang w:val="sk-SK"/>
        </w:rPr>
        <w:t xml:space="preserve"> (pozri časť 5.2):</w:t>
      </w:r>
    </w:p>
    <w:p w14:paraId="176C0D64" w14:textId="0F972D65" w:rsidR="0076116E" w:rsidRPr="00EC5E95" w:rsidRDefault="008A3D18" w:rsidP="00A84884">
      <w:pPr>
        <w:pStyle w:val="Normlndoblokusodrkami"/>
        <w:rPr>
          <w:noProof w:val="0"/>
          <w:lang w:val="sk-SK"/>
        </w:rPr>
      </w:pPr>
      <w:r w:rsidRPr="00EC5E95">
        <w:rPr>
          <w:noProof w:val="0"/>
          <w:lang w:val="sk-SK"/>
        </w:rPr>
        <w:t xml:space="preserve">Ak je </w:t>
      </w:r>
      <w:proofErr w:type="spellStart"/>
      <w:r w:rsidRPr="00EC5E95">
        <w:rPr>
          <w:noProof w:val="0"/>
          <w:lang w:val="sk-SK"/>
        </w:rPr>
        <w:t>klírens</w:t>
      </w:r>
      <w:proofErr w:type="spellEnd"/>
      <w:r w:rsidRPr="00EC5E95">
        <w:rPr>
          <w:noProof w:val="0"/>
          <w:lang w:val="sk-SK"/>
        </w:rPr>
        <w:t xml:space="preserve"> </w:t>
      </w:r>
      <w:proofErr w:type="spellStart"/>
      <w:r w:rsidRPr="00EC5E95">
        <w:rPr>
          <w:noProof w:val="0"/>
          <w:lang w:val="sk-SK"/>
        </w:rPr>
        <w:t>kreatinínu</w:t>
      </w:r>
      <w:proofErr w:type="spellEnd"/>
      <w:r w:rsidRPr="00EC5E95">
        <w:rPr>
          <w:noProof w:val="0"/>
          <w:lang w:val="sk-SK"/>
        </w:rPr>
        <w:t xml:space="preserve"> ≥ 60 </w:t>
      </w:r>
      <w:r w:rsidR="004124B1" w:rsidRPr="00EC5E95">
        <w:rPr>
          <w:noProof w:val="0"/>
          <w:lang w:val="sk-SK"/>
        </w:rPr>
        <w:t>ml/min, nie je pot</w:t>
      </w:r>
      <w:r w:rsidRPr="00EC5E95">
        <w:rPr>
          <w:noProof w:val="0"/>
          <w:lang w:val="sk-SK"/>
        </w:rPr>
        <w:t>rebná úprava úvodnej dávky (2,5 </w:t>
      </w:r>
      <w:r w:rsidR="004124B1" w:rsidRPr="00EC5E95">
        <w:rPr>
          <w:noProof w:val="0"/>
          <w:lang w:val="sk-SK"/>
        </w:rPr>
        <w:t>mg/de</w:t>
      </w:r>
      <w:r w:rsidRPr="00EC5E95">
        <w:rPr>
          <w:noProof w:val="0"/>
          <w:lang w:val="sk-SK"/>
        </w:rPr>
        <w:t>ň); maximálna denná dávka je 10 </w:t>
      </w:r>
      <w:r w:rsidR="004124B1" w:rsidRPr="00EC5E95">
        <w:rPr>
          <w:noProof w:val="0"/>
          <w:lang w:val="sk-SK"/>
        </w:rPr>
        <w:t>mg;</w:t>
      </w:r>
    </w:p>
    <w:p w14:paraId="274A6668" w14:textId="4B69F1EC" w:rsidR="0076116E" w:rsidRPr="00EC5E95" w:rsidRDefault="008A3D18" w:rsidP="00A84884">
      <w:pPr>
        <w:pStyle w:val="Normlndoblokusodrkami"/>
        <w:rPr>
          <w:noProof w:val="0"/>
          <w:lang w:val="sk-SK"/>
        </w:rPr>
      </w:pPr>
      <w:r w:rsidRPr="00EC5E95">
        <w:rPr>
          <w:noProof w:val="0"/>
          <w:lang w:val="sk-SK"/>
        </w:rPr>
        <w:t xml:space="preserve">Ak je </w:t>
      </w:r>
      <w:proofErr w:type="spellStart"/>
      <w:r w:rsidRPr="00EC5E95">
        <w:rPr>
          <w:noProof w:val="0"/>
          <w:lang w:val="sk-SK"/>
        </w:rPr>
        <w:t>klírens</w:t>
      </w:r>
      <w:proofErr w:type="spellEnd"/>
      <w:r w:rsidRPr="00EC5E95">
        <w:rPr>
          <w:noProof w:val="0"/>
          <w:lang w:val="sk-SK"/>
        </w:rPr>
        <w:t xml:space="preserve"> </w:t>
      </w:r>
      <w:proofErr w:type="spellStart"/>
      <w:r w:rsidRPr="00EC5E95">
        <w:rPr>
          <w:noProof w:val="0"/>
          <w:lang w:val="sk-SK"/>
        </w:rPr>
        <w:t>kreatinínu</w:t>
      </w:r>
      <w:proofErr w:type="spellEnd"/>
      <w:r w:rsidRPr="00EC5E95">
        <w:rPr>
          <w:noProof w:val="0"/>
          <w:lang w:val="sk-SK"/>
        </w:rPr>
        <w:t xml:space="preserve"> v </w:t>
      </w:r>
      <w:r w:rsidR="004124B1" w:rsidRPr="00EC5E95">
        <w:rPr>
          <w:noProof w:val="0"/>
          <w:lang w:val="sk-SK"/>
        </w:rPr>
        <w:t>rozmedzí 30</w:t>
      </w:r>
      <w:r w:rsidR="00EC5E95">
        <w:rPr>
          <w:noProof w:val="0"/>
          <w:lang w:val="sk-SK"/>
        </w:rPr>
        <w:t> </w:t>
      </w:r>
      <w:r w:rsidR="00583EA2" w:rsidRPr="00EC5E95">
        <w:rPr>
          <w:noProof w:val="0"/>
          <w:lang w:val="sk-SK"/>
        </w:rPr>
        <w:t>–</w:t>
      </w:r>
      <w:r w:rsidR="00EC5E95">
        <w:rPr>
          <w:noProof w:val="0"/>
          <w:lang w:val="sk-SK"/>
        </w:rPr>
        <w:t> </w:t>
      </w:r>
      <w:r w:rsidRPr="00EC5E95">
        <w:rPr>
          <w:noProof w:val="0"/>
          <w:lang w:val="sk-SK"/>
        </w:rPr>
        <w:t>60 </w:t>
      </w:r>
      <w:r w:rsidR="004124B1" w:rsidRPr="00EC5E95">
        <w:rPr>
          <w:noProof w:val="0"/>
          <w:lang w:val="sk-SK"/>
        </w:rPr>
        <w:t>ml/min, nie je potrebná úprava úvodnej dávky (2,5</w:t>
      </w:r>
      <w:r w:rsidR="001C3DB2" w:rsidRPr="00EC5E95">
        <w:rPr>
          <w:noProof w:val="0"/>
          <w:lang w:val="sk-SK"/>
        </w:rPr>
        <w:t> </w:t>
      </w:r>
      <w:r w:rsidR="004124B1" w:rsidRPr="00EC5E95">
        <w:rPr>
          <w:noProof w:val="0"/>
          <w:lang w:val="sk-SK"/>
        </w:rPr>
        <w:t>mg/d</w:t>
      </w:r>
      <w:r w:rsidRPr="00EC5E95">
        <w:rPr>
          <w:noProof w:val="0"/>
          <w:lang w:val="sk-SK"/>
        </w:rPr>
        <w:t>eň); maximálna denná dávka je 5 </w:t>
      </w:r>
      <w:r w:rsidR="004124B1" w:rsidRPr="00EC5E95">
        <w:rPr>
          <w:noProof w:val="0"/>
          <w:lang w:val="sk-SK"/>
        </w:rPr>
        <w:t>mg;</w:t>
      </w:r>
    </w:p>
    <w:p w14:paraId="6C477CA5" w14:textId="1F2D1EC2" w:rsidR="0076116E" w:rsidRPr="00571DB3" w:rsidRDefault="008A3D18" w:rsidP="00A84884">
      <w:pPr>
        <w:pStyle w:val="Normlndoblokusodrkami"/>
        <w:rPr>
          <w:noProof w:val="0"/>
          <w:lang w:val="sk-SK"/>
        </w:rPr>
      </w:pPr>
      <w:r w:rsidRPr="00EC5E95">
        <w:rPr>
          <w:noProof w:val="0"/>
          <w:lang w:val="sk-SK"/>
        </w:rPr>
        <w:t xml:space="preserve">Ak je </w:t>
      </w:r>
      <w:proofErr w:type="spellStart"/>
      <w:r w:rsidRPr="00EC5E95">
        <w:rPr>
          <w:noProof w:val="0"/>
          <w:lang w:val="sk-SK"/>
        </w:rPr>
        <w:t>klírens</w:t>
      </w:r>
      <w:proofErr w:type="spellEnd"/>
      <w:r w:rsidRPr="00EC5E95">
        <w:rPr>
          <w:noProof w:val="0"/>
          <w:lang w:val="sk-SK"/>
        </w:rPr>
        <w:t xml:space="preserve"> </w:t>
      </w:r>
      <w:proofErr w:type="spellStart"/>
      <w:r w:rsidRPr="00EC5E95">
        <w:rPr>
          <w:noProof w:val="0"/>
          <w:lang w:val="sk-SK"/>
        </w:rPr>
        <w:t>kreatinínu</w:t>
      </w:r>
      <w:proofErr w:type="spellEnd"/>
      <w:r w:rsidRPr="00EC5E95">
        <w:rPr>
          <w:noProof w:val="0"/>
          <w:lang w:val="sk-SK"/>
        </w:rPr>
        <w:t xml:space="preserve"> v </w:t>
      </w:r>
      <w:r w:rsidR="004124B1" w:rsidRPr="00571DB3">
        <w:rPr>
          <w:noProof w:val="0"/>
          <w:lang w:val="sk-SK"/>
        </w:rPr>
        <w:t>rozmedzí 10</w:t>
      </w:r>
      <w:r w:rsidR="00EC5E95">
        <w:rPr>
          <w:noProof w:val="0"/>
          <w:lang w:val="sk-SK"/>
        </w:rPr>
        <w:t> </w:t>
      </w:r>
      <w:r w:rsidR="00583EA2" w:rsidRPr="00EC5E95">
        <w:rPr>
          <w:noProof w:val="0"/>
          <w:lang w:val="sk-SK"/>
        </w:rPr>
        <w:t>–</w:t>
      </w:r>
      <w:r w:rsidR="00EC5E95">
        <w:rPr>
          <w:noProof w:val="0"/>
          <w:lang w:val="sk-SK"/>
        </w:rPr>
        <w:t> </w:t>
      </w:r>
      <w:r w:rsidRPr="00EC5E95">
        <w:rPr>
          <w:noProof w:val="0"/>
          <w:lang w:val="sk-SK"/>
        </w:rPr>
        <w:t>30 ml/min, úvodná dávka je 1,25 mg/deň a maximálna denná dávka je 5 </w:t>
      </w:r>
      <w:r w:rsidR="004124B1" w:rsidRPr="00EC5E95">
        <w:rPr>
          <w:noProof w:val="0"/>
          <w:lang w:val="sk-SK"/>
        </w:rPr>
        <w:t>mg;</w:t>
      </w:r>
    </w:p>
    <w:p w14:paraId="0D85B01E" w14:textId="15E59956" w:rsidR="0076116E" w:rsidRPr="00EC5E95" w:rsidRDefault="008A3D18" w:rsidP="00A84884">
      <w:pPr>
        <w:pStyle w:val="Normlndoblokusodrkami"/>
        <w:rPr>
          <w:noProof w:val="0"/>
          <w:lang w:val="sk-SK"/>
        </w:rPr>
      </w:pPr>
      <w:r w:rsidRPr="00571DB3">
        <w:rPr>
          <w:noProof w:val="0"/>
          <w:lang w:val="sk-SK"/>
        </w:rPr>
        <w:t>U </w:t>
      </w:r>
      <w:proofErr w:type="spellStart"/>
      <w:r w:rsidRPr="00571DB3">
        <w:rPr>
          <w:noProof w:val="0"/>
          <w:lang w:val="sk-SK"/>
        </w:rPr>
        <w:t>hemodialyzovaných</w:t>
      </w:r>
      <w:proofErr w:type="spellEnd"/>
      <w:r w:rsidRPr="00571DB3">
        <w:rPr>
          <w:noProof w:val="0"/>
          <w:lang w:val="sk-SK"/>
        </w:rPr>
        <w:t xml:space="preserve"> pacientov s </w:t>
      </w:r>
      <w:r w:rsidR="004124B1" w:rsidRPr="00571DB3">
        <w:rPr>
          <w:noProof w:val="0"/>
          <w:lang w:val="sk-SK"/>
        </w:rPr>
        <w:t>hyperten</w:t>
      </w:r>
      <w:r w:rsidR="004124B1" w:rsidRPr="001E636D">
        <w:rPr>
          <w:noProof w:val="0"/>
          <w:lang w:val="sk-SK"/>
        </w:rPr>
        <w:t xml:space="preserve">ziou: </w:t>
      </w:r>
      <w:proofErr w:type="spellStart"/>
      <w:r w:rsidR="004124B1" w:rsidRPr="001E636D">
        <w:rPr>
          <w:noProof w:val="0"/>
          <w:lang w:val="sk-SK"/>
        </w:rPr>
        <w:t>ramipril</w:t>
      </w:r>
      <w:proofErr w:type="spellEnd"/>
      <w:r w:rsidR="004124B1" w:rsidRPr="001E636D">
        <w:rPr>
          <w:noProof w:val="0"/>
          <w:lang w:val="sk-SK"/>
        </w:rPr>
        <w:t xml:space="preserve"> je mierne </w:t>
      </w:r>
      <w:proofErr w:type="spellStart"/>
      <w:r w:rsidR="004124B1" w:rsidRPr="001E636D">
        <w:rPr>
          <w:noProof w:val="0"/>
          <w:lang w:val="sk-SK"/>
        </w:rPr>
        <w:t>dialyzovateľný</w:t>
      </w:r>
      <w:proofErr w:type="spellEnd"/>
      <w:r w:rsidR="004124B1" w:rsidRPr="001E636D">
        <w:rPr>
          <w:noProof w:val="0"/>
          <w:lang w:val="sk-SK"/>
        </w:rPr>
        <w:t>;</w:t>
      </w:r>
      <w:r w:rsidR="00E97674" w:rsidRPr="00C3029B">
        <w:rPr>
          <w:noProof w:val="0"/>
          <w:lang w:val="sk-SK"/>
        </w:rPr>
        <w:t xml:space="preserve"> </w:t>
      </w:r>
      <w:r w:rsidRPr="00C3029B">
        <w:rPr>
          <w:noProof w:val="0"/>
          <w:lang w:val="sk-SK"/>
        </w:rPr>
        <w:t>úvodná dávka je 1,25 </w:t>
      </w:r>
      <w:r w:rsidR="004124B1" w:rsidRPr="00EC5E95">
        <w:rPr>
          <w:noProof w:val="0"/>
          <w:lang w:val="sk-SK"/>
        </w:rPr>
        <w:t>mg/</w:t>
      </w:r>
      <w:r w:rsidRPr="00EC5E95">
        <w:rPr>
          <w:noProof w:val="0"/>
          <w:lang w:val="sk-SK"/>
        </w:rPr>
        <w:t>deň a maximálna denná dávka je 5 </w:t>
      </w:r>
      <w:r w:rsidR="004124B1" w:rsidRPr="00EC5E95">
        <w:rPr>
          <w:noProof w:val="0"/>
          <w:lang w:val="sk-SK"/>
        </w:rPr>
        <w:t>mg; liek sa má podať niekoľko hodín po uskutočnení dialýzy.</w:t>
      </w:r>
    </w:p>
    <w:p w14:paraId="5CC23135" w14:textId="243837DC" w:rsidR="0076116E" w:rsidRPr="00EC5E95" w:rsidRDefault="004124B1" w:rsidP="0087630B">
      <w:pPr>
        <w:pStyle w:val="Styl4"/>
      </w:pPr>
      <w:r w:rsidRPr="00EC5E95">
        <w:t>Pacienti s</w:t>
      </w:r>
      <w:r w:rsidR="00C2004C" w:rsidRPr="00EC5E95">
        <w:t xml:space="preserve"> poruchou funkcie </w:t>
      </w:r>
      <w:r w:rsidRPr="00EC5E95">
        <w:t>pečene (pozri časť 5.2)</w:t>
      </w:r>
    </w:p>
    <w:p w14:paraId="20E6B4F1" w14:textId="0002EE65" w:rsidR="0076116E" w:rsidRPr="00EC5E95" w:rsidRDefault="008A3D18" w:rsidP="00A84884">
      <w:pPr>
        <w:pStyle w:val="Normlndobloku"/>
        <w:rPr>
          <w:lang w:val="sk-SK"/>
        </w:rPr>
      </w:pPr>
      <w:r w:rsidRPr="00EC5E95">
        <w:rPr>
          <w:lang w:val="sk-SK"/>
        </w:rPr>
        <w:t>U </w:t>
      </w:r>
      <w:r w:rsidR="004124B1" w:rsidRPr="00EC5E95">
        <w:rPr>
          <w:lang w:val="sk-SK"/>
        </w:rPr>
        <w:t>pacientov s</w:t>
      </w:r>
      <w:r w:rsidR="00C2004C" w:rsidRPr="00EC5E95">
        <w:rPr>
          <w:lang w:val="sk-SK"/>
        </w:rPr>
        <w:t> poruchou funkcie</w:t>
      </w:r>
      <w:r w:rsidR="004124B1" w:rsidRPr="00EC5E95">
        <w:rPr>
          <w:lang w:val="sk-SK"/>
        </w:rPr>
        <w:t xml:space="preserve"> pečene sa musí liečba </w:t>
      </w:r>
      <w:r w:rsidR="00E2331B" w:rsidRPr="00EC5E95">
        <w:rPr>
          <w:lang w:val="sk-SK"/>
        </w:rPr>
        <w:t>liekom</w:t>
      </w:r>
      <w:r w:rsidRPr="00EC5E95">
        <w:rPr>
          <w:lang w:val="sk-SK"/>
        </w:rPr>
        <w:t xml:space="preserve"> </w:t>
      </w:r>
      <w:r w:rsidR="00EC5348" w:rsidRPr="00EC5E95">
        <w:rPr>
          <w:lang w:val="sk-SK"/>
        </w:rPr>
        <w:t>RAMIMED</w:t>
      </w:r>
      <w:r w:rsidR="004124B1" w:rsidRPr="00EC5E95">
        <w:rPr>
          <w:lang w:val="sk-SK"/>
        </w:rPr>
        <w:t xml:space="preserve"> začať iba pod dôsledným lekárskym dohľadom</w:t>
      </w:r>
      <w:r w:rsidRPr="00EC5E95">
        <w:rPr>
          <w:lang w:val="sk-SK"/>
        </w:rPr>
        <w:t xml:space="preserve"> a maximálna denná dávka je 2,5 </w:t>
      </w:r>
      <w:r w:rsidR="004124B1" w:rsidRPr="00EC5E95">
        <w:rPr>
          <w:lang w:val="sk-SK"/>
        </w:rPr>
        <w:t xml:space="preserve">mg </w:t>
      </w:r>
      <w:r w:rsidR="00E2331B" w:rsidRPr="00EC5E95">
        <w:rPr>
          <w:lang w:val="sk-SK"/>
        </w:rPr>
        <w:t>lieku</w:t>
      </w:r>
      <w:r w:rsidRPr="00EC5E95">
        <w:rPr>
          <w:lang w:val="sk-SK"/>
        </w:rPr>
        <w:t xml:space="preserve"> </w:t>
      </w:r>
      <w:r w:rsidR="00EC5348" w:rsidRPr="00EC5E95">
        <w:rPr>
          <w:lang w:val="sk-SK"/>
        </w:rPr>
        <w:t>RAMIMED</w:t>
      </w:r>
      <w:r w:rsidR="004124B1" w:rsidRPr="00EC5E95">
        <w:rPr>
          <w:lang w:val="sk-SK"/>
        </w:rPr>
        <w:t>.</w:t>
      </w:r>
    </w:p>
    <w:p w14:paraId="4DB8509A" w14:textId="77777777" w:rsidR="0076116E" w:rsidRPr="00456BE0" w:rsidRDefault="004124B1" w:rsidP="0087630B">
      <w:pPr>
        <w:pStyle w:val="Styl4"/>
        <w:rPr>
          <w:lang w:val="sk-SK"/>
        </w:rPr>
      </w:pPr>
      <w:r w:rsidRPr="00456BE0">
        <w:rPr>
          <w:lang w:val="sk-SK"/>
        </w:rPr>
        <w:lastRenderedPageBreak/>
        <w:t>Starší pacienti</w:t>
      </w:r>
    </w:p>
    <w:p w14:paraId="32F8EFA0" w14:textId="0727E69F" w:rsidR="0076116E" w:rsidRPr="00EC5E95" w:rsidRDefault="008A3D18" w:rsidP="00A84884">
      <w:pPr>
        <w:pStyle w:val="Normlndobloku"/>
        <w:rPr>
          <w:lang w:val="sk-SK"/>
        </w:rPr>
      </w:pPr>
      <w:r w:rsidRPr="00EC5E95">
        <w:rPr>
          <w:lang w:val="sk-SK"/>
        </w:rPr>
        <w:t>Úvodná dávka musí byť nízka a </w:t>
      </w:r>
      <w:r w:rsidR="004124B1" w:rsidRPr="00EC5E95">
        <w:rPr>
          <w:lang w:val="sk-SK"/>
        </w:rPr>
        <w:t>následná titrácia dávky musí byť pozvoľnejšia pre väčšiu pravdepodobnosť výskytu nežiaducich účinkov</w:t>
      </w:r>
      <w:r w:rsidR="005059C4" w:rsidRPr="00EC5E95">
        <w:rPr>
          <w:lang w:val="sk-SK"/>
        </w:rPr>
        <w:t>,</w:t>
      </w:r>
      <w:r w:rsidRPr="00EC5E95">
        <w:rPr>
          <w:lang w:val="sk-SK"/>
        </w:rPr>
        <w:t xml:space="preserve"> a to najmä u </w:t>
      </w:r>
      <w:r w:rsidR="004124B1" w:rsidRPr="00EC5E95">
        <w:rPr>
          <w:lang w:val="sk-SK"/>
        </w:rPr>
        <w:t>veľmi</w:t>
      </w:r>
      <w:r w:rsidRPr="00EC5E95">
        <w:rPr>
          <w:lang w:val="sk-SK"/>
        </w:rPr>
        <w:t xml:space="preserve"> starých a </w:t>
      </w:r>
      <w:r w:rsidR="004124B1" w:rsidRPr="00EC5E95">
        <w:rPr>
          <w:lang w:val="sk-SK"/>
        </w:rPr>
        <w:t>telesne slabých pacientov. Je potrebné z</w:t>
      </w:r>
      <w:r w:rsidRPr="00EC5E95">
        <w:rPr>
          <w:lang w:val="sk-SK"/>
        </w:rPr>
        <w:t>vážiť zníženú úvodnú dávku 1,25 </w:t>
      </w:r>
      <w:r w:rsidR="004124B1" w:rsidRPr="00EC5E95">
        <w:rPr>
          <w:lang w:val="sk-SK"/>
        </w:rPr>
        <w:t xml:space="preserve">mg </w:t>
      </w:r>
      <w:proofErr w:type="spellStart"/>
      <w:r w:rsidR="004124B1" w:rsidRPr="00EC5E95">
        <w:rPr>
          <w:lang w:val="sk-SK"/>
        </w:rPr>
        <w:t>ramiprilu</w:t>
      </w:r>
      <w:proofErr w:type="spellEnd"/>
      <w:r w:rsidR="004124B1" w:rsidRPr="00EC5E95">
        <w:rPr>
          <w:lang w:val="sk-SK"/>
        </w:rPr>
        <w:t>.</w:t>
      </w:r>
    </w:p>
    <w:p w14:paraId="130D9223" w14:textId="77777777" w:rsidR="0076116E" w:rsidRPr="00C404A3" w:rsidRDefault="00E97674" w:rsidP="00456BE0">
      <w:pPr>
        <w:pStyle w:val="Styl4"/>
        <w:rPr>
          <w:lang w:val="sk-SK"/>
        </w:rPr>
      </w:pPr>
      <w:r w:rsidRPr="00C404A3">
        <w:rPr>
          <w:lang w:val="sk-SK"/>
        </w:rPr>
        <w:t>Pediatrick</w:t>
      </w:r>
      <w:r w:rsidR="00B83332" w:rsidRPr="00C404A3">
        <w:rPr>
          <w:lang w:val="sk-SK"/>
        </w:rPr>
        <w:t>á populácia</w:t>
      </w:r>
    </w:p>
    <w:p w14:paraId="0AAC075C" w14:textId="77777777" w:rsidR="00E2331B" w:rsidRPr="00EC5E95" w:rsidRDefault="00E2331B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Bezpečnosť a účinnosť </w:t>
      </w:r>
      <w:proofErr w:type="spellStart"/>
      <w:r w:rsidRPr="00EC5E95">
        <w:rPr>
          <w:lang w:val="sk-SK"/>
        </w:rPr>
        <w:t>ramiprilu</w:t>
      </w:r>
      <w:proofErr w:type="spellEnd"/>
      <w:r w:rsidRPr="00EC5E95">
        <w:rPr>
          <w:lang w:val="sk-SK"/>
        </w:rPr>
        <w:t xml:space="preserve"> u detí nebola doteraz stanovená.</w:t>
      </w:r>
    </w:p>
    <w:p w14:paraId="04A30235" w14:textId="77777777" w:rsidR="00E2331B" w:rsidRPr="00EC5E95" w:rsidRDefault="00E2331B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V súčasnosti dostupné údaje pre </w:t>
      </w:r>
      <w:proofErr w:type="spellStart"/>
      <w:r w:rsidRPr="00EC5E95">
        <w:rPr>
          <w:lang w:val="sk-SK"/>
        </w:rPr>
        <w:t>ramipril</w:t>
      </w:r>
      <w:proofErr w:type="spellEnd"/>
      <w:r w:rsidRPr="00EC5E95">
        <w:rPr>
          <w:lang w:val="sk-SK"/>
        </w:rPr>
        <w:t xml:space="preserve"> sú opísané v častiach 4.8, 5.1, 5.2 a 5.3, ale neumožňujú uviesť odporúčania na dávkovanie.</w:t>
      </w:r>
    </w:p>
    <w:p w14:paraId="7C985E0D" w14:textId="77777777" w:rsidR="00056924" w:rsidRPr="00EC5E95" w:rsidRDefault="00056924" w:rsidP="00F546C5">
      <w:pPr>
        <w:pStyle w:val="Styl2-2"/>
        <w:rPr>
          <w:lang w:val="sk-SK"/>
        </w:rPr>
      </w:pPr>
      <w:r w:rsidRPr="00EC5E95">
        <w:rPr>
          <w:lang w:val="sk-SK"/>
        </w:rPr>
        <w:t>Spôsob podávania</w:t>
      </w:r>
    </w:p>
    <w:p w14:paraId="7C5D1EC4" w14:textId="77777777" w:rsidR="00056924" w:rsidRPr="00EC5E95" w:rsidRDefault="00056924" w:rsidP="00056924">
      <w:pPr>
        <w:pStyle w:val="Normlndobloku"/>
        <w:rPr>
          <w:lang w:val="sk-SK"/>
        </w:rPr>
      </w:pPr>
      <w:r w:rsidRPr="00EC5E95">
        <w:rPr>
          <w:lang w:val="sk-SK"/>
        </w:rPr>
        <w:t>Perorálne použitie.</w:t>
      </w:r>
    </w:p>
    <w:p w14:paraId="1B7243C2" w14:textId="77777777" w:rsidR="00056924" w:rsidRPr="00EC5E95" w:rsidRDefault="00056924" w:rsidP="00056924">
      <w:pPr>
        <w:pStyle w:val="Normlndobloku"/>
        <w:rPr>
          <w:lang w:val="sk-SK"/>
        </w:rPr>
      </w:pPr>
      <w:r w:rsidRPr="00EC5E95">
        <w:rPr>
          <w:lang w:val="sk-SK"/>
        </w:rPr>
        <w:t xml:space="preserve">Odporúča sa, aby sa RAMIMED </w:t>
      </w:r>
      <w:r w:rsidR="008A3D18" w:rsidRPr="00EC5E95">
        <w:rPr>
          <w:lang w:val="sk-SK"/>
        </w:rPr>
        <w:t>užíval každý deň v </w:t>
      </w:r>
      <w:r w:rsidRPr="00EC5E95">
        <w:rPr>
          <w:lang w:val="sk-SK"/>
        </w:rPr>
        <w:t>rovnakom čase.</w:t>
      </w:r>
    </w:p>
    <w:p w14:paraId="099E3B60" w14:textId="77777777" w:rsidR="00056924" w:rsidRPr="00EC5E95" w:rsidRDefault="00056924" w:rsidP="00056924">
      <w:pPr>
        <w:pStyle w:val="Normlndobloku"/>
        <w:rPr>
          <w:lang w:val="sk-SK"/>
        </w:rPr>
      </w:pPr>
      <w:r w:rsidRPr="00EC5E95">
        <w:rPr>
          <w:lang w:val="sk-SK"/>
        </w:rPr>
        <w:t>RAMIMED možno užívať pred jedlom, pri jedle alebo po jedle, pretože príjem potravy neovplyvňuje jeho biologickú dostupnosť (pozri časť 5.2).</w:t>
      </w:r>
    </w:p>
    <w:p w14:paraId="165899CF" w14:textId="44DC1754" w:rsidR="00056924" w:rsidRPr="00EC5E95" w:rsidRDefault="008A3D18" w:rsidP="00A84884">
      <w:pPr>
        <w:pStyle w:val="Normlndobloku"/>
        <w:rPr>
          <w:lang w:val="sk-SK"/>
        </w:rPr>
      </w:pPr>
      <w:r w:rsidRPr="00EC5E95">
        <w:rPr>
          <w:lang w:val="sk-SK"/>
        </w:rPr>
        <w:t>RAMIMED sa musí prehltnúť s</w:t>
      </w:r>
      <w:r w:rsidRPr="00EC5E95">
        <w:rPr>
          <w:lang w:val="sk-SK"/>
        </w:rPr>
        <w:t> </w:t>
      </w:r>
      <w:r w:rsidR="00056924" w:rsidRPr="00EC5E95">
        <w:rPr>
          <w:lang w:val="sk-SK"/>
        </w:rPr>
        <w:t xml:space="preserve">tekutinou. </w:t>
      </w:r>
      <w:r w:rsidR="00056924" w:rsidRPr="00EC5E95">
        <w:rPr>
          <w:lang w:val="sk-SK"/>
        </w:rPr>
        <w:t>Nesmie sa žuvať ani drviť.</w:t>
      </w:r>
    </w:p>
    <w:p w14:paraId="60115C0F" w14:textId="77777777" w:rsidR="0076116E" w:rsidRPr="00EC5E95" w:rsidRDefault="004124B1" w:rsidP="00015569">
      <w:pPr>
        <w:pStyle w:val="Styl2"/>
        <w:rPr>
          <w:noProof w:val="0"/>
          <w:lang w:val="sk-SK"/>
        </w:rPr>
      </w:pPr>
      <w:r w:rsidRPr="00EC5E95">
        <w:rPr>
          <w:noProof w:val="0"/>
          <w:lang w:val="sk-SK"/>
        </w:rPr>
        <w:t>Kontraindikácie</w:t>
      </w:r>
    </w:p>
    <w:p w14:paraId="15059EB1" w14:textId="3CD90588" w:rsidR="0076116E" w:rsidRPr="00EC5E95" w:rsidRDefault="00B83332" w:rsidP="00A84884">
      <w:pPr>
        <w:pStyle w:val="Normlndoblokusodrkami"/>
        <w:rPr>
          <w:noProof w:val="0"/>
          <w:lang w:val="sk-SK"/>
        </w:rPr>
      </w:pPr>
      <w:r w:rsidRPr="00EC5E95">
        <w:rPr>
          <w:noProof w:val="0"/>
          <w:lang w:val="sk-SK"/>
        </w:rPr>
        <w:t xml:space="preserve">Precitlivenosť </w:t>
      </w:r>
      <w:r w:rsidR="004124B1" w:rsidRPr="00EC5E95">
        <w:rPr>
          <w:noProof w:val="0"/>
          <w:lang w:val="sk-SK"/>
        </w:rPr>
        <w:t xml:space="preserve">na liečivo, na ktorúkoľvek </w:t>
      </w:r>
      <w:r w:rsidR="00E46459" w:rsidRPr="00EC5E95">
        <w:rPr>
          <w:noProof w:val="0"/>
          <w:lang w:val="sk-SK"/>
        </w:rPr>
        <w:t>z </w:t>
      </w:r>
      <w:r w:rsidR="004124B1" w:rsidRPr="00EC5E95">
        <w:rPr>
          <w:noProof w:val="0"/>
          <w:lang w:val="sk-SK"/>
        </w:rPr>
        <w:t>pomocn</w:t>
      </w:r>
      <w:r w:rsidR="00E46459" w:rsidRPr="00EC5E95">
        <w:rPr>
          <w:noProof w:val="0"/>
          <w:lang w:val="sk-SK"/>
        </w:rPr>
        <w:t>ých</w:t>
      </w:r>
      <w:r w:rsidR="004124B1" w:rsidRPr="00EC5E95">
        <w:rPr>
          <w:noProof w:val="0"/>
          <w:lang w:val="sk-SK"/>
        </w:rPr>
        <w:t xml:space="preserve"> lát</w:t>
      </w:r>
      <w:r w:rsidR="00E46459" w:rsidRPr="00EC5E95">
        <w:rPr>
          <w:noProof w:val="0"/>
          <w:lang w:val="sk-SK"/>
        </w:rPr>
        <w:t>ok</w:t>
      </w:r>
      <w:r w:rsidR="004124B1" w:rsidRPr="00EC5E95">
        <w:rPr>
          <w:noProof w:val="0"/>
          <w:lang w:val="sk-SK"/>
        </w:rPr>
        <w:t xml:space="preserve"> alebo na ktorýkoľvek iný ACE (enzým konvertujúci </w:t>
      </w:r>
      <w:proofErr w:type="spellStart"/>
      <w:r w:rsidR="004124B1" w:rsidRPr="00EC5E95">
        <w:rPr>
          <w:noProof w:val="0"/>
          <w:lang w:val="sk-SK"/>
        </w:rPr>
        <w:t>angiotenzín</w:t>
      </w:r>
      <w:proofErr w:type="spellEnd"/>
      <w:r w:rsidR="004124B1" w:rsidRPr="00EC5E95">
        <w:rPr>
          <w:noProof w:val="0"/>
          <w:lang w:val="sk-SK"/>
        </w:rPr>
        <w:t xml:space="preserve">) inhibítor </w:t>
      </w:r>
      <w:r w:rsidR="00E564A2" w:rsidRPr="00EC5E95">
        <w:rPr>
          <w:noProof w:val="0"/>
          <w:lang w:val="sk-SK"/>
        </w:rPr>
        <w:t xml:space="preserve">uvedený v časti </w:t>
      </w:r>
      <w:r w:rsidR="004124B1" w:rsidRPr="00EC5E95">
        <w:rPr>
          <w:noProof w:val="0"/>
          <w:lang w:val="sk-SK"/>
        </w:rPr>
        <w:t>6.1</w:t>
      </w:r>
    </w:p>
    <w:p w14:paraId="13A5ADB7" w14:textId="6CB5F889" w:rsidR="0076116E" w:rsidRPr="00EC5E95" w:rsidRDefault="008A3D18" w:rsidP="00A84884">
      <w:pPr>
        <w:pStyle w:val="Normlndoblokusodrkami"/>
        <w:rPr>
          <w:noProof w:val="0"/>
          <w:lang w:val="sk-SK"/>
        </w:rPr>
      </w:pPr>
      <w:proofErr w:type="spellStart"/>
      <w:r w:rsidRPr="00EC5E95">
        <w:rPr>
          <w:noProof w:val="0"/>
          <w:lang w:val="sk-SK"/>
        </w:rPr>
        <w:t>Angioedém</w:t>
      </w:r>
      <w:proofErr w:type="spellEnd"/>
      <w:r w:rsidRPr="00EC5E95">
        <w:rPr>
          <w:noProof w:val="0"/>
          <w:lang w:val="sk-SK"/>
        </w:rPr>
        <w:t xml:space="preserve"> v </w:t>
      </w:r>
      <w:r w:rsidR="004124B1" w:rsidRPr="00EC5E95">
        <w:rPr>
          <w:noProof w:val="0"/>
          <w:lang w:val="sk-SK"/>
        </w:rPr>
        <w:t xml:space="preserve">anamnéze (hereditárny, </w:t>
      </w:r>
      <w:proofErr w:type="spellStart"/>
      <w:r w:rsidR="004124B1" w:rsidRPr="00EC5E95">
        <w:rPr>
          <w:noProof w:val="0"/>
          <w:lang w:val="sk-SK"/>
        </w:rPr>
        <w:t>idiopatický</w:t>
      </w:r>
      <w:proofErr w:type="spellEnd"/>
      <w:r w:rsidR="004124B1" w:rsidRPr="00EC5E95">
        <w:rPr>
          <w:noProof w:val="0"/>
          <w:lang w:val="sk-SK"/>
        </w:rPr>
        <w:t xml:space="preserve"> alebo </w:t>
      </w:r>
      <w:proofErr w:type="spellStart"/>
      <w:r w:rsidR="004124B1" w:rsidRPr="00EC5E95">
        <w:rPr>
          <w:noProof w:val="0"/>
          <w:lang w:val="sk-SK"/>
        </w:rPr>
        <w:t>angioedém</w:t>
      </w:r>
      <w:proofErr w:type="spellEnd"/>
      <w:r w:rsidR="004124B1" w:rsidRPr="00EC5E95">
        <w:rPr>
          <w:noProof w:val="0"/>
          <w:lang w:val="sk-SK"/>
        </w:rPr>
        <w:t xml:space="preserve"> pri predošlom užití ACE inhibítora alebo antagonistov receptoru </w:t>
      </w:r>
      <w:proofErr w:type="spellStart"/>
      <w:r w:rsidR="004124B1" w:rsidRPr="00EC5E95">
        <w:rPr>
          <w:noProof w:val="0"/>
          <w:lang w:val="sk-SK"/>
        </w:rPr>
        <w:t>angiotenzínu</w:t>
      </w:r>
      <w:proofErr w:type="spellEnd"/>
      <w:r w:rsidR="004124B1" w:rsidRPr="00EC5E95">
        <w:rPr>
          <w:noProof w:val="0"/>
          <w:lang w:val="sk-SK"/>
        </w:rPr>
        <w:t xml:space="preserve"> II (AIIRA)</w:t>
      </w:r>
    </w:p>
    <w:p w14:paraId="56060EE9" w14:textId="1C0CA093" w:rsidR="0076116E" w:rsidRPr="00EC5E95" w:rsidRDefault="004124B1" w:rsidP="00A84884">
      <w:pPr>
        <w:pStyle w:val="Normlndoblokusodrkami"/>
        <w:rPr>
          <w:noProof w:val="0"/>
          <w:lang w:val="sk-SK"/>
        </w:rPr>
      </w:pPr>
      <w:proofErr w:type="spellStart"/>
      <w:r w:rsidRPr="00EC5E95">
        <w:rPr>
          <w:noProof w:val="0"/>
          <w:lang w:val="sk-SK"/>
        </w:rPr>
        <w:t>Extrakorporálna</w:t>
      </w:r>
      <w:proofErr w:type="spellEnd"/>
      <w:r w:rsidRPr="00EC5E95">
        <w:rPr>
          <w:noProof w:val="0"/>
          <w:lang w:val="sk-SK"/>
        </w:rPr>
        <w:t xml:space="preserve"> l</w:t>
      </w:r>
      <w:r w:rsidR="008A3D18" w:rsidRPr="00EC5E95">
        <w:rPr>
          <w:noProof w:val="0"/>
          <w:lang w:val="sk-SK"/>
        </w:rPr>
        <w:t>iečba umožňujúca kontakt krvi s </w:t>
      </w:r>
      <w:r w:rsidRPr="00EC5E95">
        <w:rPr>
          <w:noProof w:val="0"/>
          <w:lang w:val="sk-SK"/>
        </w:rPr>
        <w:t>negatívne nabitým povrchom (pozri časť 4.5)</w:t>
      </w:r>
    </w:p>
    <w:p w14:paraId="4176DAC9" w14:textId="2B78E42C" w:rsidR="0076116E" w:rsidRPr="00EC5E95" w:rsidRDefault="004124B1" w:rsidP="00A84884">
      <w:pPr>
        <w:pStyle w:val="Normlndoblokusodrkami"/>
        <w:rPr>
          <w:noProof w:val="0"/>
          <w:lang w:val="sk-SK"/>
        </w:rPr>
      </w:pPr>
      <w:r w:rsidRPr="00EC5E95">
        <w:rPr>
          <w:noProof w:val="0"/>
          <w:lang w:val="sk-SK"/>
        </w:rPr>
        <w:t xml:space="preserve">Významná bilaterálna </w:t>
      </w:r>
      <w:proofErr w:type="spellStart"/>
      <w:r w:rsidRPr="00EC5E95">
        <w:rPr>
          <w:noProof w:val="0"/>
          <w:lang w:val="sk-SK"/>
        </w:rPr>
        <w:t>renálna</w:t>
      </w:r>
      <w:proofErr w:type="spellEnd"/>
      <w:r w:rsidRPr="00EC5E95">
        <w:rPr>
          <w:noProof w:val="0"/>
          <w:lang w:val="sk-SK"/>
        </w:rPr>
        <w:t xml:space="preserve"> </w:t>
      </w:r>
      <w:proofErr w:type="spellStart"/>
      <w:r w:rsidRPr="00EC5E95">
        <w:rPr>
          <w:noProof w:val="0"/>
          <w:lang w:val="sk-SK"/>
        </w:rPr>
        <w:t>arteriálna</w:t>
      </w:r>
      <w:proofErr w:type="spellEnd"/>
      <w:r w:rsidRPr="00EC5E95">
        <w:rPr>
          <w:noProof w:val="0"/>
          <w:lang w:val="sk-SK"/>
        </w:rPr>
        <w:t xml:space="preserve"> </w:t>
      </w:r>
      <w:proofErr w:type="spellStart"/>
      <w:r w:rsidRPr="00EC5E95">
        <w:rPr>
          <w:noProof w:val="0"/>
          <w:lang w:val="sk-SK"/>
        </w:rPr>
        <w:t>stenóza</w:t>
      </w:r>
      <w:proofErr w:type="spellEnd"/>
      <w:r w:rsidRPr="00EC5E95">
        <w:rPr>
          <w:noProof w:val="0"/>
          <w:lang w:val="sk-SK"/>
        </w:rPr>
        <w:t xml:space="preserve"> ale</w:t>
      </w:r>
      <w:r w:rsidR="008A3D18" w:rsidRPr="00EC5E95">
        <w:rPr>
          <w:noProof w:val="0"/>
          <w:lang w:val="sk-SK"/>
        </w:rPr>
        <w:t xml:space="preserve">bo </w:t>
      </w:r>
      <w:proofErr w:type="spellStart"/>
      <w:r w:rsidR="008A3D18" w:rsidRPr="00EC5E95">
        <w:rPr>
          <w:noProof w:val="0"/>
          <w:lang w:val="sk-SK"/>
        </w:rPr>
        <w:t>renálna</w:t>
      </w:r>
      <w:proofErr w:type="spellEnd"/>
      <w:r w:rsidR="008A3D18" w:rsidRPr="00EC5E95">
        <w:rPr>
          <w:noProof w:val="0"/>
          <w:lang w:val="sk-SK"/>
        </w:rPr>
        <w:t xml:space="preserve"> </w:t>
      </w:r>
      <w:proofErr w:type="spellStart"/>
      <w:r w:rsidR="008A3D18" w:rsidRPr="00EC5E95">
        <w:rPr>
          <w:noProof w:val="0"/>
          <w:lang w:val="sk-SK"/>
        </w:rPr>
        <w:t>arteriálna</w:t>
      </w:r>
      <w:proofErr w:type="spellEnd"/>
      <w:r w:rsidR="008A3D18" w:rsidRPr="00EC5E95">
        <w:rPr>
          <w:noProof w:val="0"/>
          <w:lang w:val="sk-SK"/>
        </w:rPr>
        <w:t xml:space="preserve"> </w:t>
      </w:r>
      <w:proofErr w:type="spellStart"/>
      <w:r w:rsidR="008A3D18" w:rsidRPr="00EC5E95">
        <w:rPr>
          <w:noProof w:val="0"/>
          <w:lang w:val="sk-SK"/>
        </w:rPr>
        <w:t>stenóza</w:t>
      </w:r>
      <w:proofErr w:type="spellEnd"/>
      <w:r w:rsidR="008A3D18" w:rsidRPr="00EC5E95">
        <w:rPr>
          <w:noProof w:val="0"/>
          <w:lang w:val="sk-SK"/>
        </w:rPr>
        <w:t xml:space="preserve"> v </w:t>
      </w:r>
      <w:r w:rsidRPr="00EC5E95">
        <w:rPr>
          <w:noProof w:val="0"/>
          <w:lang w:val="sk-SK"/>
        </w:rPr>
        <w:t>jedinej funkčnej obličke</w:t>
      </w:r>
    </w:p>
    <w:p w14:paraId="07B41835" w14:textId="4E4ACEFA" w:rsidR="0076116E" w:rsidRPr="00EC5E95" w:rsidRDefault="008A3D18" w:rsidP="00A84884">
      <w:pPr>
        <w:pStyle w:val="Normlndoblokusodrkami"/>
        <w:rPr>
          <w:noProof w:val="0"/>
          <w:lang w:val="sk-SK"/>
        </w:rPr>
      </w:pPr>
      <w:r w:rsidRPr="00EC5E95">
        <w:rPr>
          <w:noProof w:val="0"/>
          <w:lang w:val="sk-SK"/>
        </w:rPr>
        <w:t>Druhý a </w:t>
      </w:r>
      <w:r w:rsidR="004124B1" w:rsidRPr="00EC5E95">
        <w:rPr>
          <w:noProof w:val="0"/>
          <w:lang w:val="sk-SK"/>
        </w:rPr>
        <w:t xml:space="preserve">tretí </w:t>
      </w:r>
      <w:proofErr w:type="spellStart"/>
      <w:r w:rsidR="004124B1" w:rsidRPr="00EC5E95">
        <w:rPr>
          <w:noProof w:val="0"/>
          <w:lang w:val="sk-SK"/>
        </w:rPr>
        <w:t>trimester</w:t>
      </w:r>
      <w:proofErr w:type="spellEnd"/>
      <w:r w:rsidR="004124B1" w:rsidRPr="00EC5E95">
        <w:rPr>
          <w:noProof w:val="0"/>
          <w:lang w:val="sk-SK"/>
        </w:rPr>
        <w:t xml:space="preserve"> gravidity (pozri časti 4.4 a</w:t>
      </w:r>
      <w:r w:rsidRPr="00EC5E95">
        <w:rPr>
          <w:noProof w:val="0"/>
          <w:lang w:val="sk-SK"/>
        </w:rPr>
        <w:t> </w:t>
      </w:r>
      <w:r w:rsidR="004124B1" w:rsidRPr="00EC5E95">
        <w:rPr>
          <w:noProof w:val="0"/>
          <w:lang w:val="sk-SK"/>
        </w:rPr>
        <w:t>4.6)</w:t>
      </w:r>
    </w:p>
    <w:p w14:paraId="23114BCC" w14:textId="3D694B5F" w:rsidR="0076116E" w:rsidRPr="00EC5E95" w:rsidRDefault="008A3D18" w:rsidP="00A84884">
      <w:pPr>
        <w:pStyle w:val="Normlndoblokusodrkami"/>
        <w:rPr>
          <w:noProof w:val="0"/>
          <w:lang w:val="sk-SK"/>
        </w:rPr>
      </w:pPr>
      <w:proofErr w:type="spellStart"/>
      <w:r w:rsidRPr="00EC5E95">
        <w:rPr>
          <w:noProof w:val="0"/>
          <w:lang w:val="sk-SK"/>
        </w:rPr>
        <w:t>Ramipril</w:t>
      </w:r>
      <w:proofErr w:type="spellEnd"/>
      <w:r w:rsidRPr="00EC5E95">
        <w:rPr>
          <w:noProof w:val="0"/>
          <w:lang w:val="sk-SK"/>
        </w:rPr>
        <w:t xml:space="preserve"> sa nesmie používať u pacientov s hypotenziou alebo v </w:t>
      </w:r>
      <w:proofErr w:type="spellStart"/>
      <w:r w:rsidR="004124B1" w:rsidRPr="00EC5E95">
        <w:rPr>
          <w:noProof w:val="0"/>
          <w:lang w:val="sk-SK"/>
        </w:rPr>
        <w:t>hemodynamicky</w:t>
      </w:r>
      <w:proofErr w:type="spellEnd"/>
      <w:r w:rsidR="004124B1" w:rsidRPr="00EC5E95">
        <w:rPr>
          <w:noProof w:val="0"/>
          <w:lang w:val="sk-SK"/>
        </w:rPr>
        <w:t xml:space="preserve"> nestabilnom stave</w:t>
      </w:r>
    </w:p>
    <w:p w14:paraId="6995A0D5" w14:textId="77777777" w:rsidR="00EE5347" w:rsidRPr="00EC5E95" w:rsidRDefault="00EE5347" w:rsidP="008227C2">
      <w:pPr>
        <w:pStyle w:val="Normlndoblokusodrkami"/>
        <w:rPr>
          <w:noProof w:val="0"/>
          <w:lang w:val="sk-SK"/>
        </w:rPr>
      </w:pPr>
      <w:r w:rsidRPr="00EC5E95">
        <w:rPr>
          <w:noProof w:val="0"/>
          <w:lang w:val="sk-SK"/>
        </w:rPr>
        <w:t>Súbežné používanie lieku RAMIMED</w:t>
      </w:r>
      <w:r w:rsidR="008A3D18" w:rsidRPr="00EC5E95">
        <w:rPr>
          <w:noProof w:val="0"/>
          <w:lang w:val="sk-SK"/>
        </w:rPr>
        <w:t xml:space="preserve"> s </w:t>
      </w:r>
      <w:r w:rsidRPr="00EC5E95">
        <w:rPr>
          <w:noProof w:val="0"/>
          <w:lang w:val="sk-SK"/>
        </w:rPr>
        <w:t xml:space="preserve">liekmi obsahujúcimi </w:t>
      </w:r>
      <w:proofErr w:type="spellStart"/>
      <w:r w:rsidRPr="00EC5E95">
        <w:rPr>
          <w:noProof w:val="0"/>
          <w:lang w:val="sk-SK"/>
        </w:rPr>
        <w:t>aliskiren</w:t>
      </w:r>
      <w:proofErr w:type="spellEnd"/>
      <w:r w:rsidRPr="00EC5E95">
        <w:rPr>
          <w:noProof w:val="0"/>
          <w:lang w:val="sk-SK"/>
        </w:rPr>
        <w:t xml:space="preserve"> je kontraindikované u</w:t>
      </w:r>
      <w:r w:rsidR="001C3DB2" w:rsidRPr="00EC5E95">
        <w:rPr>
          <w:noProof w:val="0"/>
          <w:lang w:val="sk-SK"/>
        </w:rPr>
        <w:t> </w:t>
      </w:r>
      <w:r w:rsidR="008A3D18" w:rsidRPr="00EC5E95">
        <w:rPr>
          <w:noProof w:val="0"/>
          <w:lang w:val="sk-SK"/>
        </w:rPr>
        <w:t>pacientov s </w:t>
      </w:r>
      <w:r w:rsidRPr="00EC5E95">
        <w:rPr>
          <w:noProof w:val="0"/>
          <w:lang w:val="sk-SK"/>
        </w:rPr>
        <w:t xml:space="preserve">diabetes </w:t>
      </w:r>
      <w:proofErr w:type="spellStart"/>
      <w:r w:rsidRPr="00EC5E95">
        <w:rPr>
          <w:noProof w:val="0"/>
          <w:lang w:val="sk-SK"/>
        </w:rPr>
        <w:t>mellitus</w:t>
      </w:r>
      <w:proofErr w:type="spellEnd"/>
      <w:r w:rsidRPr="00EC5E95">
        <w:rPr>
          <w:noProof w:val="0"/>
          <w:lang w:val="sk-SK"/>
        </w:rPr>
        <w:t xml:space="preserve"> alebo poru</w:t>
      </w:r>
      <w:r w:rsidR="008A3D18" w:rsidRPr="00EC5E95">
        <w:rPr>
          <w:noProof w:val="0"/>
          <w:lang w:val="sk-SK"/>
        </w:rPr>
        <w:t>chou funkcie obličiek (GFR &lt; 60 ml/min/1,73 </w:t>
      </w:r>
      <w:r w:rsidRPr="00EC5E95">
        <w:rPr>
          <w:noProof w:val="0"/>
          <w:lang w:val="sk-SK"/>
        </w:rPr>
        <w:t>m</w:t>
      </w:r>
      <w:r w:rsidRPr="00EC5E95">
        <w:rPr>
          <w:noProof w:val="0"/>
          <w:vertAlign w:val="superscript"/>
          <w:lang w:val="sk-SK"/>
        </w:rPr>
        <w:t>2</w:t>
      </w:r>
      <w:r w:rsidR="008A3D18" w:rsidRPr="00EC5E95">
        <w:rPr>
          <w:noProof w:val="0"/>
          <w:lang w:val="sk-SK"/>
        </w:rPr>
        <w:t>) (pozri časti 4.5 a </w:t>
      </w:r>
      <w:r w:rsidRPr="00EC5E95">
        <w:rPr>
          <w:noProof w:val="0"/>
          <w:lang w:val="sk-SK"/>
        </w:rPr>
        <w:t>5.1).</w:t>
      </w:r>
    </w:p>
    <w:p w14:paraId="2C47EF69" w14:textId="0B7D5355" w:rsidR="0076116E" w:rsidRPr="00EC5E95" w:rsidRDefault="008A3D18" w:rsidP="00015569">
      <w:pPr>
        <w:pStyle w:val="Styl2"/>
        <w:rPr>
          <w:noProof w:val="0"/>
          <w:lang w:val="sk-SK"/>
        </w:rPr>
      </w:pPr>
      <w:r w:rsidRPr="00EC5E95">
        <w:rPr>
          <w:noProof w:val="0"/>
          <w:lang w:val="sk-SK"/>
        </w:rPr>
        <w:t>Osobitné upozornenia a </w:t>
      </w:r>
      <w:r w:rsidR="004124B1" w:rsidRPr="00EC5E95">
        <w:rPr>
          <w:noProof w:val="0"/>
          <w:lang w:val="sk-SK"/>
        </w:rPr>
        <w:t>opatrenia pri používaní</w:t>
      </w:r>
    </w:p>
    <w:p w14:paraId="5EB8556D" w14:textId="61F292DB" w:rsidR="0076116E" w:rsidRPr="006B2B62" w:rsidRDefault="00E46459" w:rsidP="0087630B">
      <w:pPr>
        <w:pStyle w:val="Styl3"/>
        <w:rPr>
          <w:lang w:val="sk-SK"/>
        </w:rPr>
      </w:pPr>
      <w:r w:rsidRPr="006B2B62">
        <w:rPr>
          <w:lang w:val="sk-SK"/>
        </w:rPr>
        <w:t>Osobitné</w:t>
      </w:r>
      <w:r w:rsidR="004124B1" w:rsidRPr="006B2B62">
        <w:rPr>
          <w:lang w:val="sk-SK"/>
        </w:rPr>
        <w:t xml:space="preserve"> skupiny pacientov</w:t>
      </w:r>
    </w:p>
    <w:p w14:paraId="60B21EF9" w14:textId="34FB39DE" w:rsidR="00870E11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Gravidita: počas gravidity sa nesmie začať liečba ACE inhibítormi ako napríklad </w:t>
      </w:r>
      <w:proofErr w:type="spellStart"/>
      <w:r w:rsidRPr="00EC5E95">
        <w:rPr>
          <w:lang w:val="sk-SK"/>
        </w:rPr>
        <w:t>ramipril</w:t>
      </w:r>
      <w:proofErr w:type="spellEnd"/>
      <w:r w:rsidRPr="00EC5E95">
        <w:rPr>
          <w:lang w:val="sk-SK"/>
        </w:rPr>
        <w:t xml:space="preserve"> alebo antagonistami receptoru </w:t>
      </w:r>
      <w:proofErr w:type="spellStart"/>
      <w:r w:rsidRPr="00EC5E95">
        <w:rPr>
          <w:lang w:val="sk-SK"/>
        </w:rPr>
        <w:t>angiotenzínu</w:t>
      </w:r>
      <w:proofErr w:type="spellEnd"/>
      <w:r w:rsidRPr="00EC5E95">
        <w:rPr>
          <w:lang w:val="sk-SK"/>
        </w:rPr>
        <w:t xml:space="preserve"> II (AIIRA). Ak sa pokračovanie liečby ACE inhibítormi/antagonistami AIIR nepovažuje vyslovene za nevyhnutné, musí sa liečba pacientok plánujúcich graviditu</w:t>
      </w:r>
      <w:r w:rsidR="00E46459" w:rsidRPr="00EC5E95">
        <w:rPr>
          <w:lang w:val="sk-SK"/>
        </w:rPr>
        <w:t>,</w:t>
      </w:r>
      <w:r w:rsidRPr="00EC5E95">
        <w:rPr>
          <w:lang w:val="sk-SK"/>
        </w:rPr>
        <w:t xml:space="preserve"> zmeniť na alternatívnu </w:t>
      </w:r>
      <w:proofErr w:type="spellStart"/>
      <w:r w:rsidRPr="00EC5E95">
        <w:rPr>
          <w:lang w:val="sk-SK"/>
        </w:rPr>
        <w:t>antihypertenzn</w:t>
      </w:r>
      <w:r w:rsidR="005059C4" w:rsidRPr="00EC5E95">
        <w:rPr>
          <w:lang w:val="sk-SK"/>
        </w:rPr>
        <w:t>ú</w:t>
      </w:r>
      <w:proofErr w:type="spellEnd"/>
      <w:r w:rsidRPr="00EC5E95">
        <w:rPr>
          <w:lang w:val="sk-SK"/>
        </w:rPr>
        <w:t xml:space="preserve"> liečbu, ktorá má preukázaný bezpečnostný profil pre používanie počas gravidity. Ak je gravidita diagnostikovaná, liečba ACE inhibítormi/antagonistami </w:t>
      </w:r>
      <w:r w:rsidR="008A3D18" w:rsidRPr="00EC5E95">
        <w:rPr>
          <w:lang w:val="sk-SK"/>
        </w:rPr>
        <w:t>AIIR sa musí okamžite ukončiť a </w:t>
      </w:r>
      <w:r w:rsidRPr="00EC5E95">
        <w:rPr>
          <w:lang w:val="sk-SK"/>
        </w:rPr>
        <w:t>ak je to vhodné, musí sa začať alternatívna liečba (pozri časti 4.3 a</w:t>
      </w:r>
      <w:r w:rsidR="008A3D18" w:rsidRPr="00EC5E95">
        <w:rPr>
          <w:lang w:val="sk-SK"/>
        </w:rPr>
        <w:t> </w:t>
      </w:r>
      <w:r w:rsidRPr="00EC5E95">
        <w:rPr>
          <w:lang w:val="sk-SK"/>
        </w:rPr>
        <w:t>4.6).</w:t>
      </w:r>
    </w:p>
    <w:p w14:paraId="2C5B1146" w14:textId="24E7B6DE" w:rsidR="0076116E" w:rsidRPr="000F6B9E" w:rsidRDefault="004124B1" w:rsidP="00456BE0">
      <w:pPr>
        <w:pStyle w:val="Normlndobloku"/>
        <w:keepNext/>
        <w:rPr>
          <w:u w:val="single"/>
          <w:lang w:val="sk-SK"/>
        </w:rPr>
      </w:pPr>
      <w:r w:rsidRPr="000F6B9E">
        <w:rPr>
          <w:u w:val="single"/>
          <w:lang w:val="sk-SK"/>
        </w:rPr>
        <w:lastRenderedPageBreak/>
        <w:t xml:space="preserve">Pacienti </w:t>
      </w:r>
      <w:r w:rsidR="008A3D18" w:rsidRPr="000F6B9E">
        <w:rPr>
          <w:u w:val="single"/>
          <w:lang w:val="sk-SK"/>
        </w:rPr>
        <w:t>s</w:t>
      </w:r>
      <w:r w:rsidR="008A3D18" w:rsidRPr="0008481D">
        <w:rPr>
          <w:u w:val="single"/>
          <w:lang w:val="sk-SK"/>
        </w:rPr>
        <w:t> </w:t>
      </w:r>
      <w:r w:rsidRPr="000F6B9E">
        <w:rPr>
          <w:u w:val="single"/>
          <w:lang w:val="sk-SK"/>
        </w:rPr>
        <w:t>mimoriadnym rizikom hypotenzie</w:t>
      </w:r>
    </w:p>
    <w:p w14:paraId="3CB2639A" w14:textId="685F257B" w:rsidR="0076116E" w:rsidRPr="00456BE0" w:rsidRDefault="008A3D18" w:rsidP="00456BE0">
      <w:pPr>
        <w:pStyle w:val="Styl4"/>
        <w:rPr>
          <w:lang w:val="sk-SK"/>
        </w:rPr>
      </w:pPr>
      <w:r w:rsidRPr="00456BE0">
        <w:rPr>
          <w:lang w:val="sk-SK"/>
        </w:rPr>
        <w:t>Pacienti s </w:t>
      </w:r>
      <w:r w:rsidR="004124B1" w:rsidRPr="00456BE0">
        <w:rPr>
          <w:lang w:val="sk-SK"/>
        </w:rPr>
        <w:t>výrazne aktivovaným renín-angiotenzín-aldosterónovým systémom</w:t>
      </w:r>
    </w:p>
    <w:p w14:paraId="22A3D520" w14:textId="3AA8B58B" w:rsidR="0076116E" w:rsidRPr="00EC5E95" w:rsidRDefault="008A3D18" w:rsidP="00A84884">
      <w:pPr>
        <w:pStyle w:val="Normlndobloku"/>
        <w:rPr>
          <w:lang w:val="sk-SK"/>
        </w:rPr>
      </w:pPr>
      <w:r w:rsidRPr="00EC5E95">
        <w:rPr>
          <w:lang w:val="sk-SK"/>
        </w:rPr>
        <w:t>U pacientov s </w:t>
      </w:r>
      <w:r w:rsidR="004124B1" w:rsidRPr="00EC5E95">
        <w:rPr>
          <w:lang w:val="sk-SK"/>
        </w:rPr>
        <w:t xml:space="preserve">výrazne aktivovaným </w:t>
      </w:r>
      <w:proofErr w:type="spellStart"/>
      <w:r w:rsidR="004124B1" w:rsidRPr="00EC5E95">
        <w:rPr>
          <w:lang w:val="sk-SK"/>
        </w:rPr>
        <w:t>renín-angiotenzín-aldosterónovým</w:t>
      </w:r>
      <w:proofErr w:type="spellEnd"/>
      <w:r w:rsidR="004124B1" w:rsidRPr="00EC5E95">
        <w:rPr>
          <w:lang w:val="sk-SK"/>
        </w:rPr>
        <w:t xml:space="preserve"> systémom existuje riziko akútneho vý</w:t>
      </w:r>
      <w:r w:rsidRPr="00571DB3">
        <w:rPr>
          <w:lang w:val="sk-SK"/>
        </w:rPr>
        <w:t>razného poklesu krvného tlaku a </w:t>
      </w:r>
      <w:r w:rsidR="004124B1" w:rsidRPr="00571DB3">
        <w:rPr>
          <w:lang w:val="sk-SK"/>
        </w:rPr>
        <w:t xml:space="preserve">zhoršenia </w:t>
      </w:r>
      <w:proofErr w:type="spellStart"/>
      <w:r w:rsidR="004124B1" w:rsidRPr="00571DB3">
        <w:rPr>
          <w:lang w:val="sk-SK"/>
        </w:rPr>
        <w:t>renál</w:t>
      </w:r>
      <w:r w:rsidRPr="00C3029B">
        <w:rPr>
          <w:lang w:val="sk-SK"/>
        </w:rPr>
        <w:t>nej</w:t>
      </w:r>
      <w:proofErr w:type="spellEnd"/>
      <w:r w:rsidRPr="00C3029B">
        <w:rPr>
          <w:lang w:val="sk-SK"/>
        </w:rPr>
        <w:t xml:space="preserve"> funkcie v </w:t>
      </w:r>
      <w:r w:rsidR="004124B1" w:rsidRPr="00C3029B">
        <w:rPr>
          <w:lang w:val="sk-SK"/>
        </w:rPr>
        <w:t>dôsledku ACE inhibície, najmä ak sa ACE inhibítor alebo diuretikum ako sprievodná liečba podáva prvýkr</w:t>
      </w:r>
      <w:r w:rsidR="004124B1" w:rsidRPr="00EC5E95">
        <w:rPr>
          <w:lang w:val="sk-SK"/>
        </w:rPr>
        <w:t>át alebo ak sa podáva prvýkrát zvýšená dávka.</w:t>
      </w:r>
    </w:p>
    <w:p w14:paraId="0233FFB9" w14:textId="1B9A7AED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Predpokladať významnú aktiváciu </w:t>
      </w:r>
      <w:proofErr w:type="spellStart"/>
      <w:r w:rsidRPr="00EC5E95">
        <w:rPr>
          <w:lang w:val="sk-SK"/>
        </w:rPr>
        <w:t>renín-angiot</w:t>
      </w:r>
      <w:r w:rsidR="008A3D18" w:rsidRPr="00EC5E95">
        <w:rPr>
          <w:lang w:val="sk-SK"/>
        </w:rPr>
        <w:t>enzín-aldosterónového</w:t>
      </w:r>
      <w:proofErr w:type="spellEnd"/>
      <w:r w:rsidR="008A3D18" w:rsidRPr="00EC5E95">
        <w:rPr>
          <w:lang w:val="sk-SK"/>
        </w:rPr>
        <w:t xml:space="preserve"> systému a </w:t>
      </w:r>
      <w:r w:rsidRPr="00EC5E95">
        <w:rPr>
          <w:lang w:val="sk-SK"/>
        </w:rPr>
        <w:t xml:space="preserve">počítať s lekárskym dohľadom </w:t>
      </w:r>
      <w:r w:rsidR="005059C4" w:rsidRPr="00EC5E95">
        <w:rPr>
          <w:lang w:val="sk-SK"/>
        </w:rPr>
        <w:t>vrátane</w:t>
      </w:r>
      <w:r w:rsidRPr="00EC5E95">
        <w:rPr>
          <w:lang w:val="sk-SK"/>
        </w:rPr>
        <w:t xml:space="preserve"> sledovan</w:t>
      </w:r>
      <w:r w:rsidR="005059C4" w:rsidRPr="00EC5E95">
        <w:rPr>
          <w:lang w:val="sk-SK"/>
        </w:rPr>
        <w:t>ia</w:t>
      </w:r>
      <w:r w:rsidRPr="00EC5E95">
        <w:rPr>
          <w:lang w:val="sk-SK"/>
        </w:rPr>
        <w:t xml:space="preserve"> krvnéh</w:t>
      </w:r>
      <w:r w:rsidR="008A3D18" w:rsidRPr="00EC5E95">
        <w:rPr>
          <w:lang w:val="sk-SK"/>
        </w:rPr>
        <w:t>o tlaku je potrebné napríklad u </w:t>
      </w:r>
      <w:r w:rsidRPr="00EC5E95">
        <w:rPr>
          <w:lang w:val="sk-SK"/>
        </w:rPr>
        <w:t>týchto pacientov:</w:t>
      </w:r>
    </w:p>
    <w:p w14:paraId="1FE6208B" w14:textId="106AA78C" w:rsidR="0076116E" w:rsidRPr="00EC5E95" w:rsidRDefault="004124B1" w:rsidP="00A84884">
      <w:pPr>
        <w:pStyle w:val="Normlndoblokusodrkami"/>
        <w:rPr>
          <w:noProof w:val="0"/>
          <w:lang w:val="sk-SK"/>
        </w:rPr>
      </w:pPr>
      <w:r w:rsidRPr="00EC5E95">
        <w:rPr>
          <w:noProof w:val="0"/>
          <w:lang w:val="sk-SK"/>
        </w:rPr>
        <w:t xml:space="preserve">Pacienti </w:t>
      </w:r>
      <w:r w:rsidR="008A3D18" w:rsidRPr="00EC5E95">
        <w:rPr>
          <w:noProof w:val="0"/>
          <w:lang w:val="sk-SK"/>
        </w:rPr>
        <w:t>s </w:t>
      </w:r>
      <w:r w:rsidRPr="00EC5E95">
        <w:rPr>
          <w:noProof w:val="0"/>
          <w:lang w:val="sk-SK"/>
        </w:rPr>
        <w:t>ťažkou hypertenziou</w:t>
      </w:r>
    </w:p>
    <w:p w14:paraId="5A7B4126" w14:textId="66AA6A58" w:rsidR="0076116E" w:rsidRPr="00EC5E95" w:rsidRDefault="008A3D18" w:rsidP="00A84884">
      <w:pPr>
        <w:pStyle w:val="Normlndoblokusodrkami"/>
        <w:rPr>
          <w:noProof w:val="0"/>
          <w:lang w:val="sk-SK"/>
        </w:rPr>
      </w:pPr>
      <w:r w:rsidRPr="00EC5E95">
        <w:rPr>
          <w:noProof w:val="0"/>
          <w:lang w:val="sk-SK"/>
        </w:rPr>
        <w:t>Pacienti s </w:t>
      </w:r>
      <w:r w:rsidR="004124B1" w:rsidRPr="00EC5E95">
        <w:rPr>
          <w:noProof w:val="0"/>
          <w:lang w:val="sk-SK"/>
        </w:rPr>
        <w:t xml:space="preserve">dekompenzovaným </w:t>
      </w:r>
      <w:proofErr w:type="spellStart"/>
      <w:r w:rsidR="004124B1" w:rsidRPr="00EC5E95">
        <w:rPr>
          <w:noProof w:val="0"/>
          <w:lang w:val="sk-SK"/>
        </w:rPr>
        <w:t>kongestívnym</w:t>
      </w:r>
      <w:proofErr w:type="spellEnd"/>
      <w:r w:rsidR="004124B1" w:rsidRPr="00EC5E95">
        <w:rPr>
          <w:noProof w:val="0"/>
          <w:lang w:val="sk-SK"/>
        </w:rPr>
        <w:t xml:space="preserve"> zlyhaním srdca</w:t>
      </w:r>
    </w:p>
    <w:p w14:paraId="457F38AE" w14:textId="41B7D0AC" w:rsidR="0076116E" w:rsidRPr="00EC5E95" w:rsidRDefault="008A3D18" w:rsidP="00A84884">
      <w:pPr>
        <w:pStyle w:val="Normlndoblokusodrkami"/>
        <w:rPr>
          <w:noProof w:val="0"/>
          <w:lang w:val="sk-SK"/>
        </w:rPr>
      </w:pPr>
      <w:r w:rsidRPr="00EC5E95">
        <w:rPr>
          <w:noProof w:val="0"/>
          <w:lang w:val="sk-SK"/>
        </w:rPr>
        <w:t>Pacienti s </w:t>
      </w:r>
      <w:proofErr w:type="spellStart"/>
      <w:r w:rsidR="004124B1" w:rsidRPr="00EC5E95">
        <w:rPr>
          <w:noProof w:val="0"/>
          <w:lang w:val="sk-SK"/>
        </w:rPr>
        <w:t>hemody</w:t>
      </w:r>
      <w:r w:rsidRPr="00EC5E95">
        <w:rPr>
          <w:noProof w:val="0"/>
          <w:lang w:val="sk-SK"/>
        </w:rPr>
        <w:t>namicky</w:t>
      </w:r>
      <w:proofErr w:type="spellEnd"/>
      <w:r w:rsidRPr="00EC5E95">
        <w:rPr>
          <w:noProof w:val="0"/>
          <w:lang w:val="sk-SK"/>
        </w:rPr>
        <w:t xml:space="preserve"> relevantnou prekážkou v prítoku alebo odtoku krvi v ľavej komore (napr. </w:t>
      </w:r>
      <w:proofErr w:type="spellStart"/>
      <w:r w:rsidR="004124B1" w:rsidRPr="00EC5E95">
        <w:rPr>
          <w:noProof w:val="0"/>
          <w:lang w:val="sk-SK"/>
        </w:rPr>
        <w:t>stenóza</w:t>
      </w:r>
      <w:proofErr w:type="spellEnd"/>
      <w:r w:rsidR="004124B1" w:rsidRPr="00EC5E95">
        <w:rPr>
          <w:noProof w:val="0"/>
          <w:lang w:val="sk-SK"/>
        </w:rPr>
        <w:t xml:space="preserve"> aortálnej alebo </w:t>
      </w:r>
      <w:proofErr w:type="spellStart"/>
      <w:r w:rsidR="004124B1" w:rsidRPr="00EC5E95">
        <w:rPr>
          <w:noProof w:val="0"/>
          <w:lang w:val="sk-SK"/>
        </w:rPr>
        <w:t>mitrálnej</w:t>
      </w:r>
      <w:proofErr w:type="spellEnd"/>
      <w:r w:rsidR="004124B1" w:rsidRPr="00EC5E95">
        <w:rPr>
          <w:noProof w:val="0"/>
          <w:lang w:val="sk-SK"/>
        </w:rPr>
        <w:t xml:space="preserve"> chlopne)</w:t>
      </w:r>
    </w:p>
    <w:p w14:paraId="3CAE37F0" w14:textId="43CD2562" w:rsidR="0076116E" w:rsidRPr="00EC5E95" w:rsidRDefault="008A3D18" w:rsidP="00A84884">
      <w:pPr>
        <w:pStyle w:val="Normlndoblokusodrkami"/>
        <w:rPr>
          <w:noProof w:val="0"/>
          <w:lang w:val="sk-SK"/>
        </w:rPr>
      </w:pPr>
      <w:r w:rsidRPr="00EC5E95">
        <w:rPr>
          <w:noProof w:val="0"/>
          <w:lang w:val="sk-SK"/>
        </w:rPr>
        <w:t>Pacienti s </w:t>
      </w:r>
      <w:r w:rsidR="004124B1" w:rsidRPr="00EC5E95">
        <w:rPr>
          <w:noProof w:val="0"/>
          <w:lang w:val="sk-SK"/>
        </w:rPr>
        <w:t xml:space="preserve">unilaterálnou </w:t>
      </w:r>
      <w:proofErr w:type="spellStart"/>
      <w:r w:rsidR="004124B1" w:rsidRPr="00EC5E95">
        <w:rPr>
          <w:noProof w:val="0"/>
          <w:lang w:val="sk-SK"/>
        </w:rPr>
        <w:t>renálnou</w:t>
      </w:r>
      <w:proofErr w:type="spellEnd"/>
      <w:r w:rsidR="004124B1" w:rsidRPr="00EC5E95">
        <w:rPr>
          <w:noProof w:val="0"/>
          <w:lang w:val="sk-SK"/>
        </w:rPr>
        <w:t xml:space="preserve"> </w:t>
      </w:r>
      <w:proofErr w:type="spellStart"/>
      <w:r w:rsidR="004124B1" w:rsidRPr="00EC5E95">
        <w:rPr>
          <w:noProof w:val="0"/>
          <w:lang w:val="sk-SK"/>
        </w:rPr>
        <w:t>arteriálnou</w:t>
      </w:r>
      <w:proofErr w:type="spellEnd"/>
      <w:r w:rsidR="004124B1" w:rsidRPr="00EC5E95">
        <w:rPr>
          <w:noProof w:val="0"/>
          <w:lang w:val="sk-SK"/>
        </w:rPr>
        <w:t xml:space="preserve"> </w:t>
      </w:r>
      <w:proofErr w:type="spellStart"/>
      <w:r w:rsidR="004124B1" w:rsidRPr="00EC5E95">
        <w:rPr>
          <w:noProof w:val="0"/>
          <w:lang w:val="sk-SK"/>
        </w:rPr>
        <w:t>stenózou</w:t>
      </w:r>
      <w:proofErr w:type="spellEnd"/>
      <w:r w:rsidR="004124B1" w:rsidRPr="00EC5E95">
        <w:rPr>
          <w:noProof w:val="0"/>
          <w:lang w:val="sk-SK"/>
        </w:rPr>
        <w:t>, pričom druhá oblička je funkčná</w:t>
      </w:r>
    </w:p>
    <w:p w14:paraId="02A4CC08" w14:textId="57616101" w:rsidR="0076116E" w:rsidRPr="00EC5E95" w:rsidRDefault="008A3D18" w:rsidP="00A84884">
      <w:pPr>
        <w:pStyle w:val="Normlndoblokusodrkami"/>
        <w:rPr>
          <w:noProof w:val="0"/>
          <w:lang w:val="sk-SK"/>
        </w:rPr>
      </w:pPr>
      <w:r w:rsidRPr="00EC5E95">
        <w:rPr>
          <w:noProof w:val="0"/>
          <w:lang w:val="sk-SK"/>
        </w:rPr>
        <w:t>Pacienti, ktorí majú alebo u </w:t>
      </w:r>
      <w:r w:rsidR="004124B1" w:rsidRPr="00EC5E95">
        <w:rPr>
          <w:noProof w:val="0"/>
          <w:lang w:val="sk-SK"/>
        </w:rPr>
        <w:t>ktorých môž</w:t>
      </w:r>
      <w:r w:rsidRPr="00EC5E95">
        <w:rPr>
          <w:noProof w:val="0"/>
          <w:lang w:val="sk-SK"/>
        </w:rPr>
        <w:t>e vzniknúť nedostatok tekutín a </w:t>
      </w:r>
      <w:r w:rsidR="004124B1" w:rsidRPr="00EC5E95">
        <w:rPr>
          <w:noProof w:val="0"/>
          <w:lang w:val="sk-SK"/>
        </w:rPr>
        <w:t>solí (vrátane pacientov užívajúcich diuretiká)</w:t>
      </w:r>
    </w:p>
    <w:p w14:paraId="0733FA38" w14:textId="3D6F5396" w:rsidR="0076116E" w:rsidRPr="00EC5E95" w:rsidRDefault="008A3D18" w:rsidP="00A84884">
      <w:pPr>
        <w:pStyle w:val="Normlndoblokusodrkami"/>
        <w:rPr>
          <w:noProof w:val="0"/>
          <w:lang w:val="sk-SK"/>
        </w:rPr>
      </w:pPr>
      <w:r w:rsidRPr="00EC5E95">
        <w:rPr>
          <w:noProof w:val="0"/>
          <w:lang w:val="sk-SK"/>
        </w:rPr>
        <w:t>Pacienti s </w:t>
      </w:r>
      <w:r w:rsidR="004124B1" w:rsidRPr="00EC5E95">
        <w:rPr>
          <w:noProof w:val="0"/>
          <w:lang w:val="sk-SK"/>
        </w:rPr>
        <w:t>cirhózou peč</w:t>
      </w:r>
      <w:r w:rsidR="00B046C6" w:rsidRPr="00EC5E95">
        <w:rPr>
          <w:noProof w:val="0"/>
          <w:lang w:val="sk-SK"/>
        </w:rPr>
        <w:t>e</w:t>
      </w:r>
      <w:r w:rsidRPr="00EC5E95">
        <w:rPr>
          <w:noProof w:val="0"/>
          <w:lang w:val="sk-SK"/>
        </w:rPr>
        <w:t>ne a/alebo s </w:t>
      </w:r>
      <w:proofErr w:type="spellStart"/>
      <w:r w:rsidR="004124B1" w:rsidRPr="00EC5E95">
        <w:rPr>
          <w:noProof w:val="0"/>
          <w:lang w:val="sk-SK"/>
        </w:rPr>
        <w:t>ascitom</w:t>
      </w:r>
      <w:proofErr w:type="spellEnd"/>
    </w:p>
    <w:p w14:paraId="7012E95F" w14:textId="77777777" w:rsidR="0076116E" w:rsidRPr="00EC5E95" w:rsidRDefault="004124B1" w:rsidP="00A84884">
      <w:pPr>
        <w:pStyle w:val="Normlndoblokusodrkami"/>
        <w:rPr>
          <w:noProof w:val="0"/>
          <w:lang w:val="sk-SK"/>
        </w:rPr>
      </w:pPr>
      <w:r w:rsidRPr="00EC5E95">
        <w:rPr>
          <w:noProof w:val="0"/>
          <w:lang w:val="sk-SK"/>
        </w:rPr>
        <w:t>Pacienti podrobujúci sa veľkej operácii alebo počas anestézie látkami spôsobujúcimi hypotenziu.</w:t>
      </w:r>
    </w:p>
    <w:p w14:paraId="208FC6BC" w14:textId="0F6999CE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Vo všeobecnosti sa odporúča pred začatím liečby upraviť dehydratáciu, </w:t>
      </w:r>
      <w:proofErr w:type="spellStart"/>
      <w:r w:rsidRPr="00EC5E95">
        <w:rPr>
          <w:lang w:val="sk-SK"/>
        </w:rPr>
        <w:t>hyp</w:t>
      </w:r>
      <w:r w:rsidR="008A3D18" w:rsidRPr="00EC5E95">
        <w:rPr>
          <w:lang w:val="sk-SK"/>
        </w:rPr>
        <w:t>ovolémiu</w:t>
      </w:r>
      <w:proofErr w:type="spellEnd"/>
      <w:r w:rsidR="008A3D18" w:rsidRPr="00EC5E95">
        <w:rPr>
          <w:lang w:val="sk-SK"/>
        </w:rPr>
        <w:t xml:space="preserve"> alebo </w:t>
      </w:r>
      <w:proofErr w:type="spellStart"/>
      <w:r w:rsidR="008A3D18" w:rsidRPr="00EC5E95">
        <w:rPr>
          <w:lang w:val="sk-SK"/>
        </w:rPr>
        <w:t>depléciu</w:t>
      </w:r>
      <w:proofErr w:type="spellEnd"/>
      <w:r w:rsidR="008A3D18" w:rsidRPr="00EC5E95">
        <w:rPr>
          <w:lang w:val="sk-SK"/>
        </w:rPr>
        <w:t xml:space="preserve"> solí (u </w:t>
      </w:r>
      <w:r w:rsidRPr="00EC5E95">
        <w:rPr>
          <w:lang w:val="sk-SK"/>
        </w:rPr>
        <w:t>pacientov so srdcovým zlyhaním sa vša</w:t>
      </w:r>
      <w:r w:rsidR="008A3D18" w:rsidRPr="00EC5E95">
        <w:rPr>
          <w:lang w:val="sk-SK"/>
        </w:rPr>
        <w:t>k úprava musí dôkladne zvážiť s </w:t>
      </w:r>
      <w:r w:rsidRPr="00EC5E95">
        <w:rPr>
          <w:lang w:val="sk-SK"/>
        </w:rPr>
        <w:t>ohľadom na riziko objemového preplnenia).</w:t>
      </w:r>
    </w:p>
    <w:p w14:paraId="46C7CDC6" w14:textId="77777777" w:rsidR="00F600B9" w:rsidRPr="00456BE0" w:rsidRDefault="00F600B9" w:rsidP="0087630B">
      <w:pPr>
        <w:pStyle w:val="Styl4"/>
        <w:rPr>
          <w:lang w:val="sk-SK"/>
        </w:rPr>
      </w:pPr>
      <w:r w:rsidRPr="00456BE0">
        <w:rPr>
          <w:lang w:val="sk-SK"/>
        </w:rPr>
        <w:t>Duálna inhibícia systému renín-angiotenzín-aldosterón (RAAS)</w:t>
      </w:r>
    </w:p>
    <w:p w14:paraId="7A2DF699" w14:textId="77777777" w:rsidR="00F600B9" w:rsidRPr="00EC5E95" w:rsidRDefault="00F600B9" w:rsidP="00F600B9">
      <w:pPr>
        <w:pStyle w:val="Normlndobloku"/>
        <w:rPr>
          <w:lang w:val="sk-SK"/>
        </w:rPr>
      </w:pPr>
      <w:r w:rsidRPr="00EC5E95">
        <w:rPr>
          <w:lang w:val="sk-SK"/>
        </w:rPr>
        <w:t xml:space="preserve">Preukázalo sa, že súbežné užitie inhibítorov ACE, </w:t>
      </w:r>
      <w:proofErr w:type="spellStart"/>
      <w:r w:rsidRPr="00EC5E95">
        <w:rPr>
          <w:lang w:val="sk-SK"/>
        </w:rPr>
        <w:t>blokátorov</w:t>
      </w:r>
      <w:proofErr w:type="spellEnd"/>
      <w:r w:rsidRPr="00EC5E95">
        <w:rPr>
          <w:lang w:val="sk-SK"/>
        </w:rPr>
        <w:t xml:space="preserve"> receptorov </w:t>
      </w:r>
      <w:proofErr w:type="spellStart"/>
      <w:r w:rsidRPr="00EC5E95">
        <w:rPr>
          <w:lang w:val="sk-SK"/>
        </w:rPr>
        <w:t>angiotenzínu</w:t>
      </w:r>
      <w:proofErr w:type="spellEnd"/>
      <w:r w:rsidRPr="00EC5E95">
        <w:rPr>
          <w:lang w:val="sk-SK"/>
        </w:rPr>
        <w:t xml:space="preserve"> II alebo </w:t>
      </w:r>
      <w:proofErr w:type="spellStart"/>
      <w:r w:rsidRPr="00EC5E95">
        <w:rPr>
          <w:lang w:val="sk-SK"/>
        </w:rPr>
        <w:t>aliskirenu</w:t>
      </w:r>
      <w:proofErr w:type="spellEnd"/>
      <w:r w:rsidRPr="00EC5E95">
        <w:rPr>
          <w:lang w:val="sk-SK"/>
        </w:rPr>
        <w:t xml:space="preserve"> zvyšuje riziko hypotenzie, </w:t>
      </w:r>
      <w:proofErr w:type="spellStart"/>
      <w:r w:rsidRPr="00EC5E95">
        <w:rPr>
          <w:lang w:val="sk-SK"/>
        </w:rPr>
        <w:t>hyperkaliémie</w:t>
      </w:r>
      <w:proofErr w:type="spellEnd"/>
      <w:r w:rsidRPr="00EC5E95">
        <w:rPr>
          <w:lang w:val="sk-SK"/>
        </w:rPr>
        <w:t xml:space="preserve"> a zníženia funkcie obličiek (vrátane akútneho zlyhania obličiek). Duálna inhibícia RAAS kombinovaným použitím inhibítorov ACE, </w:t>
      </w:r>
      <w:proofErr w:type="spellStart"/>
      <w:r w:rsidRPr="00EC5E95">
        <w:rPr>
          <w:lang w:val="sk-SK"/>
        </w:rPr>
        <w:t>blokátorov</w:t>
      </w:r>
      <w:proofErr w:type="spellEnd"/>
      <w:r w:rsidRPr="00EC5E95">
        <w:rPr>
          <w:lang w:val="sk-SK"/>
        </w:rPr>
        <w:t xml:space="preserve"> receptorov </w:t>
      </w:r>
      <w:proofErr w:type="spellStart"/>
      <w:r w:rsidRPr="00EC5E95">
        <w:rPr>
          <w:lang w:val="sk-SK"/>
        </w:rPr>
        <w:t>angiotenzínu</w:t>
      </w:r>
      <w:proofErr w:type="spellEnd"/>
      <w:r w:rsidRPr="00EC5E95">
        <w:rPr>
          <w:lang w:val="sk-SK"/>
        </w:rPr>
        <w:t xml:space="preserve"> II alebo </w:t>
      </w:r>
      <w:proofErr w:type="spellStart"/>
      <w:r w:rsidRPr="00EC5E95">
        <w:rPr>
          <w:lang w:val="sk-SK"/>
        </w:rPr>
        <w:t>aliskirenu</w:t>
      </w:r>
      <w:proofErr w:type="spellEnd"/>
      <w:r w:rsidRPr="00EC5E95">
        <w:rPr>
          <w:lang w:val="sk-SK"/>
        </w:rPr>
        <w:t xml:space="preserve"> sa preto neodporúča (pozri časti 4.5 a 5.1).</w:t>
      </w:r>
    </w:p>
    <w:p w14:paraId="505A4B56" w14:textId="77777777" w:rsidR="00F600B9" w:rsidRPr="00EC5E95" w:rsidRDefault="00F600B9" w:rsidP="00F600B9">
      <w:pPr>
        <w:pStyle w:val="Normlndobloku"/>
        <w:rPr>
          <w:lang w:val="sk-SK"/>
        </w:rPr>
      </w:pPr>
      <w:r w:rsidRPr="00EC5E95">
        <w:rPr>
          <w:lang w:val="sk-SK"/>
        </w:rPr>
        <w:t>Ak sa liečba duálnou inhibíciou považuje za absolútne nevyhnutnú, má sa podať iba pod dohľadom odborníka a u pacienta sa má často a dôsledne kontrolovať funkcia obličiek, elektrolyty a krvný tlak.</w:t>
      </w:r>
    </w:p>
    <w:p w14:paraId="3308F08B" w14:textId="77777777" w:rsidR="00F600B9" w:rsidRPr="00EC5E95" w:rsidRDefault="00F600B9" w:rsidP="00A84884">
      <w:pPr>
        <w:pStyle w:val="Normlndobloku"/>
        <w:rPr>
          <w:lang w:val="sk-SK"/>
        </w:rPr>
      </w:pPr>
      <w:r w:rsidRPr="00EC5E95">
        <w:rPr>
          <w:lang w:val="sk-SK"/>
        </w:rPr>
        <w:t>Inhibítory ACE a </w:t>
      </w:r>
      <w:proofErr w:type="spellStart"/>
      <w:r w:rsidRPr="00EC5E95">
        <w:rPr>
          <w:lang w:val="sk-SK"/>
        </w:rPr>
        <w:t>blokátory</w:t>
      </w:r>
      <w:proofErr w:type="spellEnd"/>
      <w:r w:rsidRPr="00EC5E95">
        <w:rPr>
          <w:lang w:val="sk-SK"/>
        </w:rPr>
        <w:t xml:space="preserve"> receptorov </w:t>
      </w:r>
      <w:proofErr w:type="spellStart"/>
      <w:r w:rsidRPr="00EC5E95">
        <w:rPr>
          <w:lang w:val="sk-SK"/>
        </w:rPr>
        <w:t>angiotenzínu</w:t>
      </w:r>
      <w:proofErr w:type="spellEnd"/>
      <w:r w:rsidRPr="00EC5E95">
        <w:rPr>
          <w:lang w:val="sk-SK"/>
        </w:rPr>
        <w:t xml:space="preserve"> II sa nemajú súbežne používať u pacientov s diabetickou </w:t>
      </w:r>
      <w:proofErr w:type="spellStart"/>
      <w:r w:rsidRPr="00EC5E95">
        <w:rPr>
          <w:lang w:val="sk-SK"/>
        </w:rPr>
        <w:t>nefropatiou</w:t>
      </w:r>
      <w:proofErr w:type="spellEnd"/>
    </w:p>
    <w:p w14:paraId="7900D737" w14:textId="77777777" w:rsidR="0076116E" w:rsidRPr="00EC5E95" w:rsidRDefault="00B364B3" w:rsidP="00A84884">
      <w:pPr>
        <w:pStyle w:val="Normlndoblokusodrkami"/>
        <w:rPr>
          <w:noProof w:val="0"/>
          <w:lang w:val="sk-SK"/>
        </w:rPr>
      </w:pPr>
      <w:r w:rsidRPr="00EC5E95">
        <w:rPr>
          <w:noProof w:val="0"/>
          <w:lang w:val="sk-SK"/>
        </w:rPr>
        <w:t>P</w:t>
      </w:r>
      <w:r w:rsidR="004124B1" w:rsidRPr="00EC5E95">
        <w:rPr>
          <w:noProof w:val="0"/>
          <w:lang w:val="sk-SK"/>
        </w:rPr>
        <w:t>rechodné alebo trvalé zlyhávanie srdca po infarkte myokardu</w:t>
      </w:r>
    </w:p>
    <w:p w14:paraId="304D4734" w14:textId="27BF0203" w:rsidR="0076116E" w:rsidRPr="00EC5E95" w:rsidRDefault="008A3D18" w:rsidP="00A84884">
      <w:pPr>
        <w:pStyle w:val="Normlndoblokusodrkami"/>
        <w:rPr>
          <w:noProof w:val="0"/>
          <w:lang w:val="sk-SK"/>
        </w:rPr>
      </w:pPr>
      <w:r w:rsidRPr="00EC5E95">
        <w:rPr>
          <w:noProof w:val="0"/>
          <w:lang w:val="sk-SK"/>
        </w:rPr>
        <w:t>Pacienti s </w:t>
      </w:r>
      <w:r w:rsidR="004124B1" w:rsidRPr="00EC5E95">
        <w:rPr>
          <w:noProof w:val="0"/>
          <w:lang w:val="sk-SK"/>
        </w:rPr>
        <w:t>rizikom srd</w:t>
      </w:r>
      <w:r w:rsidRPr="00EC5E95">
        <w:rPr>
          <w:noProof w:val="0"/>
          <w:lang w:val="sk-SK"/>
        </w:rPr>
        <w:t>covej alebo mozgovej ischémie v </w:t>
      </w:r>
      <w:r w:rsidR="004124B1" w:rsidRPr="00EC5E95">
        <w:rPr>
          <w:noProof w:val="0"/>
          <w:lang w:val="sk-SK"/>
        </w:rPr>
        <w:t>prípade akútnej hypotenzie</w:t>
      </w:r>
    </w:p>
    <w:p w14:paraId="1FB150DD" w14:textId="65BD01AF" w:rsidR="00F600B9" w:rsidRPr="00456BE0" w:rsidRDefault="004124B1" w:rsidP="00456BE0">
      <w:pPr>
        <w:pStyle w:val="Styl3"/>
        <w:rPr>
          <w:lang w:val="sk-SK"/>
        </w:rPr>
      </w:pPr>
      <w:r w:rsidRPr="00456BE0">
        <w:rPr>
          <w:lang w:val="sk-SK"/>
        </w:rPr>
        <w:t>Úvodná fáza liečby si vyžaduje špeciálny lekársky dohľad.</w:t>
      </w:r>
      <w:r w:rsidR="00F600B9" w:rsidRPr="00456BE0">
        <w:rPr>
          <w:lang w:val="sk-SK"/>
        </w:rPr>
        <w:t>Starší pacienti</w:t>
      </w:r>
    </w:p>
    <w:p w14:paraId="7077DFE3" w14:textId="77777777" w:rsidR="00F600B9" w:rsidRPr="00EC5E95" w:rsidRDefault="00F600B9" w:rsidP="00EE5347">
      <w:pPr>
        <w:pStyle w:val="Normlndobloku"/>
        <w:rPr>
          <w:lang w:val="sk-SK"/>
        </w:rPr>
      </w:pPr>
      <w:r w:rsidRPr="00EC5E95">
        <w:rPr>
          <w:lang w:val="sk-SK"/>
        </w:rPr>
        <w:t>Pozri časť 4.2.</w:t>
      </w:r>
    </w:p>
    <w:p w14:paraId="41D4EABF" w14:textId="77777777" w:rsidR="0076116E" w:rsidRPr="00456BE0" w:rsidRDefault="004124B1" w:rsidP="0087630B">
      <w:pPr>
        <w:pStyle w:val="Styl3"/>
        <w:rPr>
          <w:lang w:val="sk-SK"/>
        </w:rPr>
      </w:pPr>
      <w:r w:rsidRPr="00456BE0">
        <w:rPr>
          <w:lang w:val="sk-SK"/>
        </w:rPr>
        <w:t>Operácia</w:t>
      </w:r>
    </w:p>
    <w:p w14:paraId="203E6ECA" w14:textId="1EF67330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Odporúča sa, aby sa liečba inhibítormi enzýmu konvertujúceho </w:t>
      </w:r>
      <w:proofErr w:type="spellStart"/>
      <w:r w:rsidRPr="00EC5E95">
        <w:rPr>
          <w:lang w:val="sk-SK"/>
        </w:rPr>
        <w:t>angiotenzín</w:t>
      </w:r>
      <w:proofErr w:type="spellEnd"/>
      <w:r w:rsidRPr="00EC5E95">
        <w:rPr>
          <w:lang w:val="sk-SK"/>
        </w:rPr>
        <w:t xml:space="preserve"> ako n</w:t>
      </w:r>
      <w:r w:rsidR="008A3D18" w:rsidRPr="00EC5E95">
        <w:rPr>
          <w:lang w:val="sk-SK"/>
        </w:rPr>
        <w:t xml:space="preserve">apríklad </w:t>
      </w:r>
      <w:proofErr w:type="spellStart"/>
      <w:r w:rsidR="008A3D18" w:rsidRPr="00EC5E95">
        <w:rPr>
          <w:lang w:val="sk-SK"/>
        </w:rPr>
        <w:t>ramiprilom</w:t>
      </w:r>
      <w:proofErr w:type="spellEnd"/>
      <w:r w:rsidR="008A3D18" w:rsidRPr="00EC5E95">
        <w:rPr>
          <w:lang w:val="sk-SK"/>
        </w:rPr>
        <w:t>, ukončila v </w:t>
      </w:r>
      <w:r w:rsidRPr="00EC5E95">
        <w:rPr>
          <w:lang w:val="sk-SK"/>
        </w:rPr>
        <w:t>prípadoch, kde je to možné, jeden deň pred operáciou.</w:t>
      </w:r>
    </w:p>
    <w:p w14:paraId="162D0737" w14:textId="77777777" w:rsidR="0076116E" w:rsidRPr="00456BE0" w:rsidRDefault="004124B1" w:rsidP="0087630B">
      <w:pPr>
        <w:pStyle w:val="Styl3"/>
        <w:rPr>
          <w:lang w:val="sk-SK"/>
        </w:rPr>
      </w:pPr>
      <w:r w:rsidRPr="00456BE0">
        <w:rPr>
          <w:lang w:val="sk-SK"/>
        </w:rPr>
        <w:lastRenderedPageBreak/>
        <w:t>Sledovanie renálnej funkcie</w:t>
      </w:r>
    </w:p>
    <w:p w14:paraId="587A7590" w14:textId="0B2AF29D" w:rsidR="0076116E" w:rsidRDefault="008A3D18" w:rsidP="00A84884">
      <w:pPr>
        <w:pStyle w:val="Normlndobloku"/>
        <w:rPr>
          <w:lang w:val="sk-SK"/>
        </w:rPr>
      </w:pPr>
      <w:r w:rsidRPr="00C3029B">
        <w:rPr>
          <w:lang w:val="sk-SK"/>
        </w:rPr>
        <w:t>Pred začatím liečby a </w:t>
      </w:r>
      <w:r w:rsidR="004124B1" w:rsidRPr="00C3029B">
        <w:rPr>
          <w:lang w:val="sk-SK"/>
        </w:rPr>
        <w:t>počas liečby</w:t>
      </w:r>
      <w:r w:rsidR="00A00A1D" w:rsidRPr="00C3029B">
        <w:rPr>
          <w:lang w:val="sk-SK"/>
        </w:rPr>
        <w:t>,</w:t>
      </w:r>
      <w:r w:rsidR="004124B1" w:rsidRPr="00C3029B">
        <w:rPr>
          <w:lang w:val="sk-SK"/>
        </w:rPr>
        <w:t xml:space="preserve"> najmä v</w:t>
      </w:r>
      <w:r w:rsidR="00EC5E95">
        <w:rPr>
          <w:lang w:val="sk-SK"/>
        </w:rPr>
        <w:t> </w:t>
      </w:r>
      <w:r w:rsidR="004124B1" w:rsidRPr="00EC5E95">
        <w:rPr>
          <w:lang w:val="sk-SK"/>
        </w:rPr>
        <w:t>počiatočných týždňoch</w:t>
      </w:r>
      <w:r w:rsidR="00A00A1D" w:rsidRPr="00EC5E95">
        <w:rPr>
          <w:lang w:val="sk-SK"/>
        </w:rPr>
        <w:t>,</w:t>
      </w:r>
      <w:r w:rsidR="004124B1" w:rsidRPr="00EC5E95">
        <w:rPr>
          <w:lang w:val="sk-SK"/>
        </w:rPr>
        <w:t xml:space="preserve"> sa musí sledovať </w:t>
      </w:r>
      <w:proofErr w:type="spellStart"/>
      <w:r w:rsidR="004124B1" w:rsidRPr="00EC5E95">
        <w:rPr>
          <w:lang w:val="sk-SK"/>
        </w:rPr>
        <w:t>renálna</w:t>
      </w:r>
      <w:proofErr w:type="spellEnd"/>
      <w:r w:rsidR="004124B1" w:rsidRPr="00EC5E95">
        <w:rPr>
          <w:lang w:val="sk-SK"/>
        </w:rPr>
        <w:t xml:space="preserve"> funkcia a</w:t>
      </w:r>
      <w:r w:rsidR="001C3DB2" w:rsidRPr="00EC5E95">
        <w:rPr>
          <w:lang w:val="sk-SK"/>
        </w:rPr>
        <w:t> </w:t>
      </w:r>
      <w:r w:rsidR="004124B1" w:rsidRPr="00EC5E95">
        <w:rPr>
          <w:lang w:val="sk-SK"/>
        </w:rPr>
        <w:t>prípadne upraviť dávkovanie. Dôkladné sl</w:t>
      </w:r>
      <w:r w:rsidRPr="00EC5E95">
        <w:rPr>
          <w:lang w:val="sk-SK"/>
        </w:rPr>
        <w:t>edovanie je potrebné obzvlášť u </w:t>
      </w:r>
      <w:r w:rsidR="004124B1" w:rsidRPr="00EC5E95">
        <w:rPr>
          <w:lang w:val="sk-SK"/>
        </w:rPr>
        <w:t xml:space="preserve">pacientov so zhoršenou </w:t>
      </w:r>
      <w:proofErr w:type="spellStart"/>
      <w:r w:rsidR="004124B1" w:rsidRPr="00EC5E95">
        <w:rPr>
          <w:lang w:val="sk-SK"/>
        </w:rPr>
        <w:t>renálnou</w:t>
      </w:r>
      <w:proofErr w:type="spellEnd"/>
      <w:r w:rsidR="004124B1" w:rsidRPr="00EC5E95">
        <w:rPr>
          <w:lang w:val="sk-SK"/>
        </w:rPr>
        <w:t xml:space="preserve"> funkciou (pozri časť 4.2). Riziko zhorše</w:t>
      </w:r>
      <w:r w:rsidRPr="00EC5E95">
        <w:rPr>
          <w:lang w:val="sk-SK"/>
        </w:rPr>
        <w:t xml:space="preserve">nia </w:t>
      </w:r>
      <w:proofErr w:type="spellStart"/>
      <w:r w:rsidRPr="00EC5E95">
        <w:rPr>
          <w:lang w:val="sk-SK"/>
        </w:rPr>
        <w:t>renálnej</w:t>
      </w:r>
      <w:proofErr w:type="spellEnd"/>
      <w:r w:rsidRPr="00EC5E95">
        <w:rPr>
          <w:lang w:val="sk-SK"/>
        </w:rPr>
        <w:t xml:space="preserve"> funkcie je najmä u </w:t>
      </w:r>
      <w:r w:rsidR="004124B1" w:rsidRPr="00EC5E95">
        <w:rPr>
          <w:lang w:val="sk-SK"/>
        </w:rPr>
        <w:t>pacientov s</w:t>
      </w:r>
      <w:r w:rsidR="001C3DB2" w:rsidRPr="00571DB3">
        <w:rPr>
          <w:lang w:val="sk-SK"/>
        </w:rPr>
        <w:t> </w:t>
      </w:r>
      <w:proofErr w:type="spellStart"/>
      <w:r w:rsidR="004124B1" w:rsidRPr="00571DB3">
        <w:rPr>
          <w:lang w:val="sk-SK"/>
        </w:rPr>
        <w:t>kongestívnym</w:t>
      </w:r>
      <w:proofErr w:type="spellEnd"/>
      <w:r w:rsidR="004124B1" w:rsidRPr="00571DB3">
        <w:rPr>
          <w:lang w:val="sk-SK"/>
        </w:rPr>
        <w:t xml:space="preserve"> zlyhaním srdca alebo po transplantácii obličky.</w:t>
      </w:r>
    </w:p>
    <w:p w14:paraId="6CFCF212" w14:textId="77777777" w:rsidR="00C3029B" w:rsidRPr="00C404A3" w:rsidRDefault="00C3029B" w:rsidP="00456BE0">
      <w:pPr>
        <w:pStyle w:val="Styl3"/>
        <w:rPr>
          <w:lang w:val="sk-SK"/>
        </w:rPr>
      </w:pPr>
      <w:r w:rsidRPr="00C404A3">
        <w:rPr>
          <w:lang w:val="sk-SK"/>
        </w:rPr>
        <w:t>Hypersenzitivita/angioedém</w:t>
      </w:r>
    </w:p>
    <w:p w14:paraId="3EDF97CC" w14:textId="77777777" w:rsidR="00C3029B" w:rsidRPr="00456BE0" w:rsidRDefault="00C3029B" w:rsidP="00456BE0">
      <w:pPr>
        <w:pStyle w:val="Normlndobloku"/>
      </w:pPr>
      <w:proofErr w:type="spellStart"/>
      <w:r w:rsidRPr="00456BE0">
        <w:t>Súbežné</w:t>
      </w:r>
      <w:proofErr w:type="spellEnd"/>
      <w:r w:rsidRPr="00456BE0">
        <w:t xml:space="preserve"> </w:t>
      </w:r>
      <w:proofErr w:type="spellStart"/>
      <w:r w:rsidRPr="00456BE0">
        <w:t>užívanie</w:t>
      </w:r>
      <w:proofErr w:type="spellEnd"/>
      <w:r w:rsidRPr="00456BE0">
        <w:t xml:space="preserve"> </w:t>
      </w:r>
      <w:proofErr w:type="spellStart"/>
      <w:r w:rsidRPr="00456BE0">
        <w:t>mTOR</w:t>
      </w:r>
      <w:proofErr w:type="spellEnd"/>
      <w:r w:rsidRPr="00456BE0">
        <w:t xml:space="preserve"> </w:t>
      </w:r>
      <w:proofErr w:type="spellStart"/>
      <w:r w:rsidRPr="00456BE0">
        <w:t>inhibítorov</w:t>
      </w:r>
      <w:proofErr w:type="spellEnd"/>
      <w:r w:rsidRPr="00456BE0">
        <w:t xml:space="preserve"> (</w:t>
      </w:r>
      <w:proofErr w:type="spellStart"/>
      <w:r w:rsidRPr="00456BE0">
        <w:t>napr</w:t>
      </w:r>
      <w:proofErr w:type="spellEnd"/>
      <w:r w:rsidRPr="00456BE0">
        <w:t>. </w:t>
      </w:r>
      <w:proofErr w:type="spellStart"/>
      <w:r w:rsidRPr="00456BE0">
        <w:t>sirolimu</w:t>
      </w:r>
      <w:proofErr w:type="spellEnd"/>
      <w:r w:rsidRPr="00456BE0">
        <w:t xml:space="preserve">, </w:t>
      </w:r>
      <w:proofErr w:type="spellStart"/>
      <w:r w:rsidRPr="00456BE0">
        <w:t>everolimu</w:t>
      </w:r>
      <w:proofErr w:type="spellEnd"/>
      <w:r w:rsidRPr="00456BE0">
        <w:t xml:space="preserve">, </w:t>
      </w:r>
      <w:proofErr w:type="spellStart"/>
      <w:r w:rsidRPr="00456BE0">
        <w:t>temsirolimu</w:t>
      </w:r>
      <w:proofErr w:type="spellEnd"/>
      <w:r w:rsidRPr="00456BE0">
        <w:t>)</w:t>
      </w:r>
    </w:p>
    <w:p w14:paraId="22CF3F4F" w14:textId="5D957ACA" w:rsidR="00C3029B" w:rsidRPr="00571DB3" w:rsidRDefault="00C3029B" w:rsidP="00A84884">
      <w:pPr>
        <w:pStyle w:val="Normlndobloku"/>
        <w:rPr>
          <w:lang w:val="sk-SK"/>
        </w:rPr>
      </w:pPr>
      <w:r w:rsidRPr="005401CC">
        <w:rPr>
          <w:lang w:val="sk-SK"/>
        </w:rPr>
        <w:t>Pacientom na súbežnej lieč</w:t>
      </w:r>
      <w:r w:rsidRPr="00EC5E95">
        <w:rPr>
          <w:lang w:val="sk-SK"/>
        </w:rPr>
        <w:t xml:space="preserve">be </w:t>
      </w:r>
      <w:proofErr w:type="spellStart"/>
      <w:r w:rsidRPr="00EC5E95">
        <w:rPr>
          <w:lang w:val="sk-SK"/>
        </w:rPr>
        <w:t>mTOR</w:t>
      </w:r>
      <w:proofErr w:type="spellEnd"/>
      <w:r w:rsidRPr="00EC5E95">
        <w:rPr>
          <w:lang w:val="sk-SK"/>
        </w:rPr>
        <w:t xml:space="preserve"> inhibítormi (napr. </w:t>
      </w:r>
      <w:proofErr w:type="spellStart"/>
      <w:r w:rsidRPr="005401CC">
        <w:rPr>
          <w:lang w:val="sk-SK"/>
        </w:rPr>
        <w:t>sirolimom</w:t>
      </w:r>
      <w:proofErr w:type="spellEnd"/>
      <w:r w:rsidRPr="005401CC">
        <w:rPr>
          <w:lang w:val="sk-SK"/>
        </w:rPr>
        <w:t xml:space="preserve">, </w:t>
      </w:r>
      <w:proofErr w:type="spellStart"/>
      <w:r w:rsidRPr="005401CC">
        <w:rPr>
          <w:lang w:val="sk-SK"/>
        </w:rPr>
        <w:t>everolimom</w:t>
      </w:r>
      <w:proofErr w:type="spellEnd"/>
      <w:r w:rsidRPr="005401CC">
        <w:rPr>
          <w:lang w:val="sk-SK"/>
        </w:rPr>
        <w:t xml:space="preserve">, </w:t>
      </w:r>
      <w:proofErr w:type="spellStart"/>
      <w:r w:rsidRPr="005401CC">
        <w:rPr>
          <w:lang w:val="sk-SK"/>
        </w:rPr>
        <w:t>temsirolimom</w:t>
      </w:r>
      <w:proofErr w:type="spellEnd"/>
      <w:r w:rsidRPr="005401CC">
        <w:rPr>
          <w:lang w:val="sk-SK"/>
        </w:rPr>
        <w:t>)</w:t>
      </w:r>
      <w:r>
        <w:rPr>
          <w:lang w:val="sk-SK"/>
        </w:rPr>
        <w:t xml:space="preserve"> </w:t>
      </w:r>
      <w:r w:rsidRPr="005401CC">
        <w:rPr>
          <w:lang w:val="sk-SK"/>
        </w:rPr>
        <w:t>môže hroziť vyšš</w:t>
      </w:r>
      <w:r w:rsidRPr="00EC5E95">
        <w:rPr>
          <w:lang w:val="sk-SK"/>
        </w:rPr>
        <w:t xml:space="preserve">ie riziko </w:t>
      </w:r>
      <w:proofErr w:type="spellStart"/>
      <w:r w:rsidRPr="00EC5E95">
        <w:rPr>
          <w:lang w:val="sk-SK"/>
        </w:rPr>
        <w:t>angioedému</w:t>
      </w:r>
      <w:proofErr w:type="spellEnd"/>
      <w:r w:rsidRPr="00EC5E95">
        <w:rPr>
          <w:lang w:val="sk-SK"/>
        </w:rPr>
        <w:t xml:space="preserve"> (napr. </w:t>
      </w:r>
      <w:r w:rsidRPr="005401CC">
        <w:rPr>
          <w:lang w:val="sk-SK"/>
        </w:rPr>
        <w:t>opuch dýchací</w:t>
      </w:r>
      <w:r w:rsidRPr="00EC5E95">
        <w:rPr>
          <w:lang w:val="sk-SK"/>
        </w:rPr>
        <w:t>ch ciest alebo jazyka s</w:t>
      </w:r>
      <w:r>
        <w:rPr>
          <w:lang w:val="sk-SK"/>
        </w:rPr>
        <w:t> </w:t>
      </w:r>
      <w:r w:rsidR="00D505B3">
        <w:rPr>
          <w:lang w:val="sk-SK"/>
        </w:rPr>
        <w:t>poruchou</w:t>
      </w:r>
      <w:r>
        <w:rPr>
          <w:lang w:val="sk-SK"/>
        </w:rPr>
        <w:t xml:space="preserve"> </w:t>
      </w:r>
      <w:r w:rsidRPr="005401CC">
        <w:rPr>
          <w:lang w:val="sk-SK"/>
        </w:rPr>
        <w:t>respiračnej funkcie alebo bez nej) (pozri časť 4.5).</w:t>
      </w:r>
    </w:p>
    <w:p w14:paraId="03BC7725" w14:textId="1C6A99C4" w:rsidR="0076116E" w:rsidRPr="00EC5E95" w:rsidRDefault="00A661F4" w:rsidP="00A84884">
      <w:pPr>
        <w:pStyle w:val="Normlndobloku"/>
        <w:rPr>
          <w:lang w:val="sk-SK"/>
        </w:rPr>
      </w:pPr>
      <w:r w:rsidRPr="00C3029B">
        <w:rPr>
          <w:lang w:val="sk-SK"/>
        </w:rPr>
        <w:t>U </w:t>
      </w:r>
      <w:r w:rsidR="004124B1" w:rsidRPr="00C3029B">
        <w:rPr>
          <w:lang w:val="sk-SK"/>
        </w:rPr>
        <w:t xml:space="preserve">pacientov liečených ACE inhibítormi vrátane </w:t>
      </w:r>
      <w:proofErr w:type="spellStart"/>
      <w:r w:rsidR="004124B1" w:rsidRPr="00C3029B">
        <w:rPr>
          <w:lang w:val="sk-SK"/>
        </w:rPr>
        <w:t>ramiprilu</w:t>
      </w:r>
      <w:proofErr w:type="spellEnd"/>
      <w:r w:rsidR="004124B1" w:rsidRPr="00C3029B">
        <w:rPr>
          <w:lang w:val="sk-SK"/>
        </w:rPr>
        <w:t xml:space="preserve"> bol hlásený </w:t>
      </w:r>
      <w:proofErr w:type="spellStart"/>
      <w:r w:rsidR="004124B1" w:rsidRPr="00C3029B">
        <w:rPr>
          <w:lang w:val="sk-SK"/>
        </w:rPr>
        <w:t>angioedém</w:t>
      </w:r>
      <w:proofErr w:type="spellEnd"/>
      <w:r w:rsidR="004124B1" w:rsidRPr="00C3029B">
        <w:rPr>
          <w:lang w:val="sk-SK"/>
        </w:rPr>
        <w:t xml:space="preserve"> (pozri časť 4.8). V</w:t>
      </w:r>
      <w:r w:rsidR="001C3DB2" w:rsidRPr="00C3029B">
        <w:rPr>
          <w:lang w:val="sk-SK"/>
        </w:rPr>
        <w:t> </w:t>
      </w:r>
      <w:r w:rsidR="004124B1" w:rsidRPr="00C3029B">
        <w:rPr>
          <w:lang w:val="sk-SK"/>
        </w:rPr>
        <w:t>prípade výsk</w:t>
      </w:r>
      <w:r w:rsidRPr="00EC5E95">
        <w:rPr>
          <w:lang w:val="sk-SK"/>
        </w:rPr>
        <w:t xml:space="preserve">ytu </w:t>
      </w:r>
      <w:proofErr w:type="spellStart"/>
      <w:r w:rsidRPr="00EC5E95">
        <w:rPr>
          <w:lang w:val="sk-SK"/>
        </w:rPr>
        <w:t>angioedému</w:t>
      </w:r>
      <w:proofErr w:type="spellEnd"/>
      <w:r w:rsidRPr="00EC5E95">
        <w:rPr>
          <w:lang w:val="sk-SK"/>
        </w:rPr>
        <w:t xml:space="preserve"> sa musí liečba s </w:t>
      </w:r>
      <w:r w:rsidR="004B6804" w:rsidRPr="00EC5E95">
        <w:rPr>
          <w:lang w:val="sk-SK"/>
        </w:rPr>
        <w:t>liekom</w:t>
      </w:r>
      <w:r w:rsidRPr="00EC5E95">
        <w:rPr>
          <w:lang w:val="sk-SK"/>
        </w:rPr>
        <w:t xml:space="preserve"> </w:t>
      </w:r>
      <w:r w:rsidR="00EC5348" w:rsidRPr="00EC5E95">
        <w:rPr>
          <w:lang w:val="sk-SK"/>
        </w:rPr>
        <w:t>RAMIMED</w:t>
      </w:r>
      <w:r w:rsidR="004124B1" w:rsidRPr="00EC5E95">
        <w:rPr>
          <w:lang w:val="sk-SK"/>
        </w:rPr>
        <w:t xml:space="preserve"> ukončiť. Pacient musí byť okamžite liečený na pohotovosti. Musí zostať na pozorovan</w:t>
      </w:r>
      <w:r w:rsidRPr="00EC5E95">
        <w:rPr>
          <w:lang w:val="sk-SK"/>
        </w:rPr>
        <w:t>í najmenej 12 až 24 hodín a </w:t>
      </w:r>
      <w:r w:rsidR="004124B1" w:rsidRPr="00EC5E95">
        <w:rPr>
          <w:lang w:val="sk-SK"/>
        </w:rPr>
        <w:t>prepustený môže byť až po úplnom vymiznutí príznakov.</w:t>
      </w:r>
    </w:p>
    <w:p w14:paraId="703377D1" w14:textId="31E4EC61" w:rsidR="0076116E" w:rsidRPr="00EC5E95" w:rsidRDefault="00A661F4" w:rsidP="00A84884">
      <w:pPr>
        <w:pStyle w:val="Normlndobloku"/>
        <w:rPr>
          <w:lang w:val="sk-SK"/>
        </w:rPr>
      </w:pPr>
      <w:r w:rsidRPr="00EC5E95">
        <w:rPr>
          <w:lang w:val="sk-SK"/>
        </w:rPr>
        <w:t>U </w:t>
      </w:r>
      <w:r w:rsidR="004124B1" w:rsidRPr="00EC5E95">
        <w:rPr>
          <w:lang w:val="sk-SK"/>
        </w:rPr>
        <w:t xml:space="preserve">pacientov liečených ACE inhibítormi vrátane </w:t>
      </w:r>
      <w:r w:rsidR="004B6804" w:rsidRPr="00EC5E95">
        <w:rPr>
          <w:lang w:val="sk-SK"/>
        </w:rPr>
        <w:t>lieku</w:t>
      </w:r>
      <w:r w:rsidRPr="00EC5E95">
        <w:rPr>
          <w:lang w:val="sk-SK"/>
        </w:rPr>
        <w:t xml:space="preserve"> </w:t>
      </w:r>
      <w:r w:rsidR="00EC5348" w:rsidRPr="00EC5E95">
        <w:rPr>
          <w:lang w:val="sk-SK"/>
        </w:rPr>
        <w:t>RAMIMED</w:t>
      </w:r>
      <w:r w:rsidR="004124B1" w:rsidRPr="00EC5E95">
        <w:rPr>
          <w:lang w:val="sk-SK"/>
        </w:rPr>
        <w:t xml:space="preserve"> (pozri časť 4.8) bol hlásený </w:t>
      </w:r>
      <w:proofErr w:type="spellStart"/>
      <w:r w:rsidR="004124B1" w:rsidRPr="00EC5E95">
        <w:rPr>
          <w:lang w:val="sk-SK"/>
        </w:rPr>
        <w:t>intestinálny</w:t>
      </w:r>
      <w:proofErr w:type="spellEnd"/>
      <w:r w:rsidR="004124B1" w:rsidRPr="00EC5E95">
        <w:rPr>
          <w:lang w:val="sk-SK"/>
        </w:rPr>
        <w:t xml:space="preserve"> </w:t>
      </w:r>
      <w:proofErr w:type="spellStart"/>
      <w:r w:rsidR="004124B1" w:rsidRPr="00EC5E95">
        <w:rPr>
          <w:lang w:val="sk-SK"/>
        </w:rPr>
        <w:t>angioedém</w:t>
      </w:r>
      <w:proofErr w:type="spellEnd"/>
      <w:r w:rsidR="004124B1" w:rsidRPr="00EC5E95">
        <w:rPr>
          <w:lang w:val="sk-SK"/>
        </w:rPr>
        <w:t>. Preja</w:t>
      </w:r>
      <w:r w:rsidRPr="00EC5E95">
        <w:rPr>
          <w:lang w:val="sk-SK"/>
        </w:rPr>
        <w:t xml:space="preserve">vil sa </w:t>
      </w:r>
      <w:proofErr w:type="spellStart"/>
      <w:r w:rsidRPr="00EC5E95">
        <w:rPr>
          <w:lang w:val="sk-SK"/>
        </w:rPr>
        <w:t>abdominálnou</w:t>
      </w:r>
      <w:proofErr w:type="spellEnd"/>
      <w:r w:rsidRPr="00EC5E95">
        <w:rPr>
          <w:lang w:val="sk-SK"/>
        </w:rPr>
        <w:t xml:space="preserve"> bolesťou (s </w:t>
      </w:r>
      <w:proofErr w:type="spellStart"/>
      <w:r w:rsidR="004124B1" w:rsidRPr="00EC5E95">
        <w:rPr>
          <w:lang w:val="sk-SK"/>
        </w:rPr>
        <w:t>nauzeou</w:t>
      </w:r>
      <w:proofErr w:type="spellEnd"/>
      <w:r w:rsidR="004124B1" w:rsidRPr="00EC5E95">
        <w:rPr>
          <w:lang w:val="sk-SK"/>
        </w:rPr>
        <w:t xml:space="preserve"> alebo vracaním alebo bez týchto príznakov).</w:t>
      </w:r>
    </w:p>
    <w:p w14:paraId="018881AB" w14:textId="77777777" w:rsidR="0076116E" w:rsidRPr="00456BE0" w:rsidRDefault="004124B1" w:rsidP="0087630B">
      <w:pPr>
        <w:pStyle w:val="Styl3"/>
        <w:rPr>
          <w:lang w:val="sk-SK"/>
        </w:rPr>
      </w:pPr>
      <w:r w:rsidRPr="00456BE0">
        <w:rPr>
          <w:lang w:val="sk-SK"/>
        </w:rPr>
        <w:t>Anafylaktické reakcie počas desenzibilizácie</w:t>
      </w:r>
    </w:p>
    <w:p w14:paraId="6CE33098" w14:textId="757DA499" w:rsidR="0076116E" w:rsidRPr="00EC5E95" w:rsidRDefault="00A661F4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Pravdepodobnosť a závažnosť </w:t>
      </w:r>
      <w:proofErr w:type="spellStart"/>
      <w:r w:rsidRPr="00EC5E95">
        <w:rPr>
          <w:lang w:val="sk-SK"/>
        </w:rPr>
        <w:t>anafylaktických</w:t>
      </w:r>
      <w:proofErr w:type="spellEnd"/>
      <w:r w:rsidRPr="00EC5E95">
        <w:rPr>
          <w:lang w:val="sk-SK"/>
        </w:rPr>
        <w:t xml:space="preserve"> a </w:t>
      </w:r>
      <w:proofErr w:type="spellStart"/>
      <w:r w:rsidR="004124B1" w:rsidRPr="00EC5E95">
        <w:rPr>
          <w:lang w:val="sk-SK"/>
        </w:rPr>
        <w:t>anafylak</w:t>
      </w:r>
      <w:r w:rsidRPr="00EC5E95">
        <w:rPr>
          <w:lang w:val="sk-SK"/>
        </w:rPr>
        <w:t>toidných</w:t>
      </w:r>
      <w:proofErr w:type="spellEnd"/>
      <w:r w:rsidRPr="00EC5E95">
        <w:rPr>
          <w:lang w:val="sk-SK"/>
        </w:rPr>
        <w:t xml:space="preserve"> reakcií na jed hmyzu a </w:t>
      </w:r>
      <w:r w:rsidR="004124B1" w:rsidRPr="00EC5E95">
        <w:rPr>
          <w:lang w:val="sk-SK"/>
        </w:rPr>
        <w:t xml:space="preserve">ďalšie </w:t>
      </w:r>
      <w:proofErr w:type="spellStart"/>
      <w:r w:rsidR="004124B1" w:rsidRPr="00EC5E95">
        <w:rPr>
          <w:lang w:val="sk-SK"/>
        </w:rPr>
        <w:t>alergény</w:t>
      </w:r>
      <w:proofErr w:type="spellEnd"/>
      <w:r w:rsidR="004124B1" w:rsidRPr="00EC5E95">
        <w:rPr>
          <w:lang w:val="sk-SK"/>
        </w:rPr>
        <w:t xml:space="preserve"> sa následkom ACE inhibície zvyšuje. Pred </w:t>
      </w:r>
      <w:proofErr w:type="spellStart"/>
      <w:r w:rsidR="004124B1" w:rsidRPr="00EC5E95">
        <w:rPr>
          <w:lang w:val="sk-SK"/>
        </w:rPr>
        <w:t>desenzibilizáciou</w:t>
      </w:r>
      <w:proofErr w:type="spellEnd"/>
      <w:r w:rsidR="004124B1" w:rsidRPr="00EC5E95">
        <w:rPr>
          <w:lang w:val="sk-SK"/>
        </w:rPr>
        <w:t xml:space="preserve"> je potrebné zvážiť dočasné pozastavenie liečby </w:t>
      </w:r>
      <w:r w:rsidR="004B6804" w:rsidRPr="00EC5E95">
        <w:rPr>
          <w:lang w:val="sk-SK"/>
        </w:rPr>
        <w:t>liekom</w:t>
      </w:r>
      <w:r w:rsidRPr="00EC5E95">
        <w:rPr>
          <w:lang w:val="sk-SK"/>
        </w:rPr>
        <w:t xml:space="preserve"> </w:t>
      </w:r>
      <w:r w:rsidR="00EC5348" w:rsidRPr="00EC5E95">
        <w:rPr>
          <w:lang w:val="sk-SK"/>
        </w:rPr>
        <w:t>RAMIMED</w:t>
      </w:r>
      <w:r w:rsidR="004124B1" w:rsidRPr="00EC5E95">
        <w:rPr>
          <w:lang w:val="sk-SK"/>
        </w:rPr>
        <w:t>.</w:t>
      </w:r>
    </w:p>
    <w:p w14:paraId="62CC2F41" w14:textId="77777777" w:rsidR="0076116E" w:rsidRPr="00456BE0" w:rsidRDefault="004124B1" w:rsidP="0087630B">
      <w:pPr>
        <w:pStyle w:val="Styl3"/>
        <w:rPr>
          <w:lang w:val="sk-SK"/>
        </w:rPr>
      </w:pPr>
      <w:r w:rsidRPr="00456BE0">
        <w:rPr>
          <w:lang w:val="sk-SK"/>
        </w:rPr>
        <w:t>Hyperkaliémia</w:t>
      </w:r>
    </w:p>
    <w:p w14:paraId="4E3DB58B" w14:textId="3332D5FA" w:rsidR="00571DB3" w:rsidRPr="0008481D" w:rsidRDefault="00571DB3" w:rsidP="00571DB3">
      <w:pPr>
        <w:pStyle w:val="Normlndobloku"/>
        <w:rPr>
          <w:rFonts w:eastAsia="TimesNewRoman"/>
          <w:lang w:val="sk-SK"/>
        </w:rPr>
      </w:pPr>
      <w:r>
        <w:rPr>
          <w:rFonts w:eastAsia="TimesNewRoman"/>
          <w:lang w:val="sk-SK"/>
        </w:rPr>
        <w:t>Pri lie</w:t>
      </w:r>
      <w:r>
        <w:rPr>
          <w:rFonts w:eastAsia="TimesNewRoman" w:hint="eastAsia"/>
          <w:lang w:val="sk-SK"/>
        </w:rPr>
        <w:t>č</w:t>
      </w:r>
      <w:r>
        <w:rPr>
          <w:rFonts w:eastAsia="TimesNewRoman"/>
          <w:lang w:val="sk-SK"/>
        </w:rPr>
        <w:t>be ACE inhib</w:t>
      </w:r>
      <w:r>
        <w:rPr>
          <w:rFonts w:eastAsia="TimesNewRoman" w:hint="eastAsia"/>
          <w:lang w:val="sk-SK"/>
        </w:rPr>
        <w:t>í</w:t>
      </w:r>
      <w:r>
        <w:rPr>
          <w:rFonts w:eastAsia="TimesNewRoman"/>
          <w:lang w:val="sk-SK"/>
        </w:rPr>
        <w:t>torom m</w:t>
      </w:r>
      <w:r>
        <w:rPr>
          <w:rFonts w:eastAsia="TimesNewRoman" w:hint="eastAsia"/>
          <w:lang w:val="sk-SK"/>
        </w:rPr>
        <w:t>ôž</w:t>
      </w:r>
      <w:r>
        <w:rPr>
          <w:rFonts w:eastAsia="TimesNewRoman"/>
          <w:lang w:val="sk-SK"/>
        </w:rPr>
        <w:t>e d</w:t>
      </w:r>
      <w:r>
        <w:rPr>
          <w:rFonts w:eastAsia="TimesNewRoman" w:hint="eastAsia"/>
          <w:lang w:val="sk-SK"/>
        </w:rPr>
        <w:t>ô</w:t>
      </w:r>
      <w:r>
        <w:rPr>
          <w:rFonts w:eastAsia="TimesNewRoman"/>
          <w:lang w:val="sk-SK"/>
        </w:rPr>
        <w:t>js</w:t>
      </w:r>
      <w:r>
        <w:rPr>
          <w:rFonts w:eastAsia="TimesNewRoman" w:hint="eastAsia"/>
          <w:lang w:val="sk-SK"/>
        </w:rPr>
        <w:t>ť</w:t>
      </w:r>
      <w:r>
        <w:rPr>
          <w:rFonts w:eastAsia="TimesNewRoman"/>
          <w:lang w:val="sk-SK"/>
        </w:rPr>
        <w:t xml:space="preserve"> k </w:t>
      </w:r>
      <w:proofErr w:type="spellStart"/>
      <w:r>
        <w:rPr>
          <w:rFonts w:eastAsia="TimesNewRoman"/>
          <w:lang w:val="sk-SK"/>
        </w:rPr>
        <w:t>hyperkali</w:t>
      </w:r>
      <w:r>
        <w:rPr>
          <w:rFonts w:eastAsia="TimesNewRoman" w:hint="eastAsia"/>
          <w:lang w:val="sk-SK"/>
        </w:rPr>
        <w:t>é</w:t>
      </w:r>
      <w:r>
        <w:rPr>
          <w:rFonts w:eastAsia="TimesNewRoman"/>
          <w:lang w:val="sk-SK"/>
        </w:rPr>
        <w:t>mii</w:t>
      </w:r>
      <w:proofErr w:type="spellEnd"/>
      <w:r>
        <w:rPr>
          <w:rFonts w:eastAsia="TimesNewRoman"/>
          <w:lang w:val="sk-SK"/>
        </w:rPr>
        <w:t>. K pacientom, u ktor</w:t>
      </w:r>
      <w:r>
        <w:rPr>
          <w:rFonts w:eastAsia="TimesNewRoman" w:hint="eastAsia"/>
          <w:lang w:val="sk-SK"/>
        </w:rPr>
        <w:t>ý</w:t>
      </w:r>
      <w:r>
        <w:rPr>
          <w:rFonts w:eastAsia="TimesNewRoman"/>
          <w:lang w:val="sk-SK"/>
        </w:rPr>
        <w:t>ch hroz</w:t>
      </w:r>
      <w:r>
        <w:rPr>
          <w:rFonts w:eastAsia="TimesNewRoman" w:hint="eastAsia"/>
          <w:lang w:val="sk-SK"/>
        </w:rPr>
        <w:t>í</w:t>
      </w:r>
      <w:r>
        <w:rPr>
          <w:rFonts w:eastAsia="TimesNewRoman"/>
          <w:lang w:val="sk-SK"/>
        </w:rPr>
        <w:t xml:space="preserve"> vznik </w:t>
      </w:r>
      <w:proofErr w:type="spellStart"/>
      <w:r>
        <w:rPr>
          <w:rFonts w:eastAsia="TimesNewRoman"/>
          <w:lang w:val="sk-SK"/>
        </w:rPr>
        <w:t>hyperkali</w:t>
      </w:r>
      <w:r>
        <w:rPr>
          <w:rFonts w:eastAsia="TimesNewRoman" w:hint="eastAsia"/>
          <w:lang w:val="sk-SK"/>
        </w:rPr>
        <w:t>é</w:t>
      </w:r>
      <w:r>
        <w:rPr>
          <w:rFonts w:eastAsia="TimesNewRoman"/>
          <w:lang w:val="sk-SK"/>
        </w:rPr>
        <w:t>mie</w:t>
      </w:r>
      <w:proofErr w:type="spellEnd"/>
      <w:r>
        <w:rPr>
          <w:rFonts w:eastAsia="TimesNewRoman"/>
          <w:lang w:val="sk-SK"/>
        </w:rPr>
        <w:t>, patria jedinci s obli</w:t>
      </w:r>
      <w:r>
        <w:rPr>
          <w:rFonts w:eastAsia="TimesNewRoman" w:hint="eastAsia"/>
          <w:lang w:val="sk-SK"/>
        </w:rPr>
        <w:t>č</w:t>
      </w:r>
      <w:r>
        <w:rPr>
          <w:rFonts w:eastAsia="TimesNewRoman"/>
          <w:lang w:val="sk-SK"/>
        </w:rPr>
        <w:t>kovou nedostato</w:t>
      </w:r>
      <w:r>
        <w:rPr>
          <w:rFonts w:eastAsia="TimesNewRoman" w:hint="eastAsia"/>
          <w:lang w:val="sk-SK"/>
        </w:rPr>
        <w:t>č</w:t>
      </w:r>
      <w:r>
        <w:rPr>
          <w:rFonts w:eastAsia="TimesNewRoman"/>
          <w:lang w:val="sk-SK"/>
        </w:rPr>
        <w:t>nos</w:t>
      </w:r>
      <w:r>
        <w:rPr>
          <w:rFonts w:eastAsia="TimesNewRoman" w:hint="eastAsia"/>
          <w:lang w:val="sk-SK"/>
        </w:rPr>
        <w:t>ť</w:t>
      </w:r>
      <w:r>
        <w:rPr>
          <w:rFonts w:eastAsia="TimesNewRoman"/>
          <w:lang w:val="sk-SK"/>
        </w:rPr>
        <w:t xml:space="preserve">ou, diabetom </w:t>
      </w:r>
      <w:proofErr w:type="spellStart"/>
      <w:r>
        <w:rPr>
          <w:rFonts w:eastAsia="TimesNewRoman"/>
          <w:lang w:val="sk-SK"/>
        </w:rPr>
        <w:t>mellitus</w:t>
      </w:r>
      <w:proofErr w:type="spellEnd"/>
      <w:r>
        <w:rPr>
          <w:rFonts w:eastAsia="TimesNewRoman"/>
          <w:lang w:val="sk-SK"/>
        </w:rPr>
        <w:t xml:space="preserve">, </w:t>
      </w:r>
      <w:proofErr w:type="spellStart"/>
      <w:r>
        <w:rPr>
          <w:rFonts w:eastAsia="TimesNewRoman"/>
          <w:lang w:val="sk-SK"/>
        </w:rPr>
        <w:t>hypoaldosteronizmom</w:t>
      </w:r>
      <w:proofErr w:type="spellEnd"/>
      <w:r>
        <w:rPr>
          <w:rFonts w:eastAsia="TimesNewRoman"/>
          <w:lang w:val="sk-SK"/>
        </w:rPr>
        <w:t xml:space="preserve"> alebo pacienti s</w:t>
      </w:r>
      <w:r>
        <w:rPr>
          <w:rFonts w:eastAsia="TimesNewRoman" w:hint="eastAsia"/>
          <w:lang w:val="sk-SK"/>
        </w:rPr>
        <w:t>ú</w:t>
      </w:r>
      <w:r>
        <w:rPr>
          <w:rFonts w:eastAsia="TimesNewRoman"/>
          <w:lang w:val="sk-SK"/>
        </w:rPr>
        <w:t>be</w:t>
      </w:r>
      <w:r>
        <w:rPr>
          <w:rFonts w:eastAsia="TimesNewRoman" w:hint="eastAsia"/>
          <w:lang w:val="sk-SK"/>
        </w:rPr>
        <w:t>ž</w:t>
      </w:r>
      <w:r>
        <w:rPr>
          <w:rFonts w:eastAsia="TimesNewRoman"/>
          <w:lang w:val="sk-SK"/>
        </w:rPr>
        <w:t>ne u</w:t>
      </w:r>
      <w:r>
        <w:rPr>
          <w:rFonts w:eastAsia="TimesNewRoman" w:hint="eastAsia"/>
          <w:lang w:val="sk-SK"/>
        </w:rPr>
        <w:t>ží</w:t>
      </w:r>
      <w:r>
        <w:rPr>
          <w:rFonts w:eastAsia="TimesNewRoman"/>
          <w:lang w:val="sk-SK"/>
        </w:rPr>
        <w:t>vaj</w:t>
      </w:r>
      <w:r>
        <w:rPr>
          <w:rFonts w:eastAsia="TimesNewRoman" w:hint="eastAsia"/>
          <w:lang w:val="sk-SK"/>
        </w:rPr>
        <w:t>ú</w:t>
      </w:r>
      <w:r>
        <w:rPr>
          <w:rFonts w:eastAsia="TimesNewRoman"/>
          <w:lang w:val="sk-SK"/>
        </w:rPr>
        <w:t>ci drasl</w:t>
      </w:r>
      <w:r>
        <w:rPr>
          <w:rFonts w:eastAsia="TimesNewRoman" w:hint="eastAsia"/>
          <w:lang w:val="sk-SK"/>
        </w:rPr>
        <w:t>í</w:t>
      </w:r>
      <w:r>
        <w:rPr>
          <w:rFonts w:eastAsia="TimesNewRoman"/>
          <w:lang w:val="sk-SK"/>
        </w:rPr>
        <w:t xml:space="preserve">k </w:t>
      </w:r>
      <w:r>
        <w:rPr>
          <w:rFonts w:eastAsia="TimesNewRoman" w:hint="eastAsia"/>
          <w:lang w:val="sk-SK"/>
        </w:rPr>
        <w:t>š</w:t>
      </w:r>
      <w:r>
        <w:rPr>
          <w:rFonts w:eastAsia="TimesNewRoman"/>
          <w:lang w:val="sk-SK"/>
        </w:rPr>
        <w:t>etriace diuretik</w:t>
      </w:r>
      <w:r>
        <w:rPr>
          <w:rFonts w:eastAsia="TimesNewRoman" w:hint="eastAsia"/>
          <w:lang w:val="sk-SK"/>
        </w:rPr>
        <w:t>á</w:t>
      </w:r>
      <w:r>
        <w:rPr>
          <w:rFonts w:eastAsia="TimesNewRoman"/>
          <w:lang w:val="sk-SK"/>
        </w:rPr>
        <w:t>, doplnky drasl</w:t>
      </w:r>
      <w:r>
        <w:rPr>
          <w:rFonts w:eastAsia="TimesNewRoman" w:hint="eastAsia"/>
          <w:lang w:val="sk-SK"/>
        </w:rPr>
        <w:t>í</w:t>
      </w:r>
      <w:r>
        <w:rPr>
          <w:rFonts w:eastAsia="TimesNewRoman"/>
          <w:lang w:val="sk-SK"/>
        </w:rPr>
        <w:t>ka alebo n</w:t>
      </w:r>
      <w:r>
        <w:rPr>
          <w:rFonts w:eastAsia="TimesNewRoman" w:hint="eastAsia"/>
          <w:lang w:val="sk-SK"/>
        </w:rPr>
        <w:t>á</w:t>
      </w:r>
      <w:r>
        <w:rPr>
          <w:rFonts w:eastAsia="TimesNewRoman"/>
          <w:lang w:val="sk-SK"/>
        </w:rPr>
        <w:t>hrady sol</w:t>
      </w:r>
      <w:r>
        <w:rPr>
          <w:rFonts w:eastAsia="TimesNewRoman" w:hint="eastAsia"/>
          <w:lang w:val="sk-SK"/>
        </w:rPr>
        <w:t>í</w:t>
      </w:r>
      <w:r>
        <w:rPr>
          <w:rFonts w:eastAsia="TimesNewRoman"/>
          <w:lang w:val="sk-SK"/>
        </w:rPr>
        <w:t xml:space="preserve"> obsahuj</w:t>
      </w:r>
      <w:r>
        <w:rPr>
          <w:rFonts w:eastAsia="TimesNewRoman" w:hint="eastAsia"/>
          <w:lang w:val="sk-SK"/>
        </w:rPr>
        <w:t>ú</w:t>
      </w:r>
      <w:r>
        <w:rPr>
          <w:rFonts w:eastAsia="TimesNewRoman"/>
          <w:lang w:val="sk-SK"/>
        </w:rPr>
        <w:t>ce drasl</w:t>
      </w:r>
      <w:r>
        <w:rPr>
          <w:rFonts w:eastAsia="TimesNewRoman" w:hint="eastAsia"/>
          <w:lang w:val="sk-SK"/>
        </w:rPr>
        <w:t>í</w:t>
      </w:r>
      <w:r>
        <w:rPr>
          <w:rFonts w:eastAsia="TimesNewRoman"/>
          <w:lang w:val="sk-SK"/>
        </w:rPr>
        <w:t xml:space="preserve">k, </w:t>
      </w:r>
      <w:r w:rsidR="00EB53F0">
        <w:rPr>
          <w:rFonts w:eastAsia="TimesNewRoman"/>
          <w:lang w:val="sk-SK"/>
        </w:rPr>
        <w:t>alebo</w:t>
      </w:r>
      <w:r>
        <w:rPr>
          <w:rFonts w:eastAsia="TimesNewRoman"/>
          <w:lang w:val="sk-SK"/>
        </w:rPr>
        <w:t xml:space="preserve"> pacienti u</w:t>
      </w:r>
      <w:r>
        <w:rPr>
          <w:rFonts w:eastAsia="TimesNewRoman" w:hint="eastAsia"/>
          <w:lang w:val="sk-SK"/>
        </w:rPr>
        <w:t>ží</w:t>
      </w:r>
      <w:r>
        <w:rPr>
          <w:rFonts w:eastAsia="TimesNewRoman"/>
          <w:lang w:val="sk-SK"/>
        </w:rPr>
        <w:t>vaj</w:t>
      </w:r>
      <w:r>
        <w:rPr>
          <w:rFonts w:eastAsia="TimesNewRoman" w:hint="eastAsia"/>
          <w:lang w:val="sk-SK"/>
        </w:rPr>
        <w:t>ú</w:t>
      </w:r>
      <w:r>
        <w:rPr>
          <w:rFonts w:eastAsia="TimesNewRoman"/>
          <w:lang w:val="sk-SK"/>
        </w:rPr>
        <w:t>ci in</w:t>
      </w:r>
      <w:r>
        <w:rPr>
          <w:rFonts w:eastAsia="TimesNewRoman" w:hint="eastAsia"/>
          <w:lang w:val="sk-SK"/>
        </w:rPr>
        <w:t>é</w:t>
      </w:r>
      <w:r>
        <w:rPr>
          <w:rFonts w:eastAsia="TimesNewRoman"/>
          <w:lang w:val="sk-SK"/>
        </w:rPr>
        <w:t xml:space="preserve"> lie</w:t>
      </w:r>
      <w:r>
        <w:rPr>
          <w:rFonts w:eastAsia="TimesNewRoman" w:hint="eastAsia"/>
          <w:lang w:val="sk-SK"/>
        </w:rPr>
        <w:t>č</w:t>
      </w:r>
      <w:r>
        <w:rPr>
          <w:rFonts w:eastAsia="TimesNewRoman"/>
          <w:lang w:val="sk-SK"/>
        </w:rPr>
        <w:t>iv</w:t>
      </w:r>
      <w:r>
        <w:rPr>
          <w:rFonts w:eastAsia="TimesNewRoman" w:hint="eastAsia"/>
          <w:lang w:val="sk-SK"/>
        </w:rPr>
        <w:t>á</w:t>
      </w:r>
      <w:r>
        <w:rPr>
          <w:rFonts w:eastAsia="TimesNewRoman"/>
          <w:lang w:val="sk-SK"/>
        </w:rPr>
        <w:t xml:space="preserve"> s</w:t>
      </w:r>
      <w:r>
        <w:rPr>
          <w:rFonts w:eastAsia="TimesNewRoman" w:hint="eastAsia"/>
          <w:lang w:val="sk-SK"/>
        </w:rPr>
        <w:t>ú</w:t>
      </w:r>
      <w:r>
        <w:rPr>
          <w:rFonts w:eastAsia="TimesNewRoman"/>
          <w:lang w:val="sk-SK"/>
        </w:rPr>
        <w:t>visiace so zv</w:t>
      </w:r>
      <w:r>
        <w:rPr>
          <w:rFonts w:eastAsia="TimesNewRoman" w:hint="eastAsia"/>
          <w:lang w:val="sk-SK"/>
        </w:rPr>
        <w:t>ýš</w:t>
      </w:r>
      <w:r>
        <w:rPr>
          <w:rFonts w:eastAsia="TimesNewRoman"/>
          <w:lang w:val="sk-SK"/>
        </w:rPr>
        <w:t>en</w:t>
      </w:r>
      <w:r>
        <w:rPr>
          <w:rFonts w:eastAsia="TimesNewRoman" w:hint="eastAsia"/>
          <w:lang w:val="sk-SK"/>
        </w:rPr>
        <w:t>í</w:t>
      </w:r>
      <w:r>
        <w:rPr>
          <w:rFonts w:eastAsia="TimesNewRoman"/>
          <w:lang w:val="sk-SK"/>
        </w:rPr>
        <w:t>m hladiny drasl</w:t>
      </w:r>
      <w:r>
        <w:rPr>
          <w:rFonts w:eastAsia="TimesNewRoman" w:hint="eastAsia"/>
          <w:lang w:val="sk-SK"/>
        </w:rPr>
        <w:t>í</w:t>
      </w:r>
      <w:r>
        <w:rPr>
          <w:rFonts w:eastAsia="TimesNewRoman"/>
          <w:lang w:val="sk-SK"/>
        </w:rPr>
        <w:t>ka v s</w:t>
      </w:r>
      <w:r>
        <w:rPr>
          <w:rFonts w:eastAsia="TimesNewRoman" w:hint="eastAsia"/>
          <w:lang w:val="sk-SK"/>
        </w:rPr>
        <w:t>é</w:t>
      </w:r>
      <w:r>
        <w:rPr>
          <w:rFonts w:eastAsia="TimesNewRoman"/>
          <w:lang w:val="sk-SK"/>
        </w:rPr>
        <w:t>re (napr. </w:t>
      </w:r>
      <w:proofErr w:type="spellStart"/>
      <w:r>
        <w:rPr>
          <w:rFonts w:eastAsia="TimesNewRoman"/>
          <w:lang w:val="sk-SK"/>
        </w:rPr>
        <w:t>hepar</w:t>
      </w:r>
      <w:r>
        <w:rPr>
          <w:rFonts w:eastAsia="TimesNewRoman" w:hint="eastAsia"/>
          <w:lang w:val="sk-SK"/>
        </w:rPr>
        <w:t>í</w:t>
      </w:r>
      <w:r>
        <w:rPr>
          <w:rFonts w:eastAsia="TimesNewRoman"/>
          <w:lang w:val="sk-SK"/>
        </w:rPr>
        <w:t>n</w:t>
      </w:r>
      <w:proofErr w:type="spellEnd"/>
      <w:r>
        <w:rPr>
          <w:rFonts w:ascii="TimesNewRoman,Bold" w:eastAsia="TimesNewRoman" w:hAnsi="TimesNewRoman,Bold" w:cs="TimesNewRoman,Bold"/>
          <w:b/>
          <w:bCs/>
          <w:lang w:val="sk-SK"/>
        </w:rPr>
        <w:t xml:space="preserve">, </w:t>
      </w:r>
      <w:proofErr w:type="spellStart"/>
      <w:r w:rsidRPr="00C404A3">
        <w:rPr>
          <w:rFonts w:ascii="TimesNewRoman,Bold" w:eastAsia="TimesNewRoman" w:hAnsi="TimesNewRoman,Bold" w:cs="TimesNewRoman,Bold"/>
          <w:bCs/>
          <w:lang w:val="sk-SK"/>
        </w:rPr>
        <w:t>kotrimoxazol</w:t>
      </w:r>
      <w:proofErr w:type="spellEnd"/>
      <w:r w:rsidRPr="00C404A3">
        <w:rPr>
          <w:rFonts w:ascii="TimesNewRoman,Bold" w:eastAsia="TimesNewRoman" w:hAnsi="TimesNewRoman,Bold" w:cs="TimesNewRoman,Bold"/>
          <w:bCs/>
          <w:lang w:val="sk-SK"/>
        </w:rPr>
        <w:t>, známy aj</w:t>
      </w:r>
      <w:r w:rsidRPr="00C404A3">
        <w:rPr>
          <w:rFonts w:ascii="TimesNewRoman,Bold" w:eastAsia="TimesNewRoman" w:hAnsi="TimesNewRoman,Bold"/>
          <w:lang w:val="sk-SK"/>
        </w:rPr>
        <w:t xml:space="preserve"> ako </w:t>
      </w:r>
      <w:proofErr w:type="spellStart"/>
      <w:r w:rsidRPr="00C404A3">
        <w:rPr>
          <w:rFonts w:ascii="TimesNewRoman,Bold" w:eastAsia="TimesNewRoman" w:hAnsi="TimesNewRoman,Bold" w:cs="TimesNewRoman,Bold"/>
          <w:bCs/>
          <w:lang w:val="sk-SK"/>
        </w:rPr>
        <w:t>trimetoprim</w:t>
      </w:r>
      <w:proofErr w:type="spellEnd"/>
      <w:r w:rsidRPr="00C404A3">
        <w:rPr>
          <w:rFonts w:ascii="TimesNewRoman,Bold" w:eastAsia="TimesNewRoman" w:hAnsi="TimesNewRoman,Bold" w:cs="TimesNewRoman,Bold"/>
          <w:bCs/>
          <w:lang w:val="sk-SK"/>
        </w:rPr>
        <w:t>/</w:t>
      </w:r>
      <w:proofErr w:type="spellStart"/>
      <w:r w:rsidRPr="00C404A3">
        <w:rPr>
          <w:rFonts w:ascii="TimesNewRoman,Bold" w:eastAsia="TimesNewRoman" w:hAnsi="TimesNewRoman,Bold" w:cs="TimesNewRoman,Bold"/>
          <w:bCs/>
          <w:lang w:val="sk-SK"/>
        </w:rPr>
        <w:t>sulfametoxazol</w:t>
      </w:r>
      <w:proofErr w:type="spellEnd"/>
      <w:r w:rsidRPr="00D505B3">
        <w:rPr>
          <w:rFonts w:eastAsia="TimesNewRoman"/>
          <w:lang w:val="sk-SK"/>
        </w:rPr>
        <w:t>).</w:t>
      </w:r>
      <w:r>
        <w:rPr>
          <w:rFonts w:eastAsia="TimesNewRoman"/>
          <w:lang w:val="sk-SK"/>
        </w:rPr>
        <w:t xml:space="preserve"> Ak sa s</w:t>
      </w:r>
      <w:r>
        <w:rPr>
          <w:rFonts w:eastAsia="TimesNewRoman" w:hint="eastAsia"/>
          <w:lang w:val="sk-SK"/>
        </w:rPr>
        <w:t>ú</w:t>
      </w:r>
      <w:r>
        <w:rPr>
          <w:rFonts w:eastAsia="TimesNewRoman"/>
          <w:lang w:val="sk-SK"/>
        </w:rPr>
        <w:t>be</w:t>
      </w:r>
      <w:r>
        <w:rPr>
          <w:rFonts w:eastAsia="TimesNewRoman" w:hint="eastAsia"/>
          <w:lang w:val="sk-SK"/>
        </w:rPr>
        <w:t>ž</w:t>
      </w:r>
      <w:r>
        <w:rPr>
          <w:rFonts w:eastAsia="TimesNewRoman"/>
          <w:lang w:val="sk-SK"/>
        </w:rPr>
        <w:t>n</w:t>
      </w:r>
      <w:r>
        <w:rPr>
          <w:rFonts w:eastAsia="TimesNewRoman" w:hint="eastAsia"/>
          <w:lang w:val="sk-SK"/>
        </w:rPr>
        <w:t>é</w:t>
      </w:r>
      <w:r>
        <w:rPr>
          <w:rFonts w:eastAsia="TimesNewRoman"/>
          <w:lang w:val="sk-SK"/>
        </w:rPr>
        <w:t xml:space="preserve"> </w:t>
      </w:r>
      <w:r w:rsidR="00EB53F0">
        <w:rPr>
          <w:rFonts w:eastAsia="TimesNewRoman"/>
          <w:lang w:val="sk-SK"/>
        </w:rPr>
        <w:t>po</w:t>
      </w:r>
      <w:r>
        <w:rPr>
          <w:rFonts w:eastAsia="TimesNewRoman"/>
          <w:lang w:val="sk-SK"/>
        </w:rPr>
        <w:t>u</w:t>
      </w:r>
      <w:r>
        <w:rPr>
          <w:rFonts w:eastAsia="TimesNewRoman" w:hint="eastAsia"/>
          <w:lang w:val="sk-SK"/>
        </w:rPr>
        <w:t>ží</w:t>
      </w:r>
      <w:r>
        <w:rPr>
          <w:rFonts w:eastAsia="TimesNewRoman"/>
          <w:lang w:val="sk-SK"/>
        </w:rPr>
        <w:t>vanie uveden</w:t>
      </w:r>
      <w:r>
        <w:rPr>
          <w:rFonts w:eastAsia="TimesNewRoman" w:hint="eastAsia"/>
          <w:lang w:val="sk-SK"/>
        </w:rPr>
        <w:t>ý</w:t>
      </w:r>
      <w:r>
        <w:rPr>
          <w:rFonts w:eastAsia="TimesNewRoman"/>
          <w:lang w:val="sk-SK"/>
        </w:rPr>
        <w:t>ch l</w:t>
      </w:r>
      <w:r w:rsidR="00D505B3">
        <w:rPr>
          <w:rFonts w:eastAsia="TimesNewRoman"/>
          <w:lang w:val="sk-SK"/>
        </w:rPr>
        <w:t>iečiv</w:t>
      </w:r>
      <w:r>
        <w:rPr>
          <w:rFonts w:eastAsia="TimesNewRoman"/>
          <w:lang w:val="sk-SK"/>
        </w:rPr>
        <w:t xml:space="preserve"> pova</w:t>
      </w:r>
      <w:r>
        <w:rPr>
          <w:rFonts w:eastAsia="TimesNewRoman" w:hint="eastAsia"/>
          <w:lang w:val="sk-SK"/>
        </w:rPr>
        <w:t>ž</w:t>
      </w:r>
      <w:r>
        <w:rPr>
          <w:rFonts w:eastAsia="TimesNewRoman"/>
          <w:lang w:val="sk-SK"/>
        </w:rPr>
        <w:t>uje za vhodn</w:t>
      </w:r>
      <w:r>
        <w:rPr>
          <w:rFonts w:eastAsia="TimesNewRoman" w:hint="eastAsia"/>
          <w:lang w:val="sk-SK"/>
        </w:rPr>
        <w:t>é</w:t>
      </w:r>
      <w:r>
        <w:rPr>
          <w:rFonts w:eastAsia="TimesNewRoman"/>
          <w:lang w:val="sk-SK"/>
        </w:rPr>
        <w:t>, odpor</w:t>
      </w:r>
      <w:r>
        <w:rPr>
          <w:rFonts w:eastAsia="TimesNewRoman" w:hint="eastAsia"/>
          <w:lang w:val="sk-SK"/>
        </w:rPr>
        <w:t>úč</w:t>
      </w:r>
      <w:r>
        <w:rPr>
          <w:rFonts w:eastAsia="TimesNewRoman"/>
          <w:lang w:val="sk-SK"/>
        </w:rPr>
        <w:t>a sa pravideln</w:t>
      </w:r>
      <w:r>
        <w:rPr>
          <w:rFonts w:eastAsia="TimesNewRoman" w:hint="eastAsia"/>
          <w:lang w:val="sk-SK"/>
        </w:rPr>
        <w:t>é</w:t>
      </w:r>
      <w:r>
        <w:rPr>
          <w:rFonts w:eastAsia="TimesNewRoman"/>
          <w:lang w:val="sk-SK"/>
        </w:rPr>
        <w:t xml:space="preserve"> sledovanie hladiny drasl</w:t>
      </w:r>
      <w:r>
        <w:rPr>
          <w:rFonts w:eastAsia="TimesNewRoman" w:hint="eastAsia"/>
          <w:lang w:val="sk-SK"/>
        </w:rPr>
        <w:t>í</w:t>
      </w:r>
      <w:r>
        <w:rPr>
          <w:rFonts w:eastAsia="TimesNewRoman"/>
          <w:lang w:val="sk-SK"/>
        </w:rPr>
        <w:t>ka v s</w:t>
      </w:r>
      <w:r>
        <w:rPr>
          <w:rFonts w:eastAsia="TimesNewRoman" w:hint="eastAsia"/>
          <w:lang w:val="sk-SK"/>
        </w:rPr>
        <w:t>é</w:t>
      </w:r>
      <w:r>
        <w:rPr>
          <w:rFonts w:eastAsia="TimesNewRoman"/>
          <w:lang w:val="sk-SK"/>
        </w:rPr>
        <w:t xml:space="preserve">re (pozri </w:t>
      </w:r>
      <w:r>
        <w:rPr>
          <w:rFonts w:eastAsia="TimesNewRoman" w:hint="eastAsia"/>
          <w:lang w:val="sk-SK"/>
        </w:rPr>
        <w:t>č</w:t>
      </w:r>
      <w:r>
        <w:rPr>
          <w:rFonts w:eastAsia="TimesNewRoman"/>
          <w:lang w:val="sk-SK"/>
        </w:rPr>
        <w:t>as</w:t>
      </w:r>
      <w:r>
        <w:rPr>
          <w:rFonts w:eastAsia="TimesNewRoman" w:hint="eastAsia"/>
          <w:lang w:val="sk-SK"/>
        </w:rPr>
        <w:t>ť</w:t>
      </w:r>
      <w:r>
        <w:rPr>
          <w:rFonts w:eastAsia="TimesNewRoman"/>
          <w:lang w:val="sk-SK"/>
        </w:rPr>
        <w:t xml:space="preserve"> 4.5).</w:t>
      </w:r>
    </w:p>
    <w:p w14:paraId="306A62AC" w14:textId="77777777" w:rsidR="0076116E" w:rsidRPr="00456BE0" w:rsidRDefault="004124B1" w:rsidP="0087630B">
      <w:pPr>
        <w:pStyle w:val="Styl3"/>
        <w:rPr>
          <w:lang w:val="sk-SK"/>
        </w:rPr>
      </w:pPr>
      <w:r w:rsidRPr="00456BE0">
        <w:rPr>
          <w:lang w:val="sk-SK"/>
        </w:rPr>
        <w:t>Neutropénia/agranulocytóza</w:t>
      </w:r>
    </w:p>
    <w:p w14:paraId="7C583DC4" w14:textId="26B06221" w:rsidR="0076116E" w:rsidRPr="00EC5E95" w:rsidRDefault="004124B1" w:rsidP="00A84884">
      <w:pPr>
        <w:pStyle w:val="Normlndobloku"/>
        <w:rPr>
          <w:lang w:val="sk-SK"/>
        </w:rPr>
      </w:pPr>
      <w:r w:rsidRPr="00571DB3">
        <w:rPr>
          <w:lang w:val="sk-SK"/>
        </w:rPr>
        <w:t xml:space="preserve">Zriedkavo sa vyskytla </w:t>
      </w:r>
      <w:proofErr w:type="spellStart"/>
      <w:r w:rsidRPr="00571DB3">
        <w:rPr>
          <w:lang w:val="sk-SK"/>
        </w:rPr>
        <w:t>neutropénia</w:t>
      </w:r>
      <w:proofErr w:type="spellEnd"/>
      <w:r w:rsidRPr="00571DB3">
        <w:rPr>
          <w:lang w:val="sk-SK"/>
        </w:rPr>
        <w:t>/</w:t>
      </w:r>
      <w:proofErr w:type="spellStart"/>
      <w:r w:rsidRPr="00571DB3">
        <w:rPr>
          <w:lang w:val="sk-SK"/>
        </w:rPr>
        <w:t>agranulo</w:t>
      </w:r>
      <w:r w:rsidR="00A661F4" w:rsidRPr="00571DB3">
        <w:rPr>
          <w:lang w:val="sk-SK"/>
        </w:rPr>
        <w:t>cytóza</w:t>
      </w:r>
      <w:proofErr w:type="spellEnd"/>
      <w:r w:rsidR="00A661F4" w:rsidRPr="00571DB3">
        <w:rPr>
          <w:lang w:val="sk-SK"/>
        </w:rPr>
        <w:t xml:space="preserve"> ako aj </w:t>
      </w:r>
      <w:proofErr w:type="spellStart"/>
      <w:r w:rsidR="00A661F4" w:rsidRPr="00571DB3">
        <w:rPr>
          <w:lang w:val="sk-SK"/>
        </w:rPr>
        <w:t>trombocytopénia</w:t>
      </w:r>
      <w:proofErr w:type="spellEnd"/>
      <w:r w:rsidR="00A661F4" w:rsidRPr="00571DB3">
        <w:rPr>
          <w:lang w:val="sk-SK"/>
        </w:rPr>
        <w:t xml:space="preserve"> a anémia a </w:t>
      </w:r>
      <w:r w:rsidRPr="001E636D">
        <w:rPr>
          <w:lang w:val="sk-SK"/>
        </w:rPr>
        <w:t xml:space="preserve">taktiež bol hlásený útlm kostnej drene. Odporúča sa sledovať počet bielych krviniek, aby bolo možné odhaliť možnú </w:t>
      </w:r>
      <w:proofErr w:type="spellStart"/>
      <w:r w:rsidRPr="001E636D">
        <w:rPr>
          <w:lang w:val="sk-SK"/>
        </w:rPr>
        <w:t>leukopéniu</w:t>
      </w:r>
      <w:proofErr w:type="spellEnd"/>
      <w:r w:rsidRPr="001E636D">
        <w:rPr>
          <w:lang w:val="sk-SK"/>
        </w:rPr>
        <w:t>. Čas</w:t>
      </w:r>
      <w:r w:rsidR="00A661F4" w:rsidRPr="00C3029B">
        <w:rPr>
          <w:lang w:val="sk-SK"/>
        </w:rPr>
        <w:t>tejšie sledovanie sa odporúča v začiatočnej fáze liečby a </w:t>
      </w:r>
      <w:r w:rsidRPr="00C3029B">
        <w:rPr>
          <w:lang w:val="sk-SK"/>
        </w:rPr>
        <w:t>u</w:t>
      </w:r>
      <w:r w:rsidR="00A661F4" w:rsidRPr="00C3029B">
        <w:rPr>
          <w:lang w:val="sk-SK"/>
        </w:rPr>
        <w:t> </w:t>
      </w:r>
      <w:r w:rsidRPr="00C3029B">
        <w:rPr>
          <w:lang w:val="sk-SK"/>
        </w:rPr>
        <w:t>pacientov so</w:t>
      </w:r>
      <w:r w:rsidR="00A661F4" w:rsidRPr="00C3029B">
        <w:rPr>
          <w:lang w:val="sk-SK"/>
        </w:rPr>
        <w:t xml:space="preserve"> zhoršenou </w:t>
      </w:r>
      <w:proofErr w:type="spellStart"/>
      <w:r w:rsidR="00A661F4" w:rsidRPr="00C3029B">
        <w:rPr>
          <w:lang w:val="sk-SK"/>
        </w:rPr>
        <w:t>renálnou</w:t>
      </w:r>
      <w:proofErr w:type="spellEnd"/>
      <w:r w:rsidR="00A661F4" w:rsidRPr="00C3029B">
        <w:rPr>
          <w:lang w:val="sk-SK"/>
        </w:rPr>
        <w:t xml:space="preserve"> funkciou, u </w:t>
      </w:r>
      <w:r w:rsidRPr="00EC5E95">
        <w:rPr>
          <w:lang w:val="sk-SK"/>
        </w:rPr>
        <w:t>tých, ktorí majú súčasn</w:t>
      </w:r>
      <w:r w:rsidR="00A661F4" w:rsidRPr="00EC5E95">
        <w:rPr>
          <w:lang w:val="sk-SK"/>
        </w:rPr>
        <w:t xml:space="preserve">e </w:t>
      </w:r>
      <w:proofErr w:type="spellStart"/>
      <w:r w:rsidR="00A661F4" w:rsidRPr="00EC5E95">
        <w:rPr>
          <w:lang w:val="sk-SK"/>
        </w:rPr>
        <w:t>kolagénové</w:t>
      </w:r>
      <w:proofErr w:type="spellEnd"/>
      <w:r w:rsidR="00A661F4" w:rsidRPr="00EC5E95">
        <w:rPr>
          <w:lang w:val="sk-SK"/>
        </w:rPr>
        <w:t xml:space="preserve"> ochorenie (napr. </w:t>
      </w:r>
      <w:proofErr w:type="spellStart"/>
      <w:r w:rsidRPr="00EC5E95">
        <w:rPr>
          <w:lang w:val="sk-SK"/>
        </w:rPr>
        <w:t>lupus</w:t>
      </w:r>
      <w:proofErr w:type="spellEnd"/>
      <w:r w:rsidRPr="00EC5E95">
        <w:rPr>
          <w:lang w:val="sk-SK"/>
        </w:rPr>
        <w:t xml:space="preserve"> </w:t>
      </w:r>
      <w:proofErr w:type="spellStart"/>
      <w:r w:rsidRPr="00EC5E95">
        <w:rPr>
          <w:lang w:val="sk-SK"/>
        </w:rPr>
        <w:t>eryt</w:t>
      </w:r>
      <w:r w:rsidR="00A661F4" w:rsidRPr="00EC5E95">
        <w:rPr>
          <w:lang w:val="sk-SK"/>
        </w:rPr>
        <w:t>hematosus</w:t>
      </w:r>
      <w:proofErr w:type="spellEnd"/>
      <w:r w:rsidR="00A661F4" w:rsidRPr="00EC5E95">
        <w:rPr>
          <w:lang w:val="sk-SK"/>
        </w:rPr>
        <w:t xml:space="preserve"> alebo </w:t>
      </w:r>
      <w:proofErr w:type="spellStart"/>
      <w:r w:rsidR="00A661F4" w:rsidRPr="00EC5E95">
        <w:rPr>
          <w:lang w:val="sk-SK"/>
        </w:rPr>
        <w:t>sklerodermia</w:t>
      </w:r>
      <w:proofErr w:type="spellEnd"/>
      <w:r w:rsidR="00A661F4" w:rsidRPr="00EC5E95">
        <w:rPr>
          <w:lang w:val="sk-SK"/>
        </w:rPr>
        <w:t>) a u </w:t>
      </w:r>
      <w:r w:rsidRPr="00EC5E95">
        <w:rPr>
          <w:lang w:val="sk-SK"/>
        </w:rPr>
        <w:t>pacientov liečených inými liekmi, ktoré môžu spôsobovať zmeny krvného obrazu (pozri časti 4.5 a</w:t>
      </w:r>
      <w:r w:rsidR="00A661F4" w:rsidRPr="00EC5E95">
        <w:rPr>
          <w:lang w:val="sk-SK"/>
        </w:rPr>
        <w:t> </w:t>
      </w:r>
      <w:r w:rsidRPr="00EC5E95">
        <w:rPr>
          <w:lang w:val="sk-SK"/>
        </w:rPr>
        <w:t>4.8).</w:t>
      </w:r>
    </w:p>
    <w:p w14:paraId="60468DE0" w14:textId="77777777" w:rsidR="0076116E" w:rsidRPr="00456BE0" w:rsidRDefault="004124B1" w:rsidP="0087630B">
      <w:pPr>
        <w:pStyle w:val="Styl3"/>
        <w:rPr>
          <w:lang w:val="sk-SK"/>
        </w:rPr>
      </w:pPr>
      <w:r w:rsidRPr="00456BE0">
        <w:rPr>
          <w:lang w:val="sk-SK"/>
        </w:rPr>
        <w:t>Etnické rozdiely</w:t>
      </w:r>
    </w:p>
    <w:p w14:paraId="0DBDA604" w14:textId="7771900F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>ACE inhibítory spôs</w:t>
      </w:r>
      <w:r w:rsidR="00A661F4" w:rsidRPr="00EC5E95">
        <w:rPr>
          <w:lang w:val="sk-SK"/>
        </w:rPr>
        <w:t xml:space="preserve">obujú vyšší výskyt </w:t>
      </w:r>
      <w:proofErr w:type="spellStart"/>
      <w:r w:rsidR="00A661F4" w:rsidRPr="00EC5E95">
        <w:rPr>
          <w:lang w:val="sk-SK"/>
        </w:rPr>
        <w:t>angioedému</w:t>
      </w:r>
      <w:proofErr w:type="spellEnd"/>
      <w:r w:rsidR="00A661F4" w:rsidRPr="00EC5E95">
        <w:rPr>
          <w:lang w:val="sk-SK"/>
        </w:rPr>
        <w:t xml:space="preserve"> u </w:t>
      </w:r>
      <w:r w:rsidRPr="00EC5E95">
        <w:rPr>
          <w:lang w:val="sk-SK"/>
        </w:rPr>
        <w:t>pacientov či</w:t>
      </w:r>
      <w:r w:rsidR="00A661F4" w:rsidRPr="00EC5E95">
        <w:rPr>
          <w:lang w:val="sk-SK"/>
        </w:rPr>
        <w:t>ernej pleti v porovnaní s </w:t>
      </w:r>
      <w:r w:rsidRPr="00EC5E95">
        <w:rPr>
          <w:lang w:val="sk-SK"/>
        </w:rPr>
        <w:t>pacientmi inej rasy.</w:t>
      </w:r>
    </w:p>
    <w:p w14:paraId="3F96A08D" w14:textId="3FDF6F07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>Podobne ako aj iné ACE inhibítory m</w:t>
      </w:r>
      <w:r w:rsidR="00A661F4" w:rsidRPr="00EC5E95">
        <w:rPr>
          <w:lang w:val="sk-SK"/>
        </w:rPr>
        <w:t xml:space="preserve">ôže byť </w:t>
      </w:r>
      <w:proofErr w:type="spellStart"/>
      <w:r w:rsidR="00A661F4" w:rsidRPr="00EC5E95">
        <w:rPr>
          <w:lang w:val="sk-SK"/>
        </w:rPr>
        <w:t>ramipril</w:t>
      </w:r>
      <w:proofErr w:type="spellEnd"/>
      <w:r w:rsidR="00A661F4" w:rsidRPr="00EC5E95">
        <w:rPr>
          <w:lang w:val="sk-SK"/>
        </w:rPr>
        <w:t xml:space="preserve"> menej účinný v </w:t>
      </w:r>
      <w:r w:rsidRPr="00EC5E95">
        <w:rPr>
          <w:lang w:val="sk-SK"/>
        </w:rPr>
        <w:t>znižovaní krvného tlaku u</w:t>
      </w:r>
      <w:r w:rsidR="001C3DB2" w:rsidRPr="00EC5E95">
        <w:rPr>
          <w:lang w:val="sk-SK"/>
        </w:rPr>
        <w:t> </w:t>
      </w:r>
      <w:r w:rsidR="00A661F4" w:rsidRPr="00EC5E95">
        <w:rPr>
          <w:lang w:val="sk-SK"/>
        </w:rPr>
        <w:t>pacientov čiernej pleti ako u </w:t>
      </w:r>
      <w:r w:rsidRPr="00EC5E95">
        <w:rPr>
          <w:lang w:val="sk-SK"/>
        </w:rPr>
        <w:t xml:space="preserve">pacientov </w:t>
      </w:r>
      <w:r w:rsidR="00E97674" w:rsidRPr="00EC5E95">
        <w:rPr>
          <w:lang w:val="sk-SK"/>
        </w:rPr>
        <w:t>inej</w:t>
      </w:r>
      <w:r w:rsidR="00A661F4" w:rsidRPr="00EC5E95">
        <w:rPr>
          <w:lang w:val="sk-SK"/>
        </w:rPr>
        <w:t xml:space="preserve"> rasy, možno z </w:t>
      </w:r>
      <w:r w:rsidRPr="00EC5E95">
        <w:rPr>
          <w:lang w:val="sk-SK"/>
        </w:rPr>
        <w:t xml:space="preserve">dôvodu vyššej </w:t>
      </w:r>
      <w:proofErr w:type="spellStart"/>
      <w:r w:rsidRPr="00EC5E95">
        <w:rPr>
          <w:lang w:val="sk-SK"/>
        </w:rPr>
        <w:t>prevalencie</w:t>
      </w:r>
      <w:proofErr w:type="spellEnd"/>
      <w:r w:rsidRPr="00EC5E95">
        <w:rPr>
          <w:lang w:val="sk-SK"/>
        </w:rPr>
        <w:t xml:space="preserve"> hypertenzie s</w:t>
      </w:r>
      <w:r w:rsidR="001C3DB2" w:rsidRPr="00EC5E95">
        <w:rPr>
          <w:lang w:val="sk-SK"/>
        </w:rPr>
        <w:t> </w:t>
      </w:r>
      <w:r w:rsidRPr="00EC5E95">
        <w:rPr>
          <w:lang w:val="sk-SK"/>
        </w:rPr>
        <w:t xml:space="preserve">nízkou hladinou </w:t>
      </w:r>
      <w:proofErr w:type="spellStart"/>
      <w:r w:rsidRPr="00EC5E95">
        <w:rPr>
          <w:lang w:val="sk-SK"/>
        </w:rPr>
        <w:t>r</w:t>
      </w:r>
      <w:r w:rsidR="00A661F4" w:rsidRPr="00EC5E95">
        <w:rPr>
          <w:lang w:val="sk-SK"/>
        </w:rPr>
        <w:t>enínu</w:t>
      </w:r>
      <w:proofErr w:type="spellEnd"/>
      <w:r w:rsidR="00A661F4" w:rsidRPr="00EC5E95">
        <w:rPr>
          <w:lang w:val="sk-SK"/>
        </w:rPr>
        <w:t xml:space="preserve"> v </w:t>
      </w:r>
      <w:r w:rsidRPr="00EC5E95">
        <w:rPr>
          <w:lang w:val="sk-SK"/>
        </w:rPr>
        <w:t>černošskej</w:t>
      </w:r>
      <w:r w:rsidR="00A661F4" w:rsidRPr="00EC5E95">
        <w:rPr>
          <w:lang w:val="sk-SK"/>
        </w:rPr>
        <w:t xml:space="preserve"> populácii s </w:t>
      </w:r>
      <w:r w:rsidRPr="00EC5E95">
        <w:rPr>
          <w:lang w:val="sk-SK"/>
        </w:rPr>
        <w:t>hypertenziou.</w:t>
      </w:r>
    </w:p>
    <w:p w14:paraId="109A0470" w14:textId="77777777" w:rsidR="0076116E" w:rsidRPr="00456BE0" w:rsidRDefault="004124B1" w:rsidP="0087630B">
      <w:pPr>
        <w:pStyle w:val="Styl3"/>
        <w:rPr>
          <w:lang w:val="sk-SK"/>
        </w:rPr>
      </w:pPr>
      <w:r w:rsidRPr="00456BE0">
        <w:rPr>
          <w:lang w:val="sk-SK"/>
        </w:rPr>
        <w:lastRenderedPageBreak/>
        <w:t>Kašeľ</w:t>
      </w:r>
    </w:p>
    <w:p w14:paraId="7FA8ED8A" w14:textId="79B33854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>Pri užívaní ACE inhibítorov bol hlásený kašeľ. Charakteristicky je kašeľ neproduktívny, pretrvávajúci a</w:t>
      </w:r>
      <w:r w:rsidR="001C3DB2" w:rsidRPr="00EC5E95">
        <w:rPr>
          <w:lang w:val="sk-SK"/>
        </w:rPr>
        <w:t> </w:t>
      </w:r>
      <w:r w:rsidRPr="00EC5E95">
        <w:rPr>
          <w:lang w:val="sk-SK"/>
        </w:rPr>
        <w:t xml:space="preserve">po ukončení liečby vymizne. Kašeľ vyvolaný ACE inhibítorom je potrebné považovať </w:t>
      </w:r>
      <w:r w:rsidR="00A00A1D" w:rsidRPr="00EC5E95">
        <w:rPr>
          <w:lang w:val="sk-SK"/>
        </w:rPr>
        <w:t xml:space="preserve">za súčasť diferenciálnej </w:t>
      </w:r>
      <w:r w:rsidRPr="00EC5E95">
        <w:rPr>
          <w:lang w:val="sk-SK"/>
        </w:rPr>
        <w:t>diagnóz</w:t>
      </w:r>
      <w:r w:rsidR="00A00A1D" w:rsidRPr="00EC5E95">
        <w:rPr>
          <w:lang w:val="sk-SK"/>
        </w:rPr>
        <w:t>y</w:t>
      </w:r>
      <w:r w:rsidRPr="00EC5E95">
        <w:rPr>
          <w:lang w:val="sk-SK"/>
        </w:rPr>
        <w:t xml:space="preserve"> kašľa.</w:t>
      </w:r>
    </w:p>
    <w:p w14:paraId="0EADB176" w14:textId="4833AE69" w:rsidR="00870E11" w:rsidRPr="00C404A3" w:rsidRDefault="00904D2A" w:rsidP="00456BE0">
      <w:pPr>
        <w:pStyle w:val="Styl3"/>
        <w:rPr>
          <w:noProof w:val="0"/>
          <w:lang w:val="sk-SK"/>
        </w:rPr>
      </w:pPr>
      <w:r w:rsidRPr="00C404A3">
        <w:rPr>
          <w:noProof w:val="0"/>
          <w:lang w:val="sk-SK"/>
        </w:rPr>
        <w:t>RAMIMED</w:t>
      </w:r>
      <w:r w:rsidR="00F546C5" w:rsidRPr="00C404A3">
        <w:rPr>
          <w:lang w:val="sk-SK"/>
        </w:rPr>
        <w:t xml:space="preserve"> </w:t>
      </w:r>
      <w:r w:rsidR="00A84884" w:rsidRPr="00C404A3">
        <w:rPr>
          <w:lang w:val="sk-SK"/>
        </w:rPr>
        <w:t>obsahuje monohydrát laktózy</w:t>
      </w:r>
    </w:p>
    <w:p w14:paraId="387DA5C1" w14:textId="77777777" w:rsidR="00A84884" w:rsidRPr="000F6B9E" w:rsidRDefault="00A84884" w:rsidP="00A84884">
      <w:pPr>
        <w:pStyle w:val="Normlndobloku"/>
        <w:rPr>
          <w:lang w:val="sk-SK"/>
        </w:rPr>
      </w:pPr>
      <w:r w:rsidRPr="000F6B9E">
        <w:rPr>
          <w:lang w:val="sk-SK"/>
        </w:rPr>
        <w:t xml:space="preserve">Pacienti so zriedkavými dedičnými problémami </w:t>
      </w:r>
      <w:proofErr w:type="spellStart"/>
      <w:r w:rsidRPr="000F6B9E">
        <w:rPr>
          <w:lang w:val="sk-SK"/>
        </w:rPr>
        <w:t>galaktózovej</w:t>
      </w:r>
      <w:proofErr w:type="spellEnd"/>
      <w:r w:rsidRPr="000F6B9E">
        <w:rPr>
          <w:lang w:val="sk-SK"/>
        </w:rPr>
        <w:t xml:space="preserve"> intolerancie, </w:t>
      </w:r>
      <w:proofErr w:type="spellStart"/>
      <w:r w:rsidRPr="000F6B9E">
        <w:rPr>
          <w:lang w:val="sk-SK"/>
        </w:rPr>
        <w:t>lapónskeho</w:t>
      </w:r>
      <w:proofErr w:type="spellEnd"/>
      <w:r w:rsidRPr="000F6B9E">
        <w:rPr>
          <w:lang w:val="sk-SK"/>
        </w:rPr>
        <w:t xml:space="preserve"> deficitu </w:t>
      </w:r>
      <w:proofErr w:type="spellStart"/>
      <w:r w:rsidRPr="000F6B9E">
        <w:rPr>
          <w:lang w:val="sk-SK"/>
        </w:rPr>
        <w:t>laktázy</w:t>
      </w:r>
      <w:proofErr w:type="spellEnd"/>
      <w:r w:rsidRPr="000F6B9E">
        <w:rPr>
          <w:lang w:val="sk-SK"/>
        </w:rPr>
        <w:t xml:space="preserve"> alebo </w:t>
      </w:r>
      <w:proofErr w:type="spellStart"/>
      <w:r w:rsidRPr="000F6B9E">
        <w:rPr>
          <w:lang w:val="sk-SK"/>
        </w:rPr>
        <w:t>glukózogalaktózovej</w:t>
      </w:r>
      <w:proofErr w:type="spellEnd"/>
      <w:r w:rsidRPr="000F6B9E">
        <w:rPr>
          <w:lang w:val="sk-SK"/>
        </w:rPr>
        <w:t xml:space="preserve"> </w:t>
      </w:r>
      <w:proofErr w:type="spellStart"/>
      <w:r w:rsidRPr="000F6B9E">
        <w:rPr>
          <w:lang w:val="sk-SK"/>
        </w:rPr>
        <w:t>malabsorpcie</w:t>
      </w:r>
      <w:proofErr w:type="spellEnd"/>
      <w:r w:rsidRPr="000F6B9E">
        <w:rPr>
          <w:lang w:val="sk-SK"/>
        </w:rPr>
        <w:t xml:space="preserve"> nesmú užívať tento liek.</w:t>
      </w:r>
    </w:p>
    <w:p w14:paraId="474CA532" w14:textId="01B6CE16" w:rsidR="0076116E" w:rsidRPr="00EC5E95" w:rsidRDefault="00A661F4" w:rsidP="00015569">
      <w:pPr>
        <w:pStyle w:val="Styl2"/>
        <w:rPr>
          <w:noProof w:val="0"/>
          <w:lang w:val="sk-SK"/>
        </w:rPr>
      </w:pPr>
      <w:r w:rsidRPr="00EC5E95">
        <w:rPr>
          <w:noProof w:val="0"/>
          <w:lang w:val="sk-SK"/>
        </w:rPr>
        <w:t>Liekové a </w:t>
      </w:r>
      <w:r w:rsidR="004124B1" w:rsidRPr="00EC5E95">
        <w:rPr>
          <w:noProof w:val="0"/>
          <w:lang w:val="sk-SK"/>
        </w:rPr>
        <w:t>iné interakcie</w:t>
      </w:r>
    </w:p>
    <w:p w14:paraId="626A3EF6" w14:textId="77777777" w:rsidR="008A4DB5" w:rsidRPr="00EC5E95" w:rsidRDefault="008A4DB5" w:rsidP="00465D90">
      <w:pPr>
        <w:pStyle w:val="Normlndobloku"/>
        <w:rPr>
          <w:lang w:val="sk-SK"/>
        </w:rPr>
      </w:pPr>
      <w:r w:rsidRPr="00EC5E95">
        <w:rPr>
          <w:lang w:val="sk-SK"/>
        </w:rPr>
        <w:t xml:space="preserve">Údaje z klinických skúšaní ukázali, že duálna inhibícia systému </w:t>
      </w:r>
      <w:proofErr w:type="spellStart"/>
      <w:r w:rsidRPr="00EC5E95">
        <w:rPr>
          <w:lang w:val="sk-SK"/>
        </w:rPr>
        <w:t>renín-angiotenzín-aldosterón</w:t>
      </w:r>
      <w:proofErr w:type="spellEnd"/>
      <w:r w:rsidRPr="00EC5E95">
        <w:rPr>
          <w:lang w:val="sk-SK"/>
        </w:rPr>
        <w:t xml:space="preserve"> (RAAS) kombinovaným použitím inhibítorov ACE, </w:t>
      </w:r>
      <w:proofErr w:type="spellStart"/>
      <w:r w:rsidRPr="00EC5E95">
        <w:rPr>
          <w:lang w:val="sk-SK"/>
        </w:rPr>
        <w:t>blokátorov</w:t>
      </w:r>
      <w:proofErr w:type="spellEnd"/>
      <w:r w:rsidRPr="00EC5E95">
        <w:rPr>
          <w:lang w:val="sk-SK"/>
        </w:rPr>
        <w:t xml:space="preserve"> receptorov </w:t>
      </w:r>
      <w:proofErr w:type="spellStart"/>
      <w:r w:rsidRPr="00EC5E95">
        <w:rPr>
          <w:lang w:val="sk-SK"/>
        </w:rPr>
        <w:t>angiotenzínu</w:t>
      </w:r>
      <w:proofErr w:type="spellEnd"/>
      <w:r w:rsidRPr="00EC5E95">
        <w:rPr>
          <w:lang w:val="sk-SK"/>
        </w:rPr>
        <w:t xml:space="preserve"> II</w:t>
      </w:r>
      <w:r w:rsidRPr="00EC5E95">
        <w:rPr>
          <w:bCs/>
          <w:lang w:val="sk-SK"/>
        </w:rPr>
        <w:t xml:space="preserve"> </w:t>
      </w:r>
      <w:r w:rsidRPr="00EC5E95">
        <w:rPr>
          <w:lang w:val="sk-SK"/>
        </w:rPr>
        <w:t xml:space="preserve">alebo </w:t>
      </w:r>
      <w:proofErr w:type="spellStart"/>
      <w:r w:rsidRPr="00EC5E95">
        <w:rPr>
          <w:lang w:val="sk-SK"/>
        </w:rPr>
        <w:t>aliskirenu</w:t>
      </w:r>
      <w:proofErr w:type="spellEnd"/>
      <w:r w:rsidRPr="00EC5E95">
        <w:rPr>
          <w:lang w:val="sk-SK"/>
        </w:rPr>
        <w:t xml:space="preserve"> sa spája s vyššou frekvenciou nežiaducich udalostí, ako sú hypotenzia, </w:t>
      </w:r>
      <w:proofErr w:type="spellStart"/>
      <w:r w:rsidRPr="00EC5E95">
        <w:rPr>
          <w:lang w:val="sk-SK"/>
        </w:rPr>
        <w:t>hyperkaliémia</w:t>
      </w:r>
      <w:proofErr w:type="spellEnd"/>
      <w:r w:rsidRPr="00EC5E95">
        <w:rPr>
          <w:lang w:val="sk-SK"/>
        </w:rPr>
        <w:t xml:space="preserve"> a znížená funkcia obličiek </w:t>
      </w:r>
      <w:r w:rsidRPr="00EC5E95">
        <w:rPr>
          <w:lang w:val="sk-SK" w:eastAsia="de-DE"/>
        </w:rPr>
        <w:t>(vrátane akútneho zlyhania obličiek), v porovnaní s použitím látky ovplyvňujúcej RAAS v </w:t>
      </w:r>
      <w:proofErr w:type="spellStart"/>
      <w:r w:rsidRPr="00EC5E95">
        <w:rPr>
          <w:lang w:val="sk-SK" w:eastAsia="de-DE"/>
        </w:rPr>
        <w:t>monoterapii</w:t>
      </w:r>
      <w:proofErr w:type="spellEnd"/>
      <w:r w:rsidRPr="00EC5E95">
        <w:rPr>
          <w:lang w:val="sk-SK" w:eastAsia="de-DE"/>
        </w:rPr>
        <w:t xml:space="preserve"> (pozri časti 4.3, 4.4 a 5.1)</w:t>
      </w:r>
      <w:r w:rsidRPr="00EC5E95">
        <w:rPr>
          <w:lang w:val="sk-SK"/>
        </w:rPr>
        <w:t>.</w:t>
      </w:r>
    </w:p>
    <w:p w14:paraId="20FE4E5E" w14:textId="77777777" w:rsidR="0076116E" w:rsidRPr="00456BE0" w:rsidRDefault="004124B1" w:rsidP="0087630B">
      <w:pPr>
        <w:pStyle w:val="Styl3"/>
        <w:rPr>
          <w:lang w:val="sk-SK"/>
        </w:rPr>
      </w:pPr>
      <w:r w:rsidRPr="00456BE0">
        <w:rPr>
          <w:lang w:val="sk-SK"/>
        </w:rPr>
        <w:t>Kontraindikované kombinácie</w:t>
      </w:r>
    </w:p>
    <w:p w14:paraId="57112E4F" w14:textId="7C4C2B43" w:rsidR="0076116E" w:rsidRPr="00EC5E95" w:rsidRDefault="004124B1" w:rsidP="00A84884">
      <w:pPr>
        <w:pStyle w:val="Normlndobloku"/>
        <w:rPr>
          <w:lang w:val="sk-SK"/>
        </w:rPr>
      </w:pPr>
      <w:proofErr w:type="spellStart"/>
      <w:r w:rsidRPr="00EC5E95">
        <w:rPr>
          <w:lang w:val="sk-SK"/>
        </w:rPr>
        <w:t>Extrakorporálne</w:t>
      </w:r>
      <w:proofErr w:type="spellEnd"/>
      <w:r w:rsidRPr="00EC5E95">
        <w:rPr>
          <w:lang w:val="sk-SK"/>
        </w:rPr>
        <w:t xml:space="preserve"> l</w:t>
      </w:r>
      <w:r w:rsidR="00A661F4" w:rsidRPr="00EC5E95">
        <w:rPr>
          <w:lang w:val="sk-SK"/>
        </w:rPr>
        <w:t>iečby umožňujúce kontakt krvi s </w:t>
      </w:r>
      <w:r w:rsidRPr="00EC5E95">
        <w:rPr>
          <w:lang w:val="sk-SK"/>
        </w:rPr>
        <w:t>negatívne nabitými povrchmi ako je napríkla</w:t>
      </w:r>
      <w:r w:rsidR="00A661F4" w:rsidRPr="00EC5E95">
        <w:rPr>
          <w:lang w:val="sk-SK"/>
        </w:rPr>
        <w:t xml:space="preserve">d dialýza alebo </w:t>
      </w:r>
      <w:proofErr w:type="spellStart"/>
      <w:r w:rsidR="00A661F4" w:rsidRPr="00EC5E95">
        <w:rPr>
          <w:lang w:val="sk-SK"/>
        </w:rPr>
        <w:t>hemofiltrácia</w:t>
      </w:r>
      <w:proofErr w:type="spellEnd"/>
      <w:r w:rsidR="00A661F4" w:rsidRPr="00EC5E95">
        <w:rPr>
          <w:lang w:val="sk-SK"/>
        </w:rPr>
        <w:t xml:space="preserve"> s </w:t>
      </w:r>
      <w:r w:rsidRPr="00EC5E95">
        <w:rPr>
          <w:lang w:val="sk-SK"/>
        </w:rPr>
        <w:t xml:space="preserve">určitými </w:t>
      </w:r>
      <w:proofErr w:type="spellStart"/>
      <w:r w:rsidRPr="00EC5E95">
        <w:rPr>
          <w:lang w:val="sk-SK"/>
        </w:rPr>
        <w:t>vysok</w:t>
      </w:r>
      <w:r w:rsidR="00A661F4" w:rsidRPr="00EC5E95">
        <w:rPr>
          <w:lang w:val="sk-SK"/>
        </w:rPr>
        <w:t>oprietokovými</w:t>
      </w:r>
      <w:proofErr w:type="spellEnd"/>
      <w:r w:rsidR="00A661F4" w:rsidRPr="00EC5E95">
        <w:rPr>
          <w:lang w:val="sk-SK"/>
        </w:rPr>
        <w:t xml:space="preserve"> membránami (napr. </w:t>
      </w:r>
      <w:proofErr w:type="spellStart"/>
      <w:r w:rsidRPr="00EC5E95">
        <w:rPr>
          <w:lang w:val="sk-SK"/>
        </w:rPr>
        <w:t>polyakrylonitrilové</w:t>
      </w:r>
      <w:proofErr w:type="spellEnd"/>
      <w:r w:rsidRPr="00EC5E95">
        <w:rPr>
          <w:lang w:val="sk-SK"/>
        </w:rPr>
        <w:t xml:space="preserve"> membrány) a</w:t>
      </w:r>
      <w:r w:rsidR="001C3DB2" w:rsidRPr="00EC5E95">
        <w:rPr>
          <w:lang w:val="sk-SK"/>
        </w:rPr>
        <w:t> </w:t>
      </w:r>
      <w:proofErr w:type="spellStart"/>
      <w:r w:rsidRPr="00EC5E95">
        <w:rPr>
          <w:lang w:val="sk-SK"/>
        </w:rPr>
        <w:t>nízkodenzitnou</w:t>
      </w:r>
      <w:proofErr w:type="spellEnd"/>
      <w:r w:rsidRPr="00EC5E95">
        <w:rPr>
          <w:lang w:val="sk-SK"/>
        </w:rPr>
        <w:t xml:space="preserve"> lipoproteínovou aferézou so </w:t>
      </w:r>
      <w:proofErr w:type="spellStart"/>
      <w:r w:rsidRPr="00EC5E95">
        <w:rPr>
          <w:lang w:val="sk-SK"/>
        </w:rPr>
        <w:t>dextránsulfátom</w:t>
      </w:r>
      <w:proofErr w:type="spellEnd"/>
      <w:r w:rsidRPr="00EC5E95">
        <w:rPr>
          <w:lang w:val="sk-SK"/>
        </w:rPr>
        <w:t xml:space="preserve"> pre zvýšené riziko ťažkých </w:t>
      </w:r>
      <w:proofErr w:type="spellStart"/>
      <w:r w:rsidRPr="00EC5E95">
        <w:rPr>
          <w:lang w:val="sk-SK"/>
        </w:rPr>
        <w:t>anafylaktoidných</w:t>
      </w:r>
      <w:proofErr w:type="spellEnd"/>
      <w:r w:rsidRPr="00EC5E95">
        <w:rPr>
          <w:lang w:val="sk-SK"/>
        </w:rPr>
        <w:t xml:space="preserve"> reakcií (pozri časť 4.3). Pri takejto liečbe sa vyžaduje, aby sa zvážilo použitie odlišného typu dia</w:t>
      </w:r>
      <w:r w:rsidR="00A661F4" w:rsidRPr="00EC5E95">
        <w:rPr>
          <w:lang w:val="sk-SK"/>
        </w:rPr>
        <w:t>lyzačnej membrány alebo lieku z </w:t>
      </w:r>
      <w:r w:rsidRPr="00EC5E95">
        <w:rPr>
          <w:lang w:val="sk-SK"/>
        </w:rPr>
        <w:t xml:space="preserve">inej skupiny </w:t>
      </w:r>
      <w:proofErr w:type="spellStart"/>
      <w:r w:rsidRPr="00EC5E95">
        <w:rPr>
          <w:lang w:val="sk-SK"/>
        </w:rPr>
        <w:t>antihypertenzív</w:t>
      </w:r>
      <w:proofErr w:type="spellEnd"/>
      <w:r w:rsidRPr="00EC5E95">
        <w:rPr>
          <w:lang w:val="sk-SK"/>
        </w:rPr>
        <w:t>.</w:t>
      </w:r>
    </w:p>
    <w:p w14:paraId="492A7573" w14:textId="77777777" w:rsidR="0076116E" w:rsidRPr="00456BE0" w:rsidRDefault="004124B1" w:rsidP="0087630B">
      <w:pPr>
        <w:pStyle w:val="Styl3"/>
        <w:rPr>
          <w:lang w:val="sk-SK"/>
        </w:rPr>
      </w:pPr>
      <w:r w:rsidRPr="00456BE0">
        <w:rPr>
          <w:lang w:val="sk-SK"/>
        </w:rPr>
        <w:t>Opatrenia pri používaní</w:t>
      </w:r>
    </w:p>
    <w:p w14:paraId="7CE89411" w14:textId="1E66F6B2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Draselné soli, </w:t>
      </w:r>
      <w:proofErr w:type="spellStart"/>
      <w:r w:rsidRPr="00EC5E95">
        <w:rPr>
          <w:lang w:val="sk-SK"/>
        </w:rPr>
        <w:t>heparí</w:t>
      </w:r>
      <w:r w:rsidR="00A661F4" w:rsidRPr="00EC5E95">
        <w:rPr>
          <w:lang w:val="sk-SK"/>
        </w:rPr>
        <w:t>n</w:t>
      </w:r>
      <w:proofErr w:type="spellEnd"/>
      <w:r w:rsidR="00A661F4" w:rsidRPr="00EC5E95">
        <w:rPr>
          <w:lang w:val="sk-SK"/>
        </w:rPr>
        <w:t>, draslík šetriace diuretiká a </w:t>
      </w:r>
      <w:r w:rsidRPr="00EC5E95">
        <w:rPr>
          <w:lang w:val="sk-SK"/>
        </w:rPr>
        <w:t>ďalšie lieči</w:t>
      </w:r>
      <w:r w:rsidR="00A661F4" w:rsidRPr="00EC5E95">
        <w:rPr>
          <w:lang w:val="sk-SK"/>
        </w:rPr>
        <w:t>vá zvyšujúce hladinu draslíka v </w:t>
      </w:r>
      <w:r w:rsidRPr="00EC5E95">
        <w:rPr>
          <w:lang w:val="sk-SK"/>
        </w:rPr>
        <w:t xml:space="preserve">plazme (vrátane antagonistov </w:t>
      </w:r>
      <w:proofErr w:type="spellStart"/>
      <w:r w:rsidRPr="00EC5E95">
        <w:rPr>
          <w:lang w:val="sk-SK"/>
        </w:rPr>
        <w:t>angiotenzínu</w:t>
      </w:r>
      <w:proofErr w:type="spellEnd"/>
      <w:r w:rsidRPr="00EC5E95">
        <w:rPr>
          <w:lang w:val="sk-SK"/>
        </w:rPr>
        <w:t xml:space="preserve"> II, </w:t>
      </w:r>
      <w:proofErr w:type="spellStart"/>
      <w:r w:rsidRPr="00EC5E95">
        <w:rPr>
          <w:lang w:val="sk-SK"/>
        </w:rPr>
        <w:t>takrolimu</w:t>
      </w:r>
      <w:proofErr w:type="spellEnd"/>
      <w:r w:rsidRPr="00EC5E95">
        <w:rPr>
          <w:lang w:val="sk-SK"/>
        </w:rPr>
        <w:t xml:space="preserve">, </w:t>
      </w:r>
      <w:proofErr w:type="spellStart"/>
      <w:r w:rsidRPr="00EC5E95">
        <w:rPr>
          <w:lang w:val="sk-SK"/>
        </w:rPr>
        <w:t>c</w:t>
      </w:r>
      <w:r w:rsidR="00A00A1D" w:rsidRPr="00EC5E95">
        <w:rPr>
          <w:lang w:val="sk-SK"/>
        </w:rPr>
        <w:t>y</w:t>
      </w:r>
      <w:r w:rsidRPr="00EC5E95">
        <w:rPr>
          <w:lang w:val="sk-SK"/>
        </w:rPr>
        <w:t>klosporínu</w:t>
      </w:r>
      <w:proofErr w:type="spellEnd"/>
      <w:r w:rsidRPr="00EC5E95">
        <w:rPr>
          <w:lang w:val="sk-SK"/>
        </w:rPr>
        <w:t xml:space="preserve">): Môže sa vyskytnúť </w:t>
      </w:r>
      <w:proofErr w:type="spellStart"/>
      <w:r w:rsidRPr="00EC5E95">
        <w:rPr>
          <w:lang w:val="sk-SK"/>
        </w:rPr>
        <w:t>hyperkaliémia</w:t>
      </w:r>
      <w:proofErr w:type="spellEnd"/>
      <w:r w:rsidRPr="00EC5E95">
        <w:rPr>
          <w:lang w:val="sk-SK"/>
        </w:rPr>
        <w:t>, preto sa vyžaduje sledovanie hladiny sérového draslíka.</w:t>
      </w:r>
    </w:p>
    <w:p w14:paraId="01854179" w14:textId="77777777" w:rsidR="008A4DB5" w:rsidRPr="00EC5E95" w:rsidRDefault="004D3FD6" w:rsidP="004D3FD6">
      <w:pPr>
        <w:pStyle w:val="Normlndobloku"/>
        <w:rPr>
          <w:lang w:val="sk-SK"/>
        </w:rPr>
      </w:pPr>
      <w:r w:rsidRPr="00EC5E95">
        <w:rPr>
          <w:lang w:val="sk-SK"/>
        </w:rPr>
        <w:t xml:space="preserve">U pacientov užívajúcich ACE </w:t>
      </w:r>
      <w:proofErr w:type="spellStart"/>
      <w:r w:rsidRPr="00EC5E95">
        <w:rPr>
          <w:lang w:val="sk-SK"/>
        </w:rPr>
        <w:t>inhibírory</w:t>
      </w:r>
      <w:proofErr w:type="spellEnd"/>
      <w:r w:rsidRPr="00EC5E95">
        <w:rPr>
          <w:lang w:val="sk-SK"/>
        </w:rPr>
        <w:t xml:space="preserve"> a </w:t>
      </w:r>
      <w:proofErr w:type="spellStart"/>
      <w:r w:rsidRPr="00EC5E95">
        <w:rPr>
          <w:lang w:val="sk-SK"/>
        </w:rPr>
        <w:t>trimetoprim</w:t>
      </w:r>
      <w:proofErr w:type="spellEnd"/>
      <w:r w:rsidRPr="00EC5E95">
        <w:rPr>
          <w:lang w:val="sk-SK"/>
        </w:rPr>
        <w:t xml:space="preserve"> alebo fixnú kombináciu </w:t>
      </w:r>
      <w:proofErr w:type="spellStart"/>
      <w:r w:rsidRPr="00EC5E95">
        <w:rPr>
          <w:lang w:val="sk-SK"/>
        </w:rPr>
        <w:t>trimetoprimu</w:t>
      </w:r>
      <w:proofErr w:type="spellEnd"/>
      <w:r w:rsidRPr="00EC5E95">
        <w:rPr>
          <w:lang w:val="sk-SK"/>
        </w:rPr>
        <w:t xml:space="preserve"> so </w:t>
      </w:r>
      <w:proofErr w:type="spellStart"/>
      <w:r w:rsidRPr="00EC5E95">
        <w:rPr>
          <w:lang w:val="sk-SK"/>
        </w:rPr>
        <w:t>sulfametoxazolom</w:t>
      </w:r>
      <w:proofErr w:type="spellEnd"/>
      <w:r w:rsidRPr="00EC5E95">
        <w:rPr>
          <w:lang w:val="sk-SK"/>
        </w:rPr>
        <w:t xml:space="preserve"> (</w:t>
      </w:r>
      <w:proofErr w:type="spellStart"/>
      <w:r w:rsidRPr="00EC5E95">
        <w:rPr>
          <w:lang w:val="sk-SK"/>
        </w:rPr>
        <w:t>kotrimoxazol</w:t>
      </w:r>
      <w:proofErr w:type="spellEnd"/>
      <w:r w:rsidRPr="00EC5E95">
        <w:rPr>
          <w:lang w:val="sk-SK"/>
        </w:rPr>
        <w:t xml:space="preserve">) sa pozoroval zvýšený výskyt </w:t>
      </w:r>
      <w:proofErr w:type="spellStart"/>
      <w:r w:rsidRPr="00EC5E95">
        <w:rPr>
          <w:lang w:val="sk-SK"/>
        </w:rPr>
        <w:t>hyperkaliémie</w:t>
      </w:r>
      <w:proofErr w:type="spellEnd"/>
      <w:r w:rsidRPr="00EC5E95">
        <w:rPr>
          <w:lang w:val="sk-SK"/>
        </w:rPr>
        <w:t>.</w:t>
      </w:r>
    </w:p>
    <w:p w14:paraId="702D64A5" w14:textId="1C34C2EF" w:rsidR="0076116E" w:rsidRPr="00EC5E95" w:rsidRDefault="00A661F4" w:rsidP="00A84884">
      <w:pPr>
        <w:pStyle w:val="Normlndobloku"/>
        <w:rPr>
          <w:lang w:val="sk-SK"/>
        </w:rPr>
      </w:pPr>
      <w:proofErr w:type="spellStart"/>
      <w:r w:rsidRPr="00EC5E95">
        <w:rPr>
          <w:lang w:val="sk-SK"/>
        </w:rPr>
        <w:t>Antihypertenzíva</w:t>
      </w:r>
      <w:proofErr w:type="spellEnd"/>
      <w:r w:rsidRPr="00EC5E95">
        <w:rPr>
          <w:lang w:val="sk-SK"/>
        </w:rPr>
        <w:t xml:space="preserve"> (napr. diuretiká) a </w:t>
      </w:r>
      <w:r w:rsidR="004124B1" w:rsidRPr="00EC5E95">
        <w:rPr>
          <w:lang w:val="sk-SK"/>
        </w:rPr>
        <w:t xml:space="preserve">ďalšie lieky, ktoré </w:t>
      </w:r>
      <w:r w:rsidRPr="00EC5E95">
        <w:rPr>
          <w:lang w:val="sk-SK"/>
        </w:rPr>
        <w:t>môžu znižovať krvný tlak (napr. </w:t>
      </w:r>
      <w:r w:rsidR="004124B1" w:rsidRPr="00EC5E95">
        <w:rPr>
          <w:lang w:val="sk-SK"/>
        </w:rPr>
        <w:t xml:space="preserve">nitráty, </w:t>
      </w:r>
      <w:proofErr w:type="spellStart"/>
      <w:r w:rsidR="004124B1" w:rsidRPr="00EC5E95">
        <w:rPr>
          <w:lang w:val="sk-SK"/>
        </w:rPr>
        <w:t>tricyklické</w:t>
      </w:r>
      <w:proofErr w:type="spellEnd"/>
      <w:r w:rsidR="004124B1" w:rsidRPr="00EC5E95">
        <w:rPr>
          <w:lang w:val="sk-SK"/>
        </w:rPr>
        <w:t xml:space="preserve"> </w:t>
      </w:r>
      <w:proofErr w:type="spellStart"/>
      <w:r w:rsidR="004124B1" w:rsidRPr="00EC5E95">
        <w:rPr>
          <w:lang w:val="sk-SK"/>
        </w:rPr>
        <w:t>antidepresíva</w:t>
      </w:r>
      <w:proofErr w:type="spellEnd"/>
      <w:r w:rsidR="004124B1" w:rsidRPr="00EC5E95">
        <w:rPr>
          <w:lang w:val="sk-SK"/>
        </w:rPr>
        <w:t xml:space="preserve">, anestetiká, akútny príjem alkoholu, </w:t>
      </w:r>
      <w:proofErr w:type="spellStart"/>
      <w:r w:rsidR="004124B1" w:rsidRPr="00EC5E95">
        <w:rPr>
          <w:lang w:val="sk-SK"/>
        </w:rPr>
        <w:t>baklof</w:t>
      </w:r>
      <w:r w:rsidR="00A00A1D" w:rsidRPr="00EC5E95">
        <w:rPr>
          <w:lang w:val="sk-SK"/>
        </w:rPr>
        <w:t>é</w:t>
      </w:r>
      <w:r w:rsidR="004124B1" w:rsidRPr="00EC5E95">
        <w:rPr>
          <w:lang w:val="sk-SK"/>
        </w:rPr>
        <w:t>n</w:t>
      </w:r>
      <w:proofErr w:type="spellEnd"/>
      <w:r w:rsidR="004124B1" w:rsidRPr="00EC5E95">
        <w:rPr>
          <w:lang w:val="sk-SK"/>
        </w:rPr>
        <w:t xml:space="preserve">, </w:t>
      </w:r>
      <w:proofErr w:type="spellStart"/>
      <w:r w:rsidR="004124B1" w:rsidRPr="00EC5E95">
        <w:rPr>
          <w:lang w:val="sk-SK"/>
        </w:rPr>
        <w:t>alfuzosín</w:t>
      </w:r>
      <w:proofErr w:type="spellEnd"/>
      <w:r w:rsidR="004124B1" w:rsidRPr="00EC5E95">
        <w:rPr>
          <w:lang w:val="sk-SK"/>
        </w:rPr>
        <w:t xml:space="preserve">, </w:t>
      </w:r>
      <w:proofErr w:type="spellStart"/>
      <w:r w:rsidR="004124B1" w:rsidRPr="00EC5E95">
        <w:rPr>
          <w:lang w:val="sk-SK"/>
        </w:rPr>
        <w:t>doxazosín</w:t>
      </w:r>
      <w:proofErr w:type="spellEnd"/>
      <w:r w:rsidR="004124B1" w:rsidRPr="00EC5E95">
        <w:rPr>
          <w:lang w:val="sk-SK"/>
        </w:rPr>
        <w:t xml:space="preserve">, </w:t>
      </w:r>
      <w:proofErr w:type="spellStart"/>
      <w:r w:rsidR="004124B1" w:rsidRPr="00EC5E95">
        <w:rPr>
          <w:lang w:val="sk-SK"/>
        </w:rPr>
        <w:t>prazosín</w:t>
      </w:r>
      <w:proofErr w:type="spellEnd"/>
      <w:r w:rsidR="004124B1" w:rsidRPr="00EC5E95">
        <w:rPr>
          <w:lang w:val="sk-SK"/>
        </w:rPr>
        <w:t xml:space="preserve">, </w:t>
      </w:r>
      <w:proofErr w:type="spellStart"/>
      <w:r w:rsidR="004124B1" w:rsidRPr="00EC5E95">
        <w:rPr>
          <w:lang w:val="sk-SK"/>
        </w:rPr>
        <w:t>tamsulosín</w:t>
      </w:r>
      <w:proofErr w:type="spellEnd"/>
      <w:r w:rsidR="004124B1" w:rsidRPr="00EC5E95">
        <w:rPr>
          <w:lang w:val="sk-SK"/>
        </w:rPr>
        <w:t xml:space="preserve">, </w:t>
      </w:r>
      <w:proofErr w:type="spellStart"/>
      <w:r w:rsidR="004124B1" w:rsidRPr="00EC5E95">
        <w:rPr>
          <w:lang w:val="sk-SK"/>
        </w:rPr>
        <w:t>terazosín</w:t>
      </w:r>
      <w:proofErr w:type="spellEnd"/>
      <w:r w:rsidR="004124B1" w:rsidRPr="00EC5E95">
        <w:rPr>
          <w:lang w:val="sk-SK"/>
        </w:rPr>
        <w:t xml:space="preserve">): Predpokladá sa </w:t>
      </w:r>
      <w:proofErr w:type="spellStart"/>
      <w:r w:rsidR="004124B1" w:rsidRPr="00EC5E95">
        <w:rPr>
          <w:lang w:val="sk-SK"/>
        </w:rPr>
        <w:t>potenciácia</w:t>
      </w:r>
      <w:proofErr w:type="spellEnd"/>
      <w:r w:rsidR="004124B1" w:rsidRPr="00EC5E95">
        <w:rPr>
          <w:lang w:val="sk-SK"/>
        </w:rPr>
        <w:t xml:space="preserve"> rizi</w:t>
      </w:r>
      <w:r w:rsidRPr="00EC5E95">
        <w:rPr>
          <w:lang w:val="sk-SK"/>
        </w:rPr>
        <w:t>ka hypotenzie (pozri časť 4.2 o </w:t>
      </w:r>
      <w:r w:rsidR="004124B1" w:rsidRPr="00EC5E95">
        <w:rPr>
          <w:lang w:val="sk-SK"/>
        </w:rPr>
        <w:t>diuretikách).</w:t>
      </w:r>
    </w:p>
    <w:p w14:paraId="187AF5CC" w14:textId="202C460E" w:rsidR="0076116E" w:rsidRPr="00EC5E95" w:rsidRDefault="004124B1" w:rsidP="00A84884">
      <w:pPr>
        <w:pStyle w:val="Normlndobloku"/>
        <w:rPr>
          <w:lang w:val="sk-SK"/>
        </w:rPr>
      </w:pPr>
      <w:proofErr w:type="spellStart"/>
      <w:r w:rsidRPr="00EC5E95">
        <w:rPr>
          <w:lang w:val="sk-SK"/>
        </w:rPr>
        <w:t>Vazo</w:t>
      </w:r>
      <w:r w:rsidR="00A661F4" w:rsidRPr="00EC5E95">
        <w:rPr>
          <w:lang w:val="sk-SK"/>
        </w:rPr>
        <w:t>presorické</w:t>
      </w:r>
      <w:proofErr w:type="spellEnd"/>
      <w:r w:rsidR="00A661F4" w:rsidRPr="00EC5E95">
        <w:rPr>
          <w:lang w:val="sk-SK"/>
        </w:rPr>
        <w:t xml:space="preserve"> </w:t>
      </w:r>
      <w:proofErr w:type="spellStart"/>
      <w:r w:rsidR="00A661F4" w:rsidRPr="00EC5E95">
        <w:rPr>
          <w:lang w:val="sk-SK"/>
        </w:rPr>
        <w:t>sympatomimetiká</w:t>
      </w:r>
      <w:proofErr w:type="spellEnd"/>
      <w:r w:rsidR="00A661F4" w:rsidRPr="00EC5E95">
        <w:rPr>
          <w:lang w:val="sk-SK"/>
        </w:rPr>
        <w:t xml:space="preserve"> a ďalšie lieky (napr. </w:t>
      </w:r>
      <w:proofErr w:type="spellStart"/>
      <w:r w:rsidRPr="00EC5E95">
        <w:rPr>
          <w:lang w:val="sk-SK"/>
        </w:rPr>
        <w:t>izoproterenol</w:t>
      </w:r>
      <w:proofErr w:type="spellEnd"/>
      <w:r w:rsidRPr="00EC5E95">
        <w:rPr>
          <w:lang w:val="sk-SK"/>
        </w:rPr>
        <w:t xml:space="preserve">, </w:t>
      </w:r>
      <w:proofErr w:type="spellStart"/>
      <w:r w:rsidRPr="00EC5E95">
        <w:rPr>
          <w:lang w:val="sk-SK"/>
        </w:rPr>
        <w:t>dobutamín</w:t>
      </w:r>
      <w:proofErr w:type="spellEnd"/>
      <w:r w:rsidRPr="00EC5E95">
        <w:rPr>
          <w:lang w:val="sk-SK"/>
        </w:rPr>
        <w:t xml:space="preserve">, </w:t>
      </w:r>
      <w:proofErr w:type="spellStart"/>
      <w:r w:rsidRPr="00EC5E95">
        <w:rPr>
          <w:lang w:val="sk-SK"/>
        </w:rPr>
        <w:t>dopamín</w:t>
      </w:r>
      <w:proofErr w:type="spellEnd"/>
      <w:r w:rsidRPr="00EC5E95">
        <w:rPr>
          <w:lang w:val="sk-SK"/>
        </w:rPr>
        <w:t xml:space="preserve">, </w:t>
      </w:r>
      <w:proofErr w:type="spellStart"/>
      <w:r w:rsidRPr="00EC5E95">
        <w:rPr>
          <w:lang w:val="sk-SK"/>
        </w:rPr>
        <w:t>epinefrín</w:t>
      </w:r>
      <w:proofErr w:type="spellEnd"/>
      <w:r w:rsidRPr="00EC5E95">
        <w:rPr>
          <w:lang w:val="sk-SK"/>
        </w:rPr>
        <w:t xml:space="preserve">), ktoré môžu znižovať </w:t>
      </w:r>
      <w:proofErr w:type="spellStart"/>
      <w:r w:rsidRPr="00EC5E95">
        <w:rPr>
          <w:lang w:val="sk-SK"/>
        </w:rPr>
        <w:t>antihypertenzn</w:t>
      </w:r>
      <w:r w:rsidR="00A00A1D" w:rsidRPr="00EC5E95">
        <w:rPr>
          <w:lang w:val="sk-SK"/>
        </w:rPr>
        <w:t>ý</w:t>
      </w:r>
      <w:proofErr w:type="spellEnd"/>
      <w:r w:rsidRPr="00EC5E95">
        <w:rPr>
          <w:lang w:val="sk-SK"/>
        </w:rPr>
        <w:t xml:space="preserve"> účinok </w:t>
      </w:r>
      <w:r w:rsidR="00956381" w:rsidRPr="00EC5E95">
        <w:rPr>
          <w:lang w:val="sk-SK"/>
        </w:rPr>
        <w:t>lieku</w:t>
      </w:r>
      <w:r w:rsidR="00A661F4" w:rsidRPr="00EC5E95">
        <w:rPr>
          <w:lang w:val="sk-SK"/>
        </w:rPr>
        <w:t xml:space="preserve"> </w:t>
      </w:r>
      <w:r w:rsidR="00EC5348" w:rsidRPr="00EC5E95">
        <w:rPr>
          <w:lang w:val="sk-SK"/>
        </w:rPr>
        <w:t>RAMIMED</w:t>
      </w:r>
      <w:r w:rsidRPr="00EC5E95">
        <w:rPr>
          <w:lang w:val="sk-SK"/>
        </w:rPr>
        <w:t>: Odporúča sa sledovanie krvného tlaku.</w:t>
      </w:r>
    </w:p>
    <w:p w14:paraId="403448AF" w14:textId="5D88547C" w:rsidR="0076116E" w:rsidRPr="00EC5E95" w:rsidRDefault="004124B1" w:rsidP="00A84884">
      <w:pPr>
        <w:pStyle w:val="Normlndobloku"/>
        <w:rPr>
          <w:lang w:val="sk-SK"/>
        </w:rPr>
      </w:pPr>
      <w:proofErr w:type="spellStart"/>
      <w:r w:rsidRPr="00EC5E95">
        <w:rPr>
          <w:lang w:val="sk-SK"/>
        </w:rPr>
        <w:t>Alopurinol</w:t>
      </w:r>
      <w:proofErr w:type="spellEnd"/>
      <w:r w:rsidRPr="00EC5E95">
        <w:rPr>
          <w:lang w:val="sk-SK"/>
        </w:rPr>
        <w:t xml:space="preserve">, </w:t>
      </w:r>
      <w:proofErr w:type="spellStart"/>
      <w:r w:rsidRPr="00EC5E95">
        <w:rPr>
          <w:lang w:val="sk-SK"/>
        </w:rPr>
        <w:t>imunosupresíva</w:t>
      </w:r>
      <w:proofErr w:type="spellEnd"/>
      <w:r w:rsidRPr="00EC5E95">
        <w:rPr>
          <w:lang w:val="sk-SK"/>
        </w:rPr>
        <w:t xml:space="preserve">, </w:t>
      </w:r>
      <w:proofErr w:type="spellStart"/>
      <w:r w:rsidRPr="00EC5E95">
        <w:rPr>
          <w:lang w:val="sk-SK"/>
        </w:rPr>
        <w:t>kortikosteroidy</w:t>
      </w:r>
      <w:proofErr w:type="spellEnd"/>
      <w:r w:rsidRPr="00EC5E95">
        <w:rPr>
          <w:lang w:val="sk-SK"/>
        </w:rPr>
        <w:t xml:space="preserve">, </w:t>
      </w:r>
      <w:proofErr w:type="spellStart"/>
      <w:r w:rsidRPr="00EC5E95">
        <w:rPr>
          <w:lang w:val="sk-SK"/>
        </w:rPr>
        <w:t>prokaínamid</w:t>
      </w:r>
      <w:proofErr w:type="spellEnd"/>
      <w:r w:rsidRPr="00EC5E95">
        <w:rPr>
          <w:lang w:val="sk-SK"/>
        </w:rPr>
        <w:t xml:space="preserve">, </w:t>
      </w:r>
      <w:proofErr w:type="spellStart"/>
      <w:r w:rsidRPr="00EC5E95">
        <w:rPr>
          <w:lang w:val="sk-SK"/>
        </w:rPr>
        <w:t>cytostatiká</w:t>
      </w:r>
      <w:proofErr w:type="spellEnd"/>
      <w:r w:rsidR="00A661F4" w:rsidRPr="00EC5E95">
        <w:rPr>
          <w:lang w:val="sk-SK"/>
        </w:rPr>
        <w:t xml:space="preserve"> a </w:t>
      </w:r>
      <w:r w:rsidRPr="00EC5E95">
        <w:rPr>
          <w:lang w:val="sk-SK"/>
        </w:rPr>
        <w:t>ďalšie lieky, ktoré môžu zmeniť počet krviniek: Zvýšená pravdepodobnosť hematologických reakcií (pozri časť 4.4).</w:t>
      </w:r>
    </w:p>
    <w:p w14:paraId="30D5368B" w14:textId="521E0B3D" w:rsidR="004124B1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>Lítiové soli: Vylučovanie lítia môž</w:t>
      </w:r>
      <w:r w:rsidR="00A661F4" w:rsidRPr="00EC5E95">
        <w:rPr>
          <w:lang w:val="sk-SK"/>
        </w:rPr>
        <w:t>e byť ACE inhibítormi znížené a </w:t>
      </w:r>
      <w:r w:rsidRPr="00EC5E95">
        <w:rPr>
          <w:lang w:val="sk-SK"/>
        </w:rPr>
        <w:t>preto môže byť vyššia toxicita lítia. Hladina lítia sa musí monitorovať.</w:t>
      </w:r>
    </w:p>
    <w:p w14:paraId="7E9A4B95" w14:textId="65A1F61B" w:rsidR="0076116E" w:rsidRPr="00EC5E95" w:rsidRDefault="004124B1" w:rsidP="00A84884">
      <w:pPr>
        <w:pStyle w:val="Normlndobloku"/>
        <w:rPr>
          <w:lang w:val="sk-SK"/>
        </w:rPr>
      </w:pPr>
      <w:proofErr w:type="spellStart"/>
      <w:r w:rsidRPr="00EC5E95">
        <w:rPr>
          <w:lang w:val="sk-SK"/>
        </w:rPr>
        <w:t>Antidiabetiká</w:t>
      </w:r>
      <w:proofErr w:type="spellEnd"/>
      <w:r w:rsidRPr="00EC5E95">
        <w:rPr>
          <w:lang w:val="sk-SK"/>
        </w:rPr>
        <w:t xml:space="preserve"> vrátane inzulínu: Môžu sa vyskytnúť </w:t>
      </w:r>
      <w:proofErr w:type="spellStart"/>
      <w:r w:rsidRPr="00EC5E95">
        <w:rPr>
          <w:lang w:val="sk-SK"/>
        </w:rPr>
        <w:t>hypoglykemické</w:t>
      </w:r>
      <w:proofErr w:type="spellEnd"/>
      <w:r w:rsidRPr="00EC5E95">
        <w:rPr>
          <w:lang w:val="sk-SK"/>
        </w:rPr>
        <w:t xml:space="preserve"> reakcie. Odporúča </w:t>
      </w:r>
      <w:r w:rsidR="00A661F4" w:rsidRPr="00EC5E95">
        <w:rPr>
          <w:lang w:val="sk-SK"/>
        </w:rPr>
        <w:t>sa sledovanie hladiny glukózy v </w:t>
      </w:r>
      <w:r w:rsidRPr="00EC5E95">
        <w:rPr>
          <w:lang w:val="sk-SK"/>
        </w:rPr>
        <w:t>krvi.</w:t>
      </w:r>
    </w:p>
    <w:p w14:paraId="00529236" w14:textId="33AAC97B" w:rsidR="0076116E" w:rsidRDefault="004124B1" w:rsidP="00A84884">
      <w:pPr>
        <w:pStyle w:val="Normlndobloku"/>
        <w:rPr>
          <w:lang w:val="sk-SK"/>
        </w:rPr>
      </w:pPr>
      <w:proofErr w:type="spellStart"/>
      <w:r w:rsidRPr="00EC5E95">
        <w:rPr>
          <w:lang w:val="sk-SK"/>
        </w:rPr>
        <w:t>Nes</w:t>
      </w:r>
      <w:r w:rsidR="00A661F4" w:rsidRPr="00EC5E95">
        <w:rPr>
          <w:lang w:val="sk-SK"/>
        </w:rPr>
        <w:t>teroidové</w:t>
      </w:r>
      <w:proofErr w:type="spellEnd"/>
      <w:r w:rsidR="00A661F4" w:rsidRPr="00EC5E95">
        <w:rPr>
          <w:lang w:val="sk-SK"/>
        </w:rPr>
        <w:t xml:space="preserve"> protizápalové lieky a </w:t>
      </w:r>
      <w:r w:rsidRPr="00EC5E95">
        <w:rPr>
          <w:lang w:val="sk-SK"/>
        </w:rPr>
        <w:t xml:space="preserve">kyselina </w:t>
      </w:r>
      <w:proofErr w:type="spellStart"/>
      <w:r w:rsidRPr="00EC5E95">
        <w:rPr>
          <w:lang w:val="sk-SK"/>
        </w:rPr>
        <w:t>acetylsalicylová</w:t>
      </w:r>
      <w:proofErr w:type="spellEnd"/>
      <w:r w:rsidRPr="00EC5E95">
        <w:rPr>
          <w:lang w:val="sk-SK"/>
        </w:rPr>
        <w:t xml:space="preserve">: Predpokladá sa zníženie </w:t>
      </w:r>
      <w:proofErr w:type="spellStart"/>
      <w:r w:rsidRPr="00EC5E95">
        <w:rPr>
          <w:lang w:val="sk-SK"/>
        </w:rPr>
        <w:t>antihypertenzn</w:t>
      </w:r>
      <w:r w:rsidR="00A00A1D" w:rsidRPr="00EC5E95">
        <w:rPr>
          <w:lang w:val="sk-SK"/>
        </w:rPr>
        <w:t>é</w:t>
      </w:r>
      <w:r w:rsidRPr="00EC5E95">
        <w:rPr>
          <w:lang w:val="sk-SK"/>
        </w:rPr>
        <w:t>ho</w:t>
      </w:r>
      <w:proofErr w:type="spellEnd"/>
      <w:r w:rsidRPr="00EC5E95">
        <w:rPr>
          <w:lang w:val="sk-SK"/>
        </w:rPr>
        <w:t xml:space="preserve"> účinku </w:t>
      </w:r>
      <w:r w:rsidR="009D0A1D" w:rsidRPr="00EC5E95">
        <w:rPr>
          <w:lang w:val="sk-SK"/>
        </w:rPr>
        <w:t>lieku</w:t>
      </w:r>
      <w:r w:rsidR="00A661F4" w:rsidRPr="00EC5E95">
        <w:rPr>
          <w:lang w:val="sk-SK"/>
        </w:rPr>
        <w:t xml:space="preserve"> </w:t>
      </w:r>
      <w:r w:rsidR="00EC5348" w:rsidRPr="00EC5E95">
        <w:rPr>
          <w:lang w:val="sk-SK"/>
        </w:rPr>
        <w:t>RAMIMED</w:t>
      </w:r>
      <w:r w:rsidRPr="00EC5E95">
        <w:rPr>
          <w:lang w:val="sk-SK"/>
        </w:rPr>
        <w:t>. Nav</w:t>
      </w:r>
      <w:r w:rsidR="00A00A1D" w:rsidRPr="00EC5E95">
        <w:rPr>
          <w:lang w:val="sk-SK"/>
        </w:rPr>
        <w:t>yše</w:t>
      </w:r>
      <w:r w:rsidRPr="00EC5E95">
        <w:rPr>
          <w:lang w:val="sk-SK"/>
        </w:rPr>
        <w:t xml:space="preserve"> súčasná liečba ACE inhibítormi a</w:t>
      </w:r>
      <w:r w:rsidR="00F546C5" w:rsidRPr="00EC5E95">
        <w:rPr>
          <w:lang w:val="sk-SK"/>
        </w:rPr>
        <w:t xml:space="preserve"> </w:t>
      </w:r>
      <w:r w:rsidR="00A661F4" w:rsidRPr="00EC5E95">
        <w:rPr>
          <w:lang w:val="sk-SK"/>
        </w:rPr>
        <w:t>NSAID môže viesť k </w:t>
      </w:r>
      <w:r w:rsidRPr="00EC5E95">
        <w:rPr>
          <w:lang w:val="sk-SK"/>
        </w:rPr>
        <w:t>zvýšenému rizi</w:t>
      </w:r>
      <w:r w:rsidR="00A661F4" w:rsidRPr="00EC5E95">
        <w:rPr>
          <w:lang w:val="sk-SK"/>
        </w:rPr>
        <w:t xml:space="preserve">ku zhoršenia </w:t>
      </w:r>
      <w:proofErr w:type="spellStart"/>
      <w:r w:rsidR="00A661F4" w:rsidRPr="00EC5E95">
        <w:rPr>
          <w:lang w:val="sk-SK"/>
        </w:rPr>
        <w:t>renálnej</w:t>
      </w:r>
      <w:proofErr w:type="spellEnd"/>
      <w:r w:rsidR="00A661F4" w:rsidRPr="00EC5E95">
        <w:rPr>
          <w:lang w:val="sk-SK"/>
        </w:rPr>
        <w:t xml:space="preserve"> funkcie a k </w:t>
      </w:r>
      <w:r w:rsidRPr="00EC5E95">
        <w:rPr>
          <w:lang w:val="sk-SK"/>
        </w:rPr>
        <w:t>zvýšeniu hladiny draslíka.</w:t>
      </w:r>
    </w:p>
    <w:p w14:paraId="7ABFD77D" w14:textId="77777777" w:rsidR="00571DB3" w:rsidRDefault="00571DB3" w:rsidP="00A84884">
      <w:pPr>
        <w:pStyle w:val="Normlndobloku"/>
        <w:rPr>
          <w:lang w:val="sk-SK"/>
        </w:rPr>
      </w:pPr>
      <w:proofErr w:type="spellStart"/>
      <w:r>
        <w:rPr>
          <w:lang w:val="sk-SK"/>
        </w:rPr>
        <w:t>Kotrimoxazol</w:t>
      </w:r>
      <w:proofErr w:type="spellEnd"/>
      <w:r>
        <w:rPr>
          <w:lang w:val="sk-SK"/>
        </w:rPr>
        <w:t xml:space="preserve"> (</w:t>
      </w:r>
      <w:proofErr w:type="spellStart"/>
      <w:r>
        <w:rPr>
          <w:lang w:val="sk-SK"/>
        </w:rPr>
        <w:t>trimetoprim</w:t>
      </w:r>
      <w:proofErr w:type="spellEnd"/>
      <w:r>
        <w:rPr>
          <w:lang w:val="sk-SK"/>
        </w:rPr>
        <w:t>/</w:t>
      </w:r>
      <w:proofErr w:type="spellStart"/>
      <w:r>
        <w:rPr>
          <w:lang w:val="sk-SK"/>
        </w:rPr>
        <w:t>sulfametoxazol</w:t>
      </w:r>
      <w:proofErr w:type="spellEnd"/>
      <w:r>
        <w:rPr>
          <w:lang w:val="sk-SK"/>
        </w:rPr>
        <w:t xml:space="preserve">): Pacientom na súbežnej liečbe </w:t>
      </w:r>
      <w:proofErr w:type="spellStart"/>
      <w:r>
        <w:rPr>
          <w:lang w:val="sk-SK"/>
        </w:rPr>
        <w:t>kotrimoxazolom</w:t>
      </w:r>
      <w:proofErr w:type="spellEnd"/>
      <w:r>
        <w:rPr>
          <w:lang w:val="sk-SK"/>
        </w:rPr>
        <w:t xml:space="preserve"> (</w:t>
      </w:r>
      <w:proofErr w:type="spellStart"/>
      <w:r>
        <w:rPr>
          <w:lang w:val="sk-SK"/>
        </w:rPr>
        <w:t>trimetoprim</w:t>
      </w:r>
      <w:proofErr w:type="spellEnd"/>
      <w:r>
        <w:rPr>
          <w:lang w:val="sk-SK"/>
        </w:rPr>
        <w:t>/</w:t>
      </w:r>
      <w:proofErr w:type="spellStart"/>
      <w:r>
        <w:rPr>
          <w:lang w:val="sk-SK"/>
        </w:rPr>
        <w:t>sulfametoxazol</w:t>
      </w:r>
      <w:proofErr w:type="spellEnd"/>
      <w:r>
        <w:rPr>
          <w:lang w:val="sk-SK"/>
        </w:rPr>
        <w:t xml:space="preserve">) môže hroziť vyššie riziko </w:t>
      </w:r>
      <w:proofErr w:type="spellStart"/>
      <w:r>
        <w:rPr>
          <w:lang w:val="sk-SK"/>
        </w:rPr>
        <w:t>hyperkaliémie</w:t>
      </w:r>
      <w:proofErr w:type="spellEnd"/>
      <w:r>
        <w:rPr>
          <w:lang w:val="sk-SK"/>
        </w:rPr>
        <w:t xml:space="preserve"> (pozri časť 4.4).</w:t>
      </w:r>
    </w:p>
    <w:p w14:paraId="2CBAC741" w14:textId="77777777" w:rsidR="00571DB3" w:rsidRPr="00571DB3" w:rsidRDefault="00571DB3" w:rsidP="00A84884">
      <w:pPr>
        <w:pStyle w:val="Normlndobloku"/>
        <w:rPr>
          <w:lang w:val="sk-SK"/>
        </w:rPr>
      </w:pPr>
      <w:proofErr w:type="spellStart"/>
      <w:r>
        <w:rPr>
          <w:lang w:val="sk-SK"/>
        </w:rPr>
        <w:lastRenderedPageBreak/>
        <w:t>mTOR</w:t>
      </w:r>
      <w:proofErr w:type="spellEnd"/>
      <w:r>
        <w:rPr>
          <w:lang w:val="sk-SK"/>
        </w:rPr>
        <w:t xml:space="preserve"> inhibítory (napr. </w:t>
      </w:r>
      <w:proofErr w:type="spellStart"/>
      <w:r>
        <w:rPr>
          <w:lang w:val="sk-SK"/>
        </w:rPr>
        <w:t>sirolimus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everolimus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temsirolimus</w:t>
      </w:r>
      <w:proofErr w:type="spellEnd"/>
      <w:r>
        <w:rPr>
          <w:lang w:val="sk-SK"/>
        </w:rPr>
        <w:t xml:space="preserve">): Pacientom na súbežnej liečbe </w:t>
      </w:r>
      <w:proofErr w:type="spellStart"/>
      <w:r>
        <w:rPr>
          <w:lang w:val="sk-SK"/>
        </w:rPr>
        <w:t>mTOR</w:t>
      </w:r>
      <w:proofErr w:type="spellEnd"/>
      <w:r>
        <w:rPr>
          <w:lang w:val="sk-SK"/>
        </w:rPr>
        <w:t xml:space="preserve"> inhibítormi môže hroziť vyššie riziko </w:t>
      </w:r>
      <w:proofErr w:type="spellStart"/>
      <w:r>
        <w:rPr>
          <w:lang w:val="sk-SK"/>
        </w:rPr>
        <w:t>angioedému</w:t>
      </w:r>
      <w:proofErr w:type="spellEnd"/>
      <w:r>
        <w:rPr>
          <w:lang w:val="sk-SK"/>
        </w:rPr>
        <w:t xml:space="preserve"> (pozri časť 4.4).</w:t>
      </w:r>
    </w:p>
    <w:p w14:paraId="147ADF9C" w14:textId="77777777" w:rsidR="00571DB3" w:rsidRDefault="008A77AA" w:rsidP="0008481D">
      <w:pPr>
        <w:pStyle w:val="Normlndobloku"/>
        <w:rPr>
          <w:lang w:val="sk-SK"/>
        </w:rPr>
      </w:pPr>
      <w:r w:rsidRPr="00571DB3">
        <w:rPr>
          <w:lang w:val="sk-SK"/>
        </w:rPr>
        <w:t xml:space="preserve">Inhibítory </w:t>
      </w:r>
      <w:proofErr w:type="spellStart"/>
      <w:r w:rsidRPr="00571DB3">
        <w:rPr>
          <w:lang w:val="sk-SK"/>
        </w:rPr>
        <w:t>mTOR</w:t>
      </w:r>
      <w:proofErr w:type="spellEnd"/>
      <w:r w:rsidRPr="00571DB3">
        <w:rPr>
          <w:lang w:val="sk-SK"/>
        </w:rPr>
        <w:t xml:space="preserve"> alebo </w:t>
      </w:r>
      <w:r w:rsidR="004D3FD6" w:rsidRPr="00571DB3">
        <w:rPr>
          <w:lang w:val="sk-SK"/>
        </w:rPr>
        <w:t xml:space="preserve">DPP-IV inhibítory: U pacientov súčasne užívajúcich inhibítory </w:t>
      </w:r>
      <w:proofErr w:type="spellStart"/>
      <w:r w:rsidR="004D3FD6" w:rsidRPr="00571DB3">
        <w:rPr>
          <w:lang w:val="sk-SK"/>
        </w:rPr>
        <w:t>mTOR</w:t>
      </w:r>
      <w:proofErr w:type="spellEnd"/>
      <w:r w:rsidR="004D3FD6" w:rsidRPr="00571DB3">
        <w:rPr>
          <w:lang w:val="sk-SK"/>
        </w:rPr>
        <w:t xml:space="preserve"> (napr. </w:t>
      </w:r>
      <w:proofErr w:type="spellStart"/>
      <w:r w:rsidR="004D3FD6" w:rsidRPr="00571DB3">
        <w:rPr>
          <w:lang w:val="sk-SK"/>
        </w:rPr>
        <w:t>temsirolimus</w:t>
      </w:r>
      <w:proofErr w:type="spellEnd"/>
      <w:r w:rsidR="004D3FD6" w:rsidRPr="00571DB3">
        <w:rPr>
          <w:lang w:val="sk-SK"/>
        </w:rPr>
        <w:t xml:space="preserve">, </w:t>
      </w:r>
      <w:proofErr w:type="spellStart"/>
      <w:r w:rsidR="004D3FD6" w:rsidRPr="00571DB3">
        <w:rPr>
          <w:lang w:val="sk-SK"/>
        </w:rPr>
        <w:t>everolimus</w:t>
      </w:r>
      <w:proofErr w:type="spellEnd"/>
      <w:r w:rsidR="004D3FD6" w:rsidRPr="00571DB3">
        <w:rPr>
          <w:lang w:val="sk-SK"/>
        </w:rPr>
        <w:t xml:space="preserve">, </w:t>
      </w:r>
      <w:proofErr w:type="spellStart"/>
      <w:r w:rsidR="004D3FD6" w:rsidRPr="00571DB3">
        <w:rPr>
          <w:lang w:val="sk-SK"/>
        </w:rPr>
        <w:t>sirolimus</w:t>
      </w:r>
      <w:proofErr w:type="spellEnd"/>
      <w:r w:rsidR="004D3FD6" w:rsidRPr="00571DB3">
        <w:rPr>
          <w:lang w:val="sk-SK"/>
        </w:rPr>
        <w:t xml:space="preserve">) alebo </w:t>
      </w:r>
      <w:proofErr w:type="spellStart"/>
      <w:r w:rsidR="004D3FD6" w:rsidRPr="00571DB3">
        <w:rPr>
          <w:lang w:val="sk-SK"/>
        </w:rPr>
        <w:t>vildagliptín</w:t>
      </w:r>
      <w:proofErr w:type="spellEnd"/>
      <w:r w:rsidR="004D3FD6" w:rsidRPr="00571DB3">
        <w:rPr>
          <w:lang w:val="sk-SK"/>
        </w:rPr>
        <w:t xml:space="preserve">, existuje zvýšené riziko </w:t>
      </w:r>
      <w:proofErr w:type="spellStart"/>
      <w:r w:rsidR="004D3FD6" w:rsidRPr="00571DB3">
        <w:rPr>
          <w:lang w:val="sk-SK"/>
        </w:rPr>
        <w:t>angioedému</w:t>
      </w:r>
      <w:proofErr w:type="spellEnd"/>
      <w:r w:rsidR="004D3FD6" w:rsidRPr="00571DB3">
        <w:rPr>
          <w:lang w:val="sk-SK"/>
        </w:rPr>
        <w:t xml:space="preserve">. Opatrnosť je potrebná pri </w:t>
      </w:r>
      <w:r w:rsidR="00D867AB" w:rsidRPr="00571DB3">
        <w:rPr>
          <w:lang w:val="sk-SK"/>
        </w:rPr>
        <w:t>začatí liečby (pozri ča</w:t>
      </w:r>
      <w:r w:rsidR="00D867AB" w:rsidRPr="00C3029B">
        <w:rPr>
          <w:lang w:val="sk-SK"/>
        </w:rPr>
        <w:t>sť 4.4).</w:t>
      </w:r>
    </w:p>
    <w:p w14:paraId="48E112BA" w14:textId="387161F0" w:rsidR="0076116E" w:rsidRPr="00571DB3" w:rsidRDefault="00F470A8" w:rsidP="00015569">
      <w:pPr>
        <w:pStyle w:val="Styl2"/>
        <w:rPr>
          <w:noProof w:val="0"/>
          <w:lang w:val="sk-SK"/>
        </w:rPr>
      </w:pPr>
      <w:proofErr w:type="spellStart"/>
      <w:r w:rsidRPr="00571DB3">
        <w:rPr>
          <w:noProof w:val="0"/>
          <w:lang w:val="sk-SK"/>
        </w:rPr>
        <w:t>Fertilita</w:t>
      </w:r>
      <w:proofErr w:type="spellEnd"/>
      <w:r w:rsidRPr="00571DB3">
        <w:rPr>
          <w:noProof w:val="0"/>
          <w:lang w:val="sk-SK"/>
        </w:rPr>
        <w:t>, g</w:t>
      </w:r>
      <w:r w:rsidR="00947281" w:rsidRPr="00571DB3">
        <w:rPr>
          <w:noProof w:val="0"/>
          <w:lang w:val="sk-SK"/>
        </w:rPr>
        <w:t>ravidita a </w:t>
      </w:r>
      <w:r w:rsidR="004124B1" w:rsidRPr="00571DB3">
        <w:rPr>
          <w:noProof w:val="0"/>
          <w:lang w:val="sk-SK"/>
        </w:rPr>
        <w:t>laktácia</w:t>
      </w:r>
    </w:p>
    <w:p w14:paraId="7D98461A" w14:textId="77777777" w:rsidR="00F470A8" w:rsidRPr="00571DB3" w:rsidRDefault="00F470A8" w:rsidP="0087630B">
      <w:pPr>
        <w:pStyle w:val="Styl3"/>
      </w:pPr>
      <w:r w:rsidRPr="00571DB3">
        <w:t>Gravidita</w:t>
      </w:r>
    </w:p>
    <w:p w14:paraId="55C66029" w14:textId="18F3AFB8" w:rsidR="0076116E" w:rsidRPr="00EC5E95" w:rsidRDefault="004124B1" w:rsidP="00456BE0">
      <w:pPr>
        <w:pStyle w:val="Styl3"/>
      </w:pPr>
      <w:r w:rsidRPr="00571DB3">
        <w:t>Užívanie</w:t>
      </w:r>
      <w:r w:rsidR="00EB5EF2" w:rsidRPr="00C3029B">
        <w:t xml:space="preserve"> ACE inhibítorov</w:t>
      </w:r>
      <w:r w:rsidRPr="00C3029B">
        <w:t xml:space="preserve"> sa neodporúča počas prvého trimest</w:t>
      </w:r>
      <w:r w:rsidR="00947281" w:rsidRPr="00C3029B">
        <w:t>ra gravidity (pozri časť 4.4) a </w:t>
      </w:r>
      <w:r w:rsidRPr="00C3029B">
        <w:t>je k</w:t>
      </w:r>
      <w:r w:rsidR="00947281" w:rsidRPr="00EC5E95">
        <w:t>ontraindikované počas druhého a </w:t>
      </w:r>
      <w:r w:rsidRPr="00EC5E95">
        <w:t>tretieho trimestra gravidity (pozri časť 4.3</w:t>
      </w:r>
      <w:r w:rsidR="00C566DC" w:rsidRPr="00EC5E95">
        <w:t xml:space="preserve"> a</w:t>
      </w:r>
      <w:r w:rsidR="00947281" w:rsidRPr="00EC5E95">
        <w:t> </w:t>
      </w:r>
      <w:r w:rsidR="00C566DC" w:rsidRPr="00EC5E95">
        <w:t>4.4</w:t>
      </w:r>
      <w:r w:rsidRPr="00EC5E95">
        <w:t>).</w:t>
      </w:r>
    </w:p>
    <w:p w14:paraId="3663E388" w14:textId="05D6773F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Epidemiologický dôkaz vzhľadom na riziko </w:t>
      </w:r>
      <w:proofErr w:type="spellStart"/>
      <w:r w:rsidRPr="00EC5E95">
        <w:rPr>
          <w:lang w:val="sk-SK"/>
        </w:rPr>
        <w:t>teratogenity</w:t>
      </w:r>
      <w:proofErr w:type="spellEnd"/>
      <w:r w:rsidRPr="00EC5E95">
        <w:rPr>
          <w:lang w:val="sk-SK"/>
        </w:rPr>
        <w:t xml:space="preserve"> po expozícii ACE inhibítor</w:t>
      </w:r>
      <w:r w:rsidR="00A00A1D" w:rsidRPr="00EC5E95">
        <w:rPr>
          <w:lang w:val="sk-SK"/>
        </w:rPr>
        <w:t>om</w:t>
      </w:r>
      <w:r w:rsidRPr="00EC5E95">
        <w:rPr>
          <w:lang w:val="sk-SK"/>
        </w:rPr>
        <w:t xml:space="preserve"> počas prvého </w:t>
      </w:r>
      <w:proofErr w:type="spellStart"/>
      <w:r w:rsidRPr="00EC5E95">
        <w:rPr>
          <w:lang w:val="sk-SK"/>
        </w:rPr>
        <w:t>trimestra</w:t>
      </w:r>
      <w:proofErr w:type="spellEnd"/>
      <w:r w:rsidRPr="00EC5E95">
        <w:rPr>
          <w:lang w:val="sk-SK"/>
        </w:rPr>
        <w:t xml:space="preserve"> gravidity nie je presvedčivý, hoci malý nárast rizika nemožno vylúčiť. Ak sa pokračovanie liečby ACE inhibítormi nepovažuje vyslovene za </w:t>
      </w:r>
      <w:r w:rsidR="00A00A1D" w:rsidRPr="00EC5E95">
        <w:rPr>
          <w:lang w:val="sk-SK"/>
        </w:rPr>
        <w:t>nevyhnutné</w:t>
      </w:r>
      <w:r w:rsidRPr="00EC5E95">
        <w:rPr>
          <w:lang w:val="sk-SK"/>
        </w:rPr>
        <w:t xml:space="preserve">, musí sa liečba pacientok plánujúcich graviditu zmeniť na alternatívnu </w:t>
      </w:r>
      <w:proofErr w:type="spellStart"/>
      <w:r w:rsidRPr="00EC5E95">
        <w:rPr>
          <w:lang w:val="sk-SK"/>
        </w:rPr>
        <w:t>antihypertenzn</w:t>
      </w:r>
      <w:r w:rsidR="00A00A1D" w:rsidRPr="00EC5E95">
        <w:rPr>
          <w:lang w:val="sk-SK"/>
        </w:rPr>
        <w:t>ú</w:t>
      </w:r>
      <w:proofErr w:type="spellEnd"/>
      <w:r w:rsidRPr="00EC5E95">
        <w:rPr>
          <w:lang w:val="sk-SK"/>
        </w:rPr>
        <w:t xml:space="preserve"> liečbu, ktorá má preukázaný bezpečnostný profil pre používanie počas gravidity. Ak sa zistí gravidita, liečba ACE inhibít</w:t>
      </w:r>
      <w:r w:rsidR="00947281" w:rsidRPr="00EC5E95">
        <w:rPr>
          <w:lang w:val="sk-SK"/>
        </w:rPr>
        <w:t>ormi sa musí okamžite ukončiť a </w:t>
      </w:r>
      <w:r w:rsidRPr="00EC5E95">
        <w:rPr>
          <w:lang w:val="sk-SK"/>
        </w:rPr>
        <w:t>ak je to vhodné, musí sa začať alternatívna liečba.</w:t>
      </w:r>
    </w:p>
    <w:p w14:paraId="311C9BB1" w14:textId="17764C0E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Je známe, že expozícia liečbou ACE inhibítorom/antagonistom receptoru </w:t>
      </w:r>
      <w:proofErr w:type="spellStart"/>
      <w:r w:rsidRPr="00EC5E95">
        <w:rPr>
          <w:lang w:val="sk-SK"/>
        </w:rPr>
        <w:t>angiote</w:t>
      </w:r>
      <w:r w:rsidR="00947281" w:rsidRPr="00EC5E95">
        <w:rPr>
          <w:lang w:val="sk-SK"/>
        </w:rPr>
        <w:t>nzín</w:t>
      </w:r>
      <w:proofErr w:type="spellEnd"/>
      <w:r w:rsidR="00947281" w:rsidRPr="00EC5E95">
        <w:rPr>
          <w:lang w:val="sk-SK"/>
        </w:rPr>
        <w:t xml:space="preserve"> II (AIIRA) počas druhého a </w:t>
      </w:r>
      <w:r w:rsidRPr="00EC5E95">
        <w:rPr>
          <w:lang w:val="sk-SK"/>
        </w:rPr>
        <w:t xml:space="preserve">tretieho </w:t>
      </w:r>
      <w:proofErr w:type="spellStart"/>
      <w:r w:rsidRPr="00EC5E95">
        <w:rPr>
          <w:lang w:val="sk-SK"/>
        </w:rPr>
        <w:t>trimestra</w:t>
      </w:r>
      <w:proofErr w:type="spellEnd"/>
      <w:r w:rsidRPr="00EC5E95">
        <w:rPr>
          <w:lang w:val="sk-SK"/>
        </w:rPr>
        <w:t xml:space="preserve"> spôso</w:t>
      </w:r>
      <w:r w:rsidR="00947281" w:rsidRPr="00EC5E95">
        <w:rPr>
          <w:lang w:val="sk-SK"/>
        </w:rPr>
        <w:t>buje u </w:t>
      </w:r>
      <w:r w:rsidRPr="00EC5E95">
        <w:rPr>
          <w:lang w:val="sk-SK"/>
        </w:rPr>
        <w:t xml:space="preserve">ľudí </w:t>
      </w:r>
      <w:proofErr w:type="spellStart"/>
      <w:r w:rsidRPr="00EC5E95">
        <w:rPr>
          <w:lang w:val="sk-SK"/>
        </w:rPr>
        <w:t>fetotoxicitu</w:t>
      </w:r>
      <w:proofErr w:type="spellEnd"/>
      <w:r w:rsidRPr="00EC5E95">
        <w:rPr>
          <w:lang w:val="sk-SK"/>
        </w:rPr>
        <w:t xml:space="preserve"> (znížená </w:t>
      </w:r>
      <w:proofErr w:type="spellStart"/>
      <w:r w:rsidRPr="00EC5E95">
        <w:rPr>
          <w:lang w:val="sk-SK"/>
        </w:rPr>
        <w:t>renálna</w:t>
      </w:r>
      <w:proofErr w:type="spellEnd"/>
      <w:r w:rsidRPr="00EC5E95">
        <w:rPr>
          <w:lang w:val="sk-SK"/>
        </w:rPr>
        <w:t xml:space="preserve"> funkcia, </w:t>
      </w:r>
      <w:proofErr w:type="spellStart"/>
      <w:r w:rsidRPr="00EC5E95">
        <w:rPr>
          <w:lang w:val="sk-SK"/>
        </w:rPr>
        <w:t>oligohydramni</w:t>
      </w:r>
      <w:r w:rsidR="00A00A1D" w:rsidRPr="00EC5E95">
        <w:rPr>
          <w:lang w:val="sk-SK"/>
        </w:rPr>
        <w:t>ó</w:t>
      </w:r>
      <w:r w:rsidRPr="00EC5E95">
        <w:rPr>
          <w:lang w:val="sk-SK"/>
        </w:rPr>
        <w:t>n</w:t>
      </w:r>
      <w:proofErr w:type="spellEnd"/>
      <w:r w:rsidRPr="00EC5E95">
        <w:rPr>
          <w:lang w:val="sk-SK"/>
        </w:rPr>
        <w:t>,</w:t>
      </w:r>
      <w:r w:rsidR="00947281" w:rsidRPr="00EC5E95">
        <w:rPr>
          <w:lang w:val="sk-SK"/>
        </w:rPr>
        <w:t xml:space="preserve"> retardácia osifikácie lebky) a </w:t>
      </w:r>
      <w:proofErr w:type="spellStart"/>
      <w:r w:rsidRPr="00EC5E95">
        <w:rPr>
          <w:lang w:val="sk-SK"/>
        </w:rPr>
        <w:t>neonatálnu</w:t>
      </w:r>
      <w:proofErr w:type="spellEnd"/>
      <w:r w:rsidRPr="00EC5E95">
        <w:rPr>
          <w:lang w:val="sk-SK"/>
        </w:rPr>
        <w:t xml:space="preserve"> toxicitu (zlyhanie obličiek, hypotenzia, </w:t>
      </w:r>
      <w:proofErr w:type="spellStart"/>
      <w:r w:rsidRPr="00EC5E95">
        <w:rPr>
          <w:lang w:val="sk-SK"/>
        </w:rPr>
        <w:t>hyperkaliémia</w:t>
      </w:r>
      <w:proofErr w:type="spellEnd"/>
      <w:r w:rsidRPr="00EC5E95">
        <w:rPr>
          <w:lang w:val="sk-SK"/>
        </w:rPr>
        <w:t>). (Pozri ta</w:t>
      </w:r>
      <w:r w:rsidR="00947281" w:rsidRPr="00EC5E95">
        <w:rPr>
          <w:lang w:val="sk-SK"/>
        </w:rPr>
        <w:t>ktiež 5.3 'Predklinické údaje o </w:t>
      </w:r>
      <w:r w:rsidRPr="00EC5E95">
        <w:rPr>
          <w:lang w:val="sk-SK"/>
        </w:rPr>
        <w:t xml:space="preserve">bezpečnosti'). Ak sa vyskytne expozícia ACE inhibítorom od druhého </w:t>
      </w:r>
      <w:proofErr w:type="spellStart"/>
      <w:r w:rsidRPr="00EC5E95">
        <w:rPr>
          <w:lang w:val="sk-SK"/>
        </w:rPr>
        <w:t>trimestra</w:t>
      </w:r>
      <w:proofErr w:type="spellEnd"/>
      <w:r w:rsidRPr="00EC5E95">
        <w:rPr>
          <w:lang w:val="sk-SK"/>
        </w:rPr>
        <w:t>, odporúča</w:t>
      </w:r>
      <w:r w:rsidR="00947281" w:rsidRPr="00EC5E95">
        <w:rPr>
          <w:lang w:val="sk-SK"/>
        </w:rPr>
        <w:t xml:space="preserve"> sa kontrola funkcie obličiek a </w:t>
      </w:r>
      <w:r w:rsidRPr="00EC5E95">
        <w:rPr>
          <w:lang w:val="sk-SK"/>
        </w:rPr>
        <w:t xml:space="preserve">lebky ultrazvukom. </w:t>
      </w:r>
      <w:r w:rsidR="00AD4A96" w:rsidRPr="00EC5E95">
        <w:rPr>
          <w:lang w:val="sk-SK"/>
        </w:rPr>
        <w:t>Dojčatá</w:t>
      </w:r>
      <w:r w:rsidRPr="00EC5E95">
        <w:rPr>
          <w:lang w:val="sk-SK"/>
        </w:rPr>
        <w:t>, ktorých matky užívali ACE inhibítory, musia byť dôkladne sledovan</w:t>
      </w:r>
      <w:r w:rsidR="00AD4A96" w:rsidRPr="00EC5E95">
        <w:rPr>
          <w:lang w:val="sk-SK"/>
        </w:rPr>
        <w:t>é</w:t>
      </w:r>
      <w:r w:rsidRPr="00EC5E95">
        <w:rPr>
          <w:lang w:val="sk-SK"/>
        </w:rPr>
        <w:t xml:space="preserve"> pre možnú hypotenziu, </w:t>
      </w:r>
      <w:proofErr w:type="spellStart"/>
      <w:r w:rsidRPr="00EC5E95">
        <w:rPr>
          <w:lang w:val="sk-SK"/>
        </w:rPr>
        <w:t>oligúriu</w:t>
      </w:r>
      <w:proofErr w:type="spellEnd"/>
      <w:r w:rsidRPr="00EC5E95">
        <w:rPr>
          <w:lang w:val="sk-SK"/>
        </w:rPr>
        <w:t xml:space="preserve"> alebo </w:t>
      </w:r>
      <w:proofErr w:type="spellStart"/>
      <w:r w:rsidRPr="00EC5E95">
        <w:rPr>
          <w:lang w:val="sk-SK"/>
        </w:rPr>
        <w:t>hyperkaliémiu</w:t>
      </w:r>
      <w:proofErr w:type="spellEnd"/>
      <w:r w:rsidRPr="00EC5E95">
        <w:rPr>
          <w:lang w:val="sk-SK"/>
        </w:rPr>
        <w:t xml:space="preserve"> (pozri taktiež časti 4.3 a</w:t>
      </w:r>
      <w:r w:rsidR="00947281" w:rsidRPr="00EC5E95">
        <w:rPr>
          <w:lang w:val="sk-SK"/>
        </w:rPr>
        <w:t> </w:t>
      </w:r>
      <w:r w:rsidRPr="00EC5E95">
        <w:rPr>
          <w:lang w:val="sk-SK"/>
        </w:rPr>
        <w:t>4.4).</w:t>
      </w:r>
    </w:p>
    <w:p w14:paraId="318DB37D" w14:textId="77777777" w:rsidR="00F470A8" w:rsidRPr="00456BE0" w:rsidRDefault="00571DB3" w:rsidP="0087630B">
      <w:pPr>
        <w:pStyle w:val="Styl3"/>
        <w:rPr>
          <w:lang w:val="sk-SK"/>
        </w:rPr>
      </w:pPr>
      <w:r w:rsidRPr="00456BE0">
        <w:rPr>
          <w:lang w:val="sk-SK"/>
        </w:rPr>
        <w:t>Dojčenie</w:t>
      </w:r>
    </w:p>
    <w:p w14:paraId="242B8240" w14:textId="39AB8454" w:rsidR="0076116E" w:rsidRPr="00EC5E95" w:rsidRDefault="00947281" w:rsidP="00A84884">
      <w:pPr>
        <w:pStyle w:val="Normlndobloku"/>
        <w:rPr>
          <w:lang w:val="sk-SK"/>
        </w:rPr>
      </w:pPr>
      <w:r w:rsidRPr="00571DB3">
        <w:rPr>
          <w:lang w:val="sk-SK"/>
        </w:rPr>
        <w:t>Pre nedostatok informácií o </w:t>
      </w:r>
      <w:r w:rsidR="004124B1" w:rsidRPr="00571DB3">
        <w:rPr>
          <w:lang w:val="sk-SK"/>
        </w:rPr>
        <w:t xml:space="preserve">používaní </w:t>
      </w:r>
      <w:proofErr w:type="spellStart"/>
      <w:r w:rsidR="004124B1" w:rsidRPr="00571DB3">
        <w:rPr>
          <w:lang w:val="sk-SK"/>
        </w:rPr>
        <w:t>ramiprilu</w:t>
      </w:r>
      <w:proofErr w:type="spellEnd"/>
      <w:r w:rsidR="004124B1" w:rsidRPr="00571DB3">
        <w:rPr>
          <w:lang w:val="sk-SK"/>
        </w:rPr>
        <w:t xml:space="preserve"> počas dojčenia (</w:t>
      </w:r>
      <w:r w:rsidR="00E97674" w:rsidRPr="00571DB3">
        <w:rPr>
          <w:lang w:val="sk-SK"/>
        </w:rPr>
        <w:t>pozri</w:t>
      </w:r>
      <w:r w:rsidR="004124B1" w:rsidRPr="00571DB3">
        <w:rPr>
          <w:lang w:val="sk-SK"/>
        </w:rPr>
        <w:t xml:space="preserve"> časť 5.2) sa </w:t>
      </w:r>
      <w:proofErr w:type="spellStart"/>
      <w:r w:rsidR="004124B1" w:rsidRPr="00571DB3">
        <w:rPr>
          <w:lang w:val="sk-SK"/>
        </w:rPr>
        <w:t>ramipril</w:t>
      </w:r>
      <w:proofErr w:type="spellEnd"/>
      <w:r w:rsidR="004124B1" w:rsidRPr="00571DB3">
        <w:rPr>
          <w:lang w:val="sk-SK"/>
        </w:rPr>
        <w:t xml:space="preserve"> neodporúča a</w:t>
      </w:r>
      <w:r w:rsidR="001C3DB2" w:rsidRPr="00571DB3">
        <w:rPr>
          <w:lang w:val="sk-SK"/>
        </w:rPr>
        <w:t> </w:t>
      </w:r>
      <w:r w:rsidR="004124B1" w:rsidRPr="00571DB3">
        <w:rPr>
          <w:lang w:val="sk-SK"/>
        </w:rPr>
        <w:t>upredno</w:t>
      </w:r>
      <w:r w:rsidRPr="00C3029B">
        <w:rPr>
          <w:lang w:val="sk-SK"/>
        </w:rPr>
        <w:t>stňuje sa alternatívna liečba s </w:t>
      </w:r>
      <w:r w:rsidR="004124B1" w:rsidRPr="00C3029B">
        <w:rPr>
          <w:lang w:val="sk-SK"/>
        </w:rPr>
        <w:t>lepšie preukázaným bezpečnostným profilom počas dojčenia</w:t>
      </w:r>
      <w:r w:rsidR="00AD4A96" w:rsidRPr="00C3029B">
        <w:rPr>
          <w:lang w:val="sk-SK"/>
        </w:rPr>
        <w:t>,</w:t>
      </w:r>
      <w:r w:rsidRPr="00C3029B">
        <w:rPr>
          <w:lang w:val="sk-SK"/>
        </w:rPr>
        <w:t xml:space="preserve"> a to najmä v </w:t>
      </w:r>
      <w:r w:rsidR="004124B1" w:rsidRPr="00EC5E95">
        <w:rPr>
          <w:lang w:val="sk-SK"/>
        </w:rPr>
        <w:t>prípade novorodenca alebo predčasne narodeného dieťaťa.</w:t>
      </w:r>
    </w:p>
    <w:p w14:paraId="3430A1CD" w14:textId="04004DA8" w:rsidR="0076116E" w:rsidRPr="00EC5E95" w:rsidRDefault="004124B1" w:rsidP="00015569">
      <w:pPr>
        <w:pStyle w:val="Styl2"/>
        <w:rPr>
          <w:noProof w:val="0"/>
          <w:lang w:val="sk-SK"/>
        </w:rPr>
      </w:pPr>
      <w:r w:rsidRPr="00EC5E95">
        <w:rPr>
          <w:noProof w:val="0"/>
          <w:lang w:val="sk-SK"/>
        </w:rPr>
        <w:t>Ovplyvn</w:t>
      </w:r>
      <w:r w:rsidR="00947281" w:rsidRPr="00EC5E95">
        <w:rPr>
          <w:noProof w:val="0"/>
          <w:lang w:val="sk-SK"/>
        </w:rPr>
        <w:t>enie schopnosti viesť vozidlá a </w:t>
      </w:r>
      <w:r w:rsidRPr="00EC5E95">
        <w:rPr>
          <w:noProof w:val="0"/>
          <w:lang w:val="sk-SK"/>
        </w:rPr>
        <w:t>obsluhovať stroje</w:t>
      </w:r>
    </w:p>
    <w:p w14:paraId="48BBF310" w14:textId="73DE0772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>N</w:t>
      </w:r>
      <w:r w:rsidR="00947281" w:rsidRPr="00EC5E95">
        <w:rPr>
          <w:lang w:val="sk-SK"/>
        </w:rPr>
        <w:t>iektoré nežiaduce účinky (napr. </w:t>
      </w:r>
      <w:r w:rsidRPr="00EC5E95">
        <w:rPr>
          <w:lang w:val="sk-SK"/>
        </w:rPr>
        <w:t>príznaky zníženého krvného tlaku ako je závrat) môžu zhoršiť sc</w:t>
      </w:r>
      <w:r w:rsidR="00947281" w:rsidRPr="00EC5E95">
        <w:rPr>
          <w:lang w:val="sk-SK"/>
        </w:rPr>
        <w:t>hopnosť pacienta sústrediť sa a reagovať a preto predstavujú riziko v </w:t>
      </w:r>
      <w:r w:rsidR="00E97674" w:rsidRPr="00EC5E95">
        <w:rPr>
          <w:lang w:val="sk-SK"/>
        </w:rPr>
        <w:t>situáciách</w:t>
      </w:r>
      <w:r w:rsidRPr="00EC5E95">
        <w:rPr>
          <w:lang w:val="sk-SK"/>
        </w:rPr>
        <w:t xml:space="preserve">, kedy sú tieto schopnosti </w:t>
      </w:r>
      <w:r w:rsidR="00E97674" w:rsidRPr="00EC5E95">
        <w:rPr>
          <w:lang w:val="sk-SK"/>
        </w:rPr>
        <w:t>obzvlášť</w:t>
      </w:r>
      <w:r w:rsidR="00947281" w:rsidRPr="00EC5E95">
        <w:rPr>
          <w:lang w:val="sk-SK"/>
        </w:rPr>
        <w:t xml:space="preserve"> dôležité (napr. </w:t>
      </w:r>
      <w:r w:rsidRPr="00EC5E95">
        <w:rPr>
          <w:lang w:val="sk-SK"/>
        </w:rPr>
        <w:t>vedenie vozidla alebo obsluha strojov).</w:t>
      </w:r>
    </w:p>
    <w:p w14:paraId="6D68927D" w14:textId="27D08FFC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>Môže sa to stať najmä na začiatku</w:t>
      </w:r>
      <w:r w:rsidR="00947281" w:rsidRPr="00EC5E95">
        <w:rPr>
          <w:lang w:val="sk-SK"/>
        </w:rPr>
        <w:t xml:space="preserve"> liečby alebo ak sa prechádza z </w:t>
      </w:r>
      <w:r w:rsidRPr="00EC5E95">
        <w:rPr>
          <w:lang w:val="sk-SK"/>
        </w:rPr>
        <w:t xml:space="preserve">iných liekov na </w:t>
      </w:r>
      <w:proofErr w:type="spellStart"/>
      <w:r w:rsidRPr="00EC5E95">
        <w:rPr>
          <w:lang w:val="sk-SK"/>
        </w:rPr>
        <w:t>ramipril</w:t>
      </w:r>
      <w:proofErr w:type="spellEnd"/>
      <w:r w:rsidRPr="00EC5E95">
        <w:rPr>
          <w:lang w:val="sk-SK"/>
        </w:rPr>
        <w:t>. Po užití prvej dávky alebo po prvom užití zvýšenej dávky sa odporúča niekoľko hodín neviesť vozidlo ani neobsluhovať stroje.</w:t>
      </w:r>
    </w:p>
    <w:p w14:paraId="5FC8B1E8" w14:textId="77777777" w:rsidR="0076116E" w:rsidRPr="00EC5E95" w:rsidRDefault="004124B1" w:rsidP="00015569">
      <w:pPr>
        <w:pStyle w:val="Styl2"/>
        <w:rPr>
          <w:noProof w:val="0"/>
          <w:lang w:val="sk-SK"/>
        </w:rPr>
      </w:pPr>
      <w:r w:rsidRPr="00EC5E95">
        <w:rPr>
          <w:noProof w:val="0"/>
          <w:lang w:val="sk-SK"/>
        </w:rPr>
        <w:t>Nežiaduce účinky</w:t>
      </w:r>
    </w:p>
    <w:p w14:paraId="315DEBB9" w14:textId="76CB8190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Súčasťou bezpečnostného profilu </w:t>
      </w:r>
      <w:proofErr w:type="spellStart"/>
      <w:r w:rsidRPr="00EC5E95">
        <w:rPr>
          <w:lang w:val="sk-SK"/>
        </w:rPr>
        <w:t>ramiprilu</w:t>
      </w:r>
      <w:proofErr w:type="spellEnd"/>
      <w:r w:rsidRPr="00EC5E95">
        <w:rPr>
          <w:lang w:val="sk-SK"/>
        </w:rPr>
        <w:t xml:space="preserve"> je výskyt </w:t>
      </w:r>
      <w:r w:rsidR="00947281" w:rsidRPr="00EC5E95">
        <w:rPr>
          <w:lang w:val="sk-SK"/>
        </w:rPr>
        <w:t>pretrvávajúceho suchého kašľa a reakcií v súvislosti s hypotenziou. K </w:t>
      </w:r>
      <w:r w:rsidRPr="00EC5E95">
        <w:rPr>
          <w:lang w:val="sk-SK"/>
        </w:rPr>
        <w:t xml:space="preserve">závažným nežiaducim účinkom patrí </w:t>
      </w:r>
      <w:proofErr w:type="spellStart"/>
      <w:r w:rsidRPr="00EC5E95">
        <w:rPr>
          <w:lang w:val="sk-SK"/>
        </w:rPr>
        <w:t>angioedém</w:t>
      </w:r>
      <w:proofErr w:type="spellEnd"/>
      <w:r w:rsidRPr="00EC5E95">
        <w:rPr>
          <w:lang w:val="sk-SK"/>
        </w:rPr>
        <w:t xml:space="preserve">, </w:t>
      </w:r>
      <w:proofErr w:type="spellStart"/>
      <w:r w:rsidRPr="00EC5E95">
        <w:rPr>
          <w:lang w:val="sk-SK"/>
        </w:rPr>
        <w:t>hyperkaliémia</w:t>
      </w:r>
      <w:proofErr w:type="spellEnd"/>
      <w:r w:rsidRPr="00EC5E95">
        <w:rPr>
          <w:lang w:val="sk-SK"/>
        </w:rPr>
        <w:t xml:space="preserve">, zhoršenie funkcie obličiek alebo pečene, </w:t>
      </w:r>
      <w:proofErr w:type="spellStart"/>
      <w:r w:rsidRPr="00EC5E95">
        <w:rPr>
          <w:lang w:val="sk-SK"/>
        </w:rPr>
        <w:t>pankr</w:t>
      </w:r>
      <w:r w:rsidR="00947281" w:rsidRPr="00EC5E95">
        <w:rPr>
          <w:lang w:val="sk-SK"/>
        </w:rPr>
        <w:t>eatitída</w:t>
      </w:r>
      <w:proofErr w:type="spellEnd"/>
      <w:r w:rsidR="00947281" w:rsidRPr="00EC5E95">
        <w:rPr>
          <w:lang w:val="sk-SK"/>
        </w:rPr>
        <w:t>, ťažké kožné reakcie a </w:t>
      </w:r>
      <w:proofErr w:type="spellStart"/>
      <w:r w:rsidRPr="00EC5E95">
        <w:rPr>
          <w:lang w:val="sk-SK"/>
        </w:rPr>
        <w:t>neutropénia</w:t>
      </w:r>
      <w:proofErr w:type="spellEnd"/>
      <w:r w:rsidRPr="00EC5E95">
        <w:rPr>
          <w:lang w:val="sk-SK"/>
        </w:rPr>
        <w:t>/</w:t>
      </w:r>
      <w:proofErr w:type="spellStart"/>
      <w:r w:rsidRPr="00EC5E95">
        <w:rPr>
          <w:lang w:val="sk-SK"/>
        </w:rPr>
        <w:t>agranulocytóza</w:t>
      </w:r>
      <w:proofErr w:type="spellEnd"/>
      <w:r w:rsidRPr="00EC5E95">
        <w:rPr>
          <w:lang w:val="sk-SK"/>
        </w:rPr>
        <w:t>.</w:t>
      </w:r>
    </w:p>
    <w:p w14:paraId="7B28D4E5" w14:textId="77777777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>Frekvencia nežiaducich účinkov je definovaná podľa týchto konvencií:</w:t>
      </w:r>
    </w:p>
    <w:p w14:paraId="687C5A56" w14:textId="347B52DD" w:rsidR="0076116E" w:rsidRPr="00571DB3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>Veľmi časté (≥ 1/10); časté (≥ 1/100 až &lt; 1/10); menej časté (≥ 1/1</w:t>
      </w:r>
      <w:r w:rsidR="00571DB3">
        <w:rPr>
          <w:lang w:val="sk-SK"/>
        </w:rPr>
        <w:t> </w:t>
      </w:r>
      <w:r w:rsidRPr="00571DB3">
        <w:rPr>
          <w:lang w:val="sk-SK"/>
        </w:rPr>
        <w:t>000 až &lt; 1/100); zriedkavé (≥ 1/10</w:t>
      </w:r>
      <w:r w:rsidR="00571DB3">
        <w:rPr>
          <w:lang w:val="sk-SK"/>
        </w:rPr>
        <w:t> </w:t>
      </w:r>
      <w:r w:rsidRPr="00571DB3">
        <w:rPr>
          <w:lang w:val="sk-SK"/>
        </w:rPr>
        <w:t>000 až &lt; 1/1</w:t>
      </w:r>
      <w:r w:rsidR="00571DB3">
        <w:rPr>
          <w:lang w:val="sk-SK"/>
        </w:rPr>
        <w:t> </w:t>
      </w:r>
      <w:r w:rsidRPr="00571DB3">
        <w:rPr>
          <w:lang w:val="sk-SK"/>
        </w:rPr>
        <w:t>000); veľmi zri</w:t>
      </w:r>
      <w:r w:rsidR="00947281" w:rsidRPr="00571DB3">
        <w:rPr>
          <w:lang w:val="sk-SK"/>
        </w:rPr>
        <w:t>edkavé (&lt; 1/10</w:t>
      </w:r>
      <w:r w:rsidR="00571DB3">
        <w:rPr>
          <w:lang w:val="sk-SK"/>
        </w:rPr>
        <w:t> </w:t>
      </w:r>
      <w:r w:rsidR="00947281" w:rsidRPr="00571DB3">
        <w:rPr>
          <w:lang w:val="sk-SK"/>
        </w:rPr>
        <w:t>000), neznáme (z </w:t>
      </w:r>
      <w:r w:rsidRPr="00571DB3">
        <w:rPr>
          <w:lang w:val="sk-SK"/>
        </w:rPr>
        <w:t>dostupných údajov</w:t>
      </w:r>
      <w:r w:rsidR="008A77AA" w:rsidRPr="00571DB3">
        <w:rPr>
          <w:lang w:val="sk-SK"/>
        </w:rPr>
        <w:t xml:space="preserve"> nie je možné odhadnúť</w:t>
      </w:r>
      <w:r w:rsidRPr="00571DB3">
        <w:rPr>
          <w:lang w:val="sk-SK"/>
        </w:rPr>
        <w:t>).</w:t>
      </w:r>
    </w:p>
    <w:p w14:paraId="05A28CE8" w14:textId="18992AA7" w:rsidR="004124B1" w:rsidRPr="00C3029B" w:rsidRDefault="00947281" w:rsidP="00A84884">
      <w:pPr>
        <w:pStyle w:val="Normlndobloku"/>
        <w:rPr>
          <w:lang w:val="sk-SK"/>
        </w:rPr>
      </w:pPr>
      <w:r w:rsidRPr="00C3029B">
        <w:rPr>
          <w:lang w:val="sk-SK"/>
        </w:rPr>
        <w:lastRenderedPageBreak/>
        <w:t>V </w:t>
      </w:r>
      <w:r w:rsidR="004124B1" w:rsidRPr="00C3029B">
        <w:rPr>
          <w:lang w:val="sk-SK"/>
        </w:rPr>
        <w:t>rámci jednotlivých skupín frekvencií sú</w:t>
      </w:r>
      <w:r w:rsidRPr="00C3029B">
        <w:rPr>
          <w:lang w:val="sk-SK"/>
        </w:rPr>
        <w:t xml:space="preserve"> nežiaduce účinky usporiadané v </w:t>
      </w:r>
      <w:r w:rsidR="004124B1" w:rsidRPr="00C3029B">
        <w:rPr>
          <w:lang w:val="sk-SK"/>
        </w:rPr>
        <w:t>poradí klesajúcej závažnosti.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1576"/>
        <w:gridCol w:w="1782"/>
        <w:gridCol w:w="1761"/>
        <w:gridCol w:w="1145"/>
        <w:gridCol w:w="1565"/>
      </w:tblGrid>
      <w:tr w:rsidR="00E73D9A" w:rsidRPr="00EC5E95" w14:paraId="0A699C87" w14:textId="77777777" w:rsidTr="005F0003">
        <w:trPr>
          <w:tblHeader/>
        </w:trPr>
        <w:tc>
          <w:tcPr>
            <w:tcW w:w="1793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</w:tcPr>
          <w:p w14:paraId="480456D4" w14:textId="77777777" w:rsidR="00270442" w:rsidRPr="000F6B9E" w:rsidRDefault="00270442" w:rsidP="00A84884">
            <w:pPr>
              <w:pStyle w:val="Tabulka"/>
              <w:rPr>
                <w:b/>
                <w:sz w:val="22"/>
                <w:lang w:val="sk-SK"/>
              </w:rPr>
            </w:pPr>
          </w:p>
        </w:tc>
        <w:tc>
          <w:tcPr>
            <w:tcW w:w="1576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</w:tcPr>
          <w:p w14:paraId="6983E5D8" w14:textId="77777777" w:rsidR="00270442" w:rsidRPr="000F6B9E" w:rsidRDefault="00270442" w:rsidP="00A84884">
            <w:pPr>
              <w:pStyle w:val="Tabulka"/>
              <w:rPr>
                <w:b/>
                <w:sz w:val="22"/>
                <w:lang w:val="sk-SK"/>
              </w:rPr>
            </w:pPr>
            <w:r w:rsidRPr="000F6B9E">
              <w:rPr>
                <w:b/>
                <w:sz w:val="22"/>
                <w:lang w:val="sk-SK"/>
              </w:rPr>
              <w:t>Časté</w:t>
            </w:r>
          </w:p>
        </w:tc>
        <w:tc>
          <w:tcPr>
            <w:tcW w:w="1782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</w:tcPr>
          <w:p w14:paraId="04157FB7" w14:textId="77777777" w:rsidR="00270442" w:rsidRPr="000F6B9E" w:rsidRDefault="00270442" w:rsidP="00A84884">
            <w:pPr>
              <w:pStyle w:val="Tabulka"/>
              <w:rPr>
                <w:b/>
                <w:sz w:val="22"/>
                <w:lang w:val="sk-SK"/>
              </w:rPr>
            </w:pPr>
            <w:r w:rsidRPr="000F6B9E">
              <w:rPr>
                <w:b/>
                <w:sz w:val="22"/>
                <w:lang w:val="sk-SK"/>
              </w:rPr>
              <w:t>Menej časté</w:t>
            </w:r>
          </w:p>
        </w:tc>
        <w:tc>
          <w:tcPr>
            <w:tcW w:w="1761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</w:tcPr>
          <w:p w14:paraId="47D146B4" w14:textId="77777777" w:rsidR="00270442" w:rsidRPr="000F6B9E" w:rsidRDefault="00270442" w:rsidP="00A84884">
            <w:pPr>
              <w:pStyle w:val="Tabulka"/>
              <w:rPr>
                <w:b/>
                <w:sz w:val="22"/>
                <w:lang w:val="sk-SK"/>
              </w:rPr>
            </w:pPr>
            <w:r w:rsidRPr="000F6B9E">
              <w:rPr>
                <w:b/>
                <w:sz w:val="22"/>
                <w:lang w:val="sk-SK"/>
              </w:rPr>
              <w:t>Zriedkavé</w:t>
            </w:r>
          </w:p>
        </w:tc>
        <w:tc>
          <w:tcPr>
            <w:tcW w:w="1145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</w:tcPr>
          <w:p w14:paraId="42923C36" w14:textId="77777777" w:rsidR="00270442" w:rsidRPr="000F6B9E" w:rsidRDefault="00270442" w:rsidP="00A84884">
            <w:pPr>
              <w:pStyle w:val="Tabulka"/>
              <w:rPr>
                <w:b/>
                <w:sz w:val="22"/>
                <w:lang w:val="sk-SK"/>
              </w:rPr>
            </w:pPr>
            <w:r w:rsidRPr="000F6B9E">
              <w:rPr>
                <w:b/>
                <w:sz w:val="22"/>
                <w:lang w:val="sk-SK"/>
              </w:rPr>
              <w:t>Veľmi zriedkavé</w:t>
            </w:r>
          </w:p>
        </w:tc>
        <w:tc>
          <w:tcPr>
            <w:tcW w:w="1565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</w:tcPr>
          <w:p w14:paraId="7F1CAEC4" w14:textId="77777777" w:rsidR="00270442" w:rsidRPr="000F6B9E" w:rsidRDefault="00270442" w:rsidP="00A84884">
            <w:pPr>
              <w:pStyle w:val="Tabulka"/>
              <w:rPr>
                <w:b/>
                <w:sz w:val="22"/>
                <w:lang w:val="sk-SK"/>
              </w:rPr>
            </w:pPr>
            <w:r w:rsidRPr="000F6B9E">
              <w:rPr>
                <w:b/>
                <w:sz w:val="22"/>
                <w:lang w:val="sk-SK"/>
              </w:rPr>
              <w:t>Neznáme</w:t>
            </w:r>
          </w:p>
        </w:tc>
      </w:tr>
      <w:tr w:rsidR="006C4FA9" w:rsidRPr="00EC5E95" w14:paraId="76AF32F0" w14:textId="77777777" w:rsidTr="000F6B9E">
        <w:tc>
          <w:tcPr>
            <w:tcW w:w="1793" w:type="dxa"/>
            <w:tcBorders>
              <w:top w:val="single" w:sz="6" w:space="0" w:color="auto"/>
            </w:tcBorders>
          </w:tcPr>
          <w:p w14:paraId="10A69C52" w14:textId="47060B0E" w:rsidR="00270442" w:rsidRPr="000F6B9E" w:rsidRDefault="00270442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Poruchy srdca a</w:t>
            </w:r>
            <w:r w:rsidR="001C3DB2" w:rsidRPr="00EC5E95">
              <w:rPr>
                <w:lang w:val="sk-SK"/>
              </w:rPr>
              <w:t> </w:t>
            </w:r>
            <w:r w:rsidRPr="000F6B9E">
              <w:rPr>
                <w:sz w:val="22"/>
                <w:lang w:val="sk-SK"/>
              </w:rPr>
              <w:t xml:space="preserve">srdcovej činnosti </w:t>
            </w:r>
          </w:p>
        </w:tc>
        <w:tc>
          <w:tcPr>
            <w:tcW w:w="1576" w:type="dxa"/>
            <w:tcBorders>
              <w:top w:val="single" w:sz="6" w:space="0" w:color="auto"/>
            </w:tcBorders>
          </w:tcPr>
          <w:p w14:paraId="62C7AEE2" w14:textId="77777777" w:rsidR="00270442" w:rsidRPr="000F6B9E" w:rsidRDefault="00270442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782" w:type="dxa"/>
            <w:tcBorders>
              <w:top w:val="single" w:sz="6" w:space="0" w:color="auto"/>
            </w:tcBorders>
          </w:tcPr>
          <w:p w14:paraId="218CFDAD" w14:textId="77777777" w:rsidR="00270442" w:rsidRPr="000F6B9E" w:rsidRDefault="00270442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 xml:space="preserve">Ischémia myokardu vrátane </w:t>
            </w:r>
            <w:proofErr w:type="spellStart"/>
            <w:r w:rsidRPr="000F6B9E">
              <w:rPr>
                <w:sz w:val="22"/>
                <w:lang w:val="sk-SK"/>
              </w:rPr>
              <w:t>anginy</w:t>
            </w:r>
            <w:proofErr w:type="spellEnd"/>
            <w:r w:rsidRPr="000F6B9E">
              <w:rPr>
                <w:sz w:val="22"/>
                <w:lang w:val="sk-SK"/>
              </w:rPr>
              <w:t xml:space="preserve"> </w:t>
            </w:r>
            <w:proofErr w:type="spellStart"/>
            <w:r w:rsidRPr="000F6B9E">
              <w:rPr>
                <w:sz w:val="22"/>
                <w:lang w:val="sk-SK"/>
              </w:rPr>
              <w:t>pectoris</w:t>
            </w:r>
            <w:proofErr w:type="spellEnd"/>
            <w:r w:rsidRPr="000F6B9E">
              <w:rPr>
                <w:sz w:val="22"/>
                <w:lang w:val="sk-SK"/>
              </w:rPr>
              <w:t xml:space="preserve"> alebo infarktu myokardu, </w:t>
            </w:r>
            <w:proofErr w:type="spellStart"/>
            <w:r w:rsidRPr="000F6B9E">
              <w:rPr>
                <w:sz w:val="22"/>
                <w:lang w:val="sk-SK"/>
              </w:rPr>
              <w:t>tachykardia</w:t>
            </w:r>
            <w:proofErr w:type="spellEnd"/>
            <w:r w:rsidRPr="000F6B9E">
              <w:rPr>
                <w:sz w:val="22"/>
                <w:lang w:val="sk-SK"/>
              </w:rPr>
              <w:t xml:space="preserve">, </w:t>
            </w:r>
            <w:proofErr w:type="spellStart"/>
            <w:r w:rsidRPr="000F6B9E">
              <w:rPr>
                <w:sz w:val="22"/>
                <w:lang w:val="sk-SK"/>
              </w:rPr>
              <w:t>arytmia</w:t>
            </w:r>
            <w:proofErr w:type="spellEnd"/>
            <w:r w:rsidRPr="000F6B9E">
              <w:rPr>
                <w:sz w:val="22"/>
                <w:lang w:val="sk-SK"/>
              </w:rPr>
              <w:t xml:space="preserve">, </w:t>
            </w:r>
            <w:proofErr w:type="spellStart"/>
            <w:r w:rsidRPr="000F6B9E">
              <w:rPr>
                <w:sz w:val="22"/>
                <w:lang w:val="sk-SK"/>
              </w:rPr>
              <w:t>palpitácie</w:t>
            </w:r>
            <w:proofErr w:type="spellEnd"/>
            <w:r w:rsidRPr="000F6B9E">
              <w:rPr>
                <w:sz w:val="22"/>
                <w:lang w:val="sk-SK"/>
              </w:rPr>
              <w:t>, periférny edém</w:t>
            </w:r>
          </w:p>
        </w:tc>
        <w:tc>
          <w:tcPr>
            <w:tcW w:w="1761" w:type="dxa"/>
            <w:tcBorders>
              <w:top w:val="single" w:sz="6" w:space="0" w:color="auto"/>
            </w:tcBorders>
          </w:tcPr>
          <w:p w14:paraId="38ECAD11" w14:textId="77777777" w:rsidR="00270442" w:rsidRPr="000F6B9E" w:rsidRDefault="00270442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145" w:type="dxa"/>
            <w:tcBorders>
              <w:top w:val="single" w:sz="6" w:space="0" w:color="auto"/>
            </w:tcBorders>
          </w:tcPr>
          <w:p w14:paraId="6AB82922" w14:textId="77777777" w:rsidR="00270442" w:rsidRPr="000F6B9E" w:rsidRDefault="00270442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565" w:type="dxa"/>
            <w:tcBorders>
              <w:top w:val="single" w:sz="6" w:space="0" w:color="auto"/>
            </w:tcBorders>
          </w:tcPr>
          <w:p w14:paraId="360EF3E4" w14:textId="77777777" w:rsidR="00270442" w:rsidRPr="000F6B9E" w:rsidRDefault="00270442" w:rsidP="00A84884">
            <w:pPr>
              <w:pStyle w:val="Tabulka"/>
              <w:rPr>
                <w:sz w:val="22"/>
                <w:lang w:val="sk-SK"/>
              </w:rPr>
            </w:pPr>
          </w:p>
        </w:tc>
      </w:tr>
      <w:tr w:rsidR="006C4FA9" w:rsidRPr="00EC5E95" w14:paraId="24F63EE3" w14:textId="77777777" w:rsidTr="000F6B9E">
        <w:tc>
          <w:tcPr>
            <w:tcW w:w="1793" w:type="dxa"/>
          </w:tcPr>
          <w:p w14:paraId="3A421B79" w14:textId="4DE2EF60" w:rsidR="00270442" w:rsidRPr="000F6B9E" w:rsidRDefault="00270442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Poruchy krvi a</w:t>
            </w:r>
            <w:r w:rsidR="001C3DB2" w:rsidRPr="00EC5E95">
              <w:rPr>
                <w:lang w:val="sk-SK"/>
              </w:rPr>
              <w:t> </w:t>
            </w:r>
            <w:r w:rsidRPr="000F6B9E">
              <w:rPr>
                <w:sz w:val="22"/>
                <w:lang w:val="sk-SK"/>
              </w:rPr>
              <w:t>lymfatického systému</w:t>
            </w:r>
          </w:p>
        </w:tc>
        <w:tc>
          <w:tcPr>
            <w:tcW w:w="1576" w:type="dxa"/>
          </w:tcPr>
          <w:p w14:paraId="1524B538" w14:textId="77777777" w:rsidR="00270442" w:rsidRPr="000F6B9E" w:rsidRDefault="00270442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782" w:type="dxa"/>
          </w:tcPr>
          <w:p w14:paraId="3C48EB07" w14:textId="77777777" w:rsidR="00270442" w:rsidRPr="000F6B9E" w:rsidRDefault="00270442" w:rsidP="00A84884">
            <w:pPr>
              <w:pStyle w:val="Tabulka"/>
              <w:rPr>
                <w:sz w:val="22"/>
                <w:lang w:val="sk-SK"/>
              </w:rPr>
            </w:pPr>
            <w:proofErr w:type="spellStart"/>
            <w:r w:rsidRPr="000F6B9E">
              <w:rPr>
                <w:sz w:val="22"/>
                <w:lang w:val="sk-SK"/>
              </w:rPr>
              <w:t>Eozinofília</w:t>
            </w:r>
            <w:proofErr w:type="spellEnd"/>
          </w:p>
        </w:tc>
        <w:tc>
          <w:tcPr>
            <w:tcW w:w="1761" w:type="dxa"/>
          </w:tcPr>
          <w:p w14:paraId="546D4289" w14:textId="77777777" w:rsidR="00270442" w:rsidRPr="000F6B9E" w:rsidRDefault="00270442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 xml:space="preserve">Znížený počet bielych krviniek (vrátane </w:t>
            </w:r>
            <w:proofErr w:type="spellStart"/>
            <w:r w:rsidRPr="000F6B9E">
              <w:rPr>
                <w:sz w:val="22"/>
                <w:lang w:val="sk-SK"/>
              </w:rPr>
              <w:t>neutropénie</w:t>
            </w:r>
            <w:proofErr w:type="spellEnd"/>
            <w:r w:rsidRPr="000F6B9E">
              <w:rPr>
                <w:sz w:val="22"/>
                <w:lang w:val="sk-SK"/>
              </w:rPr>
              <w:t xml:space="preserve"> alebo </w:t>
            </w:r>
            <w:proofErr w:type="spellStart"/>
            <w:r w:rsidRPr="000F6B9E">
              <w:rPr>
                <w:sz w:val="22"/>
                <w:lang w:val="sk-SK"/>
              </w:rPr>
              <w:t>agranulocytózy</w:t>
            </w:r>
            <w:proofErr w:type="spellEnd"/>
            <w:r w:rsidRPr="000F6B9E">
              <w:rPr>
                <w:sz w:val="22"/>
                <w:lang w:val="sk-SK"/>
              </w:rPr>
              <w:t>), znížený počet červených krviniek, pokles hemoglobínu, znížený počet krvných doštičiek</w:t>
            </w:r>
          </w:p>
        </w:tc>
        <w:tc>
          <w:tcPr>
            <w:tcW w:w="1145" w:type="dxa"/>
          </w:tcPr>
          <w:p w14:paraId="7E9E572F" w14:textId="77777777" w:rsidR="00270442" w:rsidRPr="000F6B9E" w:rsidRDefault="00270442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565" w:type="dxa"/>
          </w:tcPr>
          <w:p w14:paraId="1B83A8FA" w14:textId="77777777" w:rsidR="00270442" w:rsidRPr="000F6B9E" w:rsidRDefault="00270442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 xml:space="preserve">Zlyhanie kostnej drene, </w:t>
            </w:r>
            <w:proofErr w:type="spellStart"/>
            <w:r w:rsidRPr="000F6B9E">
              <w:rPr>
                <w:sz w:val="22"/>
                <w:lang w:val="sk-SK"/>
              </w:rPr>
              <w:t>pancytopénia</w:t>
            </w:r>
            <w:proofErr w:type="spellEnd"/>
            <w:r w:rsidRPr="000F6B9E">
              <w:rPr>
                <w:sz w:val="22"/>
                <w:lang w:val="sk-SK"/>
              </w:rPr>
              <w:t xml:space="preserve">, </w:t>
            </w:r>
            <w:proofErr w:type="spellStart"/>
            <w:r w:rsidRPr="000F6B9E">
              <w:rPr>
                <w:sz w:val="22"/>
                <w:lang w:val="sk-SK"/>
              </w:rPr>
              <w:t>hemolytická</w:t>
            </w:r>
            <w:proofErr w:type="spellEnd"/>
            <w:r w:rsidRPr="000F6B9E">
              <w:rPr>
                <w:sz w:val="22"/>
                <w:lang w:val="sk-SK"/>
              </w:rPr>
              <w:t xml:space="preserve"> anémia</w:t>
            </w:r>
          </w:p>
        </w:tc>
      </w:tr>
      <w:tr w:rsidR="006C4FA9" w:rsidRPr="00EC5E95" w14:paraId="6FF13CB8" w14:textId="77777777" w:rsidTr="000F6B9E">
        <w:tc>
          <w:tcPr>
            <w:tcW w:w="1793" w:type="dxa"/>
          </w:tcPr>
          <w:p w14:paraId="15D7498F" w14:textId="77777777" w:rsidR="00270442" w:rsidRPr="000F6B9E" w:rsidRDefault="00270442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Poruchy nervového systému</w:t>
            </w:r>
          </w:p>
        </w:tc>
        <w:tc>
          <w:tcPr>
            <w:tcW w:w="1576" w:type="dxa"/>
          </w:tcPr>
          <w:p w14:paraId="7F2DA42C" w14:textId="77777777" w:rsidR="00270442" w:rsidRPr="000F6B9E" w:rsidRDefault="00270442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Bolesť hlavy, závrat</w:t>
            </w:r>
          </w:p>
        </w:tc>
        <w:tc>
          <w:tcPr>
            <w:tcW w:w="1782" w:type="dxa"/>
          </w:tcPr>
          <w:p w14:paraId="15003927" w14:textId="77777777" w:rsidR="00270442" w:rsidRPr="000F6B9E" w:rsidRDefault="00CC0562" w:rsidP="00A84884">
            <w:pPr>
              <w:pStyle w:val="Tabulka"/>
              <w:rPr>
                <w:sz w:val="22"/>
                <w:lang w:val="sk-SK"/>
              </w:rPr>
            </w:pPr>
            <w:proofErr w:type="spellStart"/>
            <w:r w:rsidRPr="000F6B9E">
              <w:rPr>
                <w:sz w:val="22"/>
                <w:lang w:val="sk-SK"/>
              </w:rPr>
              <w:t>Vertigo</w:t>
            </w:r>
            <w:proofErr w:type="spellEnd"/>
            <w:r w:rsidRPr="000F6B9E">
              <w:rPr>
                <w:sz w:val="22"/>
                <w:lang w:val="sk-SK"/>
              </w:rPr>
              <w:t xml:space="preserve">, </w:t>
            </w:r>
            <w:proofErr w:type="spellStart"/>
            <w:r w:rsidRPr="000F6B9E">
              <w:rPr>
                <w:sz w:val="22"/>
                <w:lang w:val="sk-SK"/>
              </w:rPr>
              <w:t>parestézia</w:t>
            </w:r>
            <w:proofErr w:type="spellEnd"/>
            <w:r w:rsidRPr="000F6B9E">
              <w:rPr>
                <w:sz w:val="22"/>
                <w:lang w:val="sk-SK"/>
              </w:rPr>
              <w:t xml:space="preserve">, </w:t>
            </w:r>
            <w:proofErr w:type="spellStart"/>
            <w:r w:rsidRPr="000F6B9E">
              <w:rPr>
                <w:sz w:val="22"/>
                <w:lang w:val="sk-SK"/>
              </w:rPr>
              <w:t>ageúzia</w:t>
            </w:r>
            <w:proofErr w:type="spellEnd"/>
            <w:r w:rsidRPr="000F6B9E">
              <w:rPr>
                <w:sz w:val="22"/>
                <w:lang w:val="sk-SK"/>
              </w:rPr>
              <w:t xml:space="preserve">, </w:t>
            </w:r>
            <w:proofErr w:type="spellStart"/>
            <w:r w:rsidRPr="000F6B9E">
              <w:rPr>
                <w:sz w:val="22"/>
                <w:lang w:val="sk-SK"/>
              </w:rPr>
              <w:t>dysgeúzia</w:t>
            </w:r>
            <w:proofErr w:type="spellEnd"/>
            <w:r w:rsidRPr="000F6B9E">
              <w:rPr>
                <w:sz w:val="22"/>
                <w:lang w:val="sk-SK"/>
              </w:rPr>
              <w:t>,</w:t>
            </w:r>
          </w:p>
        </w:tc>
        <w:tc>
          <w:tcPr>
            <w:tcW w:w="1761" w:type="dxa"/>
          </w:tcPr>
          <w:p w14:paraId="449D48BC" w14:textId="77777777" w:rsidR="00270442" w:rsidRPr="000F6B9E" w:rsidRDefault="00CC0562" w:rsidP="00A84884">
            <w:pPr>
              <w:pStyle w:val="Tabulka"/>
              <w:rPr>
                <w:sz w:val="22"/>
                <w:lang w:val="sk-SK"/>
              </w:rPr>
            </w:pPr>
            <w:proofErr w:type="spellStart"/>
            <w:r w:rsidRPr="000F6B9E">
              <w:rPr>
                <w:sz w:val="22"/>
                <w:lang w:val="sk-SK"/>
              </w:rPr>
              <w:t>Tr</w:t>
            </w:r>
            <w:r w:rsidR="00AD4A96" w:rsidRPr="000F6B9E">
              <w:rPr>
                <w:sz w:val="22"/>
                <w:lang w:val="sk-SK"/>
              </w:rPr>
              <w:t>emor</w:t>
            </w:r>
            <w:proofErr w:type="spellEnd"/>
            <w:r w:rsidRPr="000F6B9E">
              <w:rPr>
                <w:sz w:val="22"/>
                <w:lang w:val="sk-SK"/>
              </w:rPr>
              <w:t>, poruchy rovnováhy</w:t>
            </w:r>
          </w:p>
        </w:tc>
        <w:tc>
          <w:tcPr>
            <w:tcW w:w="1145" w:type="dxa"/>
          </w:tcPr>
          <w:p w14:paraId="60FC3DA5" w14:textId="77777777" w:rsidR="00270442" w:rsidRPr="000F6B9E" w:rsidRDefault="00270442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565" w:type="dxa"/>
          </w:tcPr>
          <w:p w14:paraId="47D5CB9E" w14:textId="1606272B" w:rsidR="00270442" w:rsidRPr="000F6B9E" w:rsidRDefault="00CC0562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Mozgová ischémia vrátane mozgovej príhody a</w:t>
            </w:r>
            <w:r w:rsidR="001C3DB2" w:rsidRPr="00EC5E95">
              <w:rPr>
                <w:lang w:val="sk-SK"/>
              </w:rPr>
              <w:t> </w:t>
            </w:r>
            <w:proofErr w:type="spellStart"/>
            <w:r w:rsidRPr="000F6B9E">
              <w:rPr>
                <w:sz w:val="22"/>
                <w:lang w:val="sk-SK"/>
              </w:rPr>
              <w:t>tranzitórneho</w:t>
            </w:r>
            <w:proofErr w:type="spellEnd"/>
            <w:r w:rsidRPr="000F6B9E">
              <w:rPr>
                <w:sz w:val="22"/>
                <w:lang w:val="sk-SK"/>
              </w:rPr>
              <w:t xml:space="preserve"> ischemického záchvatu, zhoršené </w:t>
            </w:r>
            <w:proofErr w:type="spellStart"/>
            <w:r w:rsidRPr="000F6B9E">
              <w:rPr>
                <w:sz w:val="22"/>
                <w:lang w:val="sk-SK"/>
              </w:rPr>
              <w:t>psychomotorické</w:t>
            </w:r>
            <w:proofErr w:type="spellEnd"/>
            <w:r w:rsidRPr="000F6B9E">
              <w:rPr>
                <w:sz w:val="22"/>
                <w:lang w:val="sk-SK"/>
              </w:rPr>
              <w:t xml:space="preserve"> schopnosti, pocit pálenia, </w:t>
            </w:r>
            <w:proofErr w:type="spellStart"/>
            <w:r w:rsidRPr="000F6B9E">
              <w:rPr>
                <w:sz w:val="22"/>
                <w:lang w:val="sk-SK"/>
              </w:rPr>
              <w:t>parosmia</w:t>
            </w:r>
            <w:proofErr w:type="spellEnd"/>
          </w:p>
        </w:tc>
      </w:tr>
      <w:tr w:rsidR="006C4FA9" w:rsidRPr="00EC5E95" w14:paraId="6C873D15" w14:textId="77777777" w:rsidTr="000F6B9E">
        <w:tc>
          <w:tcPr>
            <w:tcW w:w="1793" w:type="dxa"/>
          </w:tcPr>
          <w:p w14:paraId="14B35442" w14:textId="77777777" w:rsidR="00270442" w:rsidRPr="000F6B9E" w:rsidRDefault="00CC0562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Poruchy oka</w:t>
            </w:r>
          </w:p>
        </w:tc>
        <w:tc>
          <w:tcPr>
            <w:tcW w:w="1576" w:type="dxa"/>
          </w:tcPr>
          <w:p w14:paraId="3EB433BB" w14:textId="77777777" w:rsidR="00270442" w:rsidRPr="000F6B9E" w:rsidRDefault="00270442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782" w:type="dxa"/>
          </w:tcPr>
          <w:p w14:paraId="223158EA" w14:textId="77777777" w:rsidR="00270442" w:rsidRPr="000F6B9E" w:rsidRDefault="00CC0562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Poruchy videnia vrátane zahmleného videnia</w:t>
            </w:r>
          </w:p>
        </w:tc>
        <w:tc>
          <w:tcPr>
            <w:tcW w:w="1761" w:type="dxa"/>
          </w:tcPr>
          <w:p w14:paraId="5A2CC387" w14:textId="77777777" w:rsidR="00270442" w:rsidRPr="000F6B9E" w:rsidRDefault="00CC0562" w:rsidP="00A84884">
            <w:pPr>
              <w:pStyle w:val="Tabulka"/>
              <w:rPr>
                <w:sz w:val="22"/>
                <w:lang w:val="sk-SK"/>
              </w:rPr>
            </w:pPr>
            <w:proofErr w:type="spellStart"/>
            <w:r w:rsidRPr="000F6B9E">
              <w:rPr>
                <w:sz w:val="22"/>
                <w:lang w:val="sk-SK"/>
              </w:rPr>
              <w:t>Konjunktivitída</w:t>
            </w:r>
            <w:proofErr w:type="spellEnd"/>
          </w:p>
        </w:tc>
        <w:tc>
          <w:tcPr>
            <w:tcW w:w="1145" w:type="dxa"/>
          </w:tcPr>
          <w:p w14:paraId="0255E691" w14:textId="77777777" w:rsidR="00270442" w:rsidRPr="000F6B9E" w:rsidRDefault="00270442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565" w:type="dxa"/>
          </w:tcPr>
          <w:p w14:paraId="347AF7F5" w14:textId="77777777" w:rsidR="00270442" w:rsidRPr="000F6B9E" w:rsidRDefault="00270442" w:rsidP="00A84884">
            <w:pPr>
              <w:pStyle w:val="Tabulka"/>
              <w:rPr>
                <w:sz w:val="22"/>
                <w:lang w:val="sk-SK"/>
              </w:rPr>
            </w:pPr>
          </w:p>
        </w:tc>
      </w:tr>
      <w:tr w:rsidR="006C4FA9" w:rsidRPr="00EC5E95" w14:paraId="4A89D595" w14:textId="77777777" w:rsidTr="000F6B9E">
        <w:tc>
          <w:tcPr>
            <w:tcW w:w="1793" w:type="dxa"/>
          </w:tcPr>
          <w:p w14:paraId="1B3F3FA0" w14:textId="051968AD" w:rsidR="00270442" w:rsidRPr="000F6B9E" w:rsidRDefault="00CC0562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Poruchy ucha a</w:t>
            </w:r>
            <w:r w:rsidR="001C3DB2" w:rsidRPr="00EC5E95">
              <w:rPr>
                <w:lang w:val="sk-SK"/>
              </w:rPr>
              <w:t> </w:t>
            </w:r>
            <w:r w:rsidRPr="000F6B9E">
              <w:rPr>
                <w:sz w:val="22"/>
                <w:lang w:val="sk-SK"/>
              </w:rPr>
              <w:t>labyrintu</w:t>
            </w:r>
          </w:p>
        </w:tc>
        <w:tc>
          <w:tcPr>
            <w:tcW w:w="1576" w:type="dxa"/>
          </w:tcPr>
          <w:p w14:paraId="64788D4D" w14:textId="77777777" w:rsidR="00270442" w:rsidRPr="000F6B9E" w:rsidRDefault="00270442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782" w:type="dxa"/>
          </w:tcPr>
          <w:p w14:paraId="7FD1BB4E" w14:textId="77777777" w:rsidR="00270442" w:rsidRPr="000F6B9E" w:rsidRDefault="00270442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761" w:type="dxa"/>
          </w:tcPr>
          <w:p w14:paraId="2C0B949A" w14:textId="77777777" w:rsidR="00270442" w:rsidRPr="000F6B9E" w:rsidRDefault="00CC0562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 xml:space="preserve">Zhoršený sluch, </w:t>
            </w:r>
            <w:proofErr w:type="spellStart"/>
            <w:r w:rsidRPr="000F6B9E">
              <w:rPr>
                <w:sz w:val="22"/>
                <w:lang w:val="sk-SK"/>
              </w:rPr>
              <w:t>tinnitus</w:t>
            </w:r>
            <w:proofErr w:type="spellEnd"/>
          </w:p>
        </w:tc>
        <w:tc>
          <w:tcPr>
            <w:tcW w:w="1145" w:type="dxa"/>
          </w:tcPr>
          <w:p w14:paraId="535095C3" w14:textId="77777777" w:rsidR="00270442" w:rsidRPr="000F6B9E" w:rsidRDefault="00270442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565" w:type="dxa"/>
          </w:tcPr>
          <w:p w14:paraId="558E2E0F" w14:textId="77777777" w:rsidR="00270442" w:rsidRPr="000F6B9E" w:rsidRDefault="00270442" w:rsidP="00A84884">
            <w:pPr>
              <w:pStyle w:val="Tabulka"/>
              <w:rPr>
                <w:sz w:val="22"/>
                <w:lang w:val="sk-SK"/>
              </w:rPr>
            </w:pPr>
          </w:p>
        </w:tc>
      </w:tr>
      <w:tr w:rsidR="006C4FA9" w:rsidRPr="00EC5E95" w14:paraId="1E5AC206" w14:textId="77777777" w:rsidTr="000F6B9E">
        <w:tc>
          <w:tcPr>
            <w:tcW w:w="1793" w:type="dxa"/>
          </w:tcPr>
          <w:p w14:paraId="24D390B1" w14:textId="3AD17656" w:rsidR="00CC0562" w:rsidRPr="000F6B9E" w:rsidRDefault="00CC0562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Poruc</w:t>
            </w:r>
            <w:r w:rsidR="00947281" w:rsidRPr="000F6B9E">
              <w:rPr>
                <w:sz w:val="22"/>
                <w:lang w:val="sk-SK"/>
              </w:rPr>
              <w:t xml:space="preserve">hy dýchacej sústavy, hrudníka </w:t>
            </w:r>
            <w:r w:rsidR="00947281" w:rsidRPr="000F6B9E">
              <w:rPr>
                <w:sz w:val="22"/>
                <w:lang w:val="sk-SK"/>
              </w:rPr>
              <w:lastRenderedPageBreak/>
              <w:t>a</w:t>
            </w:r>
            <w:r w:rsidR="00947281" w:rsidRPr="00EC5E95">
              <w:rPr>
                <w:sz w:val="22"/>
                <w:szCs w:val="22"/>
                <w:lang w:val="sk-SK"/>
              </w:rPr>
              <w:t> </w:t>
            </w:r>
            <w:proofErr w:type="spellStart"/>
            <w:r w:rsidRPr="000F6B9E">
              <w:rPr>
                <w:sz w:val="22"/>
                <w:lang w:val="sk-SK"/>
              </w:rPr>
              <w:t>mediastína</w:t>
            </w:r>
            <w:proofErr w:type="spellEnd"/>
          </w:p>
        </w:tc>
        <w:tc>
          <w:tcPr>
            <w:tcW w:w="1576" w:type="dxa"/>
          </w:tcPr>
          <w:p w14:paraId="6362AECA" w14:textId="77777777" w:rsidR="00CC0562" w:rsidRPr="000F6B9E" w:rsidRDefault="00CC0562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lastRenderedPageBreak/>
              <w:t xml:space="preserve">Neproduktívny dráždivý kašeľ, </w:t>
            </w:r>
            <w:r w:rsidRPr="000F6B9E">
              <w:rPr>
                <w:sz w:val="22"/>
                <w:lang w:val="sk-SK"/>
              </w:rPr>
              <w:lastRenderedPageBreak/>
              <w:t xml:space="preserve">bronchitída, </w:t>
            </w:r>
            <w:proofErr w:type="spellStart"/>
            <w:r w:rsidRPr="000F6B9E">
              <w:rPr>
                <w:sz w:val="22"/>
                <w:lang w:val="sk-SK"/>
              </w:rPr>
              <w:t>sinusitída</w:t>
            </w:r>
            <w:proofErr w:type="spellEnd"/>
            <w:r w:rsidRPr="000F6B9E">
              <w:rPr>
                <w:sz w:val="22"/>
                <w:lang w:val="sk-SK"/>
              </w:rPr>
              <w:t xml:space="preserve">, </w:t>
            </w:r>
            <w:proofErr w:type="spellStart"/>
            <w:r w:rsidRPr="000F6B9E">
              <w:rPr>
                <w:sz w:val="22"/>
                <w:lang w:val="sk-SK"/>
              </w:rPr>
              <w:t>dyspnoe</w:t>
            </w:r>
            <w:proofErr w:type="spellEnd"/>
          </w:p>
        </w:tc>
        <w:tc>
          <w:tcPr>
            <w:tcW w:w="1782" w:type="dxa"/>
          </w:tcPr>
          <w:p w14:paraId="5BD86914" w14:textId="77777777" w:rsidR="00CC0562" w:rsidRPr="000F6B9E" w:rsidRDefault="00CC0562" w:rsidP="00A84884">
            <w:pPr>
              <w:pStyle w:val="Tabulka"/>
              <w:rPr>
                <w:sz w:val="22"/>
                <w:lang w:val="sk-SK"/>
              </w:rPr>
            </w:pPr>
            <w:proofErr w:type="spellStart"/>
            <w:r w:rsidRPr="000F6B9E">
              <w:rPr>
                <w:sz w:val="22"/>
                <w:lang w:val="sk-SK"/>
              </w:rPr>
              <w:lastRenderedPageBreak/>
              <w:t>Bronchospazmus</w:t>
            </w:r>
            <w:proofErr w:type="spellEnd"/>
            <w:r w:rsidRPr="000F6B9E">
              <w:rPr>
                <w:sz w:val="22"/>
                <w:lang w:val="sk-SK"/>
              </w:rPr>
              <w:t xml:space="preserve"> vrátane zhoršenia </w:t>
            </w:r>
            <w:r w:rsidRPr="000F6B9E">
              <w:rPr>
                <w:sz w:val="22"/>
                <w:lang w:val="sk-SK"/>
              </w:rPr>
              <w:lastRenderedPageBreak/>
              <w:t>astmy, prekrvenie nosa</w:t>
            </w:r>
          </w:p>
        </w:tc>
        <w:tc>
          <w:tcPr>
            <w:tcW w:w="1761" w:type="dxa"/>
          </w:tcPr>
          <w:p w14:paraId="1843FB1C" w14:textId="77777777" w:rsidR="00CC0562" w:rsidRPr="000F6B9E" w:rsidRDefault="00CC0562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145" w:type="dxa"/>
          </w:tcPr>
          <w:p w14:paraId="030528A8" w14:textId="77777777" w:rsidR="00CC0562" w:rsidRPr="000F6B9E" w:rsidRDefault="00CC0562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565" w:type="dxa"/>
          </w:tcPr>
          <w:p w14:paraId="77F57372" w14:textId="77777777" w:rsidR="00CC0562" w:rsidRPr="000F6B9E" w:rsidRDefault="00CC0562" w:rsidP="00A84884">
            <w:pPr>
              <w:pStyle w:val="Tabulka"/>
              <w:rPr>
                <w:sz w:val="22"/>
                <w:lang w:val="sk-SK"/>
              </w:rPr>
            </w:pPr>
          </w:p>
        </w:tc>
      </w:tr>
      <w:tr w:rsidR="006C4FA9" w:rsidRPr="00EC5E95" w14:paraId="7CB64C1B" w14:textId="77777777" w:rsidTr="000F6B9E">
        <w:tc>
          <w:tcPr>
            <w:tcW w:w="1793" w:type="dxa"/>
          </w:tcPr>
          <w:p w14:paraId="1AD21010" w14:textId="77777777" w:rsidR="00CC0562" w:rsidRPr="000F6B9E" w:rsidRDefault="00CC0562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lastRenderedPageBreak/>
              <w:t xml:space="preserve">Poruchy </w:t>
            </w:r>
            <w:proofErr w:type="spellStart"/>
            <w:r w:rsidRPr="000F6B9E">
              <w:rPr>
                <w:sz w:val="22"/>
                <w:lang w:val="sk-SK"/>
              </w:rPr>
              <w:t>gastrointestinálneho</w:t>
            </w:r>
            <w:proofErr w:type="spellEnd"/>
            <w:r w:rsidRPr="000F6B9E">
              <w:rPr>
                <w:sz w:val="22"/>
                <w:lang w:val="sk-SK"/>
              </w:rPr>
              <w:t xml:space="preserve"> traktu</w:t>
            </w:r>
          </w:p>
        </w:tc>
        <w:tc>
          <w:tcPr>
            <w:tcW w:w="1576" w:type="dxa"/>
          </w:tcPr>
          <w:p w14:paraId="07BEEBEA" w14:textId="77777777" w:rsidR="00CC0562" w:rsidRPr="000F6B9E" w:rsidRDefault="00CC0562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 xml:space="preserve">Zápal </w:t>
            </w:r>
            <w:proofErr w:type="spellStart"/>
            <w:r w:rsidRPr="000F6B9E">
              <w:rPr>
                <w:sz w:val="22"/>
                <w:lang w:val="sk-SK"/>
              </w:rPr>
              <w:t>gastrointestinálneho</w:t>
            </w:r>
            <w:proofErr w:type="spellEnd"/>
            <w:r w:rsidRPr="000F6B9E">
              <w:rPr>
                <w:sz w:val="22"/>
                <w:lang w:val="sk-SK"/>
              </w:rPr>
              <w:t xml:space="preserve"> traktu, </w:t>
            </w:r>
            <w:r w:rsidR="00AD4A96" w:rsidRPr="000F6B9E">
              <w:rPr>
                <w:sz w:val="22"/>
                <w:lang w:val="sk-SK"/>
              </w:rPr>
              <w:t>tráviace ťažkosti</w:t>
            </w:r>
            <w:r w:rsidRPr="000F6B9E">
              <w:rPr>
                <w:sz w:val="22"/>
                <w:lang w:val="sk-SK"/>
              </w:rPr>
              <w:t xml:space="preserve">, </w:t>
            </w:r>
            <w:proofErr w:type="spellStart"/>
            <w:r w:rsidRPr="000F6B9E">
              <w:rPr>
                <w:sz w:val="22"/>
                <w:lang w:val="sk-SK"/>
              </w:rPr>
              <w:t>abdomináln</w:t>
            </w:r>
            <w:r w:rsidR="00AD4A96" w:rsidRPr="000F6B9E">
              <w:rPr>
                <w:sz w:val="22"/>
                <w:lang w:val="sk-SK"/>
              </w:rPr>
              <w:t>e</w:t>
            </w:r>
            <w:proofErr w:type="spellEnd"/>
            <w:r w:rsidR="00AD4A96" w:rsidRPr="000F6B9E">
              <w:rPr>
                <w:sz w:val="22"/>
                <w:lang w:val="sk-SK"/>
              </w:rPr>
              <w:t xml:space="preserve"> ťažkosti</w:t>
            </w:r>
            <w:r w:rsidRPr="000F6B9E">
              <w:rPr>
                <w:sz w:val="22"/>
                <w:lang w:val="sk-SK"/>
              </w:rPr>
              <w:t xml:space="preserve">, </w:t>
            </w:r>
            <w:proofErr w:type="spellStart"/>
            <w:r w:rsidRPr="000F6B9E">
              <w:rPr>
                <w:sz w:val="22"/>
                <w:lang w:val="sk-SK"/>
              </w:rPr>
              <w:t>dyspepsia</w:t>
            </w:r>
            <w:proofErr w:type="spellEnd"/>
            <w:r w:rsidRPr="000F6B9E">
              <w:rPr>
                <w:sz w:val="22"/>
                <w:lang w:val="sk-SK"/>
              </w:rPr>
              <w:t>, hnačka, nevoľnosť, vracanie</w:t>
            </w:r>
          </w:p>
        </w:tc>
        <w:tc>
          <w:tcPr>
            <w:tcW w:w="1782" w:type="dxa"/>
          </w:tcPr>
          <w:p w14:paraId="426D2907" w14:textId="20A11699" w:rsidR="00CC0562" w:rsidRPr="000F6B9E" w:rsidRDefault="00CC0562" w:rsidP="00A84884">
            <w:pPr>
              <w:pStyle w:val="Tabulka"/>
              <w:rPr>
                <w:sz w:val="22"/>
                <w:lang w:val="sk-SK"/>
              </w:rPr>
            </w:pPr>
            <w:proofErr w:type="spellStart"/>
            <w:r w:rsidRPr="000F6B9E">
              <w:rPr>
                <w:sz w:val="22"/>
                <w:lang w:val="sk-SK"/>
              </w:rPr>
              <w:t>Pankreatitída</w:t>
            </w:r>
            <w:proofErr w:type="spellEnd"/>
            <w:r w:rsidRPr="000F6B9E">
              <w:rPr>
                <w:sz w:val="22"/>
                <w:lang w:val="sk-SK"/>
              </w:rPr>
              <w:t xml:space="preserve"> (pri ACE inhibítoroch boli veľmi výnimočne hlásené prípady </w:t>
            </w:r>
            <w:r w:rsidR="00AD4A96" w:rsidRPr="000F6B9E">
              <w:rPr>
                <w:sz w:val="22"/>
                <w:lang w:val="sk-SK"/>
              </w:rPr>
              <w:t>s</w:t>
            </w:r>
            <w:r w:rsidR="00164028">
              <w:rPr>
                <w:lang w:val="sk-SK"/>
              </w:rPr>
              <w:t> </w:t>
            </w:r>
            <w:r w:rsidRPr="000F6B9E">
              <w:rPr>
                <w:sz w:val="22"/>
                <w:lang w:val="sk-SK"/>
              </w:rPr>
              <w:t>fatáln</w:t>
            </w:r>
            <w:r w:rsidR="00AD4A96" w:rsidRPr="000F6B9E">
              <w:rPr>
                <w:sz w:val="22"/>
                <w:lang w:val="sk-SK"/>
              </w:rPr>
              <w:t>ym</w:t>
            </w:r>
            <w:r w:rsidRPr="000F6B9E">
              <w:rPr>
                <w:sz w:val="22"/>
                <w:lang w:val="sk-SK"/>
              </w:rPr>
              <w:t xml:space="preserve"> konc</w:t>
            </w:r>
            <w:r w:rsidR="00AD4A96" w:rsidRPr="000F6B9E">
              <w:rPr>
                <w:sz w:val="22"/>
                <w:lang w:val="sk-SK"/>
              </w:rPr>
              <w:t>om</w:t>
            </w:r>
            <w:r w:rsidRPr="000F6B9E">
              <w:rPr>
                <w:sz w:val="22"/>
                <w:lang w:val="sk-SK"/>
              </w:rPr>
              <w:t xml:space="preserve">), zvýšené pankreatické enzýmy, </w:t>
            </w:r>
            <w:proofErr w:type="spellStart"/>
            <w:r w:rsidRPr="000F6B9E">
              <w:rPr>
                <w:sz w:val="22"/>
                <w:lang w:val="sk-SK"/>
              </w:rPr>
              <w:t>angioedém</w:t>
            </w:r>
            <w:proofErr w:type="spellEnd"/>
            <w:r w:rsidRPr="000F6B9E">
              <w:rPr>
                <w:sz w:val="22"/>
                <w:lang w:val="sk-SK"/>
              </w:rPr>
              <w:t xml:space="preserve"> tenkého čreva, boles</w:t>
            </w:r>
            <w:r w:rsidR="00947281" w:rsidRPr="000F6B9E">
              <w:rPr>
                <w:sz w:val="22"/>
                <w:lang w:val="sk-SK"/>
              </w:rPr>
              <w:t>ť v</w:t>
            </w:r>
            <w:r w:rsidR="00947281" w:rsidRPr="00EC5E95">
              <w:rPr>
                <w:sz w:val="22"/>
                <w:szCs w:val="22"/>
                <w:lang w:val="sk-SK"/>
              </w:rPr>
              <w:t> </w:t>
            </w:r>
            <w:r w:rsidRPr="000F6B9E">
              <w:rPr>
                <w:sz w:val="22"/>
                <w:lang w:val="sk-SK"/>
              </w:rPr>
              <w:t>hornej časti brucha vrátane gastritídy, zápcha, sucho v</w:t>
            </w:r>
            <w:r w:rsidR="00C14489" w:rsidRPr="000F6B9E">
              <w:rPr>
                <w:sz w:val="22"/>
                <w:lang w:val="sk-SK"/>
              </w:rPr>
              <w:t> </w:t>
            </w:r>
            <w:r w:rsidRPr="000F6B9E">
              <w:rPr>
                <w:sz w:val="22"/>
                <w:lang w:val="sk-SK"/>
              </w:rPr>
              <w:t>ústach</w:t>
            </w:r>
          </w:p>
        </w:tc>
        <w:tc>
          <w:tcPr>
            <w:tcW w:w="1761" w:type="dxa"/>
          </w:tcPr>
          <w:p w14:paraId="70CBD425" w14:textId="77777777" w:rsidR="00CC0562" w:rsidRPr="000F6B9E" w:rsidRDefault="00CC0562" w:rsidP="00A84884">
            <w:pPr>
              <w:pStyle w:val="Tabulka"/>
              <w:rPr>
                <w:sz w:val="22"/>
                <w:lang w:val="sk-SK"/>
              </w:rPr>
            </w:pPr>
            <w:proofErr w:type="spellStart"/>
            <w:r w:rsidRPr="000F6B9E">
              <w:rPr>
                <w:sz w:val="22"/>
                <w:lang w:val="sk-SK"/>
              </w:rPr>
              <w:t>Glositída</w:t>
            </w:r>
            <w:proofErr w:type="spellEnd"/>
          </w:p>
        </w:tc>
        <w:tc>
          <w:tcPr>
            <w:tcW w:w="1145" w:type="dxa"/>
          </w:tcPr>
          <w:p w14:paraId="56969124" w14:textId="77777777" w:rsidR="00CC0562" w:rsidRPr="000F6B9E" w:rsidRDefault="00CC0562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565" w:type="dxa"/>
          </w:tcPr>
          <w:p w14:paraId="694AFC19" w14:textId="77777777" w:rsidR="00CC0562" w:rsidRPr="000F6B9E" w:rsidRDefault="00CC0562" w:rsidP="00A84884">
            <w:pPr>
              <w:pStyle w:val="Tabulka"/>
              <w:rPr>
                <w:sz w:val="22"/>
                <w:lang w:val="sk-SK"/>
              </w:rPr>
            </w:pPr>
            <w:proofErr w:type="spellStart"/>
            <w:r w:rsidRPr="000F6B9E">
              <w:rPr>
                <w:sz w:val="22"/>
                <w:lang w:val="sk-SK"/>
              </w:rPr>
              <w:t>Aftózna</w:t>
            </w:r>
            <w:proofErr w:type="spellEnd"/>
            <w:r w:rsidRPr="000F6B9E">
              <w:rPr>
                <w:sz w:val="22"/>
                <w:lang w:val="sk-SK"/>
              </w:rPr>
              <w:t xml:space="preserve"> </w:t>
            </w:r>
            <w:proofErr w:type="spellStart"/>
            <w:r w:rsidRPr="000F6B9E">
              <w:rPr>
                <w:sz w:val="22"/>
                <w:lang w:val="sk-SK"/>
              </w:rPr>
              <w:t>stomatitída</w:t>
            </w:r>
            <w:proofErr w:type="spellEnd"/>
          </w:p>
        </w:tc>
      </w:tr>
      <w:tr w:rsidR="006C4FA9" w:rsidRPr="00EC5E95" w14:paraId="345369F9" w14:textId="77777777" w:rsidTr="000F6B9E">
        <w:tc>
          <w:tcPr>
            <w:tcW w:w="1793" w:type="dxa"/>
          </w:tcPr>
          <w:p w14:paraId="78929FC4" w14:textId="5EECB323" w:rsidR="00CC0562" w:rsidRPr="000F6B9E" w:rsidRDefault="00947281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Poruchy obličiek a</w:t>
            </w:r>
            <w:r w:rsidRPr="00EC5E95">
              <w:rPr>
                <w:sz w:val="22"/>
                <w:szCs w:val="22"/>
                <w:lang w:val="sk-SK"/>
              </w:rPr>
              <w:t> </w:t>
            </w:r>
            <w:r w:rsidR="00497D94" w:rsidRPr="000F6B9E">
              <w:rPr>
                <w:sz w:val="22"/>
                <w:lang w:val="sk-SK"/>
              </w:rPr>
              <w:t>močových ciest</w:t>
            </w:r>
          </w:p>
        </w:tc>
        <w:tc>
          <w:tcPr>
            <w:tcW w:w="1576" w:type="dxa"/>
          </w:tcPr>
          <w:p w14:paraId="2C081B10" w14:textId="77777777" w:rsidR="00CC0562" w:rsidRPr="000F6B9E" w:rsidRDefault="00CC0562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782" w:type="dxa"/>
          </w:tcPr>
          <w:p w14:paraId="4E030E34" w14:textId="77F35D59" w:rsidR="00CC0562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 xml:space="preserve">Zhoršenie funkcie obličiek vrátane akútneho zlyhania obličiek, zvýšené vylučovanie moču, zhoršenie </w:t>
            </w:r>
            <w:proofErr w:type="spellStart"/>
            <w:r w:rsidRPr="000F6B9E">
              <w:rPr>
                <w:sz w:val="22"/>
                <w:lang w:val="sk-SK"/>
              </w:rPr>
              <w:t>preexistujúcej</w:t>
            </w:r>
            <w:proofErr w:type="spellEnd"/>
            <w:r w:rsidRPr="000F6B9E">
              <w:rPr>
                <w:sz w:val="22"/>
                <w:lang w:val="sk-SK"/>
              </w:rPr>
              <w:t xml:space="preserve"> </w:t>
            </w:r>
            <w:proofErr w:type="spellStart"/>
            <w:r w:rsidRPr="000F6B9E">
              <w:rPr>
                <w:sz w:val="22"/>
                <w:lang w:val="sk-SK"/>
              </w:rPr>
              <w:t>proteinú</w:t>
            </w:r>
            <w:r w:rsidR="00947281" w:rsidRPr="000F6B9E">
              <w:rPr>
                <w:sz w:val="22"/>
                <w:lang w:val="sk-SK"/>
              </w:rPr>
              <w:t>rie</w:t>
            </w:r>
            <w:proofErr w:type="spellEnd"/>
            <w:r w:rsidR="00947281" w:rsidRPr="000F6B9E">
              <w:rPr>
                <w:sz w:val="22"/>
                <w:lang w:val="sk-SK"/>
              </w:rPr>
              <w:t>, zvýšená hladina močoviny v</w:t>
            </w:r>
            <w:r w:rsidR="00947281" w:rsidRPr="00EC5E95">
              <w:rPr>
                <w:sz w:val="22"/>
                <w:szCs w:val="22"/>
                <w:lang w:val="sk-SK"/>
              </w:rPr>
              <w:t> </w:t>
            </w:r>
            <w:r w:rsidRPr="000F6B9E">
              <w:rPr>
                <w:sz w:val="22"/>
                <w:lang w:val="sk-SK"/>
              </w:rPr>
              <w:t>krv</w:t>
            </w:r>
            <w:r w:rsidR="00947281" w:rsidRPr="000F6B9E">
              <w:rPr>
                <w:sz w:val="22"/>
                <w:lang w:val="sk-SK"/>
              </w:rPr>
              <w:t xml:space="preserve">i, zvýšená hladina </w:t>
            </w:r>
            <w:proofErr w:type="spellStart"/>
            <w:r w:rsidR="00947281" w:rsidRPr="000F6B9E">
              <w:rPr>
                <w:sz w:val="22"/>
                <w:lang w:val="sk-SK"/>
              </w:rPr>
              <w:t>kreatinínu</w:t>
            </w:r>
            <w:proofErr w:type="spellEnd"/>
            <w:r w:rsidR="00947281" w:rsidRPr="000F6B9E">
              <w:rPr>
                <w:sz w:val="22"/>
                <w:lang w:val="sk-SK"/>
              </w:rPr>
              <w:t xml:space="preserve"> v</w:t>
            </w:r>
            <w:r w:rsidR="00947281" w:rsidRPr="00EC5E95">
              <w:rPr>
                <w:sz w:val="22"/>
                <w:szCs w:val="22"/>
                <w:lang w:val="sk-SK"/>
              </w:rPr>
              <w:t> </w:t>
            </w:r>
            <w:r w:rsidRPr="000F6B9E">
              <w:rPr>
                <w:sz w:val="22"/>
                <w:lang w:val="sk-SK"/>
              </w:rPr>
              <w:t>krvi</w:t>
            </w:r>
          </w:p>
        </w:tc>
        <w:tc>
          <w:tcPr>
            <w:tcW w:w="1761" w:type="dxa"/>
          </w:tcPr>
          <w:p w14:paraId="6644AF1D" w14:textId="77777777" w:rsidR="00CC0562" w:rsidRPr="000F6B9E" w:rsidRDefault="00CC0562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145" w:type="dxa"/>
          </w:tcPr>
          <w:p w14:paraId="73FEDDA6" w14:textId="77777777" w:rsidR="00CC0562" w:rsidRPr="000F6B9E" w:rsidRDefault="00CC0562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565" w:type="dxa"/>
          </w:tcPr>
          <w:p w14:paraId="138A1BA6" w14:textId="77777777" w:rsidR="00CC0562" w:rsidRPr="000F6B9E" w:rsidRDefault="00CC0562" w:rsidP="00A84884">
            <w:pPr>
              <w:pStyle w:val="Tabulka"/>
              <w:rPr>
                <w:sz w:val="22"/>
                <w:lang w:val="sk-SK"/>
              </w:rPr>
            </w:pPr>
          </w:p>
        </w:tc>
      </w:tr>
      <w:tr w:rsidR="006C4FA9" w:rsidRPr="00EC5E95" w14:paraId="7C110000" w14:textId="77777777" w:rsidTr="000F6B9E">
        <w:tc>
          <w:tcPr>
            <w:tcW w:w="1793" w:type="dxa"/>
          </w:tcPr>
          <w:p w14:paraId="7F1557E9" w14:textId="4E51053C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Poruchy kože a</w:t>
            </w:r>
            <w:r w:rsidR="001C3DB2" w:rsidRPr="00EC5E95">
              <w:rPr>
                <w:lang w:val="sk-SK"/>
              </w:rPr>
              <w:t> </w:t>
            </w:r>
            <w:r w:rsidRPr="000F6B9E">
              <w:rPr>
                <w:sz w:val="22"/>
                <w:lang w:val="sk-SK"/>
              </w:rPr>
              <w:t>podkožného tkaniva</w:t>
            </w:r>
          </w:p>
        </w:tc>
        <w:tc>
          <w:tcPr>
            <w:tcW w:w="1576" w:type="dxa"/>
          </w:tcPr>
          <w:p w14:paraId="70DA7968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 xml:space="preserve">Vyrážka najmä </w:t>
            </w:r>
            <w:proofErr w:type="spellStart"/>
            <w:r w:rsidRPr="000F6B9E">
              <w:rPr>
                <w:sz w:val="22"/>
                <w:lang w:val="sk-SK"/>
              </w:rPr>
              <w:t>makulopapul</w:t>
            </w:r>
            <w:r w:rsidR="00AD4A96" w:rsidRPr="000F6B9E">
              <w:rPr>
                <w:sz w:val="22"/>
                <w:lang w:val="sk-SK"/>
              </w:rPr>
              <w:t>ózna</w:t>
            </w:r>
            <w:proofErr w:type="spellEnd"/>
          </w:p>
        </w:tc>
        <w:tc>
          <w:tcPr>
            <w:tcW w:w="1782" w:type="dxa"/>
          </w:tcPr>
          <w:p w14:paraId="08707D0D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proofErr w:type="spellStart"/>
            <w:r w:rsidRPr="000F6B9E">
              <w:rPr>
                <w:sz w:val="22"/>
                <w:lang w:val="sk-SK"/>
              </w:rPr>
              <w:t>Angioedém</w:t>
            </w:r>
            <w:proofErr w:type="spellEnd"/>
            <w:r w:rsidRPr="000F6B9E">
              <w:rPr>
                <w:sz w:val="22"/>
                <w:lang w:val="sk-SK"/>
              </w:rPr>
              <w:t xml:space="preserve">; veľmi výnimočne môže byť obštrukcia dýchacích ciest následkom </w:t>
            </w:r>
            <w:proofErr w:type="spellStart"/>
            <w:r w:rsidRPr="000F6B9E">
              <w:rPr>
                <w:sz w:val="22"/>
                <w:lang w:val="sk-SK"/>
              </w:rPr>
              <w:t>angioedému</w:t>
            </w:r>
            <w:proofErr w:type="spellEnd"/>
            <w:r w:rsidRPr="000F6B9E">
              <w:rPr>
                <w:sz w:val="22"/>
                <w:lang w:val="sk-SK"/>
              </w:rPr>
              <w:t xml:space="preserve"> fatálna; </w:t>
            </w:r>
            <w:proofErr w:type="spellStart"/>
            <w:r w:rsidRPr="000F6B9E">
              <w:rPr>
                <w:sz w:val="22"/>
                <w:lang w:val="sk-SK"/>
              </w:rPr>
              <w:t>pruritus</w:t>
            </w:r>
            <w:proofErr w:type="spellEnd"/>
            <w:r w:rsidRPr="000F6B9E">
              <w:rPr>
                <w:sz w:val="22"/>
                <w:lang w:val="sk-SK"/>
              </w:rPr>
              <w:t xml:space="preserve">, </w:t>
            </w:r>
            <w:proofErr w:type="spellStart"/>
            <w:r w:rsidRPr="000F6B9E">
              <w:rPr>
                <w:sz w:val="22"/>
                <w:lang w:val="sk-SK"/>
              </w:rPr>
              <w:t>hyperhidróza</w:t>
            </w:r>
            <w:proofErr w:type="spellEnd"/>
          </w:p>
        </w:tc>
        <w:tc>
          <w:tcPr>
            <w:tcW w:w="1761" w:type="dxa"/>
          </w:tcPr>
          <w:p w14:paraId="5E7A0F59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proofErr w:type="spellStart"/>
            <w:r w:rsidRPr="000F6B9E">
              <w:rPr>
                <w:sz w:val="22"/>
                <w:lang w:val="sk-SK"/>
              </w:rPr>
              <w:t>Exfoliatívna</w:t>
            </w:r>
            <w:proofErr w:type="spellEnd"/>
            <w:r w:rsidRPr="000F6B9E">
              <w:rPr>
                <w:sz w:val="22"/>
                <w:lang w:val="sk-SK"/>
              </w:rPr>
              <w:t xml:space="preserve"> dermatitída, </w:t>
            </w:r>
            <w:proofErr w:type="spellStart"/>
            <w:r w:rsidRPr="000F6B9E">
              <w:rPr>
                <w:sz w:val="22"/>
                <w:lang w:val="sk-SK"/>
              </w:rPr>
              <w:t>urtikária</w:t>
            </w:r>
            <w:proofErr w:type="spellEnd"/>
            <w:r w:rsidRPr="000F6B9E">
              <w:rPr>
                <w:sz w:val="22"/>
                <w:lang w:val="sk-SK"/>
              </w:rPr>
              <w:t xml:space="preserve">, </w:t>
            </w:r>
            <w:proofErr w:type="spellStart"/>
            <w:r w:rsidRPr="000F6B9E">
              <w:rPr>
                <w:sz w:val="22"/>
                <w:lang w:val="sk-SK"/>
              </w:rPr>
              <w:t>onycholýza</w:t>
            </w:r>
            <w:proofErr w:type="spellEnd"/>
            <w:r w:rsidRPr="000F6B9E">
              <w:rPr>
                <w:sz w:val="22"/>
                <w:lang w:val="sk-SK"/>
              </w:rPr>
              <w:t>,</w:t>
            </w:r>
          </w:p>
        </w:tc>
        <w:tc>
          <w:tcPr>
            <w:tcW w:w="1145" w:type="dxa"/>
          </w:tcPr>
          <w:p w14:paraId="0BABA8F2" w14:textId="6BF50796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proofErr w:type="spellStart"/>
            <w:r w:rsidRPr="000F6B9E">
              <w:rPr>
                <w:sz w:val="22"/>
                <w:lang w:val="sk-SK"/>
              </w:rPr>
              <w:t>Fotosenzi</w:t>
            </w:r>
            <w:r w:rsidR="000B264A" w:rsidRPr="000F6B9E">
              <w:rPr>
                <w:sz w:val="22"/>
                <w:lang w:val="sk-SK"/>
              </w:rPr>
              <w:t>-</w:t>
            </w:r>
            <w:r w:rsidRPr="000F6B9E">
              <w:rPr>
                <w:sz w:val="22"/>
                <w:lang w:val="sk-SK"/>
              </w:rPr>
              <w:t>tívne</w:t>
            </w:r>
            <w:proofErr w:type="spellEnd"/>
            <w:r w:rsidRPr="000F6B9E">
              <w:rPr>
                <w:sz w:val="22"/>
                <w:lang w:val="sk-SK"/>
              </w:rPr>
              <w:t xml:space="preserve"> reakcie</w:t>
            </w:r>
          </w:p>
        </w:tc>
        <w:tc>
          <w:tcPr>
            <w:tcW w:w="1565" w:type="dxa"/>
          </w:tcPr>
          <w:p w14:paraId="537CF6B2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 xml:space="preserve">Toxická </w:t>
            </w:r>
            <w:proofErr w:type="spellStart"/>
            <w:r w:rsidRPr="000F6B9E">
              <w:rPr>
                <w:sz w:val="22"/>
                <w:lang w:val="sk-SK"/>
              </w:rPr>
              <w:t>epidermálna</w:t>
            </w:r>
            <w:proofErr w:type="spellEnd"/>
            <w:r w:rsidRPr="000F6B9E">
              <w:rPr>
                <w:sz w:val="22"/>
                <w:lang w:val="sk-SK"/>
              </w:rPr>
              <w:t xml:space="preserve"> </w:t>
            </w:r>
            <w:proofErr w:type="spellStart"/>
            <w:r w:rsidRPr="000F6B9E">
              <w:rPr>
                <w:sz w:val="22"/>
                <w:lang w:val="sk-SK"/>
              </w:rPr>
              <w:t>nekrolýza</w:t>
            </w:r>
            <w:proofErr w:type="spellEnd"/>
            <w:r w:rsidRPr="000F6B9E">
              <w:rPr>
                <w:sz w:val="22"/>
                <w:lang w:val="sk-SK"/>
              </w:rPr>
              <w:t xml:space="preserve">, </w:t>
            </w:r>
            <w:proofErr w:type="spellStart"/>
            <w:r w:rsidRPr="000F6B9E">
              <w:rPr>
                <w:sz w:val="22"/>
                <w:lang w:val="sk-SK"/>
              </w:rPr>
              <w:t>Stevensov-Johnsonov</w:t>
            </w:r>
            <w:proofErr w:type="spellEnd"/>
            <w:r w:rsidRPr="000F6B9E">
              <w:rPr>
                <w:sz w:val="22"/>
                <w:lang w:val="sk-SK"/>
              </w:rPr>
              <w:t xml:space="preserve"> syndróm, </w:t>
            </w:r>
            <w:proofErr w:type="spellStart"/>
            <w:r w:rsidRPr="000F6B9E">
              <w:rPr>
                <w:sz w:val="22"/>
                <w:lang w:val="sk-SK"/>
              </w:rPr>
              <w:t>multiformný</w:t>
            </w:r>
            <w:proofErr w:type="spellEnd"/>
            <w:r w:rsidRPr="000F6B9E">
              <w:rPr>
                <w:sz w:val="22"/>
                <w:lang w:val="sk-SK"/>
              </w:rPr>
              <w:t xml:space="preserve"> </w:t>
            </w:r>
            <w:proofErr w:type="spellStart"/>
            <w:r w:rsidRPr="000F6B9E">
              <w:rPr>
                <w:sz w:val="22"/>
                <w:lang w:val="sk-SK"/>
              </w:rPr>
              <w:t>erytém</w:t>
            </w:r>
            <w:proofErr w:type="spellEnd"/>
            <w:r w:rsidRPr="000F6B9E">
              <w:rPr>
                <w:sz w:val="22"/>
                <w:lang w:val="sk-SK"/>
              </w:rPr>
              <w:t xml:space="preserve">, </w:t>
            </w:r>
            <w:proofErr w:type="spellStart"/>
            <w:r w:rsidRPr="000F6B9E">
              <w:rPr>
                <w:sz w:val="22"/>
                <w:lang w:val="sk-SK"/>
              </w:rPr>
              <w:t>pemfigus</w:t>
            </w:r>
            <w:proofErr w:type="spellEnd"/>
            <w:r w:rsidRPr="000F6B9E">
              <w:rPr>
                <w:sz w:val="22"/>
                <w:lang w:val="sk-SK"/>
              </w:rPr>
              <w:t xml:space="preserve">, zhoršená psoriáza, </w:t>
            </w:r>
            <w:proofErr w:type="spellStart"/>
            <w:r w:rsidRPr="000F6B9E">
              <w:rPr>
                <w:sz w:val="22"/>
                <w:lang w:val="sk-SK"/>
              </w:rPr>
              <w:t>psoria</w:t>
            </w:r>
            <w:r w:rsidR="00AD4A96" w:rsidRPr="000F6B9E">
              <w:rPr>
                <w:sz w:val="22"/>
                <w:lang w:val="sk-SK"/>
              </w:rPr>
              <w:t>t</w:t>
            </w:r>
            <w:r w:rsidRPr="000F6B9E">
              <w:rPr>
                <w:sz w:val="22"/>
                <w:lang w:val="sk-SK"/>
              </w:rPr>
              <w:t>iformná</w:t>
            </w:r>
            <w:proofErr w:type="spellEnd"/>
            <w:r w:rsidRPr="000F6B9E">
              <w:rPr>
                <w:sz w:val="22"/>
                <w:lang w:val="sk-SK"/>
              </w:rPr>
              <w:t xml:space="preserve"> dermatitída, </w:t>
            </w:r>
            <w:proofErr w:type="spellStart"/>
            <w:r w:rsidRPr="000F6B9E">
              <w:rPr>
                <w:sz w:val="22"/>
                <w:lang w:val="sk-SK"/>
              </w:rPr>
              <w:lastRenderedPageBreak/>
              <w:t>pemfigoidný</w:t>
            </w:r>
            <w:proofErr w:type="spellEnd"/>
            <w:r w:rsidRPr="000F6B9E">
              <w:rPr>
                <w:sz w:val="22"/>
                <w:lang w:val="sk-SK"/>
              </w:rPr>
              <w:t xml:space="preserve"> alebo </w:t>
            </w:r>
            <w:proofErr w:type="spellStart"/>
            <w:r w:rsidRPr="000F6B9E">
              <w:rPr>
                <w:sz w:val="22"/>
                <w:lang w:val="sk-SK"/>
              </w:rPr>
              <w:t>lichenoidný</w:t>
            </w:r>
            <w:proofErr w:type="spellEnd"/>
            <w:r w:rsidRPr="000F6B9E">
              <w:rPr>
                <w:sz w:val="22"/>
                <w:lang w:val="sk-SK"/>
              </w:rPr>
              <w:t xml:space="preserve"> exantém</w:t>
            </w:r>
            <w:r w:rsidR="00AD4A96" w:rsidRPr="000F6B9E">
              <w:rPr>
                <w:sz w:val="22"/>
                <w:lang w:val="sk-SK"/>
              </w:rPr>
              <w:t xml:space="preserve"> alebo </w:t>
            </w:r>
            <w:proofErr w:type="spellStart"/>
            <w:r w:rsidR="00AD4A96" w:rsidRPr="000F6B9E">
              <w:rPr>
                <w:sz w:val="22"/>
                <w:lang w:val="sk-SK"/>
              </w:rPr>
              <w:t>enantém</w:t>
            </w:r>
            <w:proofErr w:type="spellEnd"/>
            <w:r w:rsidRPr="000F6B9E">
              <w:rPr>
                <w:sz w:val="22"/>
                <w:lang w:val="sk-SK"/>
              </w:rPr>
              <w:t xml:space="preserve">, </w:t>
            </w:r>
            <w:proofErr w:type="spellStart"/>
            <w:r w:rsidRPr="000F6B9E">
              <w:rPr>
                <w:sz w:val="22"/>
                <w:lang w:val="sk-SK"/>
              </w:rPr>
              <w:t>alopécia</w:t>
            </w:r>
            <w:proofErr w:type="spellEnd"/>
            <w:r w:rsidRPr="000F6B9E">
              <w:rPr>
                <w:sz w:val="22"/>
                <w:lang w:val="sk-SK"/>
              </w:rPr>
              <w:t xml:space="preserve"> </w:t>
            </w:r>
          </w:p>
        </w:tc>
      </w:tr>
      <w:tr w:rsidR="006C4FA9" w:rsidRPr="00EC5E95" w14:paraId="0B35E4C0" w14:textId="77777777" w:rsidTr="000F6B9E">
        <w:tc>
          <w:tcPr>
            <w:tcW w:w="1793" w:type="dxa"/>
          </w:tcPr>
          <w:p w14:paraId="3339EB13" w14:textId="397A44D1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lastRenderedPageBreak/>
              <w:t>Poruchy kostrovej a</w:t>
            </w:r>
            <w:r w:rsidR="001C3DB2" w:rsidRPr="00EC5E95">
              <w:rPr>
                <w:lang w:val="sk-SK"/>
              </w:rPr>
              <w:t> </w:t>
            </w:r>
            <w:r w:rsidRPr="000F6B9E">
              <w:rPr>
                <w:sz w:val="22"/>
                <w:lang w:val="sk-SK"/>
              </w:rPr>
              <w:t>svalovej sústavy a</w:t>
            </w:r>
            <w:r w:rsidR="00164028">
              <w:rPr>
                <w:sz w:val="22"/>
                <w:szCs w:val="22"/>
                <w:lang w:val="sk-SK"/>
              </w:rPr>
              <w:t> </w:t>
            </w:r>
            <w:r w:rsidRPr="000F6B9E">
              <w:rPr>
                <w:sz w:val="22"/>
                <w:lang w:val="sk-SK"/>
              </w:rPr>
              <w:t>spojivového tkaniva</w:t>
            </w:r>
          </w:p>
        </w:tc>
        <w:tc>
          <w:tcPr>
            <w:tcW w:w="1576" w:type="dxa"/>
          </w:tcPr>
          <w:p w14:paraId="4FFC011B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 xml:space="preserve">Svalový </w:t>
            </w:r>
            <w:proofErr w:type="spellStart"/>
            <w:r w:rsidRPr="000F6B9E">
              <w:rPr>
                <w:sz w:val="22"/>
                <w:lang w:val="sk-SK"/>
              </w:rPr>
              <w:t>spazmus</w:t>
            </w:r>
            <w:proofErr w:type="spellEnd"/>
            <w:r w:rsidRPr="000F6B9E">
              <w:rPr>
                <w:sz w:val="22"/>
                <w:lang w:val="sk-SK"/>
              </w:rPr>
              <w:t xml:space="preserve">, </w:t>
            </w:r>
            <w:proofErr w:type="spellStart"/>
            <w:r w:rsidRPr="000F6B9E">
              <w:rPr>
                <w:sz w:val="22"/>
                <w:lang w:val="sk-SK"/>
              </w:rPr>
              <w:t>myalgia</w:t>
            </w:r>
            <w:proofErr w:type="spellEnd"/>
          </w:p>
        </w:tc>
        <w:tc>
          <w:tcPr>
            <w:tcW w:w="1782" w:type="dxa"/>
          </w:tcPr>
          <w:p w14:paraId="11C35469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proofErr w:type="spellStart"/>
            <w:r w:rsidRPr="000F6B9E">
              <w:rPr>
                <w:sz w:val="22"/>
                <w:lang w:val="sk-SK"/>
              </w:rPr>
              <w:t>Artralgia</w:t>
            </w:r>
            <w:proofErr w:type="spellEnd"/>
          </w:p>
        </w:tc>
        <w:tc>
          <w:tcPr>
            <w:tcW w:w="1761" w:type="dxa"/>
          </w:tcPr>
          <w:p w14:paraId="0D89ED54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145" w:type="dxa"/>
          </w:tcPr>
          <w:p w14:paraId="7F62774B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565" w:type="dxa"/>
          </w:tcPr>
          <w:p w14:paraId="7F8778E5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</w:p>
        </w:tc>
      </w:tr>
      <w:tr w:rsidR="008A77AA" w:rsidRPr="00EC5E95" w14:paraId="152B5C9E" w14:textId="77777777" w:rsidTr="005F0003">
        <w:tc>
          <w:tcPr>
            <w:tcW w:w="1793" w:type="dxa"/>
          </w:tcPr>
          <w:p w14:paraId="2D956175" w14:textId="77777777" w:rsidR="008A77AA" w:rsidRPr="00EC5E95" w:rsidRDefault="008A77AA" w:rsidP="00A84884">
            <w:pPr>
              <w:pStyle w:val="Tabulka"/>
              <w:rPr>
                <w:sz w:val="22"/>
                <w:szCs w:val="22"/>
                <w:lang w:val="sk-SK"/>
              </w:rPr>
            </w:pPr>
            <w:r w:rsidRPr="00EC5E95">
              <w:rPr>
                <w:sz w:val="22"/>
                <w:szCs w:val="22"/>
                <w:lang w:val="sk-SK"/>
              </w:rPr>
              <w:t>Poruchy endokrinného systému</w:t>
            </w:r>
          </w:p>
        </w:tc>
        <w:tc>
          <w:tcPr>
            <w:tcW w:w="1576" w:type="dxa"/>
          </w:tcPr>
          <w:p w14:paraId="56C898D3" w14:textId="77777777" w:rsidR="008A77AA" w:rsidRPr="00EC5E95" w:rsidRDefault="008A77AA" w:rsidP="00A84884">
            <w:pPr>
              <w:pStyle w:val="Tabulka"/>
              <w:rPr>
                <w:sz w:val="22"/>
                <w:szCs w:val="22"/>
                <w:lang w:val="sk-SK"/>
              </w:rPr>
            </w:pPr>
          </w:p>
        </w:tc>
        <w:tc>
          <w:tcPr>
            <w:tcW w:w="1782" w:type="dxa"/>
          </w:tcPr>
          <w:p w14:paraId="689BAFE4" w14:textId="77777777" w:rsidR="008A77AA" w:rsidRPr="00EC5E95" w:rsidRDefault="008A77AA" w:rsidP="00A84884">
            <w:pPr>
              <w:pStyle w:val="Tabulka"/>
              <w:rPr>
                <w:sz w:val="22"/>
                <w:szCs w:val="22"/>
                <w:lang w:val="sk-SK"/>
              </w:rPr>
            </w:pPr>
          </w:p>
        </w:tc>
        <w:tc>
          <w:tcPr>
            <w:tcW w:w="1761" w:type="dxa"/>
          </w:tcPr>
          <w:p w14:paraId="37B7A47B" w14:textId="77777777" w:rsidR="008A77AA" w:rsidRPr="00EC5E95" w:rsidRDefault="008A77AA" w:rsidP="00A84884">
            <w:pPr>
              <w:pStyle w:val="Tabulka"/>
              <w:rPr>
                <w:sz w:val="22"/>
                <w:szCs w:val="22"/>
                <w:lang w:val="sk-SK"/>
              </w:rPr>
            </w:pPr>
          </w:p>
        </w:tc>
        <w:tc>
          <w:tcPr>
            <w:tcW w:w="1145" w:type="dxa"/>
          </w:tcPr>
          <w:p w14:paraId="1B2DD6AE" w14:textId="77777777" w:rsidR="008A77AA" w:rsidRPr="0067479F" w:rsidRDefault="008A77AA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565" w:type="dxa"/>
          </w:tcPr>
          <w:p w14:paraId="48919C70" w14:textId="77777777" w:rsidR="008A77AA" w:rsidRPr="0087630B" w:rsidRDefault="008A77AA" w:rsidP="00A84884">
            <w:pPr>
              <w:pStyle w:val="Tabulka"/>
              <w:rPr>
                <w:sz w:val="22"/>
                <w:lang w:val="sk-SK"/>
              </w:rPr>
            </w:pPr>
            <w:r w:rsidRPr="0067479F">
              <w:rPr>
                <w:sz w:val="22"/>
                <w:lang w:val="sk-SK"/>
              </w:rPr>
              <w:t xml:space="preserve">Syndróm neprimeranej sekrécie </w:t>
            </w:r>
            <w:proofErr w:type="spellStart"/>
            <w:r w:rsidRPr="0067479F">
              <w:rPr>
                <w:sz w:val="22"/>
                <w:lang w:val="sk-SK"/>
              </w:rPr>
              <w:t>antidiuretické-ho</w:t>
            </w:r>
            <w:proofErr w:type="spellEnd"/>
            <w:r w:rsidRPr="0067479F">
              <w:rPr>
                <w:sz w:val="22"/>
                <w:lang w:val="sk-SK"/>
              </w:rPr>
              <w:t xml:space="preserve"> hormónu (SIADH)</w:t>
            </w:r>
          </w:p>
        </w:tc>
      </w:tr>
      <w:tr w:rsidR="006C4FA9" w:rsidRPr="00EC5E95" w14:paraId="75C204C3" w14:textId="77777777" w:rsidTr="000F6B9E">
        <w:tc>
          <w:tcPr>
            <w:tcW w:w="1793" w:type="dxa"/>
          </w:tcPr>
          <w:p w14:paraId="3B8CCA67" w14:textId="22AEEA1B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Poruchy metabolizmu a</w:t>
            </w:r>
            <w:r w:rsidR="001C3DB2" w:rsidRPr="00EC5E95">
              <w:rPr>
                <w:lang w:val="sk-SK"/>
              </w:rPr>
              <w:t> </w:t>
            </w:r>
            <w:r w:rsidRPr="000F6B9E">
              <w:rPr>
                <w:sz w:val="22"/>
                <w:lang w:val="sk-SK"/>
              </w:rPr>
              <w:t>výživy</w:t>
            </w:r>
          </w:p>
        </w:tc>
        <w:tc>
          <w:tcPr>
            <w:tcW w:w="1576" w:type="dxa"/>
          </w:tcPr>
          <w:p w14:paraId="233DA351" w14:textId="2B57E208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Zvýšená hladina draslíka v</w:t>
            </w:r>
            <w:r w:rsidR="00164028">
              <w:rPr>
                <w:sz w:val="22"/>
                <w:lang w:val="sk-SK"/>
              </w:rPr>
              <w:t> </w:t>
            </w:r>
            <w:r w:rsidRPr="000F6B9E">
              <w:rPr>
                <w:sz w:val="22"/>
                <w:lang w:val="sk-SK"/>
              </w:rPr>
              <w:t>krvi</w:t>
            </w:r>
          </w:p>
        </w:tc>
        <w:tc>
          <w:tcPr>
            <w:tcW w:w="1782" w:type="dxa"/>
          </w:tcPr>
          <w:p w14:paraId="0EAF225C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proofErr w:type="spellStart"/>
            <w:r w:rsidRPr="000F6B9E">
              <w:rPr>
                <w:sz w:val="22"/>
                <w:lang w:val="sk-SK"/>
              </w:rPr>
              <w:t>Anorexia</w:t>
            </w:r>
            <w:proofErr w:type="spellEnd"/>
            <w:r w:rsidRPr="000F6B9E">
              <w:rPr>
                <w:sz w:val="22"/>
                <w:lang w:val="sk-SK"/>
              </w:rPr>
              <w:t>, znížená chuť do jedl</w:t>
            </w:r>
            <w:r w:rsidR="00E97674" w:rsidRPr="000F6B9E">
              <w:rPr>
                <w:sz w:val="22"/>
                <w:lang w:val="sk-SK"/>
              </w:rPr>
              <w:t>a</w:t>
            </w:r>
          </w:p>
        </w:tc>
        <w:tc>
          <w:tcPr>
            <w:tcW w:w="1761" w:type="dxa"/>
          </w:tcPr>
          <w:p w14:paraId="6FC5E548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145" w:type="dxa"/>
          </w:tcPr>
          <w:p w14:paraId="15F9EE66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565" w:type="dxa"/>
          </w:tcPr>
          <w:p w14:paraId="303B809E" w14:textId="658706AD" w:rsidR="00497D94" w:rsidRPr="000F6B9E" w:rsidRDefault="00947281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Znížená hladina sodíka v</w:t>
            </w:r>
            <w:r w:rsidRPr="00EC5E95">
              <w:rPr>
                <w:sz w:val="22"/>
                <w:szCs w:val="22"/>
                <w:lang w:val="sk-SK"/>
              </w:rPr>
              <w:t> </w:t>
            </w:r>
            <w:r w:rsidR="00497D94" w:rsidRPr="000F6B9E">
              <w:rPr>
                <w:sz w:val="22"/>
                <w:lang w:val="sk-SK"/>
              </w:rPr>
              <w:t>krvi</w:t>
            </w:r>
          </w:p>
        </w:tc>
      </w:tr>
      <w:tr w:rsidR="006C4FA9" w:rsidRPr="00EC5E95" w14:paraId="61F790ED" w14:textId="77777777" w:rsidTr="000F6B9E">
        <w:tc>
          <w:tcPr>
            <w:tcW w:w="1793" w:type="dxa"/>
          </w:tcPr>
          <w:p w14:paraId="2F3DA51A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Poruchy ciev</w:t>
            </w:r>
          </w:p>
        </w:tc>
        <w:tc>
          <w:tcPr>
            <w:tcW w:w="1576" w:type="dxa"/>
          </w:tcPr>
          <w:p w14:paraId="6AF39E73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 xml:space="preserve">Hypotenzia, znížený </w:t>
            </w:r>
            <w:proofErr w:type="spellStart"/>
            <w:r w:rsidRPr="000F6B9E">
              <w:rPr>
                <w:sz w:val="22"/>
                <w:lang w:val="sk-SK"/>
              </w:rPr>
              <w:t>ortostatický</w:t>
            </w:r>
            <w:proofErr w:type="spellEnd"/>
            <w:r w:rsidRPr="000F6B9E">
              <w:rPr>
                <w:sz w:val="22"/>
                <w:lang w:val="sk-SK"/>
              </w:rPr>
              <w:t xml:space="preserve"> krvný tlak, synkopa</w:t>
            </w:r>
          </w:p>
        </w:tc>
        <w:tc>
          <w:tcPr>
            <w:tcW w:w="1782" w:type="dxa"/>
          </w:tcPr>
          <w:p w14:paraId="1F1290F9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Sčerven</w:t>
            </w:r>
            <w:r w:rsidR="00C566DC" w:rsidRPr="000F6B9E">
              <w:rPr>
                <w:sz w:val="22"/>
                <w:lang w:val="sk-SK"/>
              </w:rPr>
              <w:t>e</w:t>
            </w:r>
            <w:r w:rsidRPr="000F6B9E">
              <w:rPr>
                <w:sz w:val="22"/>
                <w:lang w:val="sk-SK"/>
              </w:rPr>
              <w:t>nie</w:t>
            </w:r>
          </w:p>
        </w:tc>
        <w:tc>
          <w:tcPr>
            <w:tcW w:w="1761" w:type="dxa"/>
          </w:tcPr>
          <w:p w14:paraId="26506937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proofErr w:type="spellStart"/>
            <w:r w:rsidRPr="000F6B9E">
              <w:rPr>
                <w:sz w:val="22"/>
                <w:lang w:val="sk-SK"/>
              </w:rPr>
              <w:t>Vaskulárna</w:t>
            </w:r>
            <w:proofErr w:type="spellEnd"/>
            <w:r w:rsidRPr="000F6B9E">
              <w:rPr>
                <w:sz w:val="22"/>
                <w:lang w:val="sk-SK"/>
              </w:rPr>
              <w:t xml:space="preserve"> </w:t>
            </w:r>
            <w:proofErr w:type="spellStart"/>
            <w:r w:rsidRPr="000F6B9E">
              <w:rPr>
                <w:sz w:val="22"/>
                <w:lang w:val="sk-SK"/>
              </w:rPr>
              <w:t>stenóza</w:t>
            </w:r>
            <w:proofErr w:type="spellEnd"/>
            <w:r w:rsidRPr="000F6B9E">
              <w:rPr>
                <w:sz w:val="22"/>
                <w:lang w:val="sk-SK"/>
              </w:rPr>
              <w:t xml:space="preserve">, </w:t>
            </w:r>
            <w:proofErr w:type="spellStart"/>
            <w:r w:rsidRPr="000F6B9E">
              <w:rPr>
                <w:sz w:val="22"/>
                <w:lang w:val="sk-SK"/>
              </w:rPr>
              <w:t>hypoperfúzia</w:t>
            </w:r>
            <w:proofErr w:type="spellEnd"/>
            <w:r w:rsidRPr="000F6B9E">
              <w:rPr>
                <w:sz w:val="22"/>
                <w:lang w:val="sk-SK"/>
              </w:rPr>
              <w:t xml:space="preserve">, </w:t>
            </w:r>
            <w:proofErr w:type="spellStart"/>
            <w:r w:rsidRPr="000F6B9E">
              <w:rPr>
                <w:sz w:val="22"/>
                <w:lang w:val="sk-SK"/>
              </w:rPr>
              <w:t>vaskulitída</w:t>
            </w:r>
            <w:proofErr w:type="spellEnd"/>
          </w:p>
        </w:tc>
        <w:tc>
          <w:tcPr>
            <w:tcW w:w="1145" w:type="dxa"/>
          </w:tcPr>
          <w:p w14:paraId="75E124C4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565" w:type="dxa"/>
          </w:tcPr>
          <w:p w14:paraId="594C5F79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proofErr w:type="spellStart"/>
            <w:r w:rsidRPr="000F6B9E">
              <w:rPr>
                <w:sz w:val="22"/>
                <w:lang w:val="sk-SK"/>
              </w:rPr>
              <w:t>Raynaudov</w:t>
            </w:r>
            <w:proofErr w:type="spellEnd"/>
            <w:r w:rsidRPr="000F6B9E">
              <w:rPr>
                <w:sz w:val="22"/>
                <w:lang w:val="sk-SK"/>
              </w:rPr>
              <w:t xml:space="preserve"> fenomén</w:t>
            </w:r>
          </w:p>
        </w:tc>
      </w:tr>
      <w:tr w:rsidR="006C4FA9" w:rsidRPr="00EC5E95" w14:paraId="50D0D6E6" w14:textId="77777777" w:rsidTr="000F6B9E">
        <w:tc>
          <w:tcPr>
            <w:tcW w:w="1793" w:type="dxa"/>
          </w:tcPr>
          <w:p w14:paraId="717FCA7B" w14:textId="1A54F2A3" w:rsidR="00497D94" w:rsidRPr="000F6B9E" w:rsidRDefault="00947281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Celkové poruchy a</w:t>
            </w:r>
            <w:r w:rsidRPr="00EC5E95">
              <w:rPr>
                <w:sz w:val="22"/>
                <w:szCs w:val="22"/>
                <w:lang w:val="sk-SK"/>
              </w:rPr>
              <w:t> </w:t>
            </w:r>
            <w:r w:rsidR="00497D94" w:rsidRPr="000F6B9E">
              <w:rPr>
                <w:sz w:val="22"/>
                <w:lang w:val="sk-SK"/>
              </w:rPr>
              <w:t>reakcie v</w:t>
            </w:r>
            <w:r w:rsidR="001C3DB2" w:rsidRPr="00EC5E95">
              <w:rPr>
                <w:lang w:val="sk-SK"/>
              </w:rPr>
              <w:t> </w:t>
            </w:r>
            <w:r w:rsidR="00497D94" w:rsidRPr="000F6B9E">
              <w:rPr>
                <w:sz w:val="22"/>
                <w:lang w:val="sk-SK"/>
              </w:rPr>
              <w:t>mieste podania</w:t>
            </w:r>
          </w:p>
        </w:tc>
        <w:tc>
          <w:tcPr>
            <w:tcW w:w="1576" w:type="dxa"/>
          </w:tcPr>
          <w:p w14:paraId="4E87D096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Bolesť na hrudníku, únava</w:t>
            </w:r>
          </w:p>
        </w:tc>
        <w:tc>
          <w:tcPr>
            <w:tcW w:w="1782" w:type="dxa"/>
          </w:tcPr>
          <w:p w14:paraId="4B59E6BB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proofErr w:type="spellStart"/>
            <w:r w:rsidRPr="000F6B9E">
              <w:rPr>
                <w:sz w:val="22"/>
                <w:lang w:val="sk-SK"/>
              </w:rPr>
              <w:t>Pyrexia</w:t>
            </w:r>
            <w:proofErr w:type="spellEnd"/>
          </w:p>
        </w:tc>
        <w:tc>
          <w:tcPr>
            <w:tcW w:w="1761" w:type="dxa"/>
          </w:tcPr>
          <w:p w14:paraId="52F55E69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Asténia</w:t>
            </w:r>
          </w:p>
        </w:tc>
        <w:tc>
          <w:tcPr>
            <w:tcW w:w="1145" w:type="dxa"/>
          </w:tcPr>
          <w:p w14:paraId="2A33D11D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565" w:type="dxa"/>
          </w:tcPr>
          <w:p w14:paraId="20EA1FC0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</w:p>
        </w:tc>
      </w:tr>
      <w:tr w:rsidR="006C4FA9" w:rsidRPr="00EC5E95" w14:paraId="3492D429" w14:textId="77777777" w:rsidTr="000F6B9E">
        <w:tc>
          <w:tcPr>
            <w:tcW w:w="1793" w:type="dxa"/>
          </w:tcPr>
          <w:p w14:paraId="76D120B3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 xml:space="preserve">Poruchy imunitného systému </w:t>
            </w:r>
          </w:p>
        </w:tc>
        <w:tc>
          <w:tcPr>
            <w:tcW w:w="1576" w:type="dxa"/>
          </w:tcPr>
          <w:p w14:paraId="4FE0697D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782" w:type="dxa"/>
          </w:tcPr>
          <w:p w14:paraId="6F3BC0FD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761" w:type="dxa"/>
          </w:tcPr>
          <w:p w14:paraId="6267AF48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145" w:type="dxa"/>
          </w:tcPr>
          <w:p w14:paraId="3EBC4349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565" w:type="dxa"/>
          </w:tcPr>
          <w:p w14:paraId="576E1119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proofErr w:type="spellStart"/>
            <w:r w:rsidRPr="000F6B9E">
              <w:rPr>
                <w:sz w:val="22"/>
                <w:lang w:val="sk-SK"/>
              </w:rPr>
              <w:t>Anafylaktické</w:t>
            </w:r>
            <w:proofErr w:type="spellEnd"/>
            <w:r w:rsidRPr="000F6B9E">
              <w:rPr>
                <w:sz w:val="22"/>
                <w:lang w:val="sk-SK"/>
              </w:rPr>
              <w:t xml:space="preserve"> alebo </w:t>
            </w:r>
            <w:proofErr w:type="spellStart"/>
            <w:r w:rsidRPr="000F6B9E">
              <w:rPr>
                <w:sz w:val="22"/>
                <w:lang w:val="sk-SK"/>
              </w:rPr>
              <w:t>anafylaktoidné</w:t>
            </w:r>
            <w:proofErr w:type="spellEnd"/>
            <w:r w:rsidRPr="000F6B9E">
              <w:rPr>
                <w:sz w:val="22"/>
                <w:lang w:val="sk-SK"/>
              </w:rPr>
              <w:t xml:space="preserve"> reakcie, zvýšené </w:t>
            </w:r>
            <w:proofErr w:type="spellStart"/>
            <w:r w:rsidRPr="000F6B9E">
              <w:rPr>
                <w:sz w:val="22"/>
                <w:lang w:val="sk-SK"/>
              </w:rPr>
              <w:t>antinukleárne</w:t>
            </w:r>
            <w:proofErr w:type="spellEnd"/>
            <w:r w:rsidRPr="000F6B9E">
              <w:rPr>
                <w:sz w:val="22"/>
                <w:lang w:val="sk-SK"/>
              </w:rPr>
              <w:t xml:space="preserve"> protilátky</w:t>
            </w:r>
          </w:p>
        </w:tc>
      </w:tr>
      <w:tr w:rsidR="006C4FA9" w:rsidRPr="00EC5E95" w14:paraId="73516C85" w14:textId="77777777" w:rsidTr="000F6B9E">
        <w:tc>
          <w:tcPr>
            <w:tcW w:w="1793" w:type="dxa"/>
          </w:tcPr>
          <w:p w14:paraId="7FE1E7D5" w14:textId="47ED1E8C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Poruchy pečene a</w:t>
            </w:r>
            <w:r w:rsidR="00164028">
              <w:rPr>
                <w:sz w:val="22"/>
                <w:lang w:val="sk-SK"/>
              </w:rPr>
              <w:t> </w:t>
            </w:r>
            <w:r w:rsidRPr="000F6B9E">
              <w:rPr>
                <w:sz w:val="22"/>
                <w:lang w:val="sk-SK"/>
              </w:rPr>
              <w:t>žlčových ciest</w:t>
            </w:r>
          </w:p>
        </w:tc>
        <w:tc>
          <w:tcPr>
            <w:tcW w:w="1576" w:type="dxa"/>
          </w:tcPr>
          <w:p w14:paraId="1887C666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782" w:type="dxa"/>
          </w:tcPr>
          <w:p w14:paraId="2BD2FFD0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 xml:space="preserve">Zvýšené hladiny pečeňových enzýmov a/alebo </w:t>
            </w:r>
            <w:proofErr w:type="spellStart"/>
            <w:r w:rsidRPr="000F6B9E">
              <w:rPr>
                <w:sz w:val="22"/>
                <w:lang w:val="sk-SK"/>
              </w:rPr>
              <w:t>konjugovaného</w:t>
            </w:r>
            <w:proofErr w:type="spellEnd"/>
            <w:r w:rsidRPr="000F6B9E">
              <w:rPr>
                <w:sz w:val="22"/>
                <w:lang w:val="sk-SK"/>
              </w:rPr>
              <w:t xml:space="preserve"> </w:t>
            </w:r>
            <w:proofErr w:type="spellStart"/>
            <w:r w:rsidRPr="000F6B9E">
              <w:rPr>
                <w:sz w:val="22"/>
                <w:lang w:val="sk-SK"/>
              </w:rPr>
              <w:t>bilirubínu</w:t>
            </w:r>
            <w:proofErr w:type="spellEnd"/>
          </w:p>
        </w:tc>
        <w:tc>
          <w:tcPr>
            <w:tcW w:w="1761" w:type="dxa"/>
          </w:tcPr>
          <w:p w14:paraId="58AC9059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proofErr w:type="spellStart"/>
            <w:r w:rsidRPr="000F6B9E">
              <w:rPr>
                <w:sz w:val="22"/>
                <w:lang w:val="sk-SK"/>
              </w:rPr>
              <w:t>Cholestatická</w:t>
            </w:r>
            <w:proofErr w:type="spellEnd"/>
            <w:r w:rsidRPr="000F6B9E">
              <w:rPr>
                <w:sz w:val="22"/>
                <w:lang w:val="sk-SK"/>
              </w:rPr>
              <w:t xml:space="preserve"> žltačka, </w:t>
            </w:r>
            <w:proofErr w:type="spellStart"/>
            <w:r w:rsidRPr="000F6B9E">
              <w:rPr>
                <w:sz w:val="22"/>
                <w:lang w:val="sk-SK"/>
              </w:rPr>
              <w:t>hepatocelulárne</w:t>
            </w:r>
            <w:proofErr w:type="spellEnd"/>
            <w:r w:rsidRPr="000F6B9E">
              <w:rPr>
                <w:sz w:val="22"/>
                <w:lang w:val="sk-SK"/>
              </w:rPr>
              <w:t xml:space="preserve"> poškodenie</w:t>
            </w:r>
          </w:p>
        </w:tc>
        <w:tc>
          <w:tcPr>
            <w:tcW w:w="1145" w:type="dxa"/>
          </w:tcPr>
          <w:p w14:paraId="6F2A929A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565" w:type="dxa"/>
          </w:tcPr>
          <w:p w14:paraId="4F4709D7" w14:textId="6EB9B7B3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 xml:space="preserve">Akútne zlyhanie pečene, </w:t>
            </w:r>
            <w:proofErr w:type="spellStart"/>
            <w:r w:rsidRPr="000F6B9E">
              <w:rPr>
                <w:sz w:val="22"/>
                <w:lang w:val="sk-SK"/>
              </w:rPr>
              <w:t>cholestatická</w:t>
            </w:r>
            <w:proofErr w:type="spellEnd"/>
            <w:r w:rsidRPr="000F6B9E">
              <w:rPr>
                <w:sz w:val="22"/>
                <w:lang w:val="sk-SK"/>
              </w:rPr>
              <w:t xml:space="preserve"> alebo </w:t>
            </w:r>
            <w:proofErr w:type="spellStart"/>
            <w:r w:rsidRPr="000F6B9E">
              <w:rPr>
                <w:sz w:val="22"/>
                <w:lang w:val="sk-SK"/>
              </w:rPr>
              <w:t>cytolytická</w:t>
            </w:r>
            <w:proofErr w:type="spellEnd"/>
            <w:r w:rsidRPr="000F6B9E">
              <w:rPr>
                <w:sz w:val="22"/>
                <w:lang w:val="sk-SK"/>
              </w:rPr>
              <w:t xml:space="preserve"> hepatitída (veľmi </w:t>
            </w:r>
            <w:r w:rsidRPr="000F6B9E">
              <w:rPr>
                <w:sz w:val="22"/>
                <w:lang w:val="sk-SK"/>
              </w:rPr>
              <w:lastRenderedPageBreak/>
              <w:t>výnimočne s</w:t>
            </w:r>
            <w:r w:rsidR="001C3DB2" w:rsidRPr="00EC5E95">
              <w:rPr>
                <w:lang w:val="sk-SK"/>
              </w:rPr>
              <w:t> </w:t>
            </w:r>
            <w:r w:rsidRPr="000F6B9E">
              <w:rPr>
                <w:sz w:val="22"/>
                <w:lang w:val="sk-SK"/>
              </w:rPr>
              <w:t>fatálnym koncom)</w:t>
            </w:r>
          </w:p>
        </w:tc>
      </w:tr>
      <w:tr w:rsidR="006C4FA9" w:rsidRPr="00EC5E95" w14:paraId="26E00CED" w14:textId="77777777" w:rsidTr="000F6B9E">
        <w:tc>
          <w:tcPr>
            <w:tcW w:w="1793" w:type="dxa"/>
          </w:tcPr>
          <w:p w14:paraId="15BD2E58" w14:textId="65C93BDF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lastRenderedPageBreak/>
              <w:t>Poruchy reprodukčného systému a</w:t>
            </w:r>
            <w:r w:rsidR="001C3DB2" w:rsidRPr="00EC5E95">
              <w:rPr>
                <w:lang w:val="sk-SK"/>
              </w:rPr>
              <w:t> </w:t>
            </w:r>
            <w:r w:rsidRPr="000F6B9E">
              <w:rPr>
                <w:sz w:val="22"/>
                <w:lang w:val="sk-SK"/>
              </w:rPr>
              <w:t>prsníkov</w:t>
            </w:r>
          </w:p>
        </w:tc>
        <w:tc>
          <w:tcPr>
            <w:tcW w:w="1576" w:type="dxa"/>
          </w:tcPr>
          <w:p w14:paraId="15A79B8C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782" w:type="dxa"/>
          </w:tcPr>
          <w:p w14:paraId="5A06F877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 xml:space="preserve">Prechodná </w:t>
            </w:r>
            <w:proofErr w:type="spellStart"/>
            <w:r w:rsidRPr="000F6B9E">
              <w:rPr>
                <w:sz w:val="22"/>
                <w:lang w:val="sk-SK"/>
              </w:rPr>
              <w:t>erektilná</w:t>
            </w:r>
            <w:proofErr w:type="spellEnd"/>
            <w:r w:rsidRPr="000F6B9E">
              <w:rPr>
                <w:sz w:val="22"/>
                <w:lang w:val="sk-SK"/>
              </w:rPr>
              <w:t xml:space="preserve"> impotencia, znížené libido</w:t>
            </w:r>
          </w:p>
        </w:tc>
        <w:tc>
          <w:tcPr>
            <w:tcW w:w="1761" w:type="dxa"/>
          </w:tcPr>
          <w:p w14:paraId="5876C652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145" w:type="dxa"/>
          </w:tcPr>
          <w:p w14:paraId="5FA31081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565" w:type="dxa"/>
          </w:tcPr>
          <w:p w14:paraId="0DBD011A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proofErr w:type="spellStart"/>
            <w:r w:rsidRPr="000F6B9E">
              <w:rPr>
                <w:sz w:val="22"/>
                <w:lang w:val="sk-SK"/>
              </w:rPr>
              <w:t>Gynekomastia</w:t>
            </w:r>
            <w:proofErr w:type="spellEnd"/>
          </w:p>
        </w:tc>
      </w:tr>
      <w:tr w:rsidR="006C4FA9" w:rsidRPr="00EC5E95" w14:paraId="6CFF8D28" w14:textId="77777777" w:rsidTr="000F6B9E">
        <w:tc>
          <w:tcPr>
            <w:tcW w:w="1793" w:type="dxa"/>
          </w:tcPr>
          <w:p w14:paraId="7C5CA8B3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Psychické poruchy</w:t>
            </w:r>
          </w:p>
        </w:tc>
        <w:tc>
          <w:tcPr>
            <w:tcW w:w="1576" w:type="dxa"/>
          </w:tcPr>
          <w:p w14:paraId="09C0DB9C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782" w:type="dxa"/>
          </w:tcPr>
          <w:p w14:paraId="46B59775" w14:textId="77777777" w:rsidR="00497D94" w:rsidRPr="000F6B9E" w:rsidRDefault="00AD4A96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Depresívna</w:t>
            </w:r>
            <w:r w:rsidR="00497D94" w:rsidRPr="000F6B9E">
              <w:rPr>
                <w:sz w:val="22"/>
                <w:lang w:val="sk-SK"/>
              </w:rPr>
              <w:t xml:space="preserve"> nálada, úzkosť, nervozita, nepokoj, poruchy spánku vrátane </w:t>
            </w:r>
            <w:proofErr w:type="spellStart"/>
            <w:r w:rsidR="00497D94" w:rsidRPr="000F6B9E">
              <w:rPr>
                <w:sz w:val="22"/>
                <w:lang w:val="sk-SK"/>
              </w:rPr>
              <w:t>somnolencie</w:t>
            </w:r>
            <w:proofErr w:type="spellEnd"/>
          </w:p>
        </w:tc>
        <w:tc>
          <w:tcPr>
            <w:tcW w:w="1761" w:type="dxa"/>
          </w:tcPr>
          <w:p w14:paraId="3F804EA7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Stav zmätenosti</w:t>
            </w:r>
          </w:p>
        </w:tc>
        <w:tc>
          <w:tcPr>
            <w:tcW w:w="1145" w:type="dxa"/>
          </w:tcPr>
          <w:p w14:paraId="38562CC4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</w:p>
        </w:tc>
        <w:tc>
          <w:tcPr>
            <w:tcW w:w="1565" w:type="dxa"/>
          </w:tcPr>
          <w:p w14:paraId="5D003BB6" w14:textId="77777777" w:rsidR="00497D94" w:rsidRPr="000F6B9E" w:rsidRDefault="00497D94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Poruchy pozornosti</w:t>
            </w:r>
          </w:p>
        </w:tc>
      </w:tr>
    </w:tbl>
    <w:p w14:paraId="22D721C8" w14:textId="77777777" w:rsidR="00D867AB" w:rsidRPr="00EC5E95" w:rsidRDefault="00D867AB" w:rsidP="0087630B">
      <w:pPr>
        <w:pStyle w:val="Styl3"/>
      </w:pPr>
      <w:r w:rsidRPr="00EC5E95">
        <w:t>Pediatrická populácia</w:t>
      </w:r>
    </w:p>
    <w:p w14:paraId="3237BF03" w14:textId="77777777" w:rsidR="00D867AB" w:rsidRPr="00EC5E95" w:rsidRDefault="00D867AB" w:rsidP="00465D90">
      <w:pPr>
        <w:pStyle w:val="Normlndobloku"/>
        <w:rPr>
          <w:lang w:val="sk-SK"/>
        </w:rPr>
      </w:pPr>
      <w:r w:rsidRPr="00EC5E95">
        <w:rPr>
          <w:lang w:val="sk-SK"/>
        </w:rPr>
        <w:t xml:space="preserve">Bezpečnosť </w:t>
      </w:r>
      <w:proofErr w:type="spellStart"/>
      <w:r w:rsidRPr="00EC5E95">
        <w:rPr>
          <w:lang w:val="sk-SK"/>
        </w:rPr>
        <w:t>ramiprilu</w:t>
      </w:r>
      <w:proofErr w:type="spellEnd"/>
      <w:r w:rsidRPr="00EC5E95">
        <w:rPr>
          <w:lang w:val="sk-SK"/>
        </w:rPr>
        <w:t xml:space="preserve"> bola sledovaná počas 2 klinických štúdií u 325 detí a dospievajúcich vo veku 2 – 16 rokov. Kým povaha a závažnosť nežiaducich účinkov sú podobné ako u dospelých, frekvencia nasledovných nežiaducich účinkov je u detí vyššia:</w:t>
      </w:r>
    </w:p>
    <w:p w14:paraId="1FA7A943" w14:textId="77777777" w:rsidR="00D867AB" w:rsidRPr="00EC5E95" w:rsidRDefault="00D867AB" w:rsidP="00465D90">
      <w:pPr>
        <w:pStyle w:val="Normlndobloku"/>
        <w:rPr>
          <w:lang w:val="sk-SK"/>
        </w:rPr>
      </w:pPr>
      <w:proofErr w:type="spellStart"/>
      <w:r w:rsidRPr="00EC5E95">
        <w:rPr>
          <w:lang w:val="sk-SK"/>
        </w:rPr>
        <w:t>Tachykardia</w:t>
      </w:r>
      <w:proofErr w:type="spellEnd"/>
      <w:r w:rsidRPr="00EC5E95">
        <w:rPr>
          <w:lang w:val="sk-SK"/>
        </w:rPr>
        <w:t xml:space="preserve"> nepriechodný nos a </w:t>
      </w:r>
      <w:proofErr w:type="spellStart"/>
      <w:r w:rsidRPr="00EC5E95">
        <w:rPr>
          <w:lang w:val="sk-SK"/>
        </w:rPr>
        <w:t>rinitída</w:t>
      </w:r>
      <w:proofErr w:type="spellEnd"/>
      <w:r w:rsidRPr="00EC5E95">
        <w:rPr>
          <w:lang w:val="sk-SK"/>
        </w:rPr>
        <w:t>, „časté“ (</w:t>
      </w:r>
      <w:r w:rsidRPr="00456BE0">
        <w:t>≥</w:t>
      </w:r>
      <w:r w:rsidRPr="00EC5E95">
        <w:rPr>
          <w:lang w:val="sk-SK"/>
        </w:rPr>
        <w:t xml:space="preserve">1/100 až </w:t>
      </w:r>
      <w:r w:rsidRPr="00456BE0">
        <w:t>&lt;</w:t>
      </w:r>
      <w:r w:rsidRPr="00EC5E95">
        <w:rPr>
          <w:lang w:val="sk-SK"/>
        </w:rPr>
        <w:t>1/10) v pediatrickej populácii</w:t>
      </w:r>
      <w:r w:rsidR="001006B9" w:rsidRPr="00EC5E95">
        <w:rPr>
          <w:lang w:val="sk-SK"/>
        </w:rPr>
        <w:t xml:space="preserve"> a „menej časté“ (</w:t>
      </w:r>
      <w:r w:rsidR="001006B9" w:rsidRPr="00456BE0">
        <w:t>≥</w:t>
      </w:r>
      <w:r w:rsidR="001006B9" w:rsidRPr="00EC5E95">
        <w:rPr>
          <w:lang w:val="sk-SK"/>
        </w:rPr>
        <w:t xml:space="preserve">1/1 000 až </w:t>
      </w:r>
      <w:r w:rsidR="001006B9" w:rsidRPr="00456BE0">
        <w:t>&lt;</w:t>
      </w:r>
      <w:r w:rsidR="001006B9" w:rsidRPr="00EC5E95">
        <w:rPr>
          <w:lang w:val="sk-SK"/>
        </w:rPr>
        <w:t>1/100) v dospelej populácii.</w:t>
      </w:r>
    </w:p>
    <w:p w14:paraId="7E153AA4" w14:textId="77777777" w:rsidR="001006B9" w:rsidRPr="00EC5E95" w:rsidRDefault="001006B9" w:rsidP="001006B9">
      <w:pPr>
        <w:pStyle w:val="Normlndobloku"/>
        <w:rPr>
          <w:lang w:val="sk-SK"/>
        </w:rPr>
      </w:pPr>
      <w:proofErr w:type="spellStart"/>
      <w:r w:rsidRPr="00EC5E95">
        <w:rPr>
          <w:lang w:val="sk-SK"/>
        </w:rPr>
        <w:t>Konjuktivitída</w:t>
      </w:r>
      <w:proofErr w:type="spellEnd"/>
      <w:r w:rsidRPr="00EC5E95">
        <w:rPr>
          <w:lang w:val="sk-SK"/>
        </w:rPr>
        <w:t>, „menej časté“ (</w:t>
      </w:r>
      <w:r w:rsidRPr="00456BE0">
        <w:t>≥</w:t>
      </w:r>
      <w:r w:rsidRPr="00EC5E95">
        <w:rPr>
          <w:lang w:val="sk-SK"/>
        </w:rPr>
        <w:t xml:space="preserve">1/1 000 až </w:t>
      </w:r>
      <w:r w:rsidRPr="00456BE0">
        <w:t>&lt;</w:t>
      </w:r>
      <w:r w:rsidRPr="00EC5E95">
        <w:rPr>
          <w:lang w:val="sk-SK"/>
        </w:rPr>
        <w:t>1/100) v pediatrickej populácii, zatiaľ čo „zriedkavé“ (</w:t>
      </w:r>
      <w:r w:rsidRPr="00456BE0">
        <w:t>≥</w:t>
      </w:r>
      <w:r w:rsidRPr="00EC5E95">
        <w:rPr>
          <w:lang w:val="sk-SK"/>
        </w:rPr>
        <w:t xml:space="preserve">1/10 000 až </w:t>
      </w:r>
      <w:r w:rsidRPr="00456BE0">
        <w:t>&lt;</w:t>
      </w:r>
      <w:r w:rsidRPr="00EC5E95">
        <w:rPr>
          <w:lang w:val="sk-SK"/>
        </w:rPr>
        <w:t>1/1 000) v dospelej populácii.</w:t>
      </w:r>
    </w:p>
    <w:p w14:paraId="0F77947A" w14:textId="77777777" w:rsidR="001006B9" w:rsidRPr="00EC5E95" w:rsidRDefault="001006B9" w:rsidP="001006B9">
      <w:pPr>
        <w:pStyle w:val="Normlndobloku"/>
        <w:rPr>
          <w:lang w:val="sk-SK"/>
        </w:rPr>
      </w:pPr>
      <w:r w:rsidRPr="00EC5E95">
        <w:rPr>
          <w:lang w:val="sk-SK"/>
        </w:rPr>
        <w:t>Tras a žihľavka „menej časté“ (</w:t>
      </w:r>
      <w:r w:rsidRPr="00456BE0">
        <w:t>≥</w:t>
      </w:r>
      <w:r w:rsidRPr="00EC5E95">
        <w:rPr>
          <w:lang w:val="sk-SK"/>
        </w:rPr>
        <w:t xml:space="preserve">1/1 000 až </w:t>
      </w:r>
      <w:r w:rsidRPr="00456BE0">
        <w:t>&lt;</w:t>
      </w:r>
      <w:r w:rsidRPr="00EC5E95">
        <w:rPr>
          <w:lang w:val="sk-SK"/>
        </w:rPr>
        <w:t>1/100) v pediatrickej populácii, zatiaľ čo „zriedkavé“ (</w:t>
      </w:r>
      <w:r w:rsidRPr="00456BE0">
        <w:t>≥</w:t>
      </w:r>
      <w:r w:rsidRPr="00EC5E95">
        <w:rPr>
          <w:lang w:val="sk-SK"/>
        </w:rPr>
        <w:t xml:space="preserve">1/10 000 až </w:t>
      </w:r>
      <w:r w:rsidRPr="00456BE0">
        <w:t>&lt;</w:t>
      </w:r>
      <w:r w:rsidRPr="00EC5E95">
        <w:rPr>
          <w:lang w:val="sk-SK"/>
        </w:rPr>
        <w:t>1/1 000) v dospelej populácii.</w:t>
      </w:r>
    </w:p>
    <w:p w14:paraId="7987B933" w14:textId="77777777" w:rsidR="001006B9" w:rsidRPr="00EC5E95" w:rsidRDefault="001006B9" w:rsidP="00465D90">
      <w:pPr>
        <w:pStyle w:val="Normlndobloku"/>
        <w:rPr>
          <w:lang w:val="sk-SK"/>
        </w:rPr>
      </w:pPr>
      <w:r w:rsidRPr="00EC5E95">
        <w:rPr>
          <w:lang w:val="sk-SK"/>
        </w:rPr>
        <w:t xml:space="preserve">Celkový bezpečnostný profil </w:t>
      </w:r>
      <w:proofErr w:type="spellStart"/>
      <w:r w:rsidRPr="00EC5E95">
        <w:rPr>
          <w:lang w:val="sk-SK"/>
        </w:rPr>
        <w:t>ramiprilu</w:t>
      </w:r>
      <w:proofErr w:type="spellEnd"/>
      <w:r w:rsidRPr="00EC5E95">
        <w:rPr>
          <w:lang w:val="sk-SK"/>
        </w:rPr>
        <w:t xml:space="preserve"> u pediatrických pacientov sa významne nelíši od bezpečnostného profilu u dospelých.</w:t>
      </w:r>
    </w:p>
    <w:p w14:paraId="66D8D229" w14:textId="77777777" w:rsidR="0072240B" w:rsidRPr="00456BE0" w:rsidRDefault="0072240B" w:rsidP="0087630B">
      <w:pPr>
        <w:pStyle w:val="Styl3"/>
        <w:rPr>
          <w:lang w:val="sk-SK"/>
        </w:rPr>
      </w:pPr>
      <w:r w:rsidRPr="00456BE0">
        <w:rPr>
          <w:lang w:val="sk-SK"/>
        </w:rPr>
        <w:t>Hlásenie podozrení na nežiaduce reakcie</w:t>
      </w:r>
    </w:p>
    <w:p w14:paraId="270359D2" w14:textId="77777777" w:rsidR="0072240B" w:rsidRPr="00EC5E95" w:rsidRDefault="0072240B" w:rsidP="0072240B">
      <w:pPr>
        <w:pStyle w:val="Normlndobloku"/>
        <w:rPr>
          <w:lang w:val="sk-SK"/>
        </w:rPr>
      </w:pPr>
      <w:r w:rsidRPr="00EC5E95">
        <w:rPr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C30BA2" w:rsidRPr="00EC5E95">
        <w:rPr>
          <w:highlight w:val="lightGray"/>
          <w:lang w:val="sk-SK"/>
        </w:rPr>
        <w:t>na národné centrum</w:t>
      </w:r>
      <w:r w:rsidRPr="00EC5E95">
        <w:rPr>
          <w:lang w:val="sk-SK"/>
        </w:rPr>
        <w:t xml:space="preserve"> hlásenia </w:t>
      </w:r>
      <w:r w:rsidRPr="00EC5E95">
        <w:rPr>
          <w:highlight w:val="lightGray"/>
          <w:lang w:val="sk-SK"/>
        </w:rPr>
        <w:t>uvedené v </w:t>
      </w:r>
      <w:hyperlink r:id="rId8" w:history="1">
        <w:r w:rsidRPr="00EC5E95">
          <w:rPr>
            <w:rStyle w:val="Hypertextovprepojenie"/>
            <w:highlight w:val="lightGray"/>
            <w:lang w:val="sk-SK"/>
          </w:rPr>
          <w:t>Prílohe V</w:t>
        </w:r>
      </w:hyperlink>
      <w:r w:rsidRPr="00EC5E95">
        <w:rPr>
          <w:lang w:val="sk-SK"/>
        </w:rPr>
        <w:t>.</w:t>
      </w:r>
    </w:p>
    <w:p w14:paraId="4699887B" w14:textId="77777777" w:rsidR="0076116E" w:rsidRPr="00EC5E95" w:rsidRDefault="004124B1" w:rsidP="0072240B">
      <w:pPr>
        <w:pStyle w:val="Styl2"/>
        <w:rPr>
          <w:noProof w:val="0"/>
          <w:lang w:val="sk-SK"/>
        </w:rPr>
      </w:pPr>
      <w:r w:rsidRPr="00EC5E95">
        <w:rPr>
          <w:noProof w:val="0"/>
          <w:lang w:val="sk-SK"/>
        </w:rPr>
        <w:t>Predávkovanie</w:t>
      </w:r>
    </w:p>
    <w:p w14:paraId="0B15C38F" w14:textId="77777777" w:rsidR="0006472C" w:rsidRPr="00EC5E95" w:rsidRDefault="0006472C" w:rsidP="0087630B">
      <w:pPr>
        <w:pStyle w:val="Styl3"/>
      </w:pPr>
      <w:r w:rsidRPr="00EC5E95">
        <w:t>Príznaky</w:t>
      </w:r>
    </w:p>
    <w:p w14:paraId="5CFBF580" w14:textId="35373011" w:rsidR="00870E11" w:rsidRPr="00EC5E95" w:rsidRDefault="00657F4A" w:rsidP="00A84884">
      <w:pPr>
        <w:pStyle w:val="Normlndobloku"/>
        <w:rPr>
          <w:lang w:val="sk-SK"/>
        </w:rPr>
      </w:pPr>
      <w:r w:rsidRPr="00EC5E95">
        <w:rPr>
          <w:lang w:val="sk-SK"/>
        </w:rPr>
        <w:t>K príznakom spojeným s </w:t>
      </w:r>
      <w:r w:rsidR="004124B1" w:rsidRPr="00EC5E95">
        <w:rPr>
          <w:lang w:val="sk-SK"/>
        </w:rPr>
        <w:t xml:space="preserve">predávkovaním ACE inhibítormi môže patriť výrazná periférna </w:t>
      </w:r>
      <w:proofErr w:type="spellStart"/>
      <w:r w:rsidR="004124B1" w:rsidRPr="00EC5E95">
        <w:rPr>
          <w:lang w:val="sk-SK"/>
        </w:rPr>
        <w:t>vazodilatácia</w:t>
      </w:r>
      <w:proofErr w:type="spellEnd"/>
      <w:r w:rsidR="004124B1" w:rsidRPr="00EC5E95">
        <w:rPr>
          <w:lang w:val="sk-SK"/>
        </w:rPr>
        <w:t xml:space="preserve"> (s</w:t>
      </w:r>
      <w:r w:rsidR="001C3DB2" w:rsidRPr="00EC5E95">
        <w:rPr>
          <w:lang w:val="sk-SK"/>
        </w:rPr>
        <w:t> </w:t>
      </w:r>
      <w:r w:rsidR="004124B1" w:rsidRPr="00EC5E95">
        <w:rPr>
          <w:lang w:val="sk-SK"/>
        </w:rPr>
        <w:t>výraznou hypotenziou, šokom), brad</w:t>
      </w:r>
      <w:r w:rsidRPr="00EC5E95">
        <w:rPr>
          <w:lang w:val="sk-SK"/>
        </w:rPr>
        <w:t>ykardia, poruchy elektrolytov a </w:t>
      </w:r>
      <w:r w:rsidR="004124B1" w:rsidRPr="00EC5E95">
        <w:rPr>
          <w:lang w:val="sk-SK"/>
        </w:rPr>
        <w:t>zlyhanie obličiek.</w:t>
      </w:r>
    </w:p>
    <w:p w14:paraId="49062450" w14:textId="77777777" w:rsidR="0006472C" w:rsidRPr="00EC5E95" w:rsidRDefault="0006472C" w:rsidP="0087630B">
      <w:pPr>
        <w:pStyle w:val="Styl3"/>
      </w:pPr>
      <w:r w:rsidRPr="00EC5E95">
        <w:t>Liečba</w:t>
      </w:r>
    </w:p>
    <w:p w14:paraId="0BABF1B9" w14:textId="692E2AE9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>Pacient m</w:t>
      </w:r>
      <w:r w:rsidR="00657F4A" w:rsidRPr="00EC5E95">
        <w:rPr>
          <w:lang w:val="sk-SK"/>
        </w:rPr>
        <w:t>usí byť dôkladne monitorovaný a liečba musí byť symptomatická a </w:t>
      </w:r>
      <w:r w:rsidRPr="00EC5E95">
        <w:rPr>
          <w:lang w:val="sk-SK"/>
        </w:rPr>
        <w:t xml:space="preserve">podporná. Navrhnuté opatrenia zahrňujú primárnu </w:t>
      </w:r>
      <w:proofErr w:type="spellStart"/>
      <w:r w:rsidRPr="00EC5E95">
        <w:rPr>
          <w:lang w:val="sk-SK"/>
        </w:rPr>
        <w:t>detoxifikáciu</w:t>
      </w:r>
      <w:proofErr w:type="spellEnd"/>
      <w:r w:rsidRPr="00EC5E95">
        <w:rPr>
          <w:lang w:val="sk-SK"/>
        </w:rPr>
        <w:t xml:space="preserve"> (výplach </w:t>
      </w:r>
      <w:r w:rsidR="00657F4A" w:rsidRPr="00EC5E95">
        <w:rPr>
          <w:lang w:val="sk-SK"/>
        </w:rPr>
        <w:t xml:space="preserve">žalúdka, podanie </w:t>
      </w:r>
      <w:proofErr w:type="spellStart"/>
      <w:r w:rsidR="00657F4A" w:rsidRPr="00EC5E95">
        <w:rPr>
          <w:lang w:val="sk-SK"/>
        </w:rPr>
        <w:t>adsorbentov</w:t>
      </w:r>
      <w:proofErr w:type="spellEnd"/>
      <w:r w:rsidR="00657F4A" w:rsidRPr="00EC5E95">
        <w:rPr>
          <w:lang w:val="sk-SK"/>
        </w:rPr>
        <w:t>) a </w:t>
      </w:r>
      <w:r w:rsidRPr="00EC5E95">
        <w:rPr>
          <w:lang w:val="sk-SK"/>
        </w:rPr>
        <w:t xml:space="preserve">opatrenia na obnovenie </w:t>
      </w:r>
      <w:proofErr w:type="spellStart"/>
      <w:r w:rsidRPr="00EC5E95">
        <w:rPr>
          <w:lang w:val="sk-SK"/>
        </w:rPr>
        <w:t>hemodynamickej</w:t>
      </w:r>
      <w:proofErr w:type="spellEnd"/>
      <w:r w:rsidRPr="00EC5E95">
        <w:rPr>
          <w:lang w:val="sk-SK"/>
        </w:rPr>
        <w:t xml:space="preserve"> stability, vrátane podania alfa-1 </w:t>
      </w:r>
      <w:proofErr w:type="spellStart"/>
      <w:r w:rsidRPr="00EC5E95">
        <w:rPr>
          <w:lang w:val="sk-SK"/>
        </w:rPr>
        <w:t>adrenergných</w:t>
      </w:r>
      <w:proofErr w:type="spellEnd"/>
      <w:r w:rsidRPr="00EC5E95">
        <w:rPr>
          <w:lang w:val="sk-SK"/>
        </w:rPr>
        <w:t xml:space="preserve"> </w:t>
      </w:r>
      <w:proofErr w:type="spellStart"/>
      <w:r w:rsidRPr="00EC5E95">
        <w:rPr>
          <w:lang w:val="sk-SK"/>
        </w:rPr>
        <w:t>agonistov</w:t>
      </w:r>
      <w:proofErr w:type="spellEnd"/>
      <w:r w:rsidRPr="00EC5E95">
        <w:rPr>
          <w:lang w:val="sk-SK"/>
        </w:rPr>
        <w:t xml:space="preserve"> alebo podania </w:t>
      </w:r>
      <w:proofErr w:type="spellStart"/>
      <w:r w:rsidRPr="00EC5E95">
        <w:rPr>
          <w:lang w:val="sk-SK"/>
        </w:rPr>
        <w:lastRenderedPageBreak/>
        <w:t>angiotenzínu</w:t>
      </w:r>
      <w:proofErr w:type="spellEnd"/>
      <w:r w:rsidRPr="00EC5E95">
        <w:rPr>
          <w:lang w:val="sk-SK"/>
        </w:rPr>
        <w:t xml:space="preserve"> II (</w:t>
      </w:r>
      <w:proofErr w:type="spellStart"/>
      <w:r w:rsidRPr="00EC5E95">
        <w:rPr>
          <w:lang w:val="sk-SK"/>
        </w:rPr>
        <w:t>angiotenzínamid</w:t>
      </w:r>
      <w:proofErr w:type="spellEnd"/>
      <w:r w:rsidRPr="00EC5E95">
        <w:rPr>
          <w:lang w:val="sk-SK"/>
        </w:rPr>
        <w:t xml:space="preserve">). </w:t>
      </w:r>
      <w:proofErr w:type="spellStart"/>
      <w:r w:rsidRPr="00EC5E95">
        <w:rPr>
          <w:lang w:val="sk-SK"/>
        </w:rPr>
        <w:t>Ramiprilát</w:t>
      </w:r>
      <w:proofErr w:type="spellEnd"/>
      <w:r w:rsidRPr="00EC5E95">
        <w:rPr>
          <w:lang w:val="sk-SK"/>
        </w:rPr>
        <w:t xml:space="preserve">, aktívny </w:t>
      </w:r>
      <w:proofErr w:type="spellStart"/>
      <w:r w:rsidRPr="00EC5E95">
        <w:rPr>
          <w:lang w:val="sk-SK"/>
        </w:rPr>
        <w:t>metabol</w:t>
      </w:r>
      <w:r w:rsidR="00657F4A" w:rsidRPr="00EC5E95">
        <w:rPr>
          <w:lang w:val="sk-SK"/>
        </w:rPr>
        <w:t>it</w:t>
      </w:r>
      <w:proofErr w:type="spellEnd"/>
      <w:r w:rsidR="00657F4A" w:rsidRPr="00EC5E95">
        <w:rPr>
          <w:lang w:val="sk-SK"/>
        </w:rPr>
        <w:t xml:space="preserve"> </w:t>
      </w:r>
      <w:proofErr w:type="spellStart"/>
      <w:r w:rsidR="00657F4A" w:rsidRPr="00EC5E95">
        <w:rPr>
          <w:lang w:val="sk-SK"/>
        </w:rPr>
        <w:t>ramiprilu</w:t>
      </w:r>
      <w:proofErr w:type="spellEnd"/>
      <w:r w:rsidR="00657F4A" w:rsidRPr="00EC5E95">
        <w:rPr>
          <w:lang w:val="sk-SK"/>
        </w:rPr>
        <w:t>, sa hemodialýzou z </w:t>
      </w:r>
      <w:r w:rsidRPr="00EC5E95">
        <w:rPr>
          <w:lang w:val="sk-SK"/>
        </w:rPr>
        <w:t>celkového obehu odstraňuje zle.</w:t>
      </w:r>
    </w:p>
    <w:p w14:paraId="5E6505D2" w14:textId="77777777" w:rsidR="0076116E" w:rsidRPr="00EC5E95" w:rsidRDefault="004124B1" w:rsidP="00015569">
      <w:pPr>
        <w:pStyle w:val="Styl1"/>
        <w:rPr>
          <w:noProof w:val="0"/>
          <w:lang w:val="sk-SK"/>
        </w:rPr>
      </w:pPr>
      <w:r w:rsidRPr="00EC5E95">
        <w:rPr>
          <w:noProof w:val="0"/>
          <w:lang w:val="sk-SK"/>
        </w:rPr>
        <w:t>FARMAKOLOGICKÉ VLASTNOSTI</w:t>
      </w:r>
    </w:p>
    <w:p w14:paraId="649D2B4B" w14:textId="77777777" w:rsidR="0076116E" w:rsidRPr="00EC5E95" w:rsidRDefault="004124B1" w:rsidP="00015569">
      <w:pPr>
        <w:pStyle w:val="Styl2"/>
        <w:rPr>
          <w:noProof w:val="0"/>
          <w:lang w:val="sk-SK"/>
        </w:rPr>
      </w:pPr>
      <w:proofErr w:type="spellStart"/>
      <w:r w:rsidRPr="00EC5E95">
        <w:rPr>
          <w:noProof w:val="0"/>
          <w:lang w:val="sk-SK"/>
        </w:rPr>
        <w:t>Farmakodynamické</w:t>
      </w:r>
      <w:proofErr w:type="spellEnd"/>
      <w:r w:rsidRPr="00EC5E95">
        <w:rPr>
          <w:noProof w:val="0"/>
          <w:lang w:val="sk-SK"/>
        </w:rPr>
        <w:t xml:space="preserve"> vlastnosti</w:t>
      </w:r>
    </w:p>
    <w:p w14:paraId="7C92CC8F" w14:textId="77777777" w:rsidR="0076116E" w:rsidRPr="00EC5E95" w:rsidRDefault="004124B1" w:rsidP="00A84884">
      <w:pPr>
        <w:pStyle w:val="Normlndobloku"/>
        <w:rPr>
          <w:lang w:val="sk-SK"/>
        </w:rPr>
      </w:pPr>
      <w:proofErr w:type="spellStart"/>
      <w:r w:rsidRPr="00EC5E95">
        <w:rPr>
          <w:lang w:val="sk-SK"/>
        </w:rPr>
        <w:t>Farmakoterapeutická</w:t>
      </w:r>
      <w:proofErr w:type="spellEnd"/>
      <w:r w:rsidRPr="00EC5E95">
        <w:rPr>
          <w:lang w:val="sk-SK"/>
        </w:rPr>
        <w:t xml:space="preserve"> skupina: ACE inhibítory, </w:t>
      </w:r>
      <w:r w:rsidR="00AD4A96" w:rsidRPr="00EC5E95">
        <w:rPr>
          <w:lang w:val="sk-SK"/>
        </w:rPr>
        <w:t>samotné</w:t>
      </w:r>
      <w:r w:rsidRPr="00EC5E95">
        <w:rPr>
          <w:lang w:val="sk-SK"/>
        </w:rPr>
        <w:t>, ATC kód C09AA05.</w:t>
      </w:r>
    </w:p>
    <w:p w14:paraId="26BE94DE" w14:textId="2B312668" w:rsidR="0076116E" w:rsidRPr="00456BE0" w:rsidRDefault="00554BEE" w:rsidP="0087630B">
      <w:pPr>
        <w:pStyle w:val="Styl3"/>
        <w:rPr>
          <w:lang w:val="sk-SK"/>
        </w:rPr>
      </w:pPr>
      <w:r>
        <w:rPr>
          <w:lang w:val="sk-SK"/>
        </w:rPr>
        <w:t>Mechanizmus</w:t>
      </w:r>
      <w:r w:rsidRPr="00456BE0">
        <w:rPr>
          <w:lang w:val="sk-SK"/>
        </w:rPr>
        <w:t xml:space="preserve"> </w:t>
      </w:r>
      <w:r w:rsidR="004124B1" w:rsidRPr="00456BE0">
        <w:rPr>
          <w:lang w:val="sk-SK"/>
        </w:rPr>
        <w:t>účinku</w:t>
      </w:r>
    </w:p>
    <w:p w14:paraId="7861D97E" w14:textId="37D52C28" w:rsidR="0076116E" w:rsidRPr="00EC5E95" w:rsidRDefault="004124B1" w:rsidP="00A84884">
      <w:pPr>
        <w:pStyle w:val="Normlndobloku"/>
        <w:rPr>
          <w:lang w:val="sk-SK"/>
        </w:rPr>
      </w:pPr>
      <w:proofErr w:type="spellStart"/>
      <w:r w:rsidRPr="00EC5E95">
        <w:rPr>
          <w:lang w:val="sk-SK"/>
        </w:rPr>
        <w:t>Ramiprilát</w:t>
      </w:r>
      <w:proofErr w:type="spellEnd"/>
      <w:r w:rsidRPr="00EC5E95">
        <w:rPr>
          <w:lang w:val="sk-SK"/>
        </w:rPr>
        <w:t xml:space="preserve">, účinný </w:t>
      </w:r>
      <w:proofErr w:type="spellStart"/>
      <w:r w:rsidR="00657F4A" w:rsidRPr="00EC5E95">
        <w:rPr>
          <w:lang w:val="sk-SK"/>
        </w:rPr>
        <w:t>metabolit</w:t>
      </w:r>
      <w:proofErr w:type="spellEnd"/>
      <w:r w:rsidR="00657F4A" w:rsidRPr="00EC5E95">
        <w:rPr>
          <w:lang w:val="sk-SK"/>
        </w:rPr>
        <w:t xml:space="preserve"> neaktívnej formy tzv. </w:t>
      </w:r>
      <w:r w:rsidRPr="00EC5E95">
        <w:rPr>
          <w:lang w:val="sk-SK"/>
        </w:rPr>
        <w:t>“</w:t>
      </w:r>
      <w:proofErr w:type="spellStart"/>
      <w:r w:rsidRPr="00EC5E95">
        <w:rPr>
          <w:lang w:val="sk-SK"/>
        </w:rPr>
        <w:t>prodrug</w:t>
      </w:r>
      <w:proofErr w:type="spellEnd"/>
      <w:r w:rsidRPr="00EC5E95">
        <w:rPr>
          <w:lang w:val="sk-SK"/>
        </w:rPr>
        <w:t xml:space="preserve">” </w:t>
      </w:r>
      <w:proofErr w:type="spellStart"/>
      <w:r w:rsidRPr="00EC5E95">
        <w:rPr>
          <w:lang w:val="sk-SK"/>
        </w:rPr>
        <w:t>ramiprilu</w:t>
      </w:r>
      <w:proofErr w:type="spellEnd"/>
      <w:r w:rsidRPr="00EC5E95">
        <w:rPr>
          <w:lang w:val="sk-SK"/>
        </w:rPr>
        <w:t xml:space="preserve">, </w:t>
      </w:r>
      <w:proofErr w:type="spellStart"/>
      <w:r w:rsidRPr="00EC5E95">
        <w:rPr>
          <w:lang w:val="sk-SK"/>
        </w:rPr>
        <w:t>inhibuje</w:t>
      </w:r>
      <w:proofErr w:type="spellEnd"/>
      <w:r w:rsidRPr="00EC5E95">
        <w:rPr>
          <w:lang w:val="sk-SK"/>
        </w:rPr>
        <w:t xml:space="preserve"> enzým </w:t>
      </w:r>
      <w:proofErr w:type="spellStart"/>
      <w:r w:rsidRPr="00EC5E95">
        <w:rPr>
          <w:lang w:val="sk-SK"/>
        </w:rPr>
        <w:t>dipeptidylkarboxypeptidázu</w:t>
      </w:r>
      <w:proofErr w:type="spellEnd"/>
      <w:r w:rsidRPr="00EC5E95">
        <w:rPr>
          <w:lang w:val="sk-SK"/>
        </w:rPr>
        <w:t xml:space="preserve"> I (synonymá: enzým konvertujúci </w:t>
      </w:r>
      <w:proofErr w:type="spellStart"/>
      <w:r w:rsidRPr="00EC5E95">
        <w:rPr>
          <w:lang w:val="sk-SK"/>
        </w:rPr>
        <w:t>angiotenzín</w:t>
      </w:r>
      <w:proofErr w:type="spellEnd"/>
      <w:r w:rsidRPr="00EC5E95">
        <w:rPr>
          <w:lang w:val="sk-SK"/>
        </w:rPr>
        <w:t xml:space="preserve">; </w:t>
      </w:r>
      <w:proofErr w:type="spellStart"/>
      <w:r w:rsidR="00657F4A" w:rsidRPr="00EC5E95">
        <w:rPr>
          <w:lang w:val="sk-SK"/>
        </w:rPr>
        <w:t>kinináza</w:t>
      </w:r>
      <w:proofErr w:type="spellEnd"/>
      <w:r w:rsidR="00657F4A" w:rsidRPr="00EC5E95">
        <w:rPr>
          <w:lang w:val="sk-SK"/>
        </w:rPr>
        <w:t xml:space="preserve"> II). V </w:t>
      </w:r>
      <w:r w:rsidRPr="00EC5E95">
        <w:rPr>
          <w:lang w:val="sk-SK"/>
        </w:rPr>
        <w:t>plazme a</w:t>
      </w:r>
      <w:r w:rsidR="001C3DB2" w:rsidRPr="00EC5E95">
        <w:rPr>
          <w:lang w:val="sk-SK"/>
        </w:rPr>
        <w:t> </w:t>
      </w:r>
      <w:r w:rsidRPr="00EC5E95">
        <w:rPr>
          <w:lang w:val="sk-SK"/>
        </w:rPr>
        <w:t>v</w:t>
      </w:r>
      <w:r w:rsidR="001C3DB2" w:rsidRPr="00EC5E95">
        <w:rPr>
          <w:lang w:val="sk-SK"/>
        </w:rPr>
        <w:t> </w:t>
      </w:r>
      <w:r w:rsidRPr="00EC5E95">
        <w:rPr>
          <w:lang w:val="sk-SK"/>
        </w:rPr>
        <w:t xml:space="preserve">tkanive tento enzým </w:t>
      </w:r>
      <w:proofErr w:type="spellStart"/>
      <w:r w:rsidRPr="00EC5E95">
        <w:rPr>
          <w:lang w:val="sk-SK"/>
        </w:rPr>
        <w:t>katalyzuje</w:t>
      </w:r>
      <w:proofErr w:type="spellEnd"/>
      <w:r w:rsidRPr="00EC5E95">
        <w:rPr>
          <w:lang w:val="sk-SK"/>
        </w:rPr>
        <w:t xml:space="preserve"> konverziu </w:t>
      </w:r>
      <w:proofErr w:type="spellStart"/>
      <w:r w:rsidRPr="00EC5E95">
        <w:rPr>
          <w:lang w:val="sk-SK"/>
        </w:rPr>
        <w:t>angiotenzínu</w:t>
      </w:r>
      <w:proofErr w:type="spellEnd"/>
      <w:r w:rsidRPr="00EC5E95">
        <w:rPr>
          <w:lang w:val="sk-SK"/>
        </w:rPr>
        <w:t xml:space="preserve"> I na aktívnu </w:t>
      </w:r>
      <w:proofErr w:type="spellStart"/>
      <w:r w:rsidRPr="00EC5E95">
        <w:rPr>
          <w:lang w:val="sk-SK"/>
        </w:rPr>
        <w:t>vazokon</w:t>
      </w:r>
      <w:r w:rsidR="00AD4A96" w:rsidRPr="00EC5E95">
        <w:rPr>
          <w:lang w:val="sk-SK"/>
        </w:rPr>
        <w:t>s</w:t>
      </w:r>
      <w:r w:rsidR="00657F4A" w:rsidRPr="00EC5E95">
        <w:rPr>
          <w:lang w:val="sk-SK"/>
        </w:rPr>
        <w:t>trikčnú</w:t>
      </w:r>
      <w:proofErr w:type="spellEnd"/>
      <w:r w:rsidR="00657F4A" w:rsidRPr="00EC5E95">
        <w:rPr>
          <w:lang w:val="sk-SK"/>
        </w:rPr>
        <w:t xml:space="preserve"> látku </w:t>
      </w:r>
      <w:proofErr w:type="spellStart"/>
      <w:r w:rsidR="00657F4A" w:rsidRPr="00EC5E95">
        <w:rPr>
          <w:lang w:val="sk-SK"/>
        </w:rPr>
        <w:t>angiotenzín</w:t>
      </w:r>
      <w:proofErr w:type="spellEnd"/>
      <w:r w:rsidR="00657F4A" w:rsidRPr="00EC5E95">
        <w:rPr>
          <w:lang w:val="sk-SK"/>
        </w:rPr>
        <w:t xml:space="preserve"> II a </w:t>
      </w:r>
      <w:r w:rsidRPr="00EC5E95">
        <w:rPr>
          <w:lang w:val="sk-SK"/>
        </w:rPr>
        <w:t xml:space="preserve">taktiež odbúravanie aktívneho </w:t>
      </w:r>
      <w:proofErr w:type="spellStart"/>
      <w:r w:rsidRPr="00EC5E95">
        <w:rPr>
          <w:lang w:val="sk-SK"/>
        </w:rPr>
        <w:t>vazodilatátora</w:t>
      </w:r>
      <w:proofErr w:type="spellEnd"/>
      <w:r w:rsidRPr="00EC5E95">
        <w:rPr>
          <w:lang w:val="sk-SK"/>
        </w:rPr>
        <w:t xml:space="preserve"> </w:t>
      </w:r>
      <w:proofErr w:type="spellStart"/>
      <w:r w:rsidRPr="00EC5E95">
        <w:rPr>
          <w:lang w:val="sk-SK"/>
        </w:rPr>
        <w:t>bradykinínu</w:t>
      </w:r>
      <w:proofErr w:type="spellEnd"/>
      <w:r w:rsidRPr="00EC5E95">
        <w:rPr>
          <w:lang w:val="sk-SK"/>
        </w:rPr>
        <w:t>. Z</w:t>
      </w:r>
      <w:r w:rsidR="00657F4A" w:rsidRPr="00EC5E95">
        <w:rPr>
          <w:lang w:val="sk-SK"/>
        </w:rPr>
        <w:t xml:space="preserve">nížená tvorba </w:t>
      </w:r>
      <w:proofErr w:type="spellStart"/>
      <w:r w:rsidR="00657F4A" w:rsidRPr="00EC5E95">
        <w:rPr>
          <w:lang w:val="sk-SK"/>
        </w:rPr>
        <w:t>angiotenzínu</w:t>
      </w:r>
      <w:proofErr w:type="spellEnd"/>
      <w:r w:rsidR="00657F4A" w:rsidRPr="00EC5E95">
        <w:rPr>
          <w:lang w:val="sk-SK"/>
        </w:rPr>
        <w:t xml:space="preserve"> II a </w:t>
      </w:r>
      <w:r w:rsidRPr="00EC5E95">
        <w:rPr>
          <w:lang w:val="sk-SK"/>
        </w:rPr>
        <w:t xml:space="preserve">inhibícia odbúravania </w:t>
      </w:r>
      <w:proofErr w:type="spellStart"/>
      <w:r w:rsidRPr="00EC5E95">
        <w:rPr>
          <w:lang w:val="sk-SK"/>
        </w:rPr>
        <w:t>bradykinínu</w:t>
      </w:r>
      <w:proofErr w:type="spellEnd"/>
      <w:r w:rsidRPr="00EC5E95">
        <w:rPr>
          <w:lang w:val="sk-SK"/>
        </w:rPr>
        <w:t xml:space="preserve"> spôsobuje </w:t>
      </w:r>
      <w:proofErr w:type="spellStart"/>
      <w:r w:rsidRPr="00EC5E95">
        <w:rPr>
          <w:lang w:val="sk-SK"/>
        </w:rPr>
        <w:t>vazodilatáciu</w:t>
      </w:r>
      <w:proofErr w:type="spellEnd"/>
      <w:r w:rsidRPr="00EC5E95">
        <w:rPr>
          <w:lang w:val="sk-SK"/>
        </w:rPr>
        <w:t>.</w:t>
      </w:r>
    </w:p>
    <w:p w14:paraId="5CE1B69A" w14:textId="4390086E" w:rsidR="0076116E" w:rsidRPr="00EC5E95" w:rsidRDefault="00AD4A96" w:rsidP="00A84884">
      <w:pPr>
        <w:pStyle w:val="Normlndobloku"/>
        <w:rPr>
          <w:lang w:val="sk-SK"/>
        </w:rPr>
      </w:pPr>
      <w:r w:rsidRPr="00EC5E95">
        <w:rPr>
          <w:lang w:val="sk-SK"/>
        </w:rPr>
        <w:t>Keďže</w:t>
      </w:r>
      <w:r w:rsidR="004124B1" w:rsidRPr="00EC5E95">
        <w:rPr>
          <w:lang w:val="sk-SK"/>
        </w:rPr>
        <w:t xml:space="preserve"> </w:t>
      </w:r>
      <w:proofErr w:type="spellStart"/>
      <w:r w:rsidR="004124B1" w:rsidRPr="00EC5E95">
        <w:rPr>
          <w:lang w:val="sk-SK"/>
        </w:rPr>
        <w:t>angiotenzín</w:t>
      </w:r>
      <w:proofErr w:type="spellEnd"/>
      <w:r w:rsidR="004124B1" w:rsidRPr="00EC5E95">
        <w:rPr>
          <w:lang w:val="sk-SK"/>
        </w:rPr>
        <w:t xml:space="preserve"> II stimuluje aj uvoľňovanie </w:t>
      </w:r>
      <w:proofErr w:type="spellStart"/>
      <w:r w:rsidR="004124B1" w:rsidRPr="00EC5E95">
        <w:rPr>
          <w:lang w:val="sk-SK"/>
        </w:rPr>
        <w:t>aldosterónu</w:t>
      </w:r>
      <w:proofErr w:type="spellEnd"/>
      <w:r w:rsidR="004124B1" w:rsidRPr="00EC5E95">
        <w:rPr>
          <w:lang w:val="sk-SK"/>
        </w:rPr>
        <w:t xml:space="preserve">, </w:t>
      </w:r>
      <w:proofErr w:type="spellStart"/>
      <w:r w:rsidR="004124B1" w:rsidRPr="00EC5E95">
        <w:rPr>
          <w:lang w:val="sk-SK"/>
        </w:rPr>
        <w:t>ramiprilát</w:t>
      </w:r>
      <w:proofErr w:type="spellEnd"/>
      <w:r w:rsidR="004124B1" w:rsidRPr="00EC5E95">
        <w:rPr>
          <w:lang w:val="sk-SK"/>
        </w:rPr>
        <w:t xml:space="preserve"> spôsobuje redukciu sekrécie </w:t>
      </w:r>
      <w:proofErr w:type="spellStart"/>
      <w:r w:rsidR="004124B1" w:rsidRPr="00EC5E95">
        <w:rPr>
          <w:lang w:val="sk-SK"/>
        </w:rPr>
        <w:t>aldosterónu</w:t>
      </w:r>
      <w:proofErr w:type="spellEnd"/>
      <w:r w:rsidR="004124B1" w:rsidRPr="00EC5E95">
        <w:rPr>
          <w:lang w:val="sk-SK"/>
        </w:rPr>
        <w:t xml:space="preserve">. Priemerná odpoveď na </w:t>
      </w:r>
      <w:proofErr w:type="spellStart"/>
      <w:r w:rsidR="004124B1" w:rsidRPr="00EC5E95">
        <w:rPr>
          <w:lang w:val="sk-SK"/>
        </w:rPr>
        <w:t>monoterapi</w:t>
      </w:r>
      <w:r w:rsidR="00F11571" w:rsidRPr="00EC5E95">
        <w:rPr>
          <w:lang w:val="sk-SK"/>
        </w:rPr>
        <w:t>u</w:t>
      </w:r>
      <w:proofErr w:type="spellEnd"/>
      <w:r w:rsidR="00F11571" w:rsidRPr="00EC5E95">
        <w:rPr>
          <w:lang w:val="sk-SK"/>
        </w:rPr>
        <w:t xml:space="preserve"> ACE inhibítorom bola nižšia u </w:t>
      </w:r>
      <w:r w:rsidR="004124B1" w:rsidRPr="00EC5E95">
        <w:rPr>
          <w:lang w:val="sk-SK"/>
        </w:rPr>
        <w:t>pacientov čiernej pl</w:t>
      </w:r>
      <w:r w:rsidR="00F11571" w:rsidRPr="00EC5E95">
        <w:rPr>
          <w:lang w:val="sk-SK"/>
        </w:rPr>
        <w:t>eti (</w:t>
      </w:r>
      <w:proofErr w:type="spellStart"/>
      <w:r w:rsidR="00F11571" w:rsidRPr="00EC5E95">
        <w:rPr>
          <w:lang w:val="sk-SK"/>
        </w:rPr>
        <w:t>afro-karibská</w:t>
      </w:r>
      <w:proofErr w:type="spellEnd"/>
      <w:r w:rsidR="00F11571" w:rsidRPr="00EC5E95">
        <w:rPr>
          <w:lang w:val="sk-SK"/>
        </w:rPr>
        <w:t xml:space="preserve"> populácia) s hypertenziou (obvykle ide o populáciu s </w:t>
      </w:r>
      <w:proofErr w:type="spellStart"/>
      <w:r w:rsidR="004124B1" w:rsidRPr="00EC5E95">
        <w:rPr>
          <w:lang w:val="sk-SK"/>
        </w:rPr>
        <w:t>nízko-renínovou</w:t>
      </w:r>
      <w:proofErr w:type="spellEnd"/>
      <w:r w:rsidR="004124B1" w:rsidRPr="00EC5E95">
        <w:rPr>
          <w:lang w:val="sk-SK"/>
        </w:rPr>
        <w:t xml:space="preserve"> hypertenziou) ako u</w:t>
      </w:r>
      <w:r w:rsidR="001C3DB2" w:rsidRPr="00EC5E95">
        <w:rPr>
          <w:lang w:val="sk-SK"/>
        </w:rPr>
        <w:t> </w:t>
      </w:r>
      <w:r w:rsidR="004124B1" w:rsidRPr="00EC5E95">
        <w:rPr>
          <w:lang w:val="sk-SK"/>
        </w:rPr>
        <w:t>pacientov inej farby pleti.</w:t>
      </w:r>
    </w:p>
    <w:p w14:paraId="5A27074A" w14:textId="77777777" w:rsidR="0076116E" w:rsidRPr="00456BE0" w:rsidRDefault="004124B1" w:rsidP="0087630B">
      <w:pPr>
        <w:pStyle w:val="Styl3"/>
        <w:rPr>
          <w:lang w:val="sk-SK"/>
        </w:rPr>
      </w:pPr>
      <w:r w:rsidRPr="00456BE0">
        <w:rPr>
          <w:lang w:val="sk-SK"/>
        </w:rPr>
        <w:t>Farmakodynamické účinky</w:t>
      </w:r>
    </w:p>
    <w:p w14:paraId="264F7774" w14:textId="77777777" w:rsidR="0076116E" w:rsidRPr="00EC5E95" w:rsidRDefault="004124B1" w:rsidP="00A84884">
      <w:pPr>
        <w:pStyle w:val="Normlndobloku"/>
        <w:rPr>
          <w:lang w:val="sk-SK"/>
        </w:rPr>
      </w:pPr>
      <w:proofErr w:type="spellStart"/>
      <w:r w:rsidRPr="00EC5E95">
        <w:rPr>
          <w:lang w:val="sk-SK"/>
        </w:rPr>
        <w:t>Antihypertenzívne</w:t>
      </w:r>
      <w:proofErr w:type="spellEnd"/>
      <w:r w:rsidRPr="00EC5E95">
        <w:rPr>
          <w:lang w:val="sk-SK"/>
        </w:rPr>
        <w:t xml:space="preserve"> vlastnosti:</w:t>
      </w:r>
    </w:p>
    <w:p w14:paraId="51A66140" w14:textId="6C8B10F2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Užívanie </w:t>
      </w:r>
      <w:proofErr w:type="spellStart"/>
      <w:r w:rsidRPr="00EC5E95">
        <w:rPr>
          <w:lang w:val="sk-SK"/>
        </w:rPr>
        <w:t>ramiprilu</w:t>
      </w:r>
      <w:proofErr w:type="spellEnd"/>
      <w:r w:rsidRPr="00EC5E95">
        <w:rPr>
          <w:lang w:val="sk-SK"/>
        </w:rPr>
        <w:t xml:space="preserve"> spôsobuje výraznú redukciu periférnej artériovej rezistencie. Veľké zm</w:t>
      </w:r>
      <w:r w:rsidR="00F11571" w:rsidRPr="00EC5E95">
        <w:rPr>
          <w:lang w:val="sk-SK"/>
        </w:rPr>
        <w:t>eny prietoku plazmy obličkami a </w:t>
      </w:r>
      <w:r w:rsidRPr="00EC5E95">
        <w:rPr>
          <w:lang w:val="sk-SK"/>
        </w:rPr>
        <w:t xml:space="preserve">rýchlosti </w:t>
      </w:r>
      <w:proofErr w:type="spellStart"/>
      <w:r w:rsidRPr="00EC5E95">
        <w:rPr>
          <w:lang w:val="sk-SK"/>
        </w:rPr>
        <w:t>glomerulárnej</w:t>
      </w:r>
      <w:proofErr w:type="spellEnd"/>
      <w:r w:rsidRPr="00EC5E95">
        <w:rPr>
          <w:lang w:val="sk-SK"/>
        </w:rPr>
        <w:t xml:space="preserve"> filtrácie obvykle nenastávajú. Podanie </w:t>
      </w:r>
      <w:proofErr w:type="spellStart"/>
      <w:r w:rsidRPr="00EC5E95">
        <w:rPr>
          <w:lang w:val="sk-SK"/>
        </w:rPr>
        <w:t>ramiprilu</w:t>
      </w:r>
      <w:proofErr w:type="spellEnd"/>
      <w:r w:rsidRPr="00EC5E95">
        <w:rPr>
          <w:lang w:val="sk-SK"/>
        </w:rPr>
        <w:t xml:space="preserve"> pacientom s</w:t>
      </w:r>
      <w:r w:rsidR="001C3DB2" w:rsidRPr="00EC5E95">
        <w:rPr>
          <w:lang w:val="sk-SK"/>
        </w:rPr>
        <w:t> </w:t>
      </w:r>
      <w:r w:rsidR="00F11571" w:rsidRPr="00EC5E95">
        <w:rPr>
          <w:lang w:val="sk-SK"/>
        </w:rPr>
        <w:t>hypertenziou vedie k </w:t>
      </w:r>
      <w:r w:rsidRPr="00EC5E95">
        <w:rPr>
          <w:lang w:val="sk-SK"/>
        </w:rPr>
        <w:t xml:space="preserve">zníženiu krvného tlaku vo vodorovnej </w:t>
      </w:r>
      <w:r w:rsidR="00F11571" w:rsidRPr="00EC5E95">
        <w:rPr>
          <w:lang w:val="sk-SK"/>
        </w:rPr>
        <w:t>polohe a v </w:t>
      </w:r>
      <w:r w:rsidRPr="00EC5E95">
        <w:rPr>
          <w:lang w:val="sk-SK"/>
        </w:rPr>
        <w:t>stoji bez kompenzačného zvýšenia srdcovej frekvencie.</w:t>
      </w:r>
    </w:p>
    <w:p w14:paraId="76EDB25B" w14:textId="2E1603B5" w:rsidR="0076116E" w:rsidRPr="00EC5E95" w:rsidRDefault="00F11571" w:rsidP="00A84884">
      <w:pPr>
        <w:pStyle w:val="Normlndobloku"/>
        <w:rPr>
          <w:lang w:val="sk-SK"/>
        </w:rPr>
      </w:pPr>
      <w:r w:rsidRPr="00EC5E95">
        <w:rPr>
          <w:lang w:val="sk-SK"/>
        </w:rPr>
        <w:t>U </w:t>
      </w:r>
      <w:r w:rsidR="004124B1" w:rsidRPr="00EC5E95">
        <w:rPr>
          <w:lang w:val="sk-SK"/>
        </w:rPr>
        <w:t xml:space="preserve">väčšiny pacientov sa nástup </w:t>
      </w:r>
      <w:proofErr w:type="spellStart"/>
      <w:r w:rsidR="004124B1" w:rsidRPr="00EC5E95">
        <w:rPr>
          <w:lang w:val="sk-SK"/>
        </w:rPr>
        <w:t>antihypertenzn</w:t>
      </w:r>
      <w:r w:rsidR="00AD4A96" w:rsidRPr="00EC5E95">
        <w:rPr>
          <w:lang w:val="sk-SK"/>
        </w:rPr>
        <w:t>é</w:t>
      </w:r>
      <w:r w:rsidR="004124B1" w:rsidRPr="00EC5E95">
        <w:rPr>
          <w:lang w:val="sk-SK"/>
        </w:rPr>
        <w:t>ho</w:t>
      </w:r>
      <w:proofErr w:type="spellEnd"/>
      <w:r w:rsidR="004124B1" w:rsidRPr="00EC5E95">
        <w:rPr>
          <w:lang w:val="sk-SK"/>
        </w:rPr>
        <w:t xml:space="preserve"> účinku jednorazovej dávky prejaví 1 až 2</w:t>
      </w:r>
      <w:r w:rsidR="004124B1" w:rsidRPr="00456BE0">
        <w:t xml:space="preserve"> </w:t>
      </w:r>
      <w:r w:rsidR="004124B1" w:rsidRPr="00EC5E95">
        <w:rPr>
          <w:lang w:val="sk-SK"/>
        </w:rPr>
        <w:t>hodiny po perorálnom podaní. Maxim</w:t>
      </w:r>
      <w:r w:rsidR="00AD4A96" w:rsidRPr="00EC5E95">
        <w:rPr>
          <w:lang w:val="sk-SK"/>
        </w:rPr>
        <w:t>álny</w:t>
      </w:r>
      <w:r w:rsidR="004124B1" w:rsidRPr="00EC5E95">
        <w:rPr>
          <w:lang w:val="sk-SK"/>
        </w:rPr>
        <w:t xml:space="preserve"> účin</w:t>
      </w:r>
      <w:r w:rsidR="00AD4A96" w:rsidRPr="00EC5E95">
        <w:rPr>
          <w:lang w:val="sk-SK"/>
        </w:rPr>
        <w:t>ok</w:t>
      </w:r>
      <w:r w:rsidR="004124B1" w:rsidRPr="00EC5E95">
        <w:rPr>
          <w:lang w:val="sk-SK"/>
        </w:rPr>
        <w:t xml:space="preserve"> jednorazovej dávky sa obvykle dosiahne 3 až 6 hodín po perorálnom podaní. </w:t>
      </w:r>
      <w:proofErr w:type="spellStart"/>
      <w:r w:rsidR="004124B1" w:rsidRPr="00EC5E95">
        <w:rPr>
          <w:lang w:val="sk-SK"/>
        </w:rPr>
        <w:t>Antihypertenzn</w:t>
      </w:r>
      <w:r w:rsidR="00AD4A96" w:rsidRPr="00EC5E95">
        <w:rPr>
          <w:lang w:val="sk-SK"/>
        </w:rPr>
        <w:t>ý</w:t>
      </w:r>
      <w:proofErr w:type="spellEnd"/>
      <w:r w:rsidR="004124B1" w:rsidRPr="00EC5E95">
        <w:rPr>
          <w:lang w:val="sk-SK"/>
        </w:rPr>
        <w:t xml:space="preserve"> účinok jednorazovej dávky obvykle trvá 24 hodín.</w:t>
      </w:r>
    </w:p>
    <w:p w14:paraId="17E052A9" w14:textId="1D9910E5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>Maxim</w:t>
      </w:r>
      <w:r w:rsidR="00AD4A96" w:rsidRPr="00EC5E95">
        <w:rPr>
          <w:lang w:val="sk-SK"/>
        </w:rPr>
        <w:t>álny</w:t>
      </w:r>
      <w:r w:rsidRPr="00EC5E95">
        <w:rPr>
          <w:lang w:val="sk-SK"/>
        </w:rPr>
        <w:t xml:space="preserve"> </w:t>
      </w:r>
      <w:proofErr w:type="spellStart"/>
      <w:r w:rsidRPr="00EC5E95">
        <w:rPr>
          <w:lang w:val="sk-SK"/>
        </w:rPr>
        <w:t>antihypertenz</w:t>
      </w:r>
      <w:r w:rsidR="00AD4A96" w:rsidRPr="00EC5E95">
        <w:rPr>
          <w:lang w:val="sk-SK"/>
        </w:rPr>
        <w:t>ný</w:t>
      </w:r>
      <w:proofErr w:type="spellEnd"/>
      <w:r w:rsidRPr="00EC5E95">
        <w:rPr>
          <w:lang w:val="sk-SK"/>
        </w:rPr>
        <w:t xml:space="preserve"> účin</w:t>
      </w:r>
      <w:r w:rsidR="00AD4A96" w:rsidRPr="00EC5E95">
        <w:rPr>
          <w:lang w:val="sk-SK"/>
        </w:rPr>
        <w:t>o</w:t>
      </w:r>
      <w:r w:rsidRPr="00EC5E95">
        <w:rPr>
          <w:lang w:val="sk-SK"/>
        </w:rPr>
        <w:t xml:space="preserve">k pokračujúcej liečby </w:t>
      </w:r>
      <w:proofErr w:type="spellStart"/>
      <w:r w:rsidRPr="00EC5E95">
        <w:rPr>
          <w:lang w:val="sk-SK"/>
        </w:rPr>
        <w:t>ramiprilom</w:t>
      </w:r>
      <w:proofErr w:type="spellEnd"/>
      <w:r w:rsidRPr="00EC5E95">
        <w:rPr>
          <w:lang w:val="sk-SK"/>
        </w:rPr>
        <w:t xml:space="preserve"> sa vo všeobecnosti prejaví po 3 až 4</w:t>
      </w:r>
      <w:r w:rsidR="001C3DB2" w:rsidRPr="00EC5E95">
        <w:rPr>
          <w:lang w:val="sk-SK"/>
        </w:rPr>
        <w:t> </w:t>
      </w:r>
      <w:r w:rsidRPr="00EC5E95">
        <w:rPr>
          <w:lang w:val="sk-SK"/>
        </w:rPr>
        <w:t xml:space="preserve">týždňoch. Preukázalo sa, že </w:t>
      </w:r>
      <w:proofErr w:type="spellStart"/>
      <w:r w:rsidRPr="00EC5E95">
        <w:rPr>
          <w:lang w:val="sk-SK"/>
        </w:rPr>
        <w:t>antihypertenzn</w:t>
      </w:r>
      <w:r w:rsidR="00AD4A96" w:rsidRPr="00EC5E95">
        <w:rPr>
          <w:lang w:val="sk-SK"/>
        </w:rPr>
        <w:t>ý</w:t>
      </w:r>
      <w:proofErr w:type="spellEnd"/>
      <w:r w:rsidRPr="00EC5E95">
        <w:rPr>
          <w:lang w:val="sk-SK"/>
        </w:rPr>
        <w:t xml:space="preserve"> účinok sa udržuje dlhodobou liečbou trvajúcou 2 roky.</w:t>
      </w:r>
    </w:p>
    <w:p w14:paraId="13CFCBC7" w14:textId="1429E860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Náhle ukončenie liečby </w:t>
      </w:r>
      <w:proofErr w:type="spellStart"/>
      <w:r w:rsidRPr="00EC5E95">
        <w:rPr>
          <w:lang w:val="sk-SK"/>
        </w:rPr>
        <w:t>ramip</w:t>
      </w:r>
      <w:r w:rsidR="00F11571" w:rsidRPr="00EC5E95">
        <w:rPr>
          <w:lang w:val="sk-SK"/>
        </w:rPr>
        <w:t>rilom</w:t>
      </w:r>
      <w:proofErr w:type="spellEnd"/>
      <w:r w:rsidR="00F11571" w:rsidRPr="00EC5E95">
        <w:rPr>
          <w:lang w:val="sk-SK"/>
        </w:rPr>
        <w:t xml:space="preserve"> nemá za následok rýchle a </w:t>
      </w:r>
      <w:r w:rsidRPr="00EC5E95">
        <w:rPr>
          <w:lang w:val="sk-SK"/>
        </w:rPr>
        <w:t>nadmerné zvýšenie krvného tlaku.</w:t>
      </w:r>
    </w:p>
    <w:p w14:paraId="25C9557B" w14:textId="77777777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>Zlyhanie srdca:</w:t>
      </w:r>
    </w:p>
    <w:p w14:paraId="37E10E66" w14:textId="53DC2591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Okrem </w:t>
      </w:r>
      <w:r w:rsidR="00F11571" w:rsidRPr="00EC5E95">
        <w:rPr>
          <w:lang w:val="sk-SK"/>
        </w:rPr>
        <w:t>konvenčnej liečby diuretikami a </w:t>
      </w:r>
      <w:r w:rsidRPr="00EC5E95">
        <w:rPr>
          <w:lang w:val="sk-SK"/>
        </w:rPr>
        <w:t xml:space="preserve">voliteľnými srdcovými </w:t>
      </w:r>
      <w:proofErr w:type="spellStart"/>
      <w:r w:rsidRPr="00EC5E95">
        <w:rPr>
          <w:lang w:val="sk-SK"/>
        </w:rPr>
        <w:t>glykozidmi</w:t>
      </w:r>
      <w:proofErr w:type="spellEnd"/>
      <w:r w:rsidRPr="00EC5E95">
        <w:rPr>
          <w:lang w:val="sk-SK"/>
        </w:rPr>
        <w:t xml:space="preserve"> sa </w:t>
      </w:r>
      <w:proofErr w:type="spellStart"/>
      <w:r w:rsidR="00F11571" w:rsidRPr="00EC5E95">
        <w:rPr>
          <w:lang w:val="sk-SK"/>
        </w:rPr>
        <w:t>ramipril</w:t>
      </w:r>
      <w:proofErr w:type="spellEnd"/>
      <w:r w:rsidR="00F11571" w:rsidRPr="00EC5E95">
        <w:rPr>
          <w:lang w:val="sk-SK"/>
        </w:rPr>
        <w:t xml:space="preserve"> preukázal ako účinný u pacientov s </w:t>
      </w:r>
      <w:r w:rsidRPr="00EC5E95">
        <w:rPr>
          <w:lang w:val="sk-SK"/>
        </w:rPr>
        <w:t>funkčnými triedami II</w:t>
      </w:r>
      <w:r w:rsidR="00583EA2" w:rsidRPr="00EC5E95">
        <w:rPr>
          <w:lang w:val="sk-SK"/>
        </w:rPr>
        <w:t xml:space="preserve"> – </w:t>
      </w:r>
      <w:r w:rsidRPr="00EC5E95">
        <w:rPr>
          <w:lang w:val="sk-SK"/>
        </w:rPr>
        <w:t xml:space="preserve">IV </w:t>
      </w:r>
      <w:proofErr w:type="spellStart"/>
      <w:r w:rsidRPr="00EC5E95">
        <w:rPr>
          <w:lang w:val="sk-SK"/>
        </w:rPr>
        <w:t>New-York</w:t>
      </w:r>
      <w:proofErr w:type="spellEnd"/>
      <w:r w:rsidRPr="00EC5E95">
        <w:rPr>
          <w:lang w:val="sk-SK"/>
        </w:rPr>
        <w:t xml:space="preserve"> </w:t>
      </w:r>
      <w:proofErr w:type="spellStart"/>
      <w:r w:rsidRPr="00EC5E95">
        <w:rPr>
          <w:lang w:val="sk-SK"/>
        </w:rPr>
        <w:t>Heart</w:t>
      </w:r>
      <w:proofErr w:type="spellEnd"/>
      <w:r w:rsidRPr="00EC5E95">
        <w:rPr>
          <w:lang w:val="sk-SK"/>
        </w:rPr>
        <w:t xml:space="preserve"> </w:t>
      </w:r>
      <w:proofErr w:type="spellStart"/>
      <w:r w:rsidRPr="00EC5E95">
        <w:rPr>
          <w:lang w:val="sk-SK"/>
        </w:rPr>
        <w:t>Association</w:t>
      </w:r>
      <w:proofErr w:type="spellEnd"/>
      <w:r w:rsidRPr="00EC5E95">
        <w:rPr>
          <w:lang w:val="sk-SK"/>
        </w:rPr>
        <w:t xml:space="preserve">. Liek mal prospešné účinky na </w:t>
      </w:r>
      <w:proofErr w:type="spellStart"/>
      <w:r w:rsidRPr="00EC5E95">
        <w:rPr>
          <w:lang w:val="sk-SK"/>
        </w:rPr>
        <w:t>hemodynamiku</w:t>
      </w:r>
      <w:proofErr w:type="spellEnd"/>
      <w:r w:rsidRPr="00EC5E95">
        <w:rPr>
          <w:lang w:val="sk-SK"/>
        </w:rPr>
        <w:t xml:space="preserve"> srdc</w:t>
      </w:r>
      <w:r w:rsidR="00F11571" w:rsidRPr="00EC5E95">
        <w:rPr>
          <w:lang w:val="sk-SK"/>
        </w:rPr>
        <w:t>a (znížený plniaci tlak ľavej a </w:t>
      </w:r>
      <w:r w:rsidRPr="00EC5E95">
        <w:rPr>
          <w:lang w:val="sk-SK"/>
        </w:rPr>
        <w:t xml:space="preserve">pravej komory, znížená celková periférna </w:t>
      </w:r>
      <w:proofErr w:type="spellStart"/>
      <w:r w:rsidRPr="00EC5E95">
        <w:rPr>
          <w:lang w:val="sk-SK"/>
        </w:rPr>
        <w:t>vaskulárna</w:t>
      </w:r>
      <w:proofErr w:type="spellEnd"/>
      <w:r w:rsidRPr="00EC5E95">
        <w:rPr>
          <w:lang w:val="sk-SK"/>
        </w:rPr>
        <w:t xml:space="preserve"> rezis</w:t>
      </w:r>
      <w:r w:rsidR="00F11571" w:rsidRPr="00EC5E95">
        <w:rPr>
          <w:lang w:val="sk-SK"/>
        </w:rPr>
        <w:t>tencia, zvýšený srdcový výdaj a </w:t>
      </w:r>
      <w:r w:rsidRPr="00EC5E95">
        <w:rPr>
          <w:lang w:val="sk-SK"/>
        </w:rPr>
        <w:t xml:space="preserve">zlepšený srdcový index). </w:t>
      </w:r>
      <w:r w:rsidR="00E97674" w:rsidRPr="00EC5E95">
        <w:rPr>
          <w:lang w:val="sk-SK"/>
        </w:rPr>
        <w:t>Taktiež</w:t>
      </w:r>
      <w:r w:rsidRPr="00EC5E95">
        <w:rPr>
          <w:lang w:val="sk-SK"/>
        </w:rPr>
        <w:t xml:space="preserve"> znižoval </w:t>
      </w:r>
      <w:proofErr w:type="spellStart"/>
      <w:r w:rsidRPr="00EC5E95">
        <w:rPr>
          <w:lang w:val="sk-SK"/>
        </w:rPr>
        <w:t>neuroendokrinnú</w:t>
      </w:r>
      <w:proofErr w:type="spellEnd"/>
      <w:r w:rsidRPr="00EC5E95">
        <w:rPr>
          <w:lang w:val="sk-SK"/>
        </w:rPr>
        <w:t xml:space="preserve"> aktiváciu.</w:t>
      </w:r>
    </w:p>
    <w:p w14:paraId="4FF23A2B" w14:textId="13ACE0CD" w:rsidR="0076116E" w:rsidRPr="00456BE0" w:rsidRDefault="00F11571" w:rsidP="0087630B">
      <w:pPr>
        <w:pStyle w:val="Styl3"/>
        <w:rPr>
          <w:lang w:val="sk-SK"/>
        </w:rPr>
      </w:pPr>
      <w:r w:rsidRPr="00456BE0">
        <w:rPr>
          <w:lang w:val="sk-SK"/>
        </w:rPr>
        <w:t xml:space="preserve">Klinická </w:t>
      </w:r>
      <w:r w:rsidR="00554BEE">
        <w:rPr>
          <w:lang w:val="sk-SK"/>
        </w:rPr>
        <w:t> </w:t>
      </w:r>
      <w:r w:rsidR="004124B1" w:rsidRPr="00456BE0">
        <w:rPr>
          <w:lang w:val="sk-SK"/>
        </w:rPr>
        <w:t>účinnosť</w:t>
      </w:r>
      <w:r w:rsidR="00554BEE">
        <w:rPr>
          <w:lang w:val="sk-SK"/>
        </w:rPr>
        <w:t xml:space="preserve"> a bezpečnosť</w:t>
      </w:r>
    </w:p>
    <w:p w14:paraId="1AAE58AB" w14:textId="1EF24697" w:rsidR="0076116E" w:rsidRPr="00456BE0" w:rsidRDefault="004124B1" w:rsidP="00456BE0">
      <w:pPr>
        <w:pStyle w:val="Styl3"/>
        <w:rPr>
          <w:lang w:val="sk-SK"/>
        </w:rPr>
      </w:pPr>
      <w:r w:rsidRPr="00456BE0">
        <w:rPr>
          <w:lang w:val="sk-SK"/>
        </w:rPr>
        <w:t>Kardiovaskulárna prevencia</w:t>
      </w:r>
      <w:r w:rsidR="00F546C5" w:rsidRPr="00456BE0">
        <w:rPr>
          <w:lang w:val="sk-SK"/>
        </w:rPr>
        <w:t xml:space="preserve"> </w:t>
      </w:r>
      <w:r w:rsidRPr="00456BE0">
        <w:rPr>
          <w:lang w:val="sk-SK"/>
        </w:rPr>
        <w:t>/</w:t>
      </w:r>
      <w:r w:rsidR="00F546C5" w:rsidRPr="00456BE0">
        <w:rPr>
          <w:lang w:val="sk-SK"/>
        </w:rPr>
        <w:t xml:space="preserve"> Nefroprotekcia</w:t>
      </w:r>
    </w:p>
    <w:p w14:paraId="2D8C51D1" w14:textId="0507D514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Uskutočnila sa preventívna </w:t>
      </w:r>
      <w:proofErr w:type="spellStart"/>
      <w:r w:rsidRPr="00EC5E95">
        <w:rPr>
          <w:lang w:val="sk-SK"/>
        </w:rPr>
        <w:t>placebom</w:t>
      </w:r>
      <w:proofErr w:type="spellEnd"/>
      <w:r w:rsidRPr="00EC5E95">
        <w:rPr>
          <w:lang w:val="sk-SK"/>
        </w:rPr>
        <w:t xml:space="preserve"> kontrolovaná štúdia (</w:t>
      </w:r>
      <w:proofErr w:type="spellStart"/>
      <w:r w:rsidRPr="00EC5E95">
        <w:rPr>
          <w:lang w:val="sk-SK"/>
        </w:rPr>
        <w:t>HOPE-study</w:t>
      </w:r>
      <w:proofErr w:type="spellEnd"/>
      <w:r w:rsidRPr="00EC5E95">
        <w:rPr>
          <w:lang w:val="sk-SK"/>
        </w:rPr>
        <w:t xml:space="preserve">), kde sa pridával </w:t>
      </w:r>
      <w:proofErr w:type="spellStart"/>
      <w:r w:rsidRPr="00EC5E95">
        <w:rPr>
          <w:lang w:val="sk-SK"/>
        </w:rPr>
        <w:t>ramipril</w:t>
      </w:r>
      <w:proofErr w:type="spellEnd"/>
      <w:r w:rsidRPr="00EC5E95">
        <w:rPr>
          <w:lang w:val="sk-SK"/>
        </w:rPr>
        <w:t xml:space="preserve"> k</w:t>
      </w:r>
      <w:r w:rsidR="001C3DB2" w:rsidRPr="00EC5E95">
        <w:rPr>
          <w:lang w:val="sk-SK"/>
        </w:rPr>
        <w:t> </w:t>
      </w:r>
      <w:r w:rsidR="00F11571" w:rsidRPr="00EC5E95">
        <w:rPr>
          <w:lang w:val="sk-SK"/>
        </w:rPr>
        <w:t>štandardnej liečbe u </w:t>
      </w:r>
      <w:r w:rsidRPr="00EC5E95">
        <w:rPr>
          <w:lang w:val="sk-SK"/>
        </w:rPr>
        <w:t xml:space="preserve">viac ako 9 200 pacientov. Do štúdie boli zaradení pacienti so zvýšeným rizikom kardiovaskulárneho ochorenia buď po </w:t>
      </w:r>
      <w:proofErr w:type="spellStart"/>
      <w:r w:rsidRPr="00EC5E95">
        <w:rPr>
          <w:lang w:val="sk-SK"/>
        </w:rPr>
        <w:t>aterotrombotickom</w:t>
      </w:r>
      <w:proofErr w:type="spellEnd"/>
      <w:r w:rsidRPr="00EC5E95">
        <w:rPr>
          <w:lang w:val="sk-SK"/>
        </w:rPr>
        <w:t xml:space="preserve"> kardiovaskulárnom ochorení (koronárne ochorenie srdca, mozgová príhoda alebo periférne </w:t>
      </w:r>
      <w:proofErr w:type="spellStart"/>
      <w:r w:rsidRPr="00EC5E95">
        <w:rPr>
          <w:lang w:val="sk-SK"/>
        </w:rPr>
        <w:t>vaskulárne</w:t>
      </w:r>
      <w:proofErr w:type="spellEnd"/>
      <w:r w:rsidRPr="00EC5E95">
        <w:rPr>
          <w:lang w:val="sk-SK"/>
        </w:rPr>
        <w:t xml:space="preserve"> ochorenie</w:t>
      </w:r>
      <w:r w:rsidR="00F11571" w:rsidRPr="00EC5E95">
        <w:rPr>
          <w:lang w:val="sk-SK"/>
        </w:rPr>
        <w:t xml:space="preserve"> v </w:t>
      </w:r>
      <w:r w:rsidR="00AD4A96" w:rsidRPr="00EC5E95">
        <w:rPr>
          <w:lang w:val="sk-SK"/>
        </w:rPr>
        <w:t>anamnéze</w:t>
      </w:r>
      <w:r w:rsidR="00F11571" w:rsidRPr="00EC5E95">
        <w:rPr>
          <w:lang w:val="sk-SK"/>
        </w:rPr>
        <w:t xml:space="preserve">) alebo s diabetom </w:t>
      </w:r>
      <w:proofErr w:type="spellStart"/>
      <w:r w:rsidR="00F11571" w:rsidRPr="00EC5E95">
        <w:rPr>
          <w:lang w:val="sk-SK"/>
        </w:rPr>
        <w:lastRenderedPageBreak/>
        <w:t>mellitus</w:t>
      </w:r>
      <w:proofErr w:type="spellEnd"/>
      <w:r w:rsidR="00F11571" w:rsidRPr="00EC5E95">
        <w:rPr>
          <w:lang w:val="sk-SK"/>
        </w:rPr>
        <w:t xml:space="preserve"> a </w:t>
      </w:r>
      <w:r w:rsidRPr="00EC5E95">
        <w:rPr>
          <w:lang w:val="sk-SK"/>
        </w:rPr>
        <w:t xml:space="preserve">aspoň ešte jedným prídavným rizikovým faktorom (preukázaná </w:t>
      </w:r>
      <w:proofErr w:type="spellStart"/>
      <w:r w:rsidRPr="00EC5E95">
        <w:rPr>
          <w:lang w:val="sk-SK"/>
        </w:rPr>
        <w:t>mikroalbuminúria</w:t>
      </w:r>
      <w:proofErr w:type="spellEnd"/>
      <w:r w:rsidRPr="00EC5E95">
        <w:rPr>
          <w:lang w:val="sk-SK"/>
        </w:rPr>
        <w:t xml:space="preserve">, hypertenzia, zvýšená hladina celkového cholesterolu, nízka hladina </w:t>
      </w:r>
      <w:proofErr w:type="spellStart"/>
      <w:r w:rsidRPr="00EC5E95">
        <w:rPr>
          <w:lang w:val="sk-SK"/>
        </w:rPr>
        <w:t>vysokodenzitného</w:t>
      </w:r>
      <w:proofErr w:type="spellEnd"/>
      <w:r w:rsidRPr="00EC5E95">
        <w:rPr>
          <w:lang w:val="sk-SK"/>
        </w:rPr>
        <w:t xml:space="preserve"> lipoproteínového cholesterolu alebo fajčenie cigariet).</w:t>
      </w:r>
    </w:p>
    <w:p w14:paraId="7B2B9384" w14:textId="7E5D4F8A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Štúdia preukázala, že </w:t>
      </w:r>
      <w:proofErr w:type="spellStart"/>
      <w:r w:rsidRPr="00EC5E95">
        <w:rPr>
          <w:lang w:val="sk-SK"/>
        </w:rPr>
        <w:t>ramipril</w:t>
      </w:r>
      <w:proofErr w:type="spellEnd"/>
      <w:r w:rsidRPr="00EC5E95">
        <w:rPr>
          <w:lang w:val="sk-SK"/>
        </w:rPr>
        <w:t xml:space="preserve"> štatisticky významne znižuje výskyt infarktu myokardu, smrti z</w:t>
      </w:r>
      <w:r w:rsidR="001C3DB2" w:rsidRPr="00EC5E95">
        <w:rPr>
          <w:lang w:val="sk-SK"/>
        </w:rPr>
        <w:t> </w:t>
      </w:r>
      <w:r w:rsidR="00F11571" w:rsidRPr="00EC5E95">
        <w:rPr>
          <w:lang w:val="sk-SK"/>
        </w:rPr>
        <w:t>kardiovaskulárnej príčiny a mozgovej príhody, samotných a </w:t>
      </w:r>
      <w:r w:rsidRPr="00EC5E95">
        <w:rPr>
          <w:lang w:val="sk-SK"/>
        </w:rPr>
        <w:t>kombinovaných (primárne kombinované udalosti).</w:t>
      </w:r>
    </w:p>
    <w:p w14:paraId="51C731ED" w14:textId="5CC14FF3" w:rsidR="004124B1" w:rsidRPr="000F6B9E" w:rsidRDefault="004124B1" w:rsidP="00A84884">
      <w:pPr>
        <w:pStyle w:val="Normlndobloku"/>
        <w:rPr>
          <w:b/>
          <w:lang w:val="sk-SK"/>
        </w:rPr>
      </w:pPr>
      <w:r w:rsidRPr="000F6B9E">
        <w:rPr>
          <w:b/>
          <w:lang w:val="sk-SK"/>
        </w:rPr>
        <w:t>Štúdia HOPE: hlavné výsledky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93"/>
        <w:gridCol w:w="1752"/>
        <w:gridCol w:w="1909"/>
        <w:gridCol w:w="1909"/>
        <w:gridCol w:w="1910"/>
      </w:tblGrid>
      <w:tr w:rsidR="00E73D9A" w:rsidRPr="00EC5E95" w14:paraId="4227A9F1" w14:textId="77777777" w:rsidTr="005F0003">
        <w:trPr>
          <w:tblHeader/>
        </w:trPr>
        <w:tc>
          <w:tcPr>
            <w:tcW w:w="2093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</w:tcPr>
          <w:p w14:paraId="61D33E6B" w14:textId="77777777" w:rsidR="00A105A0" w:rsidRPr="000F6B9E" w:rsidRDefault="00A105A0" w:rsidP="00746A26">
            <w:pPr>
              <w:rPr>
                <w:lang w:val="sk-SK"/>
              </w:rPr>
            </w:pPr>
          </w:p>
        </w:tc>
        <w:tc>
          <w:tcPr>
            <w:tcW w:w="1752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</w:tcPr>
          <w:p w14:paraId="000E693D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proofErr w:type="spellStart"/>
            <w:r w:rsidRPr="000F6B9E">
              <w:rPr>
                <w:sz w:val="22"/>
                <w:lang w:val="sk-SK"/>
              </w:rPr>
              <w:t>Ramipril</w:t>
            </w:r>
            <w:proofErr w:type="spellEnd"/>
          </w:p>
        </w:tc>
        <w:tc>
          <w:tcPr>
            <w:tcW w:w="1909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</w:tcPr>
          <w:p w14:paraId="43E7FEE2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proofErr w:type="spellStart"/>
            <w:r w:rsidRPr="000F6B9E">
              <w:rPr>
                <w:sz w:val="22"/>
                <w:lang w:val="sk-SK"/>
              </w:rPr>
              <w:t>Placebo</w:t>
            </w:r>
            <w:proofErr w:type="spellEnd"/>
          </w:p>
        </w:tc>
        <w:tc>
          <w:tcPr>
            <w:tcW w:w="1909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</w:tcPr>
          <w:p w14:paraId="362A0702" w14:textId="77777777" w:rsidR="0076116E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Relatívne riziko</w:t>
            </w:r>
          </w:p>
          <w:p w14:paraId="055BB637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(95</w:t>
            </w:r>
            <w:r w:rsidR="00F11571" w:rsidRPr="00EC5E95">
              <w:rPr>
                <w:sz w:val="22"/>
                <w:szCs w:val="22"/>
                <w:lang w:val="sk-SK"/>
              </w:rPr>
              <w:t> </w:t>
            </w:r>
            <w:r w:rsidRPr="000F6B9E">
              <w:rPr>
                <w:sz w:val="22"/>
                <w:lang w:val="sk-SK"/>
              </w:rPr>
              <w:t>% interval spoľahlivosti)</w:t>
            </w:r>
          </w:p>
        </w:tc>
        <w:tc>
          <w:tcPr>
            <w:tcW w:w="1910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</w:tcPr>
          <w:p w14:paraId="2A6A1155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proofErr w:type="spellStart"/>
            <w:r w:rsidRPr="000F6B9E">
              <w:rPr>
                <w:sz w:val="22"/>
                <w:lang w:val="sk-SK"/>
              </w:rPr>
              <w:t>p-hodnota</w:t>
            </w:r>
            <w:proofErr w:type="spellEnd"/>
            <w:r w:rsidRPr="000F6B9E">
              <w:rPr>
                <w:sz w:val="22"/>
                <w:lang w:val="sk-SK"/>
              </w:rPr>
              <w:t xml:space="preserve"> </w:t>
            </w:r>
          </w:p>
        </w:tc>
      </w:tr>
      <w:tr w:rsidR="00A105A0" w:rsidRPr="00EC5E95" w14:paraId="2C5350B1" w14:textId="77777777" w:rsidTr="000F6B9E">
        <w:tc>
          <w:tcPr>
            <w:tcW w:w="2093" w:type="dxa"/>
            <w:tcBorders>
              <w:top w:val="single" w:sz="6" w:space="0" w:color="auto"/>
            </w:tcBorders>
          </w:tcPr>
          <w:p w14:paraId="06AF6802" w14:textId="77777777" w:rsidR="00A105A0" w:rsidRPr="000F6B9E" w:rsidRDefault="00A105A0" w:rsidP="00A84884">
            <w:pPr>
              <w:pStyle w:val="Tabulka"/>
              <w:rPr>
                <w:b/>
                <w:sz w:val="22"/>
                <w:lang w:val="sk-SK"/>
              </w:rPr>
            </w:pPr>
            <w:r w:rsidRPr="000F6B9E">
              <w:rPr>
                <w:b/>
                <w:sz w:val="22"/>
                <w:lang w:val="sk-SK"/>
              </w:rPr>
              <w:t>Všetci pacienti</w:t>
            </w:r>
          </w:p>
        </w:tc>
        <w:tc>
          <w:tcPr>
            <w:tcW w:w="1752" w:type="dxa"/>
            <w:tcBorders>
              <w:top w:val="single" w:sz="6" w:space="0" w:color="auto"/>
            </w:tcBorders>
          </w:tcPr>
          <w:p w14:paraId="1235C5F5" w14:textId="77777777" w:rsidR="00C14489" w:rsidRPr="000F6B9E" w:rsidRDefault="00C14489" w:rsidP="00A84884">
            <w:pPr>
              <w:pStyle w:val="Tabulka"/>
              <w:rPr>
                <w:b/>
                <w:sz w:val="22"/>
                <w:lang w:val="sk-SK"/>
              </w:rPr>
            </w:pPr>
            <w:r w:rsidRPr="000F6B9E">
              <w:rPr>
                <w:b/>
                <w:sz w:val="22"/>
                <w:lang w:val="sk-SK"/>
              </w:rPr>
              <w:t>%</w:t>
            </w:r>
          </w:p>
          <w:p w14:paraId="33F80871" w14:textId="77777777" w:rsidR="00A105A0" w:rsidRPr="000F6B9E" w:rsidRDefault="00A105A0" w:rsidP="00A84884">
            <w:pPr>
              <w:pStyle w:val="Tabulka"/>
              <w:rPr>
                <w:b/>
                <w:sz w:val="22"/>
                <w:lang w:val="sk-SK"/>
              </w:rPr>
            </w:pPr>
            <w:r w:rsidRPr="000F6B9E">
              <w:rPr>
                <w:b/>
                <w:sz w:val="22"/>
                <w:lang w:val="sk-SK"/>
              </w:rPr>
              <w:t>n=4</w:t>
            </w:r>
            <w:r w:rsidR="004E22A5" w:rsidRPr="000F6B9E">
              <w:rPr>
                <w:b/>
                <w:sz w:val="22"/>
                <w:lang w:val="sk-SK"/>
              </w:rPr>
              <w:t xml:space="preserve"> </w:t>
            </w:r>
            <w:r w:rsidRPr="000F6B9E">
              <w:rPr>
                <w:b/>
                <w:sz w:val="22"/>
                <w:lang w:val="sk-SK"/>
              </w:rPr>
              <w:t>645</w:t>
            </w:r>
          </w:p>
        </w:tc>
        <w:tc>
          <w:tcPr>
            <w:tcW w:w="1909" w:type="dxa"/>
            <w:tcBorders>
              <w:top w:val="single" w:sz="6" w:space="0" w:color="auto"/>
            </w:tcBorders>
          </w:tcPr>
          <w:p w14:paraId="4D68B8FB" w14:textId="77777777" w:rsidR="00C14489" w:rsidRPr="000F6B9E" w:rsidRDefault="00C14489" w:rsidP="00A84884">
            <w:pPr>
              <w:pStyle w:val="Tabulka"/>
              <w:rPr>
                <w:b/>
                <w:sz w:val="22"/>
                <w:lang w:val="sk-SK"/>
              </w:rPr>
            </w:pPr>
            <w:r w:rsidRPr="000F6B9E">
              <w:rPr>
                <w:b/>
                <w:sz w:val="22"/>
                <w:lang w:val="sk-SK"/>
              </w:rPr>
              <w:t>%</w:t>
            </w:r>
          </w:p>
          <w:p w14:paraId="458D5E88" w14:textId="77777777" w:rsidR="00A105A0" w:rsidRPr="000F6B9E" w:rsidRDefault="00A105A0" w:rsidP="00A84884">
            <w:pPr>
              <w:pStyle w:val="Tabulka"/>
              <w:rPr>
                <w:b/>
                <w:sz w:val="22"/>
                <w:lang w:val="sk-SK"/>
              </w:rPr>
            </w:pPr>
            <w:r w:rsidRPr="000F6B9E">
              <w:rPr>
                <w:b/>
                <w:sz w:val="22"/>
                <w:lang w:val="sk-SK"/>
              </w:rPr>
              <w:t>N=4</w:t>
            </w:r>
            <w:r w:rsidR="004E22A5" w:rsidRPr="000F6B9E">
              <w:rPr>
                <w:b/>
                <w:sz w:val="22"/>
                <w:lang w:val="sk-SK"/>
              </w:rPr>
              <w:t xml:space="preserve"> </w:t>
            </w:r>
            <w:r w:rsidRPr="000F6B9E">
              <w:rPr>
                <w:b/>
                <w:sz w:val="22"/>
                <w:lang w:val="sk-SK"/>
              </w:rPr>
              <w:t>652</w:t>
            </w:r>
          </w:p>
        </w:tc>
        <w:tc>
          <w:tcPr>
            <w:tcW w:w="1909" w:type="dxa"/>
            <w:tcBorders>
              <w:top w:val="single" w:sz="6" w:space="0" w:color="auto"/>
            </w:tcBorders>
          </w:tcPr>
          <w:p w14:paraId="5B707014" w14:textId="77777777" w:rsidR="00A105A0" w:rsidRPr="000F6B9E" w:rsidRDefault="00A105A0" w:rsidP="00746A26">
            <w:pPr>
              <w:rPr>
                <w:b/>
                <w:lang w:val="sk-SK"/>
              </w:rPr>
            </w:pPr>
          </w:p>
        </w:tc>
        <w:tc>
          <w:tcPr>
            <w:tcW w:w="1910" w:type="dxa"/>
            <w:tcBorders>
              <w:top w:val="single" w:sz="6" w:space="0" w:color="auto"/>
            </w:tcBorders>
          </w:tcPr>
          <w:p w14:paraId="0388A5F5" w14:textId="77777777" w:rsidR="00A105A0" w:rsidRPr="000F6B9E" w:rsidRDefault="00A105A0" w:rsidP="00746A26">
            <w:pPr>
              <w:rPr>
                <w:b/>
                <w:lang w:val="sk-SK"/>
              </w:rPr>
            </w:pPr>
          </w:p>
        </w:tc>
      </w:tr>
      <w:tr w:rsidR="00A105A0" w:rsidRPr="00EC5E95" w14:paraId="0985D105" w14:textId="77777777" w:rsidTr="000F6B9E">
        <w:tc>
          <w:tcPr>
            <w:tcW w:w="2093" w:type="dxa"/>
          </w:tcPr>
          <w:p w14:paraId="134B61FB" w14:textId="77777777" w:rsidR="00A105A0" w:rsidRPr="000F6B9E" w:rsidRDefault="00A105A0" w:rsidP="00A84884">
            <w:pPr>
              <w:pStyle w:val="Tabulka"/>
              <w:rPr>
                <w:b/>
                <w:sz w:val="22"/>
                <w:lang w:val="sk-SK"/>
              </w:rPr>
            </w:pPr>
            <w:r w:rsidRPr="000F6B9E">
              <w:rPr>
                <w:b/>
                <w:sz w:val="22"/>
                <w:lang w:val="sk-SK"/>
              </w:rPr>
              <w:t>Primárne kombinované udalosti</w:t>
            </w:r>
          </w:p>
        </w:tc>
        <w:tc>
          <w:tcPr>
            <w:tcW w:w="1752" w:type="dxa"/>
          </w:tcPr>
          <w:p w14:paraId="4DFA9F31" w14:textId="77777777" w:rsidR="00A105A0" w:rsidRPr="000F6B9E" w:rsidRDefault="00A105A0" w:rsidP="00A84884">
            <w:pPr>
              <w:pStyle w:val="Tabulka"/>
              <w:rPr>
                <w:b/>
                <w:sz w:val="22"/>
                <w:lang w:val="sk-SK"/>
              </w:rPr>
            </w:pPr>
            <w:r w:rsidRPr="000F6B9E">
              <w:rPr>
                <w:b/>
                <w:sz w:val="22"/>
                <w:lang w:val="sk-SK"/>
              </w:rPr>
              <w:t>14,0</w:t>
            </w:r>
          </w:p>
        </w:tc>
        <w:tc>
          <w:tcPr>
            <w:tcW w:w="1909" w:type="dxa"/>
          </w:tcPr>
          <w:p w14:paraId="22B9FFCE" w14:textId="77777777" w:rsidR="00A105A0" w:rsidRPr="000F6B9E" w:rsidRDefault="00A105A0" w:rsidP="00A84884">
            <w:pPr>
              <w:pStyle w:val="Tabulka"/>
              <w:rPr>
                <w:b/>
                <w:sz w:val="22"/>
                <w:lang w:val="sk-SK"/>
              </w:rPr>
            </w:pPr>
            <w:r w:rsidRPr="000F6B9E">
              <w:rPr>
                <w:b/>
                <w:sz w:val="22"/>
                <w:lang w:val="sk-SK"/>
              </w:rPr>
              <w:t>17,8</w:t>
            </w:r>
          </w:p>
        </w:tc>
        <w:tc>
          <w:tcPr>
            <w:tcW w:w="1909" w:type="dxa"/>
          </w:tcPr>
          <w:p w14:paraId="549755FB" w14:textId="7F250FFD" w:rsidR="00A105A0" w:rsidRPr="000F6B9E" w:rsidRDefault="00A105A0" w:rsidP="00A84884">
            <w:pPr>
              <w:pStyle w:val="Tabulka"/>
              <w:rPr>
                <w:b/>
                <w:sz w:val="22"/>
                <w:lang w:val="sk-SK"/>
              </w:rPr>
            </w:pPr>
            <w:r w:rsidRPr="000F6B9E">
              <w:rPr>
                <w:b/>
                <w:sz w:val="22"/>
                <w:lang w:val="sk-SK"/>
              </w:rPr>
              <w:t>0,78 (0,70</w:t>
            </w:r>
            <w:r w:rsidR="00571DB3">
              <w:rPr>
                <w:lang w:val="sk-SK"/>
              </w:rPr>
              <w:t> </w:t>
            </w:r>
            <w:r w:rsidR="00D008BA" w:rsidRPr="00EC5E95">
              <w:rPr>
                <w:b/>
                <w:sz w:val="22"/>
                <w:szCs w:val="22"/>
                <w:lang w:val="sk-SK"/>
              </w:rPr>
              <w:t>–</w:t>
            </w:r>
            <w:r w:rsidR="00571DB3">
              <w:rPr>
                <w:b/>
                <w:sz w:val="22"/>
                <w:szCs w:val="22"/>
                <w:lang w:val="sk-SK"/>
              </w:rPr>
              <w:t> </w:t>
            </w:r>
            <w:r w:rsidRPr="000F6B9E">
              <w:rPr>
                <w:b/>
                <w:sz w:val="22"/>
                <w:lang w:val="sk-SK"/>
              </w:rPr>
              <w:t xml:space="preserve">0,86) </w:t>
            </w:r>
          </w:p>
        </w:tc>
        <w:tc>
          <w:tcPr>
            <w:tcW w:w="1910" w:type="dxa"/>
          </w:tcPr>
          <w:p w14:paraId="4CCA5759" w14:textId="77777777" w:rsidR="00A105A0" w:rsidRPr="000F6B9E" w:rsidRDefault="00A105A0" w:rsidP="00A84884">
            <w:pPr>
              <w:pStyle w:val="Tabulka"/>
              <w:rPr>
                <w:b/>
                <w:sz w:val="22"/>
                <w:lang w:val="sk-SK"/>
              </w:rPr>
            </w:pPr>
            <w:r w:rsidRPr="000F6B9E">
              <w:rPr>
                <w:b/>
                <w:sz w:val="22"/>
                <w:lang w:val="sk-SK"/>
              </w:rPr>
              <w:t>&lt;</w:t>
            </w:r>
            <w:r w:rsidR="00E66C7D" w:rsidRPr="00EC5E95">
              <w:rPr>
                <w:b/>
                <w:sz w:val="22"/>
                <w:szCs w:val="22"/>
                <w:lang w:val="sk-SK"/>
              </w:rPr>
              <w:t xml:space="preserve"> </w:t>
            </w:r>
            <w:r w:rsidRPr="000F6B9E">
              <w:rPr>
                <w:b/>
                <w:sz w:val="22"/>
                <w:lang w:val="sk-SK"/>
              </w:rPr>
              <w:t xml:space="preserve">0,001 </w:t>
            </w:r>
          </w:p>
        </w:tc>
      </w:tr>
      <w:tr w:rsidR="00A105A0" w:rsidRPr="00EC5E95" w14:paraId="70727BCA" w14:textId="77777777" w:rsidTr="000F6B9E">
        <w:tc>
          <w:tcPr>
            <w:tcW w:w="2093" w:type="dxa"/>
          </w:tcPr>
          <w:p w14:paraId="6DB05E91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Infarkt myokardu</w:t>
            </w:r>
          </w:p>
        </w:tc>
        <w:tc>
          <w:tcPr>
            <w:tcW w:w="1752" w:type="dxa"/>
          </w:tcPr>
          <w:p w14:paraId="2228D1E5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9,9</w:t>
            </w:r>
          </w:p>
        </w:tc>
        <w:tc>
          <w:tcPr>
            <w:tcW w:w="1909" w:type="dxa"/>
          </w:tcPr>
          <w:p w14:paraId="1309035A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12,3</w:t>
            </w:r>
          </w:p>
        </w:tc>
        <w:tc>
          <w:tcPr>
            <w:tcW w:w="1909" w:type="dxa"/>
          </w:tcPr>
          <w:p w14:paraId="5BD26045" w14:textId="4BE360A2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0,80 (0,70</w:t>
            </w:r>
            <w:r w:rsidR="00571DB3">
              <w:rPr>
                <w:sz w:val="22"/>
                <w:szCs w:val="22"/>
                <w:lang w:val="sk-SK"/>
              </w:rPr>
              <w:t> </w:t>
            </w:r>
            <w:r w:rsidR="00D008BA" w:rsidRPr="00571DB3">
              <w:rPr>
                <w:sz w:val="22"/>
                <w:szCs w:val="22"/>
                <w:lang w:val="sk-SK"/>
              </w:rPr>
              <w:t>–</w:t>
            </w:r>
            <w:r w:rsidR="00571DB3">
              <w:rPr>
                <w:sz w:val="22"/>
                <w:szCs w:val="22"/>
                <w:lang w:val="sk-SK"/>
              </w:rPr>
              <w:t> </w:t>
            </w:r>
            <w:r w:rsidRPr="000F6B9E">
              <w:rPr>
                <w:sz w:val="22"/>
                <w:lang w:val="sk-SK"/>
              </w:rPr>
              <w:t>0,90)</w:t>
            </w:r>
          </w:p>
        </w:tc>
        <w:tc>
          <w:tcPr>
            <w:tcW w:w="1910" w:type="dxa"/>
          </w:tcPr>
          <w:p w14:paraId="30C42955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&lt;</w:t>
            </w:r>
            <w:r w:rsidR="00E66C7D" w:rsidRPr="00C3029B">
              <w:rPr>
                <w:sz w:val="22"/>
                <w:szCs w:val="22"/>
                <w:lang w:val="sk-SK"/>
              </w:rPr>
              <w:t xml:space="preserve"> </w:t>
            </w:r>
            <w:r w:rsidRPr="000F6B9E">
              <w:rPr>
                <w:sz w:val="22"/>
                <w:lang w:val="sk-SK"/>
              </w:rPr>
              <w:t>0,001</w:t>
            </w:r>
          </w:p>
        </w:tc>
      </w:tr>
      <w:tr w:rsidR="00A105A0" w:rsidRPr="00EC5E95" w14:paraId="0566EED6" w14:textId="77777777" w:rsidTr="000F6B9E">
        <w:tc>
          <w:tcPr>
            <w:tcW w:w="2093" w:type="dxa"/>
          </w:tcPr>
          <w:p w14:paraId="7303F362" w14:textId="6CFF0D4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Smrť z</w:t>
            </w:r>
            <w:r w:rsidR="001C3DB2" w:rsidRPr="00EC5E95">
              <w:rPr>
                <w:sz w:val="22"/>
                <w:szCs w:val="22"/>
                <w:lang w:val="sk-SK"/>
              </w:rPr>
              <w:t> </w:t>
            </w:r>
            <w:r w:rsidRPr="000F6B9E">
              <w:rPr>
                <w:sz w:val="22"/>
                <w:lang w:val="sk-SK"/>
              </w:rPr>
              <w:t>kardiovaskulárnej príčiny</w:t>
            </w:r>
          </w:p>
        </w:tc>
        <w:tc>
          <w:tcPr>
            <w:tcW w:w="1752" w:type="dxa"/>
          </w:tcPr>
          <w:p w14:paraId="799CF24E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 xml:space="preserve">6,1 </w:t>
            </w:r>
          </w:p>
        </w:tc>
        <w:tc>
          <w:tcPr>
            <w:tcW w:w="1909" w:type="dxa"/>
          </w:tcPr>
          <w:p w14:paraId="15089658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8,1</w:t>
            </w:r>
          </w:p>
        </w:tc>
        <w:tc>
          <w:tcPr>
            <w:tcW w:w="1909" w:type="dxa"/>
          </w:tcPr>
          <w:p w14:paraId="057C7920" w14:textId="0FAD4240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0,74 (0,64</w:t>
            </w:r>
            <w:r w:rsidR="00571DB3">
              <w:rPr>
                <w:sz w:val="22"/>
                <w:szCs w:val="22"/>
                <w:lang w:val="sk-SK"/>
              </w:rPr>
              <w:t> </w:t>
            </w:r>
            <w:r w:rsidR="00D008BA" w:rsidRPr="00571DB3">
              <w:rPr>
                <w:sz w:val="22"/>
                <w:szCs w:val="22"/>
                <w:lang w:val="sk-SK"/>
              </w:rPr>
              <w:t>–</w:t>
            </w:r>
            <w:r w:rsidR="00571DB3">
              <w:rPr>
                <w:sz w:val="22"/>
                <w:szCs w:val="22"/>
                <w:lang w:val="sk-SK"/>
              </w:rPr>
              <w:t> </w:t>
            </w:r>
            <w:r w:rsidRPr="000F6B9E">
              <w:rPr>
                <w:sz w:val="22"/>
                <w:lang w:val="sk-SK"/>
              </w:rPr>
              <w:t>0,87)</w:t>
            </w:r>
          </w:p>
        </w:tc>
        <w:tc>
          <w:tcPr>
            <w:tcW w:w="1910" w:type="dxa"/>
          </w:tcPr>
          <w:p w14:paraId="133F7B39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&lt;</w:t>
            </w:r>
            <w:r w:rsidR="00E66C7D" w:rsidRPr="00C3029B">
              <w:rPr>
                <w:sz w:val="22"/>
                <w:szCs w:val="22"/>
                <w:lang w:val="sk-SK"/>
              </w:rPr>
              <w:t xml:space="preserve"> </w:t>
            </w:r>
            <w:r w:rsidRPr="000F6B9E">
              <w:rPr>
                <w:sz w:val="22"/>
                <w:lang w:val="sk-SK"/>
              </w:rPr>
              <w:t>0,001</w:t>
            </w:r>
          </w:p>
        </w:tc>
      </w:tr>
      <w:tr w:rsidR="00A105A0" w:rsidRPr="00EC5E95" w14:paraId="7156B903" w14:textId="77777777" w:rsidTr="000F6B9E">
        <w:tc>
          <w:tcPr>
            <w:tcW w:w="2093" w:type="dxa"/>
          </w:tcPr>
          <w:p w14:paraId="58E532E6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Mozgová príhoda</w:t>
            </w:r>
          </w:p>
        </w:tc>
        <w:tc>
          <w:tcPr>
            <w:tcW w:w="1752" w:type="dxa"/>
          </w:tcPr>
          <w:p w14:paraId="6BDE935E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 xml:space="preserve">3,4 </w:t>
            </w:r>
          </w:p>
        </w:tc>
        <w:tc>
          <w:tcPr>
            <w:tcW w:w="1909" w:type="dxa"/>
          </w:tcPr>
          <w:p w14:paraId="54C879FA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4,9</w:t>
            </w:r>
          </w:p>
        </w:tc>
        <w:tc>
          <w:tcPr>
            <w:tcW w:w="1909" w:type="dxa"/>
          </w:tcPr>
          <w:p w14:paraId="29FC5D57" w14:textId="04D342A2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0,68 (0,56</w:t>
            </w:r>
            <w:r w:rsidR="00571DB3">
              <w:rPr>
                <w:sz w:val="22"/>
                <w:szCs w:val="22"/>
                <w:lang w:val="sk-SK"/>
              </w:rPr>
              <w:t> </w:t>
            </w:r>
            <w:r w:rsidR="00D008BA" w:rsidRPr="00571DB3">
              <w:rPr>
                <w:sz w:val="22"/>
                <w:szCs w:val="22"/>
                <w:lang w:val="sk-SK"/>
              </w:rPr>
              <w:t>–</w:t>
            </w:r>
            <w:r w:rsidR="00571DB3">
              <w:rPr>
                <w:sz w:val="22"/>
                <w:szCs w:val="22"/>
                <w:lang w:val="sk-SK"/>
              </w:rPr>
              <w:t> </w:t>
            </w:r>
            <w:r w:rsidRPr="000F6B9E">
              <w:rPr>
                <w:sz w:val="22"/>
                <w:lang w:val="sk-SK"/>
              </w:rPr>
              <w:t>0,84)</w:t>
            </w:r>
          </w:p>
        </w:tc>
        <w:tc>
          <w:tcPr>
            <w:tcW w:w="1910" w:type="dxa"/>
          </w:tcPr>
          <w:p w14:paraId="51958D33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&lt;</w:t>
            </w:r>
            <w:r w:rsidR="00E66C7D" w:rsidRPr="00C3029B">
              <w:rPr>
                <w:sz w:val="22"/>
                <w:szCs w:val="22"/>
                <w:lang w:val="sk-SK"/>
              </w:rPr>
              <w:t xml:space="preserve"> </w:t>
            </w:r>
            <w:r w:rsidRPr="000F6B9E">
              <w:rPr>
                <w:sz w:val="22"/>
                <w:lang w:val="sk-SK"/>
              </w:rPr>
              <w:t>0,001</w:t>
            </w:r>
          </w:p>
        </w:tc>
      </w:tr>
      <w:tr w:rsidR="00C14489" w:rsidRPr="00EC5E95" w14:paraId="777A0545" w14:textId="77777777" w:rsidTr="000F6B9E">
        <w:tc>
          <w:tcPr>
            <w:tcW w:w="9573" w:type="dxa"/>
            <w:gridSpan w:val="5"/>
          </w:tcPr>
          <w:p w14:paraId="27049FFA" w14:textId="77777777" w:rsidR="00C14489" w:rsidRPr="000F6B9E" w:rsidRDefault="00C14489" w:rsidP="00A84884">
            <w:pPr>
              <w:pStyle w:val="Tabulka"/>
              <w:rPr>
                <w:b/>
                <w:sz w:val="22"/>
                <w:lang w:val="sk-SK"/>
              </w:rPr>
            </w:pPr>
            <w:r w:rsidRPr="000F6B9E">
              <w:rPr>
                <w:b/>
                <w:sz w:val="22"/>
                <w:lang w:val="sk-SK"/>
              </w:rPr>
              <w:t>Sekundárne koncové ukazovatele</w:t>
            </w:r>
          </w:p>
        </w:tc>
      </w:tr>
      <w:tr w:rsidR="00A105A0" w:rsidRPr="00EC5E95" w14:paraId="2736D4D5" w14:textId="77777777" w:rsidTr="000F6B9E">
        <w:tc>
          <w:tcPr>
            <w:tcW w:w="2093" w:type="dxa"/>
          </w:tcPr>
          <w:p w14:paraId="1F2924E6" w14:textId="37AFE8DD" w:rsidR="00A105A0" w:rsidRPr="000F6B9E" w:rsidRDefault="00F11571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Smrť z</w:t>
            </w:r>
            <w:r w:rsidRPr="00EC5E95">
              <w:rPr>
                <w:sz w:val="22"/>
                <w:szCs w:val="22"/>
                <w:lang w:val="sk-SK"/>
              </w:rPr>
              <w:t> </w:t>
            </w:r>
            <w:r w:rsidR="00A105A0" w:rsidRPr="000F6B9E">
              <w:rPr>
                <w:sz w:val="22"/>
                <w:lang w:val="sk-SK"/>
              </w:rPr>
              <w:t>akejkoľvek príčiny</w:t>
            </w:r>
          </w:p>
        </w:tc>
        <w:tc>
          <w:tcPr>
            <w:tcW w:w="1752" w:type="dxa"/>
          </w:tcPr>
          <w:p w14:paraId="087956B6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10,4</w:t>
            </w:r>
          </w:p>
        </w:tc>
        <w:tc>
          <w:tcPr>
            <w:tcW w:w="1909" w:type="dxa"/>
          </w:tcPr>
          <w:p w14:paraId="32003EB6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12,2</w:t>
            </w:r>
          </w:p>
        </w:tc>
        <w:tc>
          <w:tcPr>
            <w:tcW w:w="1909" w:type="dxa"/>
          </w:tcPr>
          <w:p w14:paraId="4E72A79B" w14:textId="72853FF9" w:rsidR="00A105A0" w:rsidRPr="000F6B9E" w:rsidRDefault="00A105A0" w:rsidP="004D3FD6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0,84 (0,75</w:t>
            </w:r>
            <w:r w:rsidR="00571DB3">
              <w:rPr>
                <w:sz w:val="22"/>
                <w:szCs w:val="22"/>
                <w:lang w:val="sk-SK"/>
              </w:rPr>
              <w:t> </w:t>
            </w:r>
            <w:r w:rsidR="00D008BA" w:rsidRPr="00571DB3">
              <w:rPr>
                <w:sz w:val="22"/>
                <w:szCs w:val="22"/>
                <w:lang w:val="sk-SK"/>
              </w:rPr>
              <w:t>–</w:t>
            </w:r>
            <w:r w:rsidR="00571DB3">
              <w:rPr>
                <w:sz w:val="22"/>
                <w:szCs w:val="22"/>
                <w:lang w:val="sk-SK"/>
              </w:rPr>
              <w:t> </w:t>
            </w:r>
            <w:r w:rsidRPr="000F6B9E">
              <w:rPr>
                <w:sz w:val="22"/>
                <w:lang w:val="sk-SK"/>
              </w:rPr>
              <w:t>0,95)</w:t>
            </w:r>
          </w:p>
        </w:tc>
        <w:tc>
          <w:tcPr>
            <w:tcW w:w="1910" w:type="dxa"/>
          </w:tcPr>
          <w:p w14:paraId="1F94B6D5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0,005</w:t>
            </w:r>
          </w:p>
        </w:tc>
      </w:tr>
      <w:tr w:rsidR="00A105A0" w:rsidRPr="00EC5E95" w14:paraId="78A0EB42" w14:textId="77777777" w:rsidTr="000F6B9E">
        <w:tc>
          <w:tcPr>
            <w:tcW w:w="2093" w:type="dxa"/>
          </w:tcPr>
          <w:p w14:paraId="7D8FC5D8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 xml:space="preserve">Potreba </w:t>
            </w:r>
            <w:proofErr w:type="spellStart"/>
            <w:r w:rsidRPr="000F6B9E">
              <w:rPr>
                <w:sz w:val="22"/>
                <w:lang w:val="sk-SK"/>
              </w:rPr>
              <w:t>revaskularizácie</w:t>
            </w:r>
            <w:proofErr w:type="spellEnd"/>
          </w:p>
        </w:tc>
        <w:tc>
          <w:tcPr>
            <w:tcW w:w="1752" w:type="dxa"/>
          </w:tcPr>
          <w:p w14:paraId="0FA5E0D7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16,0</w:t>
            </w:r>
          </w:p>
        </w:tc>
        <w:tc>
          <w:tcPr>
            <w:tcW w:w="1909" w:type="dxa"/>
          </w:tcPr>
          <w:p w14:paraId="69AF44D6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18,3</w:t>
            </w:r>
          </w:p>
        </w:tc>
        <w:tc>
          <w:tcPr>
            <w:tcW w:w="1909" w:type="dxa"/>
          </w:tcPr>
          <w:p w14:paraId="03F0B072" w14:textId="7CF41D8D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0,85 (0,77</w:t>
            </w:r>
            <w:r w:rsidR="00571DB3">
              <w:rPr>
                <w:sz w:val="22"/>
                <w:szCs w:val="22"/>
                <w:lang w:val="sk-SK"/>
              </w:rPr>
              <w:t> </w:t>
            </w:r>
            <w:r w:rsidR="00D008BA" w:rsidRPr="00571DB3">
              <w:rPr>
                <w:sz w:val="22"/>
                <w:szCs w:val="22"/>
                <w:lang w:val="sk-SK"/>
              </w:rPr>
              <w:t>–</w:t>
            </w:r>
            <w:r w:rsidR="00571DB3">
              <w:rPr>
                <w:sz w:val="22"/>
                <w:szCs w:val="22"/>
                <w:lang w:val="sk-SK"/>
              </w:rPr>
              <w:t> </w:t>
            </w:r>
            <w:r w:rsidRPr="000F6B9E">
              <w:rPr>
                <w:sz w:val="22"/>
                <w:lang w:val="sk-SK"/>
              </w:rPr>
              <w:t>0,94)</w:t>
            </w:r>
          </w:p>
        </w:tc>
        <w:tc>
          <w:tcPr>
            <w:tcW w:w="1910" w:type="dxa"/>
          </w:tcPr>
          <w:p w14:paraId="43ADABB4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0,002</w:t>
            </w:r>
          </w:p>
        </w:tc>
      </w:tr>
      <w:tr w:rsidR="00A105A0" w:rsidRPr="00EC5E95" w14:paraId="6518A903" w14:textId="77777777" w:rsidTr="000F6B9E">
        <w:tc>
          <w:tcPr>
            <w:tcW w:w="2093" w:type="dxa"/>
          </w:tcPr>
          <w:p w14:paraId="506E3F22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 xml:space="preserve">Hospitalizácia kvôli nestabilnej </w:t>
            </w:r>
            <w:proofErr w:type="spellStart"/>
            <w:r w:rsidRPr="000F6B9E">
              <w:rPr>
                <w:sz w:val="22"/>
                <w:lang w:val="sk-SK"/>
              </w:rPr>
              <w:t>angine</w:t>
            </w:r>
            <w:proofErr w:type="spellEnd"/>
          </w:p>
        </w:tc>
        <w:tc>
          <w:tcPr>
            <w:tcW w:w="1752" w:type="dxa"/>
          </w:tcPr>
          <w:p w14:paraId="3078D471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 xml:space="preserve">12,1 </w:t>
            </w:r>
          </w:p>
        </w:tc>
        <w:tc>
          <w:tcPr>
            <w:tcW w:w="1909" w:type="dxa"/>
          </w:tcPr>
          <w:p w14:paraId="267ACBC5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12,3</w:t>
            </w:r>
          </w:p>
        </w:tc>
        <w:tc>
          <w:tcPr>
            <w:tcW w:w="1909" w:type="dxa"/>
          </w:tcPr>
          <w:p w14:paraId="4FE7FA70" w14:textId="3C1EB238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0,98 (0,87</w:t>
            </w:r>
            <w:r w:rsidR="00571DB3">
              <w:rPr>
                <w:sz w:val="22"/>
                <w:szCs w:val="22"/>
                <w:lang w:val="sk-SK"/>
              </w:rPr>
              <w:t> </w:t>
            </w:r>
            <w:r w:rsidR="00D008BA" w:rsidRPr="00571DB3">
              <w:rPr>
                <w:sz w:val="22"/>
                <w:szCs w:val="22"/>
                <w:lang w:val="sk-SK"/>
              </w:rPr>
              <w:t>–</w:t>
            </w:r>
            <w:r w:rsidR="00571DB3">
              <w:rPr>
                <w:sz w:val="22"/>
                <w:szCs w:val="22"/>
                <w:lang w:val="sk-SK"/>
              </w:rPr>
              <w:t> </w:t>
            </w:r>
            <w:r w:rsidRPr="000F6B9E">
              <w:rPr>
                <w:sz w:val="22"/>
                <w:lang w:val="sk-SK"/>
              </w:rPr>
              <w:t>1,10)</w:t>
            </w:r>
          </w:p>
        </w:tc>
        <w:tc>
          <w:tcPr>
            <w:tcW w:w="1910" w:type="dxa"/>
          </w:tcPr>
          <w:p w14:paraId="117F8B88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NS</w:t>
            </w:r>
          </w:p>
        </w:tc>
      </w:tr>
      <w:tr w:rsidR="00A105A0" w:rsidRPr="00EC5E95" w14:paraId="07F31527" w14:textId="77777777" w:rsidTr="000F6B9E">
        <w:tc>
          <w:tcPr>
            <w:tcW w:w="2093" w:type="dxa"/>
          </w:tcPr>
          <w:p w14:paraId="7E18B24D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Hospitalizácia kvôli zlyhaniu srdca</w:t>
            </w:r>
          </w:p>
        </w:tc>
        <w:tc>
          <w:tcPr>
            <w:tcW w:w="1752" w:type="dxa"/>
          </w:tcPr>
          <w:p w14:paraId="147D287D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3,2</w:t>
            </w:r>
          </w:p>
        </w:tc>
        <w:tc>
          <w:tcPr>
            <w:tcW w:w="1909" w:type="dxa"/>
          </w:tcPr>
          <w:p w14:paraId="20870846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 xml:space="preserve">3,5 </w:t>
            </w:r>
          </w:p>
        </w:tc>
        <w:tc>
          <w:tcPr>
            <w:tcW w:w="1909" w:type="dxa"/>
          </w:tcPr>
          <w:p w14:paraId="77551621" w14:textId="00A7DBE6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0,88 (0,70</w:t>
            </w:r>
            <w:r w:rsidR="00571DB3">
              <w:rPr>
                <w:sz w:val="22"/>
                <w:szCs w:val="22"/>
                <w:lang w:val="sk-SK"/>
              </w:rPr>
              <w:t> </w:t>
            </w:r>
            <w:r w:rsidR="00D008BA" w:rsidRPr="00571DB3">
              <w:rPr>
                <w:sz w:val="22"/>
                <w:szCs w:val="22"/>
                <w:lang w:val="sk-SK"/>
              </w:rPr>
              <w:t>–</w:t>
            </w:r>
            <w:r w:rsidR="00571DB3">
              <w:rPr>
                <w:sz w:val="22"/>
                <w:szCs w:val="22"/>
                <w:lang w:val="sk-SK"/>
              </w:rPr>
              <w:t> </w:t>
            </w:r>
            <w:r w:rsidRPr="000F6B9E">
              <w:rPr>
                <w:sz w:val="22"/>
                <w:lang w:val="sk-SK"/>
              </w:rPr>
              <w:t>1,10)</w:t>
            </w:r>
          </w:p>
        </w:tc>
        <w:tc>
          <w:tcPr>
            <w:tcW w:w="1910" w:type="dxa"/>
          </w:tcPr>
          <w:p w14:paraId="163EF2BE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0,25</w:t>
            </w:r>
          </w:p>
        </w:tc>
      </w:tr>
      <w:tr w:rsidR="00A105A0" w:rsidRPr="00EC5E95" w14:paraId="7DE2B7F6" w14:textId="77777777" w:rsidTr="000F6B9E">
        <w:tc>
          <w:tcPr>
            <w:tcW w:w="2093" w:type="dxa"/>
          </w:tcPr>
          <w:p w14:paraId="137F4081" w14:textId="42ABB9F5" w:rsidR="00A105A0" w:rsidRPr="000F6B9E" w:rsidRDefault="00F11571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Komplikácie súvisiace s</w:t>
            </w:r>
            <w:r w:rsidRPr="00EC5E95">
              <w:rPr>
                <w:sz w:val="22"/>
                <w:szCs w:val="22"/>
                <w:lang w:val="sk-SK"/>
              </w:rPr>
              <w:t> </w:t>
            </w:r>
            <w:r w:rsidR="00A105A0" w:rsidRPr="000F6B9E">
              <w:rPr>
                <w:sz w:val="22"/>
                <w:lang w:val="sk-SK"/>
              </w:rPr>
              <w:t>diabetom</w:t>
            </w:r>
          </w:p>
        </w:tc>
        <w:tc>
          <w:tcPr>
            <w:tcW w:w="1752" w:type="dxa"/>
          </w:tcPr>
          <w:p w14:paraId="13DA4558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 xml:space="preserve">6,4 </w:t>
            </w:r>
          </w:p>
        </w:tc>
        <w:tc>
          <w:tcPr>
            <w:tcW w:w="1909" w:type="dxa"/>
          </w:tcPr>
          <w:p w14:paraId="37A30874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7,6</w:t>
            </w:r>
          </w:p>
        </w:tc>
        <w:tc>
          <w:tcPr>
            <w:tcW w:w="1909" w:type="dxa"/>
          </w:tcPr>
          <w:p w14:paraId="0488088F" w14:textId="5109B6B5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>0,84 (0,72</w:t>
            </w:r>
            <w:r w:rsidR="00571DB3">
              <w:rPr>
                <w:sz w:val="22"/>
                <w:szCs w:val="22"/>
                <w:lang w:val="sk-SK"/>
              </w:rPr>
              <w:t> </w:t>
            </w:r>
            <w:r w:rsidR="00D008BA" w:rsidRPr="00571DB3">
              <w:rPr>
                <w:sz w:val="22"/>
                <w:szCs w:val="22"/>
                <w:lang w:val="sk-SK"/>
              </w:rPr>
              <w:t>–</w:t>
            </w:r>
            <w:r w:rsidR="00571DB3">
              <w:rPr>
                <w:sz w:val="22"/>
                <w:szCs w:val="22"/>
                <w:lang w:val="sk-SK"/>
              </w:rPr>
              <w:t> </w:t>
            </w:r>
            <w:r w:rsidRPr="000F6B9E">
              <w:rPr>
                <w:sz w:val="22"/>
                <w:lang w:val="sk-SK"/>
              </w:rPr>
              <w:t>0,98)</w:t>
            </w:r>
          </w:p>
        </w:tc>
        <w:tc>
          <w:tcPr>
            <w:tcW w:w="1910" w:type="dxa"/>
          </w:tcPr>
          <w:p w14:paraId="71BD1530" w14:textId="77777777" w:rsidR="00A105A0" w:rsidRPr="000F6B9E" w:rsidRDefault="00A105A0" w:rsidP="00A84884">
            <w:pPr>
              <w:pStyle w:val="Tabulka"/>
              <w:rPr>
                <w:sz w:val="22"/>
                <w:lang w:val="sk-SK"/>
              </w:rPr>
            </w:pPr>
            <w:r w:rsidRPr="000F6B9E">
              <w:rPr>
                <w:sz w:val="22"/>
                <w:lang w:val="sk-SK"/>
              </w:rPr>
              <w:t xml:space="preserve">0,03 </w:t>
            </w:r>
          </w:p>
        </w:tc>
      </w:tr>
    </w:tbl>
    <w:p w14:paraId="7DB85D5D" w14:textId="77777777" w:rsidR="004E22A5" w:rsidRPr="000F6B9E" w:rsidRDefault="004E22A5" w:rsidP="004E22A5">
      <w:pPr>
        <w:rPr>
          <w:rFonts w:ascii="Times New Roman" w:hAnsi="Times New Roman"/>
          <w:lang w:val="sk-SK"/>
        </w:rPr>
      </w:pPr>
      <w:r w:rsidRPr="000F6B9E">
        <w:rPr>
          <w:rFonts w:ascii="Times New Roman" w:hAnsi="Times New Roman"/>
          <w:lang w:val="sk-SK"/>
        </w:rPr>
        <w:t>NS</w:t>
      </w:r>
      <w:r w:rsidR="00F546C5" w:rsidRPr="00EC5E95">
        <w:rPr>
          <w:rFonts w:ascii="Times New Roman" w:hAnsi="Times New Roman"/>
          <w:lang w:val="sk-SK"/>
        </w:rPr>
        <w:t xml:space="preserve"> </w:t>
      </w:r>
      <w:r w:rsidRPr="000F6B9E">
        <w:rPr>
          <w:rFonts w:ascii="Times New Roman" w:hAnsi="Times New Roman"/>
          <w:lang w:val="sk-SK"/>
        </w:rPr>
        <w:t>- "</w:t>
      </w:r>
      <w:proofErr w:type="spellStart"/>
      <w:r w:rsidRPr="000F6B9E">
        <w:rPr>
          <w:rFonts w:ascii="Times New Roman" w:hAnsi="Times New Roman"/>
          <w:lang w:val="sk-SK"/>
        </w:rPr>
        <w:t>Not</w:t>
      </w:r>
      <w:proofErr w:type="spellEnd"/>
      <w:r w:rsidRPr="000F6B9E">
        <w:rPr>
          <w:rFonts w:ascii="Times New Roman" w:hAnsi="Times New Roman"/>
          <w:lang w:val="sk-SK"/>
        </w:rPr>
        <w:t xml:space="preserve"> </w:t>
      </w:r>
      <w:proofErr w:type="spellStart"/>
      <w:r w:rsidRPr="000F6B9E">
        <w:rPr>
          <w:rFonts w:ascii="Times New Roman" w:hAnsi="Times New Roman"/>
          <w:lang w:val="sk-SK"/>
        </w:rPr>
        <w:t>significant</w:t>
      </w:r>
      <w:proofErr w:type="spellEnd"/>
      <w:r w:rsidRPr="000F6B9E">
        <w:rPr>
          <w:rFonts w:ascii="Times New Roman" w:hAnsi="Times New Roman"/>
          <w:lang w:val="sk-SK"/>
        </w:rPr>
        <w:t>"</w:t>
      </w:r>
    </w:p>
    <w:p w14:paraId="24E2A283" w14:textId="65512858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Štúdia MICRO-HOPE, preddefinovaná </w:t>
      </w:r>
      <w:proofErr w:type="spellStart"/>
      <w:r w:rsidRPr="00EC5E95">
        <w:rPr>
          <w:lang w:val="sk-SK"/>
        </w:rPr>
        <w:t>podštúdia</w:t>
      </w:r>
      <w:proofErr w:type="spellEnd"/>
      <w:r w:rsidRPr="00EC5E95">
        <w:rPr>
          <w:lang w:val="sk-SK"/>
        </w:rPr>
        <w:t xml:space="preserve"> štúdie HOPE, skúma</w:t>
      </w:r>
      <w:r w:rsidR="00F11571" w:rsidRPr="00EC5E95">
        <w:rPr>
          <w:lang w:val="sk-SK"/>
        </w:rPr>
        <w:t xml:space="preserve">la účinok pridania </w:t>
      </w:r>
      <w:proofErr w:type="spellStart"/>
      <w:r w:rsidR="00F11571" w:rsidRPr="00EC5E95">
        <w:rPr>
          <w:lang w:val="sk-SK"/>
        </w:rPr>
        <w:t>ramiprilu</w:t>
      </w:r>
      <w:proofErr w:type="spellEnd"/>
      <w:r w:rsidR="00F11571" w:rsidRPr="00EC5E95">
        <w:rPr>
          <w:lang w:val="sk-SK"/>
        </w:rPr>
        <w:t xml:space="preserve"> 10 </w:t>
      </w:r>
      <w:r w:rsidRPr="00EC5E95">
        <w:rPr>
          <w:lang w:val="sk-SK"/>
        </w:rPr>
        <w:t>m</w:t>
      </w:r>
      <w:r w:rsidR="00F11571" w:rsidRPr="00EC5E95">
        <w:rPr>
          <w:lang w:val="sk-SK"/>
        </w:rPr>
        <w:t xml:space="preserve">g </w:t>
      </w:r>
      <w:r w:rsidR="00696682" w:rsidRPr="00EC5E95">
        <w:rPr>
          <w:lang w:val="sk-SK"/>
        </w:rPr>
        <w:t>k</w:t>
      </w:r>
      <w:r w:rsidR="00164028">
        <w:rPr>
          <w:lang w:val="sk-SK"/>
        </w:rPr>
        <w:t> </w:t>
      </w:r>
      <w:r w:rsidR="00696682" w:rsidRPr="00EC5E95">
        <w:rPr>
          <w:lang w:val="sk-SK"/>
        </w:rPr>
        <w:t>súčasnému</w:t>
      </w:r>
      <w:r w:rsidR="00F11571" w:rsidRPr="00EC5E95">
        <w:rPr>
          <w:lang w:val="sk-SK"/>
        </w:rPr>
        <w:t xml:space="preserve"> liečebnému režimu v </w:t>
      </w:r>
      <w:r w:rsidRPr="00EC5E95">
        <w:rPr>
          <w:lang w:val="sk-SK"/>
        </w:rPr>
        <w:t>porov</w:t>
      </w:r>
      <w:r w:rsidR="00F11571" w:rsidRPr="00EC5E95">
        <w:rPr>
          <w:lang w:val="sk-SK"/>
        </w:rPr>
        <w:t>naní s </w:t>
      </w:r>
      <w:proofErr w:type="spellStart"/>
      <w:r w:rsidR="00F11571" w:rsidRPr="00EC5E95">
        <w:rPr>
          <w:lang w:val="sk-SK"/>
        </w:rPr>
        <w:t>placebom</w:t>
      </w:r>
      <w:proofErr w:type="spellEnd"/>
      <w:r w:rsidR="00F11571" w:rsidRPr="00EC5E95">
        <w:rPr>
          <w:lang w:val="sk-SK"/>
        </w:rPr>
        <w:t xml:space="preserve"> u</w:t>
      </w:r>
      <w:r w:rsidR="00571DB3">
        <w:rPr>
          <w:lang w:val="sk-SK"/>
        </w:rPr>
        <w:t> </w:t>
      </w:r>
      <w:r w:rsidRPr="00571DB3">
        <w:rPr>
          <w:lang w:val="sk-SK"/>
        </w:rPr>
        <w:t>3</w:t>
      </w:r>
      <w:r w:rsidR="00571DB3">
        <w:rPr>
          <w:lang w:val="sk-SK"/>
        </w:rPr>
        <w:t> </w:t>
      </w:r>
      <w:r w:rsidRPr="00571DB3">
        <w:rPr>
          <w:lang w:val="sk-SK"/>
        </w:rPr>
        <w:t>577 pacientov vo veku ≥ 55 rokov (bez l</w:t>
      </w:r>
      <w:r w:rsidR="00F11571" w:rsidRPr="001E636D">
        <w:rPr>
          <w:lang w:val="sk-SK"/>
        </w:rPr>
        <w:t>imitácie hornej hranice veku) s prevahou pacientov s </w:t>
      </w:r>
      <w:r w:rsidRPr="00C3029B">
        <w:rPr>
          <w:lang w:val="sk-SK"/>
        </w:rPr>
        <w:t>diabetom</w:t>
      </w:r>
      <w:r w:rsidR="00F11571" w:rsidRPr="00C3029B">
        <w:rPr>
          <w:lang w:val="sk-SK"/>
        </w:rPr>
        <w:t xml:space="preserve"> 2. typu (a </w:t>
      </w:r>
      <w:r w:rsidRPr="00C3029B">
        <w:rPr>
          <w:lang w:val="sk-SK"/>
        </w:rPr>
        <w:t xml:space="preserve">aspoň jedným ďalším </w:t>
      </w:r>
      <w:r w:rsidR="004E22A5" w:rsidRPr="000F6B9E">
        <w:rPr>
          <w:lang w:val="sk-SK"/>
        </w:rPr>
        <w:t>kardiovaskulárnym</w:t>
      </w:r>
      <w:r w:rsidR="00F11571" w:rsidRPr="00EC5E95">
        <w:rPr>
          <w:lang w:val="sk-SK"/>
        </w:rPr>
        <w:t xml:space="preserve"> rizikovým faktorom), s </w:t>
      </w:r>
      <w:r w:rsidRPr="00EC5E95">
        <w:rPr>
          <w:lang w:val="sk-SK"/>
        </w:rPr>
        <w:t>normálnym tlakom alebo s</w:t>
      </w:r>
      <w:r w:rsidR="00F11571" w:rsidRPr="00EC5E95">
        <w:rPr>
          <w:lang w:val="sk-SK"/>
        </w:rPr>
        <w:t> </w:t>
      </w:r>
      <w:r w:rsidRPr="00EC5E95">
        <w:rPr>
          <w:lang w:val="sk-SK"/>
        </w:rPr>
        <w:t>vysokým tlakom.</w:t>
      </w:r>
    </w:p>
    <w:p w14:paraId="25813A75" w14:textId="4DD23951" w:rsidR="0076116E" w:rsidRPr="00C3029B" w:rsidRDefault="00F11571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Primárna analýza ukázala, že u 117 (6,5 %) pacientov v štúdii užívajúcich </w:t>
      </w:r>
      <w:proofErr w:type="spellStart"/>
      <w:r w:rsidRPr="00EC5E95">
        <w:rPr>
          <w:lang w:val="sk-SK"/>
        </w:rPr>
        <w:t>ramipril</w:t>
      </w:r>
      <w:proofErr w:type="spellEnd"/>
      <w:r w:rsidRPr="00EC5E95">
        <w:rPr>
          <w:lang w:val="sk-SK"/>
        </w:rPr>
        <w:t xml:space="preserve"> a u 149 (8,4 </w:t>
      </w:r>
      <w:r w:rsidR="004124B1" w:rsidRPr="00EC5E95">
        <w:rPr>
          <w:lang w:val="sk-SK"/>
        </w:rPr>
        <w:t xml:space="preserve">%) pacientov užívajúcich </w:t>
      </w:r>
      <w:proofErr w:type="spellStart"/>
      <w:r w:rsidR="004124B1" w:rsidRPr="00EC5E95">
        <w:rPr>
          <w:lang w:val="sk-SK"/>
        </w:rPr>
        <w:t>placebo</w:t>
      </w:r>
      <w:proofErr w:type="spellEnd"/>
      <w:r w:rsidR="004124B1" w:rsidRPr="00EC5E95">
        <w:rPr>
          <w:lang w:val="sk-SK"/>
        </w:rPr>
        <w:t xml:space="preserve"> sa rozvinula zjavná </w:t>
      </w:r>
      <w:proofErr w:type="spellStart"/>
      <w:r w:rsidR="004124B1" w:rsidRPr="00EC5E95">
        <w:rPr>
          <w:lang w:val="sk-SK"/>
        </w:rPr>
        <w:t>ne</w:t>
      </w:r>
      <w:r w:rsidRPr="00EC5E95">
        <w:rPr>
          <w:lang w:val="sk-SK"/>
        </w:rPr>
        <w:t>fropatia</w:t>
      </w:r>
      <w:proofErr w:type="spellEnd"/>
      <w:r w:rsidRPr="00EC5E95">
        <w:rPr>
          <w:lang w:val="sk-SK"/>
        </w:rPr>
        <w:t>, čo zodpovedalo RRR 24 </w:t>
      </w:r>
      <w:r w:rsidR="004124B1" w:rsidRPr="00EC5E95">
        <w:rPr>
          <w:lang w:val="sk-SK"/>
        </w:rPr>
        <w:t>%; 95</w:t>
      </w:r>
      <w:r w:rsidRPr="00EC5E95">
        <w:rPr>
          <w:lang w:val="sk-SK"/>
        </w:rPr>
        <w:t> </w:t>
      </w:r>
      <w:r w:rsidR="004124B1" w:rsidRPr="00EC5E95">
        <w:rPr>
          <w:lang w:val="sk-SK"/>
        </w:rPr>
        <w:t>% I</w:t>
      </w:r>
      <w:r w:rsidR="004E22A5" w:rsidRPr="00EC5E95">
        <w:rPr>
          <w:lang w:val="sk-SK"/>
        </w:rPr>
        <w:t>S</w:t>
      </w:r>
      <w:r w:rsidR="004124B1" w:rsidRPr="00EC5E95">
        <w:rPr>
          <w:lang w:val="sk-SK"/>
        </w:rPr>
        <w:t xml:space="preserve"> [3</w:t>
      </w:r>
      <w:r w:rsidR="001E636D">
        <w:rPr>
          <w:lang w:val="sk-SK"/>
        </w:rPr>
        <w:t> </w:t>
      </w:r>
      <w:r w:rsidR="00D008BA" w:rsidRPr="001E636D">
        <w:rPr>
          <w:lang w:val="sk-SK"/>
        </w:rPr>
        <w:t>–</w:t>
      </w:r>
      <w:r w:rsidR="001E636D">
        <w:rPr>
          <w:lang w:val="sk-SK"/>
        </w:rPr>
        <w:t> </w:t>
      </w:r>
      <w:r w:rsidR="004124B1" w:rsidRPr="00C3029B">
        <w:rPr>
          <w:lang w:val="sk-SK"/>
        </w:rPr>
        <w:t>40], p = 0,027.</w:t>
      </w:r>
    </w:p>
    <w:p w14:paraId="69AC5D30" w14:textId="6EFA9242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lastRenderedPageBreak/>
        <w:t xml:space="preserve">Štúdia REIN, </w:t>
      </w:r>
      <w:proofErr w:type="spellStart"/>
      <w:r w:rsidRPr="00EC5E95">
        <w:rPr>
          <w:lang w:val="sk-SK"/>
        </w:rPr>
        <w:t>multicentrická</w:t>
      </w:r>
      <w:proofErr w:type="spellEnd"/>
      <w:r w:rsidRPr="00EC5E95">
        <w:rPr>
          <w:lang w:val="sk-SK"/>
        </w:rPr>
        <w:t xml:space="preserve">, </w:t>
      </w:r>
      <w:proofErr w:type="spellStart"/>
      <w:r w:rsidRPr="00EC5E95">
        <w:rPr>
          <w:lang w:val="sk-SK"/>
        </w:rPr>
        <w:t>rand</w:t>
      </w:r>
      <w:r w:rsidR="00F11571" w:rsidRPr="00EC5E95">
        <w:rPr>
          <w:lang w:val="sk-SK"/>
        </w:rPr>
        <w:t>omizovaná</w:t>
      </w:r>
      <w:proofErr w:type="spellEnd"/>
      <w:r w:rsidR="00F11571" w:rsidRPr="00EC5E95">
        <w:rPr>
          <w:lang w:val="sk-SK"/>
        </w:rPr>
        <w:t>, dvojito zaslepená, s </w:t>
      </w:r>
      <w:r w:rsidRPr="00EC5E95">
        <w:rPr>
          <w:lang w:val="sk-SK"/>
        </w:rPr>
        <w:t xml:space="preserve">paralelnými skupinami, </w:t>
      </w:r>
      <w:proofErr w:type="spellStart"/>
      <w:r w:rsidRPr="00EC5E95">
        <w:rPr>
          <w:lang w:val="sk-SK"/>
        </w:rPr>
        <w:t>placebom</w:t>
      </w:r>
      <w:proofErr w:type="spellEnd"/>
      <w:r w:rsidRPr="00EC5E95">
        <w:rPr>
          <w:lang w:val="sk-SK"/>
        </w:rPr>
        <w:t xml:space="preserve"> kontrolovaná, zameraná na vyhodnotenie účinku liečby </w:t>
      </w:r>
      <w:proofErr w:type="spellStart"/>
      <w:r w:rsidRPr="00EC5E95">
        <w:rPr>
          <w:lang w:val="sk-SK"/>
        </w:rPr>
        <w:t>ramiprilom</w:t>
      </w:r>
      <w:proofErr w:type="spellEnd"/>
      <w:r w:rsidRPr="00EC5E95">
        <w:rPr>
          <w:lang w:val="sk-SK"/>
        </w:rPr>
        <w:t xml:space="preserve"> na rýchlosť poklesu </w:t>
      </w:r>
      <w:proofErr w:type="spellStart"/>
      <w:r w:rsidR="00F11571" w:rsidRPr="00EC5E95">
        <w:rPr>
          <w:lang w:val="sk-SK"/>
        </w:rPr>
        <w:t>glomerulárnej</w:t>
      </w:r>
      <w:proofErr w:type="spellEnd"/>
      <w:r w:rsidR="00F11571" w:rsidRPr="00EC5E95">
        <w:rPr>
          <w:lang w:val="sk-SK"/>
        </w:rPr>
        <w:t xml:space="preserve"> filtrácie (GFR) u </w:t>
      </w:r>
      <w:r w:rsidRPr="00EC5E95">
        <w:rPr>
          <w:lang w:val="sk-SK"/>
        </w:rPr>
        <w:t xml:space="preserve">352 </w:t>
      </w:r>
      <w:proofErr w:type="spellStart"/>
      <w:r w:rsidRPr="00EC5E95">
        <w:rPr>
          <w:lang w:val="sk-SK"/>
        </w:rPr>
        <w:t>normotenzných</w:t>
      </w:r>
      <w:proofErr w:type="spellEnd"/>
      <w:r w:rsidRPr="00EC5E95">
        <w:rPr>
          <w:lang w:val="sk-SK"/>
        </w:rPr>
        <w:t xml:space="preserve"> alebo </w:t>
      </w:r>
      <w:proofErr w:type="spellStart"/>
      <w:r w:rsidRPr="00EC5E95">
        <w:rPr>
          <w:lang w:val="sk-SK"/>
        </w:rPr>
        <w:t>hypertenzných</w:t>
      </w:r>
      <w:proofErr w:type="spellEnd"/>
      <w:r w:rsidRPr="00EC5E95">
        <w:rPr>
          <w:lang w:val="sk-SK"/>
        </w:rPr>
        <w:t xml:space="preserve"> pacientov (vo veku 18</w:t>
      </w:r>
      <w:r w:rsidR="001E636D">
        <w:rPr>
          <w:lang w:val="sk-SK"/>
        </w:rPr>
        <w:t> </w:t>
      </w:r>
      <w:r w:rsidR="00D008BA" w:rsidRPr="001E636D">
        <w:rPr>
          <w:lang w:val="sk-SK"/>
        </w:rPr>
        <w:t>–</w:t>
      </w:r>
      <w:r w:rsidR="001E636D">
        <w:rPr>
          <w:lang w:val="sk-SK"/>
        </w:rPr>
        <w:t> </w:t>
      </w:r>
      <w:r w:rsidRPr="001E636D">
        <w:rPr>
          <w:lang w:val="sk-SK"/>
        </w:rPr>
        <w:t>70 rok</w:t>
      </w:r>
      <w:r w:rsidR="00F11571" w:rsidRPr="001E636D">
        <w:rPr>
          <w:lang w:val="sk-SK"/>
        </w:rPr>
        <w:t>ov), ktorí mali miernu (t.j. </w:t>
      </w:r>
      <w:r w:rsidRPr="001E636D">
        <w:rPr>
          <w:lang w:val="sk-SK"/>
        </w:rPr>
        <w:t xml:space="preserve">priemernú </w:t>
      </w:r>
      <w:proofErr w:type="spellStart"/>
      <w:r w:rsidRPr="001E636D">
        <w:rPr>
          <w:lang w:val="sk-SK"/>
        </w:rPr>
        <w:t>urinárnu</w:t>
      </w:r>
      <w:proofErr w:type="spellEnd"/>
      <w:r w:rsidRPr="001E636D">
        <w:rPr>
          <w:lang w:val="sk-SK"/>
        </w:rPr>
        <w:t xml:space="preserve"> proteínovú exkréciu &gt; 1 a</w:t>
      </w:r>
      <w:r w:rsidR="001E636D">
        <w:rPr>
          <w:lang w:val="sk-SK"/>
        </w:rPr>
        <w:t> </w:t>
      </w:r>
      <w:r w:rsidR="00F11571" w:rsidRPr="001E636D">
        <w:rPr>
          <w:lang w:val="sk-SK"/>
        </w:rPr>
        <w:t>&lt; 3 </w:t>
      </w:r>
      <w:r w:rsidRPr="001E636D">
        <w:rPr>
          <w:lang w:val="sk-SK"/>
        </w:rPr>
        <w:t>g</w:t>
      </w:r>
      <w:r w:rsidR="00F11571" w:rsidRPr="001E636D">
        <w:rPr>
          <w:lang w:val="sk-SK"/>
        </w:rPr>
        <w:t xml:space="preserve">/24 h) alebo ťažkú </w:t>
      </w:r>
      <w:proofErr w:type="spellStart"/>
      <w:r w:rsidR="00F11571" w:rsidRPr="001E636D">
        <w:rPr>
          <w:lang w:val="sk-SK"/>
        </w:rPr>
        <w:t>proteinúriu</w:t>
      </w:r>
      <w:proofErr w:type="spellEnd"/>
      <w:r w:rsidR="00F11571" w:rsidRPr="001E636D">
        <w:rPr>
          <w:lang w:val="sk-SK"/>
        </w:rPr>
        <w:t xml:space="preserve"> (≥ 3 g/24 </w:t>
      </w:r>
      <w:r w:rsidRPr="00C3029B">
        <w:rPr>
          <w:lang w:val="sk-SK"/>
        </w:rPr>
        <w:t xml:space="preserve">h) zapríčinenú chronickou nediabetickou </w:t>
      </w:r>
      <w:proofErr w:type="spellStart"/>
      <w:r w:rsidRPr="00C3029B">
        <w:rPr>
          <w:lang w:val="sk-SK"/>
        </w:rPr>
        <w:t>nefropatiou</w:t>
      </w:r>
      <w:proofErr w:type="spellEnd"/>
      <w:r w:rsidRPr="00C3029B">
        <w:rPr>
          <w:lang w:val="sk-SK"/>
        </w:rPr>
        <w:t xml:space="preserve">. Obidve skupiny pacientov boli </w:t>
      </w:r>
      <w:proofErr w:type="spellStart"/>
      <w:r w:rsidRPr="00C3029B">
        <w:rPr>
          <w:lang w:val="sk-SK"/>
        </w:rPr>
        <w:t>prospektívne</w:t>
      </w:r>
      <w:proofErr w:type="spellEnd"/>
      <w:r w:rsidRPr="00C3029B">
        <w:rPr>
          <w:lang w:val="sk-SK"/>
        </w:rPr>
        <w:t xml:space="preserve"> stratifikované.</w:t>
      </w:r>
    </w:p>
    <w:p w14:paraId="147FED9B" w14:textId="67D34237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>Základná analýza pacient</w:t>
      </w:r>
      <w:r w:rsidR="00F11571" w:rsidRPr="00EC5E95">
        <w:rPr>
          <w:lang w:val="sk-SK"/>
        </w:rPr>
        <w:t xml:space="preserve">ov s najťažšou </w:t>
      </w:r>
      <w:proofErr w:type="spellStart"/>
      <w:r w:rsidR="00F11571" w:rsidRPr="00EC5E95">
        <w:rPr>
          <w:lang w:val="sk-SK"/>
        </w:rPr>
        <w:t>proteinúriou</w:t>
      </w:r>
      <w:proofErr w:type="spellEnd"/>
      <w:r w:rsidR="00F11571" w:rsidRPr="00EC5E95">
        <w:rPr>
          <w:lang w:val="sk-SK"/>
        </w:rPr>
        <w:t xml:space="preserve"> (u </w:t>
      </w:r>
      <w:r w:rsidRPr="00EC5E95">
        <w:rPr>
          <w:lang w:val="sk-SK"/>
        </w:rPr>
        <w:t>tejto skupiny pacientov bola štúdia pred</w:t>
      </w:r>
      <w:r w:rsidR="00F11571" w:rsidRPr="00EC5E95">
        <w:rPr>
          <w:lang w:val="sk-SK"/>
        </w:rPr>
        <w:t xml:space="preserve">časne ukončená kvôli </w:t>
      </w:r>
      <w:proofErr w:type="spellStart"/>
      <w:r w:rsidR="00F11571" w:rsidRPr="00EC5E95">
        <w:rPr>
          <w:lang w:val="sk-SK"/>
        </w:rPr>
        <w:t>benefitu</w:t>
      </w:r>
      <w:proofErr w:type="spellEnd"/>
      <w:r w:rsidR="00F11571" w:rsidRPr="00EC5E95">
        <w:rPr>
          <w:lang w:val="sk-SK"/>
        </w:rPr>
        <w:t xml:space="preserve"> v skupine s </w:t>
      </w:r>
      <w:proofErr w:type="spellStart"/>
      <w:r w:rsidRPr="00EC5E95">
        <w:rPr>
          <w:lang w:val="sk-SK"/>
        </w:rPr>
        <w:t>ramiprilom</w:t>
      </w:r>
      <w:proofErr w:type="spellEnd"/>
      <w:r w:rsidRPr="00EC5E95">
        <w:rPr>
          <w:lang w:val="sk-SK"/>
        </w:rPr>
        <w:t>) ukázala, že priemerná rýchlosť pokl</w:t>
      </w:r>
      <w:r w:rsidR="00F11571" w:rsidRPr="00EC5E95">
        <w:rPr>
          <w:lang w:val="sk-SK"/>
        </w:rPr>
        <w:t>esu GFR za mesiac bola nižšia s </w:t>
      </w:r>
      <w:proofErr w:type="spellStart"/>
      <w:r w:rsidR="00F11571" w:rsidRPr="00EC5E95">
        <w:rPr>
          <w:lang w:val="sk-SK"/>
        </w:rPr>
        <w:t>ramiprilom</w:t>
      </w:r>
      <w:proofErr w:type="spellEnd"/>
      <w:r w:rsidR="00F11571" w:rsidRPr="00EC5E95">
        <w:rPr>
          <w:lang w:val="sk-SK"/>
        </w:rPr>
        <w:t xml:space="preserve"> v porovnaní s </w:t>
      </w:r>
      <w:proofErr w:type="spellStart"/>
      <w:r w:rsidRPr="00EC5E95">
        <w:rPr>
          <w:lang w:val="sk-SK"/>
        </w:rPr>
        <w:t>placebom</w:t>
      </w:r>
      <w:proofErr w:type="spellEnd"/>
      <w:r w:rsidRPr="00EC5E95">
        <w:rPr>
          <w:lang w:val="sk-SK"/>
        </w:rPr>
        <w:t>; -0,54 (0,66) oproti -0,88 (1,</w:t>
      </w:r>
      <w:r w:rsidR="00F11571" w:rsidRPr="00EC5E95">
        <w:rPr>
          <w:lang w:val="sk-SK"/>
        </w:rPr>
        <w:t>03) </w:t>
      </w:r>
      <w:r w:rsidRPr="00EC5E95">
        <w:rPr>
          <w:lang w:val="sk-SK"/>
        </w:rPr>
        <w:t>ml/min/mesiac, p = 0,038. Rozdiel medzi skupinami bol teda 0,34 [0,03</w:t>
      </w:r>
      <w:r w:rsidR="001E636D">
        <w:rPr>
          <w:lang w:val="sk-SK"/>
        </w:rPr>
        <w:t> </w:t>
      </w:r>
      <w:r w:rsidR="00D008BA" w:rsidRPr="001E636D">
        <w:rPr>
          <w:lang w:val="sk-SK"/>
        </w:rPr>
        <w:t>–</w:t>
      </w:r>
      <w:r w:rsidR="001E636D">
        <w:rPr>
          <w:lang w:val="sk-SK"/>
        </w:rPr>
        <w:t> </w:t>
      </w:r>
      <w:r w:rsidR="00F11571" w:rsidRPr="001E636D">
        <w:rPr>
          <w:lang w:val="sk-SK"/>
        </w:rPr>
        <w:t>0,65] za mesiac a</w:t>
      </w:r>
      <w:r w:rsidR="001E636D">
        <w:rPr>
          <w:lang w:val="sk-SK"/>
        </w:rPr>
        <w:t> </w:t>
      </w:r>
      <w:r w:rsidR="00F11571" w:rsidRPr="00C3029B">
        <w:rPr>
          <w:lang w:val="sk-SK"/>
        </w:rPr>
        <w:t>okolo 4 ml/min/rok; 23,1 % pacientov v skupine s </w:t>
      </w:r>
      <w:proofErr w:type="spellStart"/>
      <w:r w:rsidRPr="00EC5E95">
        <w:rPr>
          <w:lang w:val="sk-SK"/>
        </w:rPr>
        <w:t>ramiprilom</w:t>
      </w:r>
      <w:proofErr w:type="spellEnd"/>
      <w:r w:rsidRPr="00EC5E95">
        <w:rPr>
          <w:lang w:val="sk-SK"/>
        </w:rPr>
        <w:t xml:space="preserve"> dosiahlo kombinovaný sekundárny koncový ukazovateľ zdvojnásobenie východiskovej koncentrácie </w:t>
      </w:r>
      <w:proofErr w:type="spellStart"/>
      <w:r w:rsidRPr="00EC5E95">
        <w:rPr>
          <w:lang w:val="sk-SK"/>
        </w:rPr>
        <w:t>kreatinín</w:t>
      </w:r>
      <w:r w:rsidR="00F11571" w:rsidRPr="00EC5E95">
        <w:rPr>
          <w:lang w:val="sk-SK"/>
        </w:rPr>
        <w:t>u</w:t>
      </w:r>
      <w:proofErr w:type="spellEnd"/>
      <w:r w:rsidR="00F11571" w:rsidRPr="00EC5E95">
        <w:rPr>
          <w:lang w:val="sk-SK"/>
        </w:rPr>
        <w:t xml:space="preserve"> v </w:t>
      </w:r>
      <w:r w:rsidRPr="00EC5E95">
        <w:rPr>
          <w:lang w:val="sk-SK"/>
        </w:rPr>
        <w:t>sére a/alebo posledný stupeň ochorenia obličiek (“</w:t>
      </w:r>
      <w:proofErr w:type="spellStart"/>
      <w:r w:rsidRPr="00EC5E95">
        <w:rPr>
          <w:lang w:val="sk-SK"/>
        </w:rPr>
        <w:t>end-stage</w:t>
      </w:r>
      <w:proofErr w:type="spellEnd"/>
      <w:r w:rsidRPr="00EC5E95">
        <w:rPr>
          <w:lang w:val="sk-SK"/>
        </w:rPr>
        <w:t xml:space="preserve"> </w:t>
      </w:r>
      <w:proofErr w:type="spellStart"/>
      <w:r w:rsidRPr="00EC5E95">
        <w:rPr>
          <w:lang w:val="sk-SK"/>
        </w:rPr>
        <w:t>of</w:t>
      </w:r>
      <w:proofErr w:type="spellEnd"/>
      <w:r w:rsidRPr="00EC5E95">
        <w:rPr>
          <w:lang w:val="sk-SK"/>
        </w:rPr>
        <w:t xml:space="preserve"> </w:t>
      </w:r>
      <w:proofErr w:type="spellStart"/>
      <w:r w:rsidRPr="00EC5E95">
        <w:rPr>
          <w:lang w:val="sk-SK"/>
        </w:rPr>
        <w:t>renal</w:t>
      </w:r>
      <w:proofErr w:type="spellEnd"/>
      <w:r w:rsidRPr="00EC5E95">
        <w:rPr>
          <w:lang w:val="sk-SK"/>
        </w:rPr>
        <w:t xml:space="preserve"> </w:t>
      </w:r>
      <w:proofErr w:type="spellStart"/>
      <w:r w:rsidRPr="00EC5E95">
        <w:rPr>
          <w:lang w:val="sk-SK"/>
        </w:rPr>
        <w:t>disease</w:t>
      </w:r>
      <w:proofErr w:type="spellEnd"/>
      <w:r w:rsidRPr="00EC5E95">
        <w:rPr>
          <w:lang w:val="sk-SK"/>
        </w:rPr>
        <w:t xml:space="preserve">” - ESRD) (potreba dialýzy alebo </w:t>
      </w:r>
      <w:r w:rsidR="00F11571" w:rsidRPr="00EC5E95">
        <w:rPr>
          <w:lang w:val="sk-SK"/>
        </w:rPr>
        <w:t>transplantácie obličiek), kým v skupine s </w:t>
      </w:r>
      <w:proofErr w:type="spellStart"/>
      <w:r w:rsidR="00F11571" w:rsidRPr="00EC5E95">
        <w:rPr>
          <w:lang w:val="sk-SK"/>
        </w:rPr>
        <w:t>placebom</w:t>
      </w:r>
      <w:proofErr w:type="spellEnd"/>
      <w:r w:rsidR="00F11571" w:rsidRPr="00EC5E95">
        <w:rPr>
          <w:lang w:val="sk-SK"/>
        </w:rPr>
        <w:t xml:space="preserve"> to bolo 45,5 </w:t>
      </w:r>
      <w:r w:rsidRPr="00EC5E95">
        <w:rPr>
          <w:lang w:val="sk-SK"/>
        </w:rPr>
        <w:t>% pacientov (p = 0,02).</w:t>
      </w:r>
    </w:p>
    <w:p w14:paraId="0ACB0DC2" w14:textId="77777777" w:rsidR="00305587" w:rsidRPr="006B2B62" w:rsidRDefault="00305587" w:rsidP="0087630B">
      <w:pPr>
        <w:pStyle w:val="Styl3"/>
        <w:rPr>
          <w:lang w:val="sk-SK"/>
        </w:rPr>
      </w:pPr>
      <w:r w:rsidRPr="006B2B62">
        <w:rPr>
          <w:lang w:val="sk-SK"/>
        </w:rPr>
        <w:t>Duálna blokáda systému renín-angiotenzín-aldosterónu (RAAS)</w:t>
      </w:r>
    </w:p>
    <w:p w14:paraId="2ADB72AA" w14:textId="77777777" w:rsidR="00642ED6" w:rsidRPr="00EC5E95" w:rsidRDefault="00642ED6" w:rsidP="00642ED6">
      <w:pPr>
        <w:pStyle w:val="Normlndobloku"/>
        <w:rPr>
          <w:lang w:val="sk-SK"/>
        </w:rPr>
      </w:pPr>
      <w:r w:rsidRPr="00EC5E95">
        <w:rPr>
          <w:lang w:val="sk-SK"/>
        </w:rPr>
        <w:t xml:space="preserve">Dve rozsiahle </w:t>
      </w:r>
      <w:proofErr w:type="spellStart"/>
      <w:r w:rsidRPr="00EC5E95">
        <w:rPr>
          <w:lang w:val="sk-SK"/>
        </w:rPr>
        <w:t>randomizované</w:t>
      </w:r>
      <w:proofErr w:type="spellEnd"/>
      <w:r w:rsidRPr="00EC5E95">
        <w:rPr>
          <w:lang w:val="sk-SK"/>
        </w:rPr>
        <w:t>, kontrolované klinické skúšania (ONTARGET (</w:t>
      </w:r>
      <w:proofErr w:type="spellStart"/>
      <w:r w:rsidRPr="00EC5E95">
        <w:rPr>
          <w:lang w:val="sk-SK"/>
        </w:rPr>
        <w:t>ONgoing</w:t>
      </w:r>
      <w:proofErr w:type="spellEnd"/>
      <w:r w:rsidRPr="00EC5E95">
        <w:rPr>
          <w:lang w:val="sk-SK"/>
        </w:rPr>
        <w:t xml:space="preserve"> </w:t>
      </w:r>
      <w:proofErr w:type="spellStart"/>
      <w:r w:rsidRPr="00EC5E95">
        <w:rPr>
          <w:lang w:val="sk-SK"/>
        </w:rPr>
        <w:t>Telmisartan</w:t>
      </w:r>
      <w:proofErr w:type="spellEnd"/>
      <w:r w:rsidRPr="00EC5E95">
        <w:rPr>
          <w:lang w:val="sk-SK"/>
        </w:rPr>
        <w:t xml:space="preserve"> </w:t>
      </w:r>
      <w:proofErr w:type="spellStart"/>
      <w:r w:rsidRPr="00EC5E95">
        <w:rPr>
          <w:lang w:val="sk-SK"/>
        </w:rPr>
        <w:t>Alone</w:t>
      </w:r>
      <w:proofErr w:type="spellEnd"/>
      <w:r w:rsidRPr="00EC5E95">
        <w:rPr>
          <w:lang w:val="sk-SK"/>
        </w:rPr>
        <w:t xml:space="preserve"> and in </w:t>
      </w:r>
      <w:proofErr w:type="spellStart"/>
      <w:r w:rsidRPr="00EC5E95">
        <w:rPr>
          <w:lang w:val="sk-SK"/>
        </w:rPr>
        <w:t>combination</w:t>
      </w:r>
      <w:proofErr w:type="spellEnd"/>
      <w:r w:rsidRPr="00EC5E95">
        <w:rPr>
          <w:lang w:val="sk-SK"/>
        </w:rPr>
        <w:t xml:space="preserve"> </w:t>
      </w:r>
      <w:proofErr w:type="spellStart"/>
      <w:r w:rsidRPr="00EC5E95">
        <w:rPr>
          <w:lang w:val="sk-SK"/>
        </w:rPr>
        <w:t>with</w:t>
      </w:r>
      <w:proofErr w:type="spellEnd"/>
      <w:r w:rsidRPr="00EC5E95">
        <w:rPr>
          <w:lang w:val="sk-SK"/>
        </w:rPr>
        <w:t xml:space="preserve"> </w:t>
      </w:r>
      <w:proofErr w:type="spellStart"/>
      <w:r w:rsidRPr="00EC5E95">
        <w:rPr>
          <w:lang w:val="sk-SK"/>
        </w:rPr>
        <w:t>Ra</w:t>
      </w:r>
      <w:r w:rsidR="00F11571" w:rsidRPr="00EC5E95">
        <w:rPr>
          <w:lang w:val="sk-SK"/>
        </w:rPr>
        <w:t>mipril</w:t>
      </w:r>
      <w:proofErr w:type="spellEnd"/>
      <w:r w:rsidR="00F11571" w:rsidRPr="00EC5E95">
        <w:rPr>
          <w:lang w:val="sk-SK"/>
        </w:rPr>
        <w:t xml:space="preserve"> </w:t>
      </w:r>
      <w:proofErr w:type="spellStart"/>
      <w:r w:rsidR="00F11571" w:rsidRPr="00EC5E95">
        <w:rPr>
          <w:lang w:val="sk-SK"/>
        </w:rPr>
        <w:t>Global</w:t>
      </w:r>
      <w:proofErr w:type="spellEnd"/>
      <w:r w:rsidR="00F11571" w:rsidRPr="00EC5E95">
        <w:rPr>
          <w:lang w:val="sk-SK"/>
        </w:rPr>
        <w:t xml:space="preserve"> </w:t>
      </w:r>
      <w:proofErr w:type="spellStart"/>
      <w:r w:rsidR="00F11571" w:rsidRPr="00EC5E95">
        <w:rPr>
          <w:lang w:val="sk-SK"/>
        </w:rPr>
        <w:t>Endpoint</w:t>
      </w:r>
      <w:proofErr w:type="spellEnd"/>
      <w:r w:rsidR="00F11571" w:rsidRPr="00EC5E95">
        <w:rPr>
          <w:lang w:val="sk-SK"/>
        </w:rPr>
        <w:t xml:space="preserve"> Trial) a </w:t>
      </w:r>
      <w:r w:rsidRPr="00EC5E95">
        <w:rPr>
          <w:lang w:val="sk-SK"/>
        </w:rPr>
        <w:t>VA NEPHRON-D (</w:t>
      </w:r>
      <w:proofErr w:type="spellStart"/>
      <w:r w:rsidRPr="00EC5E95">
        <w:rPr>
          <w:lang w:val="sk-SK"/>
        </w:rPr>
        <w:t>The</w:t>
      </w:r>
      <w:proofErr w:type="spellEnd"/>
      <w:r w:rsidRPr="00EC5E95">
        <w:rPr>
          <w:lang w:val="sk-SK"/>
        </w:rPr>
        <w:t xml:space="preserve"> </w:t>
      </w:r>
      <w:proofErr w:type="spellStart"/>
      <w:r w:rsidRPr="00EC5E95">
        <w:rPr>
          <w:lang w:val="sk-SK"/>
        </w:rPr>
        <w:t>Veterans</w:t>
      </w:r>
      <w:proofErr w:type="spellEnd"/>
      <w:r w:rsidRPr="00EC5E95">
        <w:rPr>
          <w:lang w:val="sk-SK"/>
        </w:rPr>
        <w:t xml:space="preserve"> </w:t>
      </w:r>
      <w:proofErr w:type="spellStart"/>
      <w:r w:rsidRPr="00EC5E95">
        <w:rPr>
          <w:lang w:val="sk-SK"/>
        </w:rPr>
        <w:t>Affairs</w:t>
      </w:r>
      <w:proofErr w:type="spellEnd"/>
      <w:r w:rsidRPr="00EC5E95">
        <w:rPr>
          <w:lang w:val="sk-SK"/>
        </w:rPr>
        <w:t xml:space="preserve"> </w:t>
      </w:r>
      <w:proofErr w:type="spellStart"/>
      <w:r w:rsidRPr="00EC5E95">
        <w:rPr>
          <w:lang w:val="sk-SK"/>
        </w:rPr>
        <w:t>Nephropathy</w:t>
      </w:r>
      <w:proofErr w:type="spellEnd"/>
      <w:r w:rsidRPr="00EC5E95">
        <w:rPr>
          <w:lang w:val="sk-SK"/>
        </w:rPr>
        <w:t xml:space="preserve"> in Diabetes)) skúmali použi</w:t>
      </w:r>
      <w:r w:rsidR="00F11571" w:rsidRPr="00EC5E95">
        <w:rPr>
          <w:lang w:val="sk-SK"/>
        </w:rPr>
        <w:t>tie kombinácie inhibítora ACE a </w:t>
      </w:r>
      <w:proofErr w:type="spellStart"/>
      <w:r w:rsidRPr="00EC5E95">
        <w:rPr>
          <w:lang w:val="sk-SK"/>
        </w:rPr>
        <w:t>blokátora</w:t>
      </w:r>
      <w:proofErr w:type="spellEnd"/>
      <w:r w:rsidRPr="00EC5E95">
        <w:rPr>
          <w:lang w:val="sk-SK"/>
        </w:rPr>
        <w:t xml:space="preserve"> receptorov </w:t>
      </w:r>
      <w:proofErr w:type="spellStart"/>
      <w:r w:rsidRPr="00EC5E95">
        <w:rPr>
          <w:lang w:val="sk-SK"/>
        </w:rPr>
        <w:t>angiotenzínu</w:t>
      </w:r>
      <w:proofErr w:type="spellEnd"/>
      <w:r w:rsidRPr="00EC5E95">
        <w:rPr>
          <w:lang w:val="sk-SK"/>
        </w:rPr>
        <w:t xml:space="preserve"> II.</w:t>
      </w:r>
    </w:p>
    <w:p w14:paraId="3FCABD86" w14:textId="77777777" w:rsidR="00642ED6" w:rsidRPr="00EC5E95" w:rsidRDefault="00642ED6" w:rsidP="00642ED6">
      <w:pPr>
        <w:pStyle w:val="Normlndobloku"/>
        <w:rPr>
          <w:lang w:val="sk-SK"/>
        </w:rPr>
      </w:pPr>
      <w:r w:rsidRPr="00EC5E95">
        <w:rPr>
          <w:lang w:val="sk-SK"/>
        </w:rPr>
        <w:t>Skúšanie ONT</w:t>
      </w:r>
      <w:r w:rsidR="00F11571" w:rsidRPr="00EC5E95">
        <w:rPr>
          <w:lang w:val="sk-SK"/>
        </w:rPr>
        <w:t>ARGET sa vykonalo u pacientov s </w:t>
      </w:r>
      <w:r w:rsidRPr="00EC5E95">
        <w:rPr>
          <w:lang w:val="sk-SK"/>
        </w:rPr>
        <w:t>kardiovaskulárnym alebo</w:t>
      </w:r>
      <w:r w:rsidR="00F11571" w:rsidRPr="00EC5E95">
        <w:rPr>
          <w:lang w:val="sk-SK"/>
        </w:rPr>
        <w:t xml:space="preserve"> </w:t>
      </w:r>
      <w:proofErr w:type="spellStart"/>
      <w:r w:rsidR="00F11571" w:rsidRPr="00EC5E95">
        <w:rPr>
          <w:lang w:val="sk-SK"/>
        </w:rPr>
        <w:t>cerebrovaskulárnym</w:t>
      </w:r>
      <w:proofErr w:type="spellEnd"/>
      <w:r w:rsidR="00F11571" w:rsidRPr="00EC5E95">
        <w:rPr>
          <w:lang w:val="sk-SK"/>
        </w:rPr>
        <w:t xml:space="preserve"> ochorením v anamnéze, alebo u </w:t>
      </w:r>
      <w:r w:rsidRPr="00EC5E95">
        <w:rPr>
          <w:lang w:val="sk-SK"/>
        </w:rPr>
        <w:t>pacien</w:t>
      </w:r>
      <w:r w:rsidR="00F11571" w:rsidRPr="00EC5E95">
        <w:rPr>
          <w:lang w:val="sk-SK"/>
        </w:rPr>
        <w:t xml:space="preserve">tov s diabetes </w:t>
      </w:r>
      <w:proofErr w:type="spellStart"/>
      <w:r w:rsidR="00F11571" w:rsidRPr="00EC5E95">
        <w:rPr>
          <w:lang w:val="sk-SK"/>
        </w:rPr>
        <w:t>mellitus</w:t>
      </w:r>
      <w:proofErr w:type="spellEnd"/>
      <w:r w:rsidR="00F11571" w:rsidRPr="00EC5E95">
        <w:rPr>
          <w:lang w:val="sk-SK"/>
        </w:rPr>
        <w:t xml:space="preserve"> 2. typu, u </w:t>
      </w:r>
      <w:r w:rsidRPr="00EC5E95">
        <w:rPr>
          <w:lang w:val="sk-SK"/>
        </w:rPr>
        <w:t>ktorých sa preukázalo poškodenie cieľových orgánov. Skúš</w:t>
      </w:r>
      <w:r w:rsidR="00F11571" w:rsidRPr="00EC5E95">
        <w:rPr>
          <w:lang w:val="sk-SK"/>
        </w:rPr>
        <w:t>anie VA NEPHRON-D sa vykonalo u </w:t>
      </w:r>
      <w:r w:rsidRPr="00EC5E95">
        <w:rPr>
          <w:lang w:val="sk-SK"/>
        </w:rPr>
        <w:t>paciento</w:t>
      </w:r>
      <w:r w:rsidR="00F11571" w:rsidRPr="00EC5E95">
        <w:rPr>
          <w:lang w:val="sk-SK"/>
        </w:rPr>
        <w:t>v s </w:t>
      </w:r>
      <w:r w:rsidR="001C3DB2" w:rsidRPr="00EC5E95">
        <w:rPr>
          <w:lang w:val="sk-SK"/>
        </w:rPr>
        <w:t xml:space="preserve">diabetes </w:t>
      </w:r>
      <w:proofErr w:type="spellStart"/>
      <w:r w:rsidR="001C3DB2" w:rsidRPr="00EC5E95">
        <w:rPr>
          <w:lang w:val="sk-SK"/>
        </w:rPr>
        <w:t>mellitus</w:t>
      </w:r>
      <w:proofErr w:type="spellEnd"/>
      <w:r w:rsidR="001C3DB2" w:rsidRPr="00EC5E95">
        <w:rPr>
          <w:lang w:val="sk-SK"/>
        </w:rPr>
        <w:t xml:space="preserve"> 2. typu a </w:t>
      </w:r>
      <w:r w:rsidRPr="00EC5E95">
        <w:rPr>
          <w:lang w:val="sk-SK"/>
        </w:rPr>
        <w:t xml:space="preserve">diabetickou </w:t>
      </w:r>
      <w:proofErr w:type="spellStart"/>
      <w:r w:rsidRPr="00EC5E95">
        <w:rPr>
          <w:lang w:val="sk-SK"/>
        </w:rPr>
        <w:t>nefropatiou</w:t>
      </w:r>
      <w:proofErr w:type="spellEnd"/>
      <w:r w:rsidRPr="00EC5E95">
        <w:rPr>
          <w:lang w:val="sk-SK"/>
        </w:rPr>
        <w:t>.</w:t>
      </w:r>
    </w:p>
    <w:p w14:paraId="5FD58862" w14:textId="77777777" w:rsidR="00642ED6" w:rsidRPr="00EC5E95" w:rsidRDefault="00642ED6" w:rsidP="00642ED6">
      <w:pPr>
        <w:pStyle w:val="Normlndobloku"/>
        <w:rPr>
          <w:lang w:val="sk-SK"/>
        </w:rPr>
      </w:pPr>
      <w:r w:rsidRPr="00EC5E95">
        <w:rPr>
          <w:lang w:val="sk-SK"/>
        </w:rPr>
        <w:t xml:space="preserve">Tieto skúšania neukázali významný priaznivý účinok na </w:t>
      </w:r>
      <w:proofErr w:type="spellStart"/>
      <w:r w:rsidRPr="00EC5E95">
        <w:rPr>
          <w:lang w:val="sk-SK"/>
        </w:rPr>
        <w:t>renálne</w:t>
      </w:r>
      <w:proofErr w:type="spellEnd"/>
      <w:r w:rsidRPr="00EC5E95">
        <w:rPr>
          <w:lang w:val="sk-SK"/>
        </w:rPr>
        <w:t xml:space="preserve"> a/alebo</w:t>
      </w:r>
      <w:r w:rsidR="001C3DB2" w:rsidRPr="00EC5E95">
        <w:rPr>
          <w:lang w:val="sk-SK"/>
        </w:rPr>
        <w:t xml:space="preserve"> kardiovaskulárne ukazovatele a </w:t>
      </w:r>
      <w:r w:rsidR="00F11571" w:rsidRPr="00EC5E95">
        <w:rPr>
          <w:lang w:val="sk-SK"/>
        </w:rPr>
        <w:t>mortalitu, zatiaľ čo v porovnaní s </w:t>
      </w:r>
      <w:proofErr w:type="spellStart"/>
      <w:r w:rsidRPr="00EC5E95">
        <w:rPr>
          <w:lang w:val="sk-SK"/>
        </w:rPr>
        <w:t>monoterapiou</w:t>
      </w:r>
      <w:proofErr w:type="spellEnd"/>
      <w:r w:rsidRPr="00EC5E95">
        <w:rPr>
          <w:lang w:val="sk-SK"/>
        </w:rPr>
        <w:t xml:space="preserve"> sa pozorovalo zvýšené riziko </w:t>
      </w:r>
      <w:proofErr w:type="spellStart"/>
      <w:r w:rsidRPr="00EC5E95">
        <w:rPr>
          <w:lang w:val="sk-SK"/>
        </w:rPr>
        <w:t>hyperkaliémie</w:t>
      </w:r>
      <w:proofErr w:type="spellEnd"/>
      <w:r w:rsidRPr="00EC5E95">
        <w:rPr>
          <w:lang w:val="sk-SK"/>
        </w:rPr>
        <w:t xml:space="preserve">, akútneho poškodenia obličiek a/alebo hypotenzie. Vzhľadom na podobné </w:t>
      </w:r>
      <w:proofErr w:type="spellStart"/>
      <w:r w:rsidRPr="00EC5E95">
        <w:rPr>
          <w:lang w:val="sk-SK"/>
        </w:rPr>
        <w:t>farmakodynamické</w:t>
      </w:r>
      <w:proofErr w:type="spellEnd"/>
      <w:r w:rsidRPr="00EC5E95">
        <w:rPr>
          <w:lang w:val="sk-SK"/>
        </w:rPr>
        <w:t xml:space="preserve"> vlastnosti sú tieto výsledky relevantné aj pr</w:t>
      </w:r>
      <w:r w:rsidR="00F11571" w:rsidRPr="00EC5E95">
        <w:rPr>
          <w:lang w:val="sk-SK"/>
        </w:rPr>
        <w:t>e ostatné inhibítory ACE a </w:t>
      </w:r>
      <w:proofErr w:type="spellStart"/>
      <w:r w:rsidRPr="00EC5E95">
        <w:rPr>
          <w:lang w:val="sk-SK"/>
        </w:rPr>
        <w:t>blokátory</w:t>
      </w:r>
      <w:proofErr w:type="spellEnd"/>
      <w:r w:rsidRPr="00EC5E95">
        <w:rPr>
          <w:lang w:val="sk-SK"/>
        </w:rPr>
        <w:t xml:space="preserve"> receptorov </w:t>
      </w:r>
      <w:proofErr w:type="spellStart"/>
      <w:r w:rsidRPr="00EC5E95">
        <w:rPr>
          <w:lang w:val="sk-SK"/>
        </w:rPr>
        <w:t>angiotenzínu</w:t>
      </w:r>
      <w:proofErr w:type="spellEnd"/>
      <w:r w:rsidRPr="00EC5E95">
        <w:rPr>
          <w:lang w:val="sk-SK"/>
        </w:rPr>
        <w:t xml:space="preserve"> II.</w:t>
      </w:r>
    </w:p>
    <w:p w14:paraId="1DDDF51D" w14:textId="77777777" w:rsidR="00642ED6" w:rsidRPr="00EC5E95" w:rsidRDefault="00F11571" w:rsidP="00642ED6">
      <w:pPr>
        <w:pStyle w:val="Normlndobloku"/>
        <w:rPr>
          <w:lang w:val="sk-SK"/>
        </w:rPr>
      </w:pPr>
      <w:r w:rsidRPr="00EC5E95">
        <w:rPr>
          <w:lang w:val="sk-SK"/>
        </w:rPr>
        <w:t>Inhibítory ACE a </w:t>
      </w:r>
      <w:proofErr w:type="spellStart"/>
      <w:r w:rsidR="00642ED6" w:rsidRPr="00EC5E95">
        <w:rPr>
          <w:lang w:val="sk-SK"/>
        </w:rPr>
        <w:t>blokátory</w:t>
      </w:r>
      <w:proofErr w:type="spellEnd"/>
      <w:r w:rsidR="00642ED6" w:rsidRPr="00EC5E95">
        <w:rPr>
          <w:lang w:val="sk-SK"/>
        </w:rPr>
        <w:t xml:space="preserve"> receptorov </w:t>
      </w:r>
      <w:proofErr w:type="spellStart"/>
      <w:r w:rsidR="00642ED6" w:rsidRPr="00EC5E95">
        <w:rPr>
          <w:lang w:val="sk-SK"/>
        </w:rPr>
        <w:t>angiotenzínu</w:t>
      </w:r>
      <w:proofErr w:type="spellEnd"/>
      <w:r w:rsidR="00642ED6" w:rsidRPr="00EC5E95">
        <w:rPr>
          <w:lang w:val="sk-SK"/>
        </w:rPr>
        <w:t xml:space="preserve"> II sa preto nemajú</w:t>
      </w:r>
      <w:r w:rsidRPr="00EC5E95">
        <w:rPr>
          <w:lang w:val="sk-SK"/>
        </w:rPr>
        <w:t xml:space="preserve"> používať súbežne u </w:t>
      </w:r>
      <w:r w:rsidR="001C3DB2" w:rsidRPr="00EC5E95">
        <w:rPr>
          <w:lang w:val="sk-SK"/>
        </w:rPr>
        <w:t>pacientov s </w:t>
      </w:r>
      <w:r w:rsidR="00642ED6" w:rsidRPr="00EC5E95">
        <w:rPr>
          <w:lang w:val="sk-SK"/>
        </w:rPr>
        <w:t xml:space="preserve">diabetickou </w:t>
      </w:r>
      <w:proofErr w:type="spellStart"/>
      <w:r w:rsidR="00642ED6" w:rsidRPr="00EC5E95">
        <w:rPr>
          <w:lang w:val="sk-SK"/>
        </w:rPr>
        <w:t>nefropatiou</w:t>
      </w:r>
      <w:proofErr w:type="spellEnd"/>
      <w:r w:rsidR="00642ED6" w:rsidRPr="00EC5E95">
        <w:rPr>
          <w:lang w:val="sk-SK"/>
        </w:rPr>
        <w:t>.</w:t>
      </w:r>
    </w:p>
    <w:p w14:paraId="67112762" w14:textId="77777777" w:rsidR="00642ED6" w:rsidRPr="00EC5E95" w:rsidRDefault="00642ED6" w:rsidP="00642ED6">
      <w:pPr>
        <w:pStyle w:val="Normlndobloku"/>
        <w:rPr>
          <w:lang w:val="sk-SK"/>
        </w:rPr>
      </w:pPr>
      <w:r w:rsidRPr="00EC5E95">
        <w:rPr>
          <w:lang w:val="sk-SK"/>
        </w:rPr>
        <w:t>Skúšanie ALTITUDE (</w:t>
      </w:r>
      <w:proofErr w:type="spellStart"/>
      <w:r w:rsidRPr="00EC5E95">
        <w:rPr>
          <w:lang w:val="sk-SK"/>
        </w:rPr>
        <w:t>Aliskiren</w:t>
      </w:r>
      <w:proofErr w:type="spellEnd"/>
      <w:r w:rsidRPr="00EC5E95">
        <w:rPr>
          <w:lang w:val="sk-SK"/>
        </w:rPr>
        <w:t xml:space="preserve"> Trial in Type 2 Diabetes </w:t>
      </w:r>
      <w:proofErr w:type="spellStart"/>
      <w:r w:rsidRPr="00EC5E95">
        <w:rPr>
          <w:lang w:val="sk-SK"/>
        </w:rPr>
        <w:t>Using</w:t>
      </w:r>
      <w:proofErr w:type="spellEnd"/>
      <w:r w:rsidRPr="00EC5E95">
        <w:rPr>
          <w:lang w:val="sk-SK"/>
        </w:rPr>
        <w:t xml:space="preserve"> </w:t>
      </w:r>
      <w:proofErr w:type="spellStart"/>
      <w:r w:rsidRPr="00EC5E95">
        <w:rPr>
          <w:lang w:val="sk-SK"/>
        </w:rPr>
        <w:t>Cardiovascular</w:t>
      </w:r>
      <w:proofErr w:type="spellEnd"/>
      <w:r w:rsidRPr="00EC5E95">
        <w:rPr>
          <w:lang w:val="sk-SK"/>
        </w:rPr>
        <w:t xml:space="preserve"> and </w:t>
      </w:r>
      <w:proofErr w:type="spellStart"/>
      <w:r w:rsidRPr="00EC5E95">
        <w:rPr>
          <w:lang w:val="sk-SK"/>
        </w:rPr>
        <w:t>Renal</w:t>
      </w:r>
      <w:proofErr w:type="spellEnd"/>
      <w:r w:rsidRPr="00EC5E95">
        <w:rPr>
          <w:lang w:val="sk-SK"/>
        </w:rPr>
        <w:t xml:space="preserve"> </w:t>
      </w:r>
      <w:proofErr w:type="spellStart"/>
      <w:r w:rsidRPr="00EC5E95">
        <w:rPr>
          <w:lang w:val="sk-SK"/>
        </w:rPr>
        <w:t>Disease</w:t>
      </w:r>
      <w:proofErr w:type="spellEnd"/>
      <w:r w:rsidRPr="00EC5E95">
        <w:rPr>
          <w:lang w:val="sk-SK"/>
        </w:rPr>
        <w:t xml:space="preserve"> </w:t>
      </w:r>
      <w:proofErr w:type="spellStart"/>
      <w:r w:rsidRPr="00EC5E95">
        <w:rPr>
          <w:lang w:val="sk-SK"/>
        </w:rPr>
        <w:t>Endpoints</w:t>
      </w:r>
      <w:proofErr w:type="spellEnd"/>
      <w:r w:rsidRPr="00EC5E95">
        <w:rPr>
          <w:lang w:val="sk-SK"/>
        </w:rPr>
        <w:t>) bolo navrhnuté na otestovani</w:t>
      </w:r>
      <w:r w:rsidR="00F11571" w:rsidRPr="00EC5E95">
        <w:rPr>
          <w:lang w:val="sk-SK"/>
        </w:rPr>
        <w:t xml:space="preserve">e prínosu pridania </w:t>
      </w:r>
      <w:proofErr w:type="spellStart"/>
      <w:r w:rsidR="00F11571" w:rsidRPr="00EC5E95">
        <w:rPr>
          <w:lang w:val="sk-SK"/>
        </w:rPr>
        <w:t>aliskirenu</w:t>
      </w:r>
      <w:proofErr w:type="spellEnd"/>
      <w:r w:rsidR="00F11571" w:rsidRPr="00EC5E95">
        <w:rPr>
          <w:lang w:val="sk-SK"/>
        </w:rPr>
        <w:t xml:space="preserve"> k </w:t>
      </w:r>
      <w:r w:rsidRPr="00EC5E95">
        <w:rPr>
          <w:lang w:val="sk-SK"/>
        </w:rPr>
        <w:t xml:space="preserve">štandardnej liečbe inhibítorom ACE alebo </w:t>
      </w:r>
      <w:proofErr w:type="spellStart"/>
      <w:r w:rsidRPr="00EC5E95">
        <w:rPr>
          <w:lang w:val="sk-SK"/>
        </w:rPr>
        <w:t>blokátor</w:t>
      </w:r>
      <w:r w:rsidR="00F11571" w:rsidRPr="00EC5E95">
        <w:rPr>
          <w:lang w:val="sk-SK"/>
        </w:rPr>
        <w:t>om</w:t>
      </w:r>
      <w:proofErr w:type="spellEnd"/>
      <w:r w:rsidR="00F11571" w:rsidRPr="00EC5E95">
        <w:rPr>
          <w:lang w:val="sk-SK"/>
        </w:rPr>
        <w:t xml:space="preserve"> receptorov </w:t>
      </w:r>
      <w:proofErr w:type="spellStart"/>
      <w:r w:rsidR="00F11571" w:rsidRPr="00EC5E95">
        <w:rPr>
          <w:lang w:val="sk-SK"/>
        </w:rPr>
        <w:t>angiotenzínu</w:t>
      </w:r>
      <w:proofErr w:type="spellEnd"/>
      <w:r w:rsidR="00F11571" w:rsidRPr="00EC5E95">
        <w:rPr>
          <w:lang w:val="sk-SK"/>
        </w:rPr>
        <w:t xml:space="preserve"> II u pacientov s diabetes </w:t>
      </w:r>
      <w:proofErr w:type="spellStart"/>
      <w:r w:rsidR="00F11571" w:rsidRPr="00EC5E95">
        <w:rPr>
          <w:lang w:val="sk-SK"/>
        </w:rPr>
        <w:t>mellitus</w:t>
      </w:r>
      <w:proofErr w:type="spellEnd"/>
      <w:r w:rsidR="00F11571" w:rsidRPr="00EC5E95">
        <w:rPr>
          <w:lang w:val="sk-SK"/>
        </w:rPr>
        <w:t xml:space="preserve"> 2. typu a </w:t>
      </w:r>
      <w:r w:rsidRPr="00EC5E95">
        <w:rPr>
          <w:lang w:val="sk-SK"/>
        </w:rPr>
        <w:t>chronickým ochorením obličiek, kardiovaskulárnym ochorením, alebo oboma ochoreniami. Skúšanie bolo predčasne ukončené pre zvýšené</w:t>
      </w:r>
      <w:r w:rsidR="00F11571" w:rsidRPr="00EC5E95">
        <w:rPr>
          <w:lang w:val="sk-SK"/>
        </w:rPr>
        <w:t xml:space="preserve"> riziko nežiaducich udalostí. V </w:t>
      </w:r>
      <w:r w:rsidRPr="00EC5E95">
        <w:rPr>
          <w:lang w:val="sk-SK"/>
        </w:rPr>
        <w:t xml:space="preserve">skupine </w:t>
      </w:r>
      <w:proofErr w:type="spellStart"/>
      <w:r w:rsidRPr="00EC5E95">
        <w:rPr>
          <w:lang w:val="sk-SK"/>
        </w:rPr>
        <w:t>aliskir</w:t>
      </w:r>
      <w:r w:rsidR="001C3DB2" w:rsidRPr="00EC5E95">
        <w:rPr>
          <w:lang w:val="sk-SK"/>
        </w:rPr>
        <w:t>enu</w:t>
      </w:r>
      <w:proofErr w:type="spellEnd"/>
      <w:r w:rsidR="001C3DB2" w:rsidRPr="00EC5E95">
        <w:rPr>
          <w:lang w:val="sk-SK"/>
        </w:rPr>
        <w:t xml:space="preserve"> bolo numericky viac úmrtí z </w:t>
      </w:r>
      <w:r w:rsidR="00F11571" w:rsidRPr="00EC5E95">
        <w:rPr>
          <w:lang w:val="sk-SK"/>
        </w:rPr>
        <w:t xml:space="preserve">kardiovaskulárnej príčiny a cievnych mozgových príhod ako v skupine </w:t>
      </w:r>
      <w:proofErr w:type="spellStart"/>
      <w:r w:rsidR="00F11571" w:rsidRPr="00EC5E95">
        <w:rPr>
          <w:lang w:val="sk-SK"/>
        </w:rPr>
        <w:t>placeba</w:t>
      </w:r>
      <w:proofErr w:type="spellEnd"/>
      <w:r w:rsidR="00F11571" w:rsidRPr="00EC5E95">
        <w:rPr>
          <w:lang w:val="sk-SK"/>
        </w:rPr>
        <w:t xml:space="preserve"> a v </w:t>
      </w:r>
      <w:r w:rsidRPr="00EC5E95">
        <w:rPr>
          <w:lang w:val="sk-SK"/>
        </w:rPr>
        <w:t xml:space="preserve">skupine </w:t>
      </w:r>
      <w:proofErr w:type="spellStart"/>
      <w:r w:rsidRPr="00EC5E95">
        <w:rPr>
          <w:lang w:val="sk-SK"/>
        </w:rPr>
        <w:t>aliskirenu</w:t>
      </w:r>
      <w:proofErr w:type="spellEnd"/>
      <w:r w:rsidRPr="00EC5E95">
        <w:rPr>
          <w:lang w:val="sk-SK"/>
        </w:rPr>
        <w:t xml:space="preserve"> boli častejšie hlásené</w:t>
      </w:r>
      <w:r w:rsidR="00F11571" w:rsidRPr="00EC5E95">
        <w:rPr>
          <w:lang w:val="sk-SK"/>
        </w:rPr>
        <w:t xml:space="preserve"> sledované nežiaduce udalosti a </w:t>
      </w:r>
      <w:r w:rsidRPr="00EC5E95">
        <w:rPr>
          <w:lang w:val="sk-SK"/>
        </w:rPr>
        <w:t>závažné nežiaduce udalos</w:t>
      </w:r>
      <w:r w:rsidR="00F11571" w:rsidRPr="00EC5E95">
        <w:rPr>
          <w:lang w:val="sk-SK"/>
        </w:rPr>
        <w:t>ti (</w:t>
      </w:r>
      <w:proofErr w:type="spellStart"/>
      <w:r w:rsidR="00F11571" w:rsidRPr="00EC5E95">
        <w:rPr>
          <w:lang w:val="sk-SK"/>
        </w:rPr>
        <w:t>hyperkaliémia</w:t>
      </w:r>
      <w:proofErr w:type="spellEnd"/>
      <w:r w:rsidR="00F11571" w:rsidRPr="00EC5E95">
        <w:rPr>
          <w:lang w:val="sk-SK"/>
        </w:rPr>
        <w:t>, hypotenzia a </w:t>
      </w:r>
      <w:proofErr w:type="spellStart"/>
      <w:r w:rsidR="00F11571" w:rsidRPr="00EC5E95">
        <w:rPr>
          <w:lang w:val="sk-SK"/>
        </w:rPr>
        <w:t>renálna</w:t>
      </w:r>
      <w:proofErr w:type="spellEnd"/>
      <w:r w:rsidR="00F11571" w:rsidRPr="00EC5E95">
        <w:rPr>
          <w:lang w:val="sk-SK"/>
        </w:rPr>
        <w:t xml:space="preserve"> dysfunkcia) ako v </w:t>
      </w:r>
      <w:r w:rsidRPr="00EC5E95">
        <w:rPr>
          <w:lang w:val="sk-SK"/>
        </w:rPr>
        <w:t xml:space="preserve">skupine </w:t>
      </w:r>
      <w:proofErr w:type="spellStart"/>
      <w:r w:rsidRPr="00EC5E95">
        <w:rPr>
          <w:lang w:val="sk-SK"/>
        </w:rPr>
        <w:t>placeba</w:t>
      </w:r>
      <w:proofErr w:type="spellEnd"/>
      <w:r w:rsidRPr="00EC5E95">
        <w:rPr>
          <w:lang w:val="sk-SK"/>
        </w:rPr>
        <w:t>.</w:t>
      </w:r>
    </w:p>
    <w:p w14:paraId="1820D03E" w14:textId="77777777" w:rsidR="00E66C7D" w:rsidRPr="006B2B62" w:rsidRDefault="00E66C7D" w:rsidP="0087630B">
      <w:pPr>
        <w:pStyle w:val="Styl3"/>
        <w:rPr>
          <w:lang w:val="de-DE"/>
        </w:rPr>
      </w:pPr>
      <w:r w:rsidRPr="006B2B62">
        <w:rPr>
          <w:lang w:val="de-DE"/>
        </w:rPr>
        <w:t>Sekundárna prevencia po akútnom infarkte myokardu</w:t>
      </w:r>
    </w:p>
    <w:p w14:paraId="3DE194BE" w14:textId="5A590450" w:rsidR="00E66C7D" w:rsidRPr="001E636D" w:rsidRDefault="00E66C7D" w:rsidP="00E66C7D">
      <w:pPr>
        <w:pStyle w:val="Normlndobloku"/>
        <w:rPr>
          <w:lang w:val="sk-SK"/>
        </w:rPr>
      </w:pPr>
      <w:r w:rsidRPr="00EC5E95">
        <w:rPr>
          <w:lang w:val="sk-SK"/>
        </w:rPr>
        <w:t>Do štúdie AIRE bolo zaradených viac ako 2</w:t>
      </w:r>
      <w:r w:rsidR="001E636D">
        <w:rPr>
          <w:lang w:val="sk-SK"/>
        </w:rPr>
        <w:t> </w:t>
      </w:r>
      <w:r w:rsidRPr="001E636D">
        <w:rPr>
          <w:lang w:val="sk-SK"/>
        </w:rPr>
        <w:t xml:space="preserve">000 pacientov s prechodnými/pretrvávajúcimi klinickými príznakmi srdcového zlyhania po zistenom infarkte myokardu. Liečba </w:t>
      </w:r>
      <w:proofErr w:type="spellStart"/>
      <w:r w:rsidRPr="001E636D">
        <w:rPr>
          <w:lang w:val="sk-SK"/>
        </w:rPr>
        <w:t>ramiprilom</w:t>
      </w:r>
      <w:proofErr w:type="spellEnd"/>
      <w:r w:rsidRPr="001E636D">
        <w:rPr>
          <w:lang w:val="sk-SK"/>
        </w:rPr>
        <w:t xml:space="preserve"> sa začala</w:t>
      </w:r>
      <w:r w:rsidRPr="00C3029B">
        <w:rPr>
          <w:lang w:val="sk-SK"/>
        </w:rPr>
        <w:t xml:space="preserve"> v niektorý deň časového intervalu od 3 do 10 dní po akútnom infarkte myokardu. Štúdia ukázala, že po uplynutí času sledovania v priemere 15 mesiacov bola mortalita u pacientov liečených </w:t>
      </w:r>
      <w:proofErr w:type="spellStart"/>
      <w:r w:rsidRPr="00C3029B">
        <w:rPr>
          <w:lang w:val="sk-SK"/>
        </w:rPr>
        <w:t>ramiprilom</w:t>
      </w:r>
      <w:proofErr w:type="spellEnd"/>
      <w:r w:rsidRPr="00C3029B">
        <w:rPr>
          <w:lang w:val="sk-SK"/>
        </w:rPr>
        <w:t xml:space="preserve"> 16,9 % a u pacientov liečených </w:t>
      </w:r>
      <w:proofErr w:type="spellStart"/>
      <w:r w:rsidRPr="00C3029B">
        <w:rPr>
          <w:lang w:val="sk-SK"/>
        </w:rPr>
        <w:t>placebom</w:t>
      </w:r>
      <w:proofErr w:type="spellEnd"/>
      <w:r w:rsidRPr="00C3029B">
        <w:rPr>
          <w:lang w:val="sk-SK"/>
        </w:rPr>
        <w:t xml:space="preserve"> 22,6 %. Znamená to</w:t>
      </w:r>
      <w:r w:rsidRPr="00EC5E95">
        <w:rPr>
          <w:lang w:val="sk-SK"/>
        </w:rPr>
        <w:t>, že absolútna redukcia mortality bola 5,7 % a redukcia relatívneho rizika 27 % (95 % IS [11</w:t>
      </w:r>
      <w:r w:rsidR="001E636D">
        <w:rPr>
          <w:lang w:val="sk-SK"/>
        </w:rPr>
        <w:t> </w:t>
      </w:r>
      <w:r w:rsidRPr="001E636D">
        <w:rPr>
          <w:lang w:val="sk-SK"/>
        </w:rPr>
        <w:t>–</w:t>
      </w:r>
      <w:r w:rsidR="001E636D">
        <w:rPr>
          <w:lang w:val="sk-SK"/>
        </w:rPr>
        <w:t> </w:t>
      </w:r>
      <w:r w:rsidRPr="001E636D">
        <w:rPr>
          <w:lang w:val="sk-SK"/>
        </w:rPr>
        <w:t>40 %]).</w:t>
      </w:r>
    </w:p>
    <w:p w14:paraId="12141C09" w14:textId="77777777" w:rsidR="00E66C7D" w:rsidRPr="006B2B62" w:rsidRDefault="0024597E" w:rsidP="0087630B">
      <w:pPr>
        <w:pStyle w:val="Styl3"/>
        <w:rPr>
          <w:lang w:val="sk-SK"/>
        </w:rPr>
      </w:pPr>
      <w:r w:rsidRPr="006B2B62">
        <w:rPr>
          <w:lang w:val="sk-SK"/>
        </w:rPr>
        <w:lastRenderedPageBreak/>
        <w:t>Pediatrická populácia</w:t>
      </w:r>
    </w:p>
    <w:p w14:paraId="28844509" w14:textId="015B9A6B" w:rsidR="00AC7B0A" w:rsidRPr="00EC5E95" w:rsidRDefault="00AC7B0A" w:rsidP="00465D90">
      <w:pPr>
        <w:pStyle w:val="Normlndobloku"/>
        <w:rPr>
          <w:lang w:val="sk-SK"/>
        </w:rPr>
      </w:pPr>
      <w:r w:rsidRPr="00EC5E95">
        <w:rPr>
          <w:lang w:val="sk-SK"/>
        </w:rPr>
        <w:t>V </w:t>
      </w:r>
      <w:proofErr w:type="spellStart"/>
      <w:r w:rsidRPr="00EC5E95">
        <w:rPr>
          <w:lang w:val="sk-SK"/>
        </w:rPr>
        <w:t>randomizovanej</w:t>
      </w:r>
      <w:proofErr w:type="spellEnd"/>
      <w:r w:rsidRPr="00EC5E95">
        <w:rPr>
          <w:lang w:val="sk-SK"/>
        </w:rPr>
        <w:t xml:space="preserve">, dvojito zaslepenej, </w:t>
      </w:r>
      <w:proofErr w:type="spellStart"/>
      <w:r w:rsidRPr="00EC5E95">
        <w:rPr>
          <w:lang w:val="sk-SK"/>
        </w:rPr>
        <w:t>placebom</w:t>
      </w:r>
      <w:proofErr w:type="spellEnd"/>
      <w:r w:rsidRPr="00EC5E95">
        <w:rPr>
          <w:lang w:val="sk-SK"/>
        </w:rPr>
        <w:t xml:space="preserve"> kontrolovanej klinickej štúdii, do ktorej bolo zaradených 244 pediatrických pacientov s hypertenziou (73 </w:t>
      </w:r>
      <w:r w:rsidRPr="00571DB3">
        <w:rPr>
          <w:lang w:val="sk-SK"/>
        </w:rPr>
        <w:t>% primárna hypertenzia) vo veku 6 </w:t>
      </w:r>
      <w:r w:rsidR="00EA278B">
        <w:rPr>
          <w:lang w:val="sk-SK"/>
        </w:rPr>
        <w:t>– </w:t>
      </w:r>
      <w:r w:rsidRPr="001E636D">
        <w:rPr>
          <w:lang w:val="sk-SK"/>
        </w:rPr>
        <w:t xml:space="preserve">16 rokov, pacienti dostávali buď nízku dávku, strednú dávku alebo vysokú dávku </w:t>
      </w:r>
      <w:proofErr w:type="spellStart"/>
      <w:r w:rsidRPr="001E636D">
        <w:rPr>
          <w:lang w:val="sk-SK"/>
        </w:rPr>
        <w:t>ramiprilu</w:t>
      </w:r>
      <w:proofErr w:type="spellEnd"/>
      <w:r w:rsidRPr="001E636D">
        <w:rPr>
          <w:lang w:val="sk-SK"/>
        </w:rPr>
        <w:t xml:space="preserve"> na dosiahnutie plazmatickej koncentrácie </w:t>
      </w:r>
      <w:proofErr w:type="spellStart"/>
      <w:r w:rsidRPr="001E636D">
        <w:rPr>
          <w:lang w:val="sk-SK"/>
        </w:rPr>
        <w:t>ramiprilátu</w:t>
      </w:r>
      <w:proofErr w:type="spellEnd"/>
      <w:r w:rsidRPr="00C3029B">
        <w:rPr>
          <w:lang w:val="sk-SK"/>
        </w:rPr>
        <w:t xml:space="preserve"> zodpovedajúcej rozsahu dávok u dospelých 1,25 mg, 5 mg a 20 mg na základe telesnej hmotnosti. Na konci štvrtého týždňa bol </w:t>
      </w:r>
      <w:proofErr w:type="spellStart"/>
      <w:r w:rsidRPr="00C3029B">
        <w:rPr>
          <w:lang w:val="sk-SK"/>
        </w:rPr>
        <w:t>ramipril</w:t>
      </w:r>
      <w:proofErr w:type="spellEnd"/>
      <w:r w:rsidRPr="00C3029B">
        <w:rPr>
          <w:lang w:val="sk-SK"/>
        </w:rPr>
        <w:t xml:space="preserve"> pri najvyššej dávke neúčinný</w:t>
      </w:r>
      <w:r w:rsidRPr="00EC5E95">
        <w:rPr>
          <w:lang w:val="sk-SK"/>
        </w:rPr>
        <w:t xml:space="preserve">, pokiaľ ide o ukazovateľ zníženia </w:t>
      </w:r>
      <w:proofErr w:type="spellStart"/>
      <w:r w:rsidRPr="00EC5E95">
        <w:rPr>
          <w:lang w:val="sk-SK"/>
        </w:rPr>
        <w:t>systolického</w:t>
      </w:r>
      <w:proofErr w:type="spellEnd"/>
      <w:r w:rsidRPr="00EC5E95">
        <w:rPr>
          <w:lang w:val="sk-SK"/>
        </w:rPr>
        <w:t xml:space="preserve"> krvného tlaku, ale diastolický krvný tlak sa pri najvyššej dávke znížil. Stredné aj vysoké dávky </w:t>
      </w:r>
      <w:proofErr w:type="spellStart"/>
      <w:r w:rsidRPr="00EC5E95">
        <w:rPr>
          <w:lang w:val="sk-SK"/>
        </w:rPr>
        <w:t>ramiprilu</w:t>
      </w:r>
      <w:proofErr w:type="spellEnd"/>
      <w:r w:rsidRPr="00EC5E95">
        <w:rPr>
          <w:lang w:val="sk-SK"/>
        </w:rPr>
        <w:t xml:space="preserve"> ukázali </w:t>
      </w:r>
      <w:proofErr w:type="spellStart"/>
      <w:r w:rsidRPr="00EC5E95">
        <w:rPr>
          <w:lang w:val="sk-SK"/>
        </w:rPr>
        <w:t>signifikantnú</w:t>
      </w:r>
      <w:proofErr w:type="spellEnd"/>
      <w:r w:rsidRPr="00EC5E95">
        <w:rPr>
          <w:lang w:val="sk-SK"/>
        </w:rPr>
        <w:t xml:space="preserve"> redukciu aj </w:t>
      </w:r>
      <w:proofErr w:type="spellStart"/>
      <w:r w:rsidRPr="00EC5E95">
        <w:rPr>
          <w:lang w:val="sk-SK"/>
        </w:rPr>
        <w:t>systolického</w:t>
      </w:r>
      <w:proofErr w:type="spellEnd"/>
      <w:r w:rsidRPr="00EC5E95">
        <w:rPr>
          <w:lang w:val="sk-SK"/>
        </w:rPr>
        <w:t xml:space="preserve"> diastolického krvného tlaku u detí s potvrdenou hypertenziou.</w:t>
      </w:r>
    </w:p>
    <w:p w14:paraId="755933D9" w14:textId="0D2442B9" w:rsidR="0024597E" w:rsidRPr="00EC5E95" w:rsidRDefault="00AC7B0A" w:rsidP="004D3FD6">
      <w:pPr>
        <w:pStyle w:val="Normlndobloku"/>
        <w:rPr>
          <w:lang w:val="sk-SK"/>
        </w:rPr>
      </w:pPr>
      <w:r w:rsidRPr="00EC5E95">
        <w:rPr>
          <w:lang w:val="sk-SK"/>
        </w:rPr>
        <w:t>Tento účinok nebol sledovaný v </w:t>
      </w:r>
      <w:proofErr w:type="spellStart"/>
      <w:r w:rsidRPr="00EC5E95">
        <w:rPr>
          <w:lang w:val="sk-SK"/>
        </w:rPr>
        <w:t>randomizovanej</w:t>
      </w:r>
      <w:proofErr w:type="spellEnd"/>
      <w:r w:rsidRPr="00EC5E95">
        <w:rPr>
          <w:lang w:val="sk-SK"/>
        </w:rPr>
        <w:t>, dvojito zaslepenej, stiahnutej štúdii s eskaláciou dávky v trvaní 4 týždňov s 218 pediatrickými pacientmi vo veku 6 </w:t>
      </w:r>
      <w:r w:rsidR="00164028">
        <w:rPr>
          <w:lang w:val="sk-SK"/>
        </w:rPr>
        <w:t>– </w:t>
      </w:r>
      <w:r w:rsidRPr="00EC5E95">
        <w:rPr>
          <w:lang w:val="sk-SK"/>
        </w:rPr>
        <w:t>16 rokov (75 % primárna hypertenzia), kde sa u diastolického aj u </w:t>
      </w:r>
      <w:proofErr w:type="spellStart"/>
      <w:r w:rsidRPr="00EC5E95">
        <w:rPr>
          <w:lang w:val="sk-SK"/>
        </w:rPr>
        <w:t>systolického</w:t>
      </w:r>
      <w:proofErr w:type="spellEnd"/>
      <w:r w:rsidRPr="00EC5E95">
        <w:rPr>
          <w:lang w:val="sk-SK"/>
        </w:rPr>
        <w:t xml:space="preserve"> tlaku preukázala mierna odozva, ale nie štatisticky významný návrat na základnú hodnotu, vo všetkých skúšaných hladinách dávok [nízka dávka (0,625 mg – 2,5 mg), stredná dávka (2,5 mg – 10 mg) alebo vysoká dávka (5 mg – 20 mg)] </w:t>
      </w:r>
      <w:proofErr w:type="spellStart"/>
      <w:r w:rsidRPr="00EC5E95">
        <w:rPr>
          <w:lang w:val="sk-SK"/>
        </w:rPr>
        <w:t>ramiprilu</w:t>
      </w:r>
      <w:proofErr w:type="spellEnd"/>
      <w:r w:rsidRPr="00EC5E95">
        <w:rPr>
          <w:lang w:val="sk-SK"/>
        </w:rPr>
        <w:t xml:space="preserve"> v závislosti od telesnej hmotnosti. V skúmanej pediatrickej populácii </w:t>
      </w:r>
      <w:proofErr w:type="spellStart"/>
      <w:r w:rsidRPr="00EC5E95">
        <w:rPr>
          <w:lang w:val="sk-SK"/>
        </w:rPr>
        <w:t>ramipril</w:t>
      </w:r>
      <w:proofErr w:type="spellEnd"/>
      <w:r w:rsidRPr="00EC5E95">
        <w:rPr>
          <w:lang w:val="sk-SK"/>
        </w:rPr>
        <w:t xml:space="preserve"> nemal lineárnu odpoveď na dávku.</w:t>
      </w:r>
    </w:p>
    <w:p w14:paraId="7A26F3E7" w14:textId="77777777" w:rsidR="0076116E" w:rsidRPr="00EC5E95" w:rsidRDefault="004124B1" w:rsidP="00015569">
      <w:pPr>
        <w:pStyle w:val="Styl2"/>
        <w:rPr>
          <w:noProof w:val="0"/>
          <w:lang w:val="sk-SK"/>
        </w:rPr>
      </w:pPr>
      <w:proofErr w:type="spellStart"/>
      <w:r w:rsidRPr="00EC5E95">
        <w:rPr>
          <w:noProof w:val="0"/>
          <w:lang w:val="sk-SK"/>
        </w:rPr>
        <w:t>Farmakokinetické</w:t>
      </w:r>
      <w:proofErr w:type="spellEnd"/>
      <w:r w:rsidRPr="00EC5E95">
        <w:rPr>
          <w:noProof w:val="0"/>
          <w:lang w:val="sk-SK"/>
        </w:rPr>
        <w:t xml:space="preserve"> vlastnosti</w:t>
      </w:r>
    </w:p>
    <w:p w14:paraId="4367F0A9" w14:textId="240755EB" w:rsidR="0076116E" w:rsidRPr="00EC5E95" w:rsidRDefault="004A4C5B" w:rsidP="000F6B9E">
      <w:pPr>
        <w:pStyle w:val="Styl2-2"/>
        <w:rPr>
          <w:lang w:val="sk-SK"/>
        </w:rPr>
      </w:pPr>
      <w:proofErr w:type="spellStart"/>
      <w:r w:rsidRPr="00EC5E95">
        <w:rPr>
          <w:lang w:val="sk-SK"/>
        </w:rPr>
        <w:t>Farmakokinetika</w:t>
      </w:r>
      <w:proofErr w:type="spellEnd"/>
      <w:r w:rsidRPr="00EC5E95">
        <w:rPr>
          <w:lang w:val="sk-SK"/>
        </w:rPr>
        <w:t xml:space="preserve"> a </w:t>
      </w:r>
      <w:r w:rsidR="004124B1" w:rsidRPr="00EC5E95">
        <w:rPr>
          <w:lang w:val="sk-SK"/>
        </w:rPr>
        <w:t>metabolizmus</w:t>
      </w:r>
    </w:p>
    <w:p w14:paraId="05885419" w14:textId="77777777" w:rsidR="0076116E" w:rsidRPr="00EC5E95" w:rsidRDefault="004124B1" w:rsidP="0087630B">
      <w:pPr>
        <w:pStyle w:val="Styl3"/>
      </w:pPr>
      <w:r w:rsidRPr="00EC5E95">
        <w:t>Absorpcia</w:t>
      </w:r>
    </w:p>
    <w:p w14:paraId="5A0EE83F" w14:textId="058A795C" w:rsidR="00A105A0" w:rsidRPr="00EC5E95" w:rsidRDefault="004124B1" w:rsidP="00A84884">
      <w:pPr>
        <w:pStyle w:val="Normlndobloku"/>
        <w:rPr>
          <w:lang w:val="sk-SK"/>
        </w:rPr>
      </w:pPr>
      <w:proofErr w:type="spellStart"/>
      <w:r w:rsidRPr="00EC5E95">
        <w:rPr>
          <w:lang w:val="sk-SK"/>
        </w:rPr>
        <w:t>Ramipril</w:t>
      </w:r>
      <w:proofErr w:type="spellEnd"/>
      <w:r w:rsidRPr="00EC5E95">
        <w:rPr>
          <w:lang w:val="sk-SK"/>
        </w:rPr>
        <w:t xml:space="preserve"> sa po peror</w:t>
      </w:r>
      <w:r w:rsidR="00441A02" w:rsidRPr="00EC5E95">
        <w:rPr>
          <w:lang w:val="sk-SK"/>
        </w:rPr>
        <w:t>álnom podaní rýchlo vstrebáva z </w:t>
      </w:r>
      <w:proofErr w:type="spellStart"/>
      <w:r w:rsidRPr="00EC5E95">
        <w:rPr>
          <w:lang w:val="sk-SK"/>
        </w:rPr>
        <w:t>gastrointestinálneho</w:t>
      </w:r>
      <w:proofErr w:type="spellEnd"/>
      <w:r w:rsidRPr="00EC5E95">
        <w:rPr>
          <w:lang w:val="sk-SK"/>
        </w:rPr>
        <w:t xml:space="preserve"> traktu: maximálna plazmatická konce</w:t>
      </w:r>
      <w:r w:rsidR="00441A02" w:rsidRPr="00EC5E95">
        <w:rPr>
          <w:lang w:val="sk-SK"/>
        </w:rPr>
        <w:t xml:space="preserve">ntrácia </w:t>
      </w:r>
      <w:proofErr w:type="spellStart"/>
      <w:r w:rsidR="00441A02" w:rsidRPr="00EC5E95">
        <w:rPr>
          <w:lang w:val="sk-SK"/>
        </w:rPr>
        <w:t>ramiprilu</w:t>
      </w:r>
      <w:proofErr w:type="spellEnd"/>
      <w:r w:rsidR="00441A02" w:rsidRPr="00EC5E95">
        <w:rPr>
          <w:lang w:val="sk-SK"/>
        </w:rPr>
        <w:t xml:space="preserve"> sa dosahuje v </w:t>
      </w:r>
      <w:r w:rsidRPr="00EC5E95">
        <w:rPr>
          <w:lang w:val="sk-SK"/>
        </w:rPr>
        <w:t xml:space="preserve">priebehu jednej hodiny. </w:t>
      </w:r>
      <w:r w:rsidR="004E22A5" w:rsidRPr="000F6B9E">
        <w:rPr>
          <w:lang w:val="sk-SK"/>
        </w:rPr>
        <w:t xml:space="preserve">Na základe údajov o množstve </w:t>
      </w:r>
      <w:proofErr w:type="spellStart"/>
      <w:r w:rsidR="004E22A5" w:rsidRPr="000F6B9E">
        <w:rPr>
          <w:lang w:val="sk-SK"/>
        </w:rPr>
        <w:t>ramiprilu</w:t>
      </w:r>
      <w:proofErr w:type="spellEnd"/>
      <w:r w:rsidR="004E22A5" w:rsidRPr="000F6B9E">
        <w:rPr>
          <w:lang w:val="sk-SK"/>
        </w:rPr>
        <w:t xml:space="preserve"> vylúčenom močom</w:t>
      </w:r>
      <w:r w:rsidRPr="00EC5E95">
        <w:rPr>
          <w:lang w:val="sk-SK"/>
        </w:rPr>
        <w:t xml:space="preserve"> </w:t>
      </w:r>
      <w:r w:rsidR="00441A02" w:rsidRPr="00EC5E95">
        <w:rPr>
          <w:lang w:val="sk-SK"/>
        </w:rPr>
        <w:t>je rozsah absorpcie najmenej 56 % a </w:t>
      </w:r>
      <w:r w:rsidRPr="00EC5E95">
        <w:rPr>
          <w:lang w:val="sk-SK"/>
        </w:rPr>
        <w:t>absorpcia nie je významne ov</w:t>
      </w:r>
      <w:r w:rsidR="00441A02" w:rsidRPr="00EC5E95">
        <w:rPr>
          <w:lang w:val="sk-SK"/>
        </w:rPr>
        <w:t>plyvnená prítomnosťou potravy v </w:t>
      </w:r>
      <w:proofErr w:type="spellStart"/>
      <w:r w:rsidRPr="00EC5E95">
        <w:rPr>
          <w:lang w:val="sk-SK"/>
        </w:rPr>
        <w:t>gastrointestinálnom</w:t>
      </w:r>
      <w:proofErr w:type="spellEnd"/>
      <w:r w:rsidRPr="00EC5E95">
        <w:rPr>
          <w:lang w:val="sk-SK"/>
        </w:rPr>
        <w:t xml:space="preserve"> trakte. Biologická dostupnosť aktívneho </w:t>
      </w:r>
      <w:proofErr w:type="spellStart"/>
      <w:r w:rsidRPr="00EC5E95">
        <w:rPr>
          <w:lang w:val="sk-SK"/>
        </w:rPr>
        <w:t>metabolitu</w:t>
      </w:r>
      <w:proofErr w:type="spellEnd"/>
      <w:r w:rsidRPr="00EC5E95">
        <w:rPr>
          <w:lang w:val="sk-SK"/>
        </w:rPr>
        <w:t xml:space="preserve"> </w:t>
      </w:r>
      <w:proofErr w:type="spellStart"/>
      <w:r w:rsidRPr="00EC5E95">
        <w:rPr>
          <w:lang w:val="sk-SK"/>
        </w:rPr>
        <w:t>ramipril</w:t>
      </w:r>
      <w:r w:rsidR="00441A02" w:rsidRPr="00EC5E95">
        <w:rPr>
          <w:lang w:val="sk-SK"/>
        </w:rPr>
        <w:t>átu</w:t>
      </w:r>
      <w:proofErr w:type="spellEnd"/>
      <w:r w:rsidR="00441A02" w:rsidRPr="00EC5E95">
        <w:rPr>
          <w:lang w:val="sk-SK"/>
        </w:rPr>
        <w:t xml:space="preserve"> je po perorálnom podaní 2,5 mg a 5 mg </w:t>
      </w:r>
      <w:proofErr w:type="spellStart"/>
      <w:r w:rsidR="00441A02" w:rsidRPr="00EC5E95">
        <w:rPr>
          <w:lang w:val="sk-SK"/>
        </w:rPr>
        <w:t>ramiprilu</w:t>
      </w:r>
      <w:proofErr w:type="spellEnd"/>
      <w:r w:rsidR="00441A02" w:rsidRPr="00EC5E95">
        <w:rPr>
          <w:lang w:val="sk-SK"/>
        </w:rPr>
        <w:t xml:space="preserve"> 45 </w:t>
      </w:r>
      <w:r w:rsidRPr="00EC5E95">
        <w:rPr>
          <w:lang w:val="sk-SK"/>
        </w:rPr>
        <w:t>%.</w:t>
      </w:r>
    </w:p>
    <w:p w14:paraId="08F09653" w14:textId="2C5E647D" w:rsidR="00441A02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Maximálna plazmatická koncentrácia </w:t>
      </w:r>
      <w:proofErr w:type="spellStart"/>
      <w:r w:rsidRPr="00EC5E95">
        <w:rPr>
          <w:lang w:val="sk-SK"/>
        </w:rPr>
        <w:t>ramiprilátu</w:t>
      </w:r>
      <w:proofErr w:type="spellEnd"/>
      <w:r w:rsidRPr="00EC5E95">
        <w:rPr>
          <w:lang w:val="sk-SK"/>
        </w:rPr>
        <w:t xml:space="preserve">, jediného aktívneho </w:t>
      </w:r>
      <w:proofErr w:type="spellStart"/>
      <w:r w:rsidRPr="00EC5E95">
        <w:rPr>
          <w:lang w:val="sk-SK"/>
        </w:rPr>
        <w:t>metabolitu</w:t>
      </w:r>
      <w:proofErr w:type="spellEnd"/>
      <w:r w:rsidRPr="00EC5E95">
        <w:rPr>
          <w:lang w:val="sk-SK"/>
        </w:rPr>
        <w:t xml:space="preserve"> </w:t>
      </w:r>
      <w:proofErr w:type="spellStart"/>
      <w:r w:rsidRPr="00EC5E95">
        <w:rPr>
          <w:lang w:val="sk-SK"/>
        </w:rPr>
        <w:t>ramiprilu</w:t>
      </w:r>
      <w:proofErr w:type="spellEnd"/>
      <w:r w:rsidRPr="00EC5E95">
        <w:rPr>
          <w:lang w:val="sk-SK"/>
        </w:rPr>
        <w:t>, sa dosahuje 2</w:t>
      </w:r>
      <w:r w:rsidR="001C3DB2" w:rsidRPr="00EC5E95">
        <w:rPr>
          <w:lang w:val="sk-SK"/>
        </w:rPr>
        <w:t> </w:t>
      </w:r>
      <w:r w:rsidR="00D008BA" w:rsidRPr="00EC5E95">
        <w:rPr>
          <w:lang w:val="sk-SK"/>
        </w:rPr>
        <w:t>–</w:t>
      </w:r>
      <w:r w:rsidR="001E636D">
        <w:rPr>
          <w:lang w:val="sk-SK"/>
        </w:rPr>
        <w:t> </w:t>
      </w:r>
      <w:r w:rsidRPr="00C3029B">
        <w:rPr>
          <w:lang w:val="sk-SK"/>
        </w:rPr>
        <w:t xml:space="preserve">4 hodiny po užití </w:t>
      </w:r>
      <w:proofErr w:type="spellStart"/>
      <w:r w:rsidRPr="00C3029B">
        <w:rPr>
          <w:lang w:val="sk-SK"/>
        </w:rPr>
        <w:t>ramiprilu</w:t>
      </w:r>
      <w:proofErr w:type="spellEnd"/>
      <w:r w:rsidRPr="00C3029B">
        <w:rPr>
          <w:lang w:val="sk-SK"/>
        </w:rPr>
        <w:t xml:space="preserve">. Rovnovážny stav plazmatickej koncentrácie </w:t>
      </w:r>
      <w:proofErr w:type="spellStart"/>
      <w:r w:rsidRPr="00C3029B">
        <w:rPr>
          <w:lang w:val="sk-SK"/>
        </w:rPr>
        <w:t>ramiprilátu</w:t>
      </w:r>
      <w:proofErr w:type="spellEnd"/>
      <w:r w:rsidRPr="00C3029B">
        <w:rPr>
          <w:lang w:val="sk-SK"/>
        </w:rPr>
        <w:t xml:space="preserve"> po užití obvyklých dávok </w:t>
      </w:r>
      <w:proofErr w:type="spellStart"/>
      <w:r w:rsidRPr="00C3029B">
        <w:rPr>
          <w:lang w:val="sk-SK"/>
        </w:rPr>
        <w:t>ramiprilu</w:t>
      </w:r>
      <w:proofErr w:type="spellEnd"/>
      <w:r w:rsidRPr="00C3029B">
        <w:rPr>
          <w:lang w:val="sk-SK"/>
        </w:rPr>
        <w:t xml:space="preserve"> raz denne sa dosahuje približne na štvrtý deň liečby.</w:t>
      </w:r>
    </w:p>
    <w:p w14:paraId="10C3B50A" w14:textId="77777777" w:rsidR="0076116E" w:rsidRPr="006B2B62" w:rsidRDefault="004124B1" w:rsidP="0087630B">
      <w:pPr>
        <w:pStyle w:val="Styl3"/>
        <w:rPr>
          <w:lang w:val="sk-SK"/>
        </w:rPr>
      </w:pPr>
      <w:r w:rsidRPr="006B2B62">
        <w:rPr>
          <w:lang w:val="sk-SK"/>
        </w:rPr>
        <w:t>Distribúcia</w:t>
      </w:r>
    </w:p>
    <w:p w14:paraId="3F04EDAA" w14:textId="7D4386AE" w:rsidR="0076116E" w:rsidRPr="00EC5E95" w:rsidRDefault="004124B1" w:rsidP="00A84884">
      <w:pPr>
        <w:pStyle w:val="Normlndobloku"/>
        <w:rPr>
          <w:lang w:val="sk-SK"/>
        </w:rPr>
      </w:pPr>
      <w:proofErr w:type="spellStart"/>
      <w:r w:rsidRPr="00EC5E95">
        <w:rPr>
          <w:lang w:val="sk-SK"/>
        </w:rPr>
        <w:t>Väzb</w:t>
      </w:r>
      <w:r w:rsidR="00441A02" w:rsidRPr="00EC5E95">
        <w:rPr>
          <w:lang w:val="sk-SK"/>
        </w:rPr>
        <w:t>ovosť</w:t>
      </w:r>
      <w:proofErr w:type="spellEnd"/>
      <w:r w:rsidR="00441A02" w:rsidRPr="00EC5E95">
        <w:rPr>
          <w:lang w:val="sk-SK"/>
        </w:rPr>
        <w:t xml:space="preserve"> </w:t>
      </w:r>
      <w:proofErr w:type="spellStart"/>
      <w:r w:rsidR="00441A02" w:rsidRPr="00EC5E95">
        <w:rPr>
          <w:lang w:val="sk-SK"/>
        </w:rPr>
        <w:t>ramiprilu</w:t>
      </w:r>
      <w:proofErr w:type="spellEnd"/>
      <w:r w:rsidR="00441A02" w:rsidRPr="00EC5E95">
        <w:rPr>
          <w:lang w:val="sk-SK"/>
        </w:rPr>
        <w:t xml:space="preserve"> na bielkoviny v </w:t>
      </w:r>
      <w:r w:rsidRPr="00EC5E95">
        <w:rPr>
          <w:lang w:val="sk-SK"/>
        </w:rPr>
        <w:t>sére je pr</w:t>
      </w:r>
      <w:r w:rsidR="00441A02" w:rsidRPr="00EC5E95">
        <w:rPr>
          <w:lang w:val="sk-SK"/>
        </w:rPr>
        <w:t>ibližne 73 % a v </w:t>
      </w:r>
      <w:r w:rsidRPr="00EC5E95">
        <w:rPr>
          <w:lang w:val="sk-SK"/>
        </w:rPr>
        <w:t>prípade</w:t>
      </w:r>
      <w:r w:rsidR="00441A02" w:rsidRPr="00EC5E95">
        <w:rPr>
          <w:lang w:val="sk-SK"/>
        </w:rPr>
        <w:t xml:space="preserve"> </w:t>
      </w:r>
      <w:proofErr w:type="spellStart"/>
      <w:r w:rsidR="00441A02" w:rsidRPr="00EC5E95">
        <w:rPr>
          <w:lang w:val="sk-SK"/>
        </w:rPr>
        <w:t>ramiprilátu</w:t>
      </w:r>
      <w:proofErr w:type="spellEnd"/>
      <w:r w:rsidR="00441A02" w:rsidRPr="00EC5E95">
        <w:rPr>
          <w:lang w:val="sk-SK"/>
        </w:rPr>
        <w:t xml:space="preserve"> je to približne 56 </w:t>
      </w:r>
      <w:r w:rsidRPr="00EC5E95">
        <w:rPr>
          <w:lang w:val="sk-SK"/>
        </w:rPr>
        <w:t>%.</w:t>
      </w:r>
    </w:p>
    <w:p w14:paraId="3B1E72F7" w14:textId="77777777" w:rsidR="0076116E" w:rsidRPr="00C404A3" w:rsidRDefault="00642ED6" w:rsidP="00456BE0">
      <w:pPr>
        <w:pStyle w:val="Styl3"/>
        <w:rPr>
          <w:lang w:val="sk-SK"/>
        </w:rPr>
      </w:pPr>
      <w:r w:rsidRPr="00C404A3">
        <w:rPr>
          <w:lang w:val="sk-SK"/>
        </w:rPr>
        <w:t>Biotransformácia</w:t>
      </w:r>
    </w:p>
    <w:p w14:paraId="1A2D5044" w14:textId="52214320" w:rsidR="0076116E" w:rsidRPr="00EC5E95" w:rsidRDefault="004124B1" w:rsidP="00A84884">
      <w:pPr>
        <w:pStyle w:val="Normlndobloku"/>
        <w:rPr>
          <w:lang w:val="sk-SK"/>
        </w:rPr>
      </w:pPr>
      <w:proofErr w:type="spellStart"/>
      <w:r w:rsidRPr="00EC5E95">
        <w:rPr>
          <w:lang w:val="sk-SK"/>
        </w:rPr>
        <w:t>Ramipril</w:t>
      </w:r>
      <w:proofErr w:type="spellEnd"/>
      <w:r w:rsidRPr="00EC5E95">
        <w:rPr>
          <w:lang w:val="sk-SK"/>
        </w:rPr>
        <w:t xml:space="preserve"> sa takmer úpl</w:t>
      </w:r>
      <w:r w:rsidR="00441A02" w:rsidRPr="00EC5E95">
        <w:rPr>
          <w:lang w:val="sk-SK"/>
        </w:rPr>
        <w:t xml:space="preserve">ne metabolizuje na </w:t>
      </w:r>
      <w:proofErr w:type="spellStart"/>
      <w:r w:rsidR="00441A02" w:rsidRPr="00EC5E95">
        <w:rPr>
          <w:lang w:val="sk-SK"/>
        </w:rPr>
        <w:t>ramiprilát</w:t>
      </w:r>
      <w:proofErr w:type="spellEnd"/>
      <w:r w:rsidR="00441A02" w:rsidRPr="00EC5E95">
        <w:rPr>
          <w:lang w:val="sk-SK"/>
        </w:rPr>
        <w:t xml:space="preserve"> a </w:t>
      </w:r>
      <w:r w:rsidRPr="00EC5E95">
        <w:rPr>
          <w:lang w:val="sk-SK"/>
        </w:rPr>
        <w:t xml:space="preserve">ester </w:t>
      </w:r>
      <w:proofErr w:type="spellStart"/>
      <w:r w:rsidRPr="00EC5E95">
        <w:rPr>
          <w:lang w:val="sk-SK"/>
        </w:rPr>
        <w:t>diketopiperazínu</w:t>
      </w:r>
      <w:proofErr w:type="spellEnd"/>
      <w:r w:rsidR="00441A02" w:rsidRPr="00EC5E95">
        <w:rPr>
          <w:lang w:val="sk-SK"/>
        </w:rPr>
        <w:t xml:space="preserve">, kyselinu </w:t>
      </w:r>
      <w:proofErr w:type="spellStart"/>
      <w:r w:rsidR="00441A02" w:rsidRPr="00EC5E95">
        <w:rPr>
          <w:lang w:val="sk-SK"/>
        </w:rPr>
        <w:t>diketopiperazínovú</w:t>
      </w:r>
      <w:proofErr w:type="spellEnd"/>
      <w:r w:rsidR="00441A02" w:rsidRPr="00EC5E95">
        <w:rPr>
          <w:lang w:val="sk-SK"/>
        </w:rPr>
        <w:t xml:space="preserve"> a </w:t>
      </w:r>
      <w:proofErr w:type="spellStart"/>
      <w:r w:rsidR="00441A02" w:rsidRPr="00EC5E95">
        <w:rPr>
          <w:lang w:val="sk-SK"/>
        </w:rPr>
        <w:t>glukuronidy</w:t>
      </w:r>
      <w:proofErr w:type="spellEnd"/>
      <w:r w:rsidR="00441A02" w:rsidRPr="00EC5E95">
        <w:rPr>
          <w:lang w:val="sk-SK"/>
        </w:rPr>
        <w:t xml:space="preserve"> </w:t>
      </w:r>
      <w:proofErr w:type="spellStart"/>
      <w:r w:rsidR="00441A02" w:rsidRPr="00EC5E95">
        <w:rPr>
          <w:lang w:val="sk-SK"/>
        </w:rPr>
        <w:t>ramiprilu</w:t>
      </w:r>
      <w:proofErr w:type="spellEnd"/>
      <w:r w:rsidR="00441A02" w:rsidRPr="00EC5E95">
        <w:rPr>
          <w:lang w:val="sk-SK"/>
        </w:rPr>
        <w:t xml:space="preserve"> a </w:t>
      </w:r>
      <w:proofErr w:type="spellStart"/>
      <w:r w:rsidRPr="00EC5E95">
        <w:rPr>
          <w:lang w:val="sk-SK"/>
        </w:rPr>
        <w:t>ramiprilátu</w:t>
      </w:r>
      <w:proofErr w:type="spellEnd"/>
      <w:r w:rsidRPr="00EC5E95">
        <w:rPr>
          <w:lang w:val="sk-SK"/>
        </w:rPr>
        <w:t>.</w:t>
      </w:r>
    </w:p>
    <w:p w14:paraId="576CEEB5" w14:textId="77777777" w:rsidR="0076116E" w:rsidRPr="00EC5E95" w:rsidRDefault="004124B1" w:rsidP="0087630B">
      <w:pPr>
        <w:pStyle w:val="Styl3"/>
      </w:pPr>
      <w:r w:rsidRPr="00EC5E95">
        <w:t>Eliminácia</w:t>
      </w:r>
    </w:p>
    <w:p w14:paraId="090E83D4" w14:textId="77777777" w:rsidR="0076116E" w:rsidRPr="00EC5E95" w:rsidRDefault="004124B1" w:rsidP="00A84884">
      <w:pPr>
        <w:pStyle w:val="Normlndobloku"/>
        <w:rPr>
          <w:lang w:val="sk-SK"/>
        </w:rPr>
      </w:pPr>
      <w:proofErr w:type="spellStart"/>
      <w:r w:rsidRPr="00EC5E95">
        <w:rPr>
          <w:lang w:val="sk-SK"/>
        </w:rPr>
        <w:t>Metabolity</w:t>
      </w:r>
      <w:proofErr w:type="spellEnd"/>
      <w:r w:rsidRPr="00EC5E95">
        <w:rPr>
          <w:lang w:val="sk-SK"/>
        </w:rPr>
        <w:t xml:space="preserve"> sa primárne vylučujú obličkami.</w:t>
      </w:r>
    </w:p>
    <w:p w14:paraId="0CE408FA" w14:textId="0159C30C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Pokles plazmatickej koncentrácie </w:t>
      </w:r>
      <w:proofErr w:type="spellStart"/>
      <w:r w:rsidRPr="00EC5E95">
        <w:rPr>
          <w:lang w:val="sk-SK"/>
        </w:rPr>
        <w:t>ramiprilátu</w:t>
      </w:r>
      <w:proofErr w:type="spellEnd"/>
      <w:r w:rsidRPr="00EC5E95">
        <w:rPr>
          <w:lang w:val="sk-SK"/>
        </w:rPr>
        <w:t xml:space="preserve"> je viacfázový. Pre svoj silný úči</w:t>
      </w:r>
      <w:r w:rsidR="00441A02" w:rsidRPr="00EC5E95">
        <w:rPr>
          <w:lang w:val="sk-SK"/>
        </w:rPr>
        <w:t xml:space="preserve">nok, </w:t>
      </w:r>
      <w:proofErr w:type="spellStart"/>
      <w:r w:rsidR="00441A02" w:rsidRPr="00EC5E95">
        <w:rPr>
          <w:lang w:val="sk-SK"/>
        </w:rPr>
        <w:t>nasýtiteľnú</w:t>
      </w:r>
      <w:proofErr w:type="spellEnd"/>
      <w:r w:rsidR="00441A02" w:rsidRPr="00EC5E95">
        <w:rPr>
          <w:lang w:val="sk-SK"/>
        </w:rPr>
        <w:t xml:space="preserve"> väzbu na ACE a slabú </w:t>
      </w:r>
      <w:proofErr w:type="spellStart"/>
      <w:r w:rsidR="00441A02" w:rsidRPr="00EC5E95">
        <w:rPr>
          <w:lang w:val="sk-SK"/>
        </w:rPr>
        <w:t>disociáciu</w:t>
      </w:r>
      <w:proofErr w:type="spellEnd"/>
      <w:r w:rsidR="00441A02" w:rsidRPr="00EC5E95">
        <w:rPr>
          <w:lang w:val="sk-SK"/>
        </w:rPr>
        <w:t xml:space="preserve"> z </w:t>
      </w:r>
      <w:r w:rsidRPr="00EC5E95">
        <w:rPr>
          <w:lang w:val="sk-SK"/>
        </w:rPr>
        <w:t xml:space="preserve">enzýmu má </w:t>
      </w:r>
      <w:proofErr w:type="spellStart"/>
      <w:r w:rsidRPr="00EC5E95">
        <w:rPr>
          <w:lang w:val="sk-SK"/>
        </w:rPr>
        <w:t>ramiprilát</w:t>
      </w:r>
      <w:proofErr w:type="spellEnd"/>
      <w:r w:rsidRPr="00EC5E95">
        <w:rPr>
          <w:lang w:val="sk-SK"/>
        </w:rPr>
        <w:t xml:space="preserve"> predĺže</w:t>
      </w:r>
      <w:r w:rsidR="00441A02" w:rsidRPr="00EC5E95">
        <w:rPr>
          <w:lang w:val="sk-SK"/>
        </w:rPr>
        <w:t>nú terminálnu eliminačnú fázu s </w:t>
      </w:r>
      <w:r w:rsidRPr="00EC5E95">
        <w:rPr>
          <w:lang w:val="sk-SK"/>
        </w:rPr>
        <w:t>veľmi nízkou plazmatickou koncentráciou.</w:t>
      </w:r>
    </w:p>
    <w:p w14:paraId="233911B3" w14:textId="1724A77C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Po viacnásobných dávkach </w:t>
      </w:r>
      <w:proofErr w:type="spellStart"/>
      <w:r w:rsidRPr="00EC5E95">
        <w:rPr>
          <w:lang w:val="sk-SK"/>
        </w:rPr>
        <w:t>ramiprilu</w:t>
      </w:r>
      <w:proofErr w:type="spellEnd"/>
      <w:r w:rsidRPr="00EC5E95">
        <w:rPr>
          <w:lang w:val="sk-SK"/>
        </w:rPr>
        <w:t xml:space="preserve"> podávaných raz za deň bol účinný polčas koncentrácie </w:t>
      </w:r>
      <w:proofErr w:type="spellStart"/>
      <w:r w:rsidRPr="00EC5E95">
        <w:rPr>
          <w:lang w:val="sk-SK"/>
        </w:rPr>
        <w:t>ramiprilátu</w:t>
      </w:r>
      <w:proofErr w:type="spellEnd"/>
      <w:r w:rsidRPr="00EC5E95">
        <w:rPr>
          <w:lang w:val="sk-SK"/>
        </w:rPr>
        <w:t xml:space="preserve"> 13</w:t>
      </w:r>
      <w:r w:rsidR="001E636D">
        <w:rPr>
          <w:lang w:val="sk-SK"/>
        </w:rPr>
        <w:t> </w:t>
      </w:r>
      <w:r w:rsidR="00D008BA" w:rsidRPr="001E636D">
        <w:rPr>
          <w:lang w:val="sk-SK"/>
        </w:rPr>
        <w:t>–</w:t>
      </w:r>
      <w:r w:rsidR="001E636D">
        <w:rPr>
          <w:lang w:val="sk-SK"/>
        </w:rPr>
        <w:t> </w:t>
      </w:r>
      <w:r w:rsidRPr="001E636D">
        <w:rPr>
          <w:lang w:val="sk-SK"/>
        </w:rPr>
        <w:t>17 hodín po dávkach 5</w:t>
      </w:r>
      <w:r w:rsidR="001E636D">
        <w:rPr>
          <w:lang w:val="sk-SK"/>
        </w:rPr>
        <w:t> </w:t>
      </w:r>
      <w:r w:rsidR="00D008BA" w:rsidRPr="001E636D">
        <w:rPr>
          <w:lang w:val="sk-SK"/>
        </w:rPr>
        <w:t>–</w:t>
      </w:r>
      <w:r w:rsidR="001E636D">
        <w:rPr>
          <w:lang w:val="sk-SK"/>
        </w:rPr>
        <w:t> </w:t>
      </w:r>
      <w:r w:rsidR="00441A02" w:rsidRPr="001E636D">
        <w:rPr>
          <w:lang w:val="sk-SK"/>
        </w:rPr>
        <w:t>10 </w:t>
      </w:r>
      <w:r w:rsidRPr="001E636D">
        <w:rPr>
          <w:lang w:val="sk-SK"/>
        </w:rPr>
        <w:t>mg a</w:t>
      </w:r>
      <w:r w:rsidR="004947E0" w:rsidRPr="001E636D">
        <w:rPr>
          <w:lang w:val="sk-SK"/>
        </w:rPr>
        <w:t xml:space="preserve"> </w:t>
      </w:r>
      <w:r w:rsidRPr="001E636D">
        <w:rPr>
          <w:lang w:val="sk-SK"/>
        </w:rPr>
        <w:t>dlhší po nižších dávkach 1,25</w:t>
      </w:r>
      <w:r w:rsidR="001E636D">
        <w:rPr>
          <w:lang w:val="sk-SK"/>
        </w:rPr>
        <w:t> </w:t>
      </w:r>
      <w:r w:rsidR="00D008BA" w:rsidRPr="001E636D">
        <w:rPr>
          <w:lang w:val="sk-SK"/>
        </w:rPr>
        <w:t>–</w:t>
      </w:r>
      <w:r w:rsidR="001E636D">
        <w:rPr>
          <w:lang w:val="sk-SK"/>
        </w:rPr>
        <w:t> </w:t>
      </w:r>
      <w:r w:rsidR="00441A02" w:rsidRPr="00C3029B">
        <w:rPr>
          <w:lang w:val="sk-SK"/>
        </w:rPr>
        <w:t>2,5 </w:t>
      </w:r>
      <w:r w:rsidRPr="00C3029B">
        <w:rPr>
          <w:lang w:val="sk-SK"/>
        </w:rPr>
        <w:t xml:space="preserve">mg. Tento rozdiel súvisí so </w:t>
      </w:r>
      <w:proofErr w:type="spellStart"/>
      <w:r w:rsidRPr="00C3029B">
        <w:rPr>
          <w:lang w:val="sk-SK"/>
        </w:rPr>
        <w:t>saturovateľnou</w:t>
      </w:r>
      <w:proofErr w:type="spellEnd"/>
      <w:r w:rsidRPr="00C3029B">
        <w:rPr>
          <w:lang w:val="sk-SK"/>
        </w:rPr>
        <w:t xml:space="preserve"> kapacit</w:t>
      </w:r>
      <w:r w:rsidRPr="00EC5E95">
        <w:rPr>
          <w:lang w:val="sk-SK"/>
        </w:rPr>
        <w:t xml:space="preserve">ou enzýmu viazať </w:t>
      </w:r>
      <w:proofErr w:type="spellStart"/>
      <w:r w:rsidRPr="00EC5E95">
        <w:rPr>
          <w:lang w:val="sk-SK"/>
        </w:rPr>
        <w:t>ramiprilát</w:t>
      </w:r>
      <w:proofErr w:type="spellEnd"/>
      <w:r w:rsidRPr="00EC5E95">
        <w:rPr>
          <w:lang w:val="sk-SK"/>
        </w:rPr>
        <w:t>.</w:t>
      </w:r>
    </w:p>
    <w:p w14:paraId="5F68C050" w14:textId="6E5FCBED" w:rsidR="0076116E" w:rsidRPr="00EC5E95" w:rsidRDefault="004124B1" w:rsidP="00A84884">
      <w:pPr>
        <w:pStyle w:val="Normlndobloku"/>
        <w:rPr>
          <w:lang w:val="sk-SK"/>
        </w:rPr>
      </w:pPr>
      <w:r w:rsidRPr="00EC5E95">
        <w:rPr>
          <w:lang w:val="sk-SK"/>
        </w:rPr>
        <w:t>Jednorazová perorálna dávka</w:t>
      </w:r>
      <w:r w:rsidR="00441A02" w:rsidRPr="00EC5E95">
        <w:rPr>
          <w:lang w:val="sk-SK"/>
        </w:rPr>
        <w:t xml:space="preserve"> </w:t>
      </w:r>
      <w:proofErr w:type="spellStart"/>
      <w:r w:rsidR="00441A02" w:rsidRPr="00EC5E95">
        <w:rPr>
          <w:lang w:val="sk-SK"/>
        </w:rPr>
        <w:t>ramiprilu</w:t>
      </w:r>
      <w:proofErr w:type="spellEnd"/>
      <w:r w:rsidR="00441A02" w:rsidRPr="00EC5E95">
        <w:rPr>
          <w:lang w:val="sk-SK"/>
        </w:rPr>
        <w:t xml:space="preserve"> má za následok, že v </w:t>
      </w:r>
      <w:r w:rsidRPr="00EC5E95">
        <w:rPr>
          <w:lang w:val="sk-SK"/>
        </w:rPr>
        <w:t xml:space="preserve">materskom mlieku je takmer </w:t>
      </w:r>
      <w:r w:rsidR="00441A02" w:rsidRPr="00EC5E95">
        <w:rPr>
          <w:lang w:val="sk-SK"/>
        </w:rPr>
        <w:t xml:space="preserve">nemerateľná hladina </w:t>
      </w:r>
      <w:proofErr w:type="spellStart"/>
      <w:r w:rsidR="00441A02" w:rsidRPr="00EC5E95">
        <w:rPr>
          <w:lang w:val="sk-SK"/>
        </w:rPr>
        <w:t>ramiprilu</w:t>
      </w:r>
      <w:proofErr w:type="spellEnd"/>
      <w:r w:rsidR="00441A02" w:rsidRPr="00EC5E95">
        <w:rPr>
          <w:lang w:val="sk-SK"/>
        </w:rPr>
        <w:t xml:space="preserve"> a </w:t>
      </w:r>
      <w:r w:rsidRPr="00EC5E95">
        <w:rPr>
          <w:lang w:val="sk-SK"/>
        </w:rPr>
        <w:t xml:space="preserve">jeho </w:t>
      </w:r>
      <w:proofErr w:type="spellStart"/>
      <w:r w:rsidRPr="00EC5E95">
        <w:rPr>
          <w:lang w:val="sk-SK"/>
        </w:rPr>
        <w:t>metabolitu</w:t>
      </w:r>
      <w:proofErr w:type="spellEnd"/>
      <w:r w:rsidRPr="00EC5E95">
        <w:rPr>
          <w:lang w:val="sk-SK"/>
        </w:rPr>
        <w:t>. Avšak účinok viacerých dávok nie je známy.</w:t>
      </w:r>
    </w:p>
    <w:p w14:paraId="50A6B76B" w14:textId="6C1F3BF4" w:rsidR="0076116E" w:rsidRPr="006B2B62" w:rsidRDefault="004124B1" w:rsidP="0087630B">
      <w:pPr>
        <w:pStyle w:val="Styl3"/>
        <w:rPr>
          <w:lang w:val="sk-SK"/>
        </w:rPr>
      </w:pPr>
      <w:r w:rsidRPr="006B2B62">
        <w:rPr>
          <w:lang w:val="sk-SK"/>
        </w:rPr>
        <w:lastRenderedPageBreak/>
        <w:t>Pacienti s</w:t>
      </w:r>
      <w:r w:rsidR="00716E02" w:rsidRPr="006B2B62">
        <w:rPr>
          <w:lang w:val="sk-SK"/>
        </w:rPr>
        <w:t xml:space="preserve"> poruchou funkcie </w:t>
      </w:r>
      <w:r w:rsidRPr="006B2B62">
        <w:rPr>
          <w:lang w:val="sk-SK"/>
        </w:rPr>
        <w:t>obličiek (pozri časť 4.2)</w:t>
      </w:r>
    </w:p>
    <w:p w14:paraId="26D77577" w14:textId="25A5B5E8" w:rsidR="0076116E" w:rsidRPr="00EC5E95" w:rsidRDefault="00441A02" w:rsidP="00A84884">
      <w:pPr>
        <w:pStyle w:val="Normlndobloku"/>
        <w:rPr>
          <w:lang w:val="sk-SK"/>
        </w:rPr>
      </w:pPr>
      <w:r w:rsidRPr="00EC5E95">
        <w:rPr>
          <w:lang w:val="sk-SK"/>
        </w:rPr>
        <w:t>U </w:t>
      </w:r>
      <w:r w:rsidR="004124B1" w:rsidRPr="00EC5E95">
        <w:rPr>
          <w:lang w:val="sk-SK"/>
        </w:rPr>
        <w:t>pacientov s</w:t>
      </w:r>
      <w:r w:rsidR="00716E02" w:rsidRPr="0008481D">
        <w:rPr>
          <w:lang w:val="sk-SK"/>
        </w:rPr>
        <w:t> poruchou</w:t>
      </w:r>
      <w:r w:rsidR="004124B1" w:rsidRPr="00EC5E95">
        <w:rPr>
          <w:lang w:val="sk-SK"/>
        </w:rPr>
        <w:t xml:space="preserve"> funkci</w:t>
      </w:r>
      <w:r w:rsidR="00716E02" w:rsidRPr="00EC5E95">
        <w:rPr>
          <w:lang w:val="sk-SK"/>
        </w:rPr>
        <w:t>e</w:t>
      </w:r>
      <w:r w:rsidR="004124B1" w:rsidRPr="00EC5E95">
        <w:rPr>
          <w:lang w:val="sk-SK"/>
        </w:rPr>
        <w:t xml:space="preserve"> obličiek je </w:t>
      </w:r>
      <w:proofErr w:type="spellStart"/>
      <w:r w:rsidR="004124B1" w:rsidRPr="00EC5E95">
        <w:rPr>
          <w:lang w:val="sk-SK"/>
        </w:rPr>
        <w:t>renálna</w:t>
      </w:r>
      <w:proofErr w:type="spellEnd"/>
      <w:r w:rsidRPr="00EC5E95">
        <w:rPr>
          <w:lang w:val="sk-SK"/>
        </w:rPr>
        <w:t xml:space="preserve"> exkrécia </w:t>
      </w:r>
      <w:proofErr w:type="spellStart"/>
      <w:r w:rsidRPr="00EC5E95">
        <w:rPr>
          <w:lang w:val="sk-SK"/>
        </w:rPr>
        <w:t>ramiprilátu</w:t>
      </w:r>
      <w:proofErr w:type="spellEnd"/>
      <w:r w:rsidRPr="00EC5E95">
        <w:rPr>
          <w:lang w:val="sk-SK"/>
        </w:rPr>
        <w:t xml:space="preserve"> znížená a </w:t>
      </w:r>
      <w:proofErr w:type="spellStart"/>
      <w:r w:rsidR="004124B1" w:rsidRPr="00EC5E95">
        <w:rPr>
          <w:lang w:val="sk-SK"/>
        </w:rPr>
        <w:t>renálny</w:t>
      </w:r>
      <w:proofErr w:type="spellEnd"/>
      <w:r w:rsidR="004124B1" w:rsidRPr="00EC5E95">
        <w:rPr>
          <w:lang w:val="sk-SK"/>
        </w:rPr>
        <w:t xml:space="preserve"> </w:t>
      </w:r>
      <w:proofErr w:type="spellStart"/>
      <w:r w:rsidR="004124B1" w:rsidRPr="00EC5E95">
        <w:rPr>
          <w:lang w:val="sk-SK"/>
        </w:rPr>
        <w:t>klírens</w:t>
      </w:r>
      <w:proofErr w:type="spellEnd"/>
      <w:r w:rsidRPr="00EC5E95">
        <w:rPr>
          <w:lang w:val="sk-SK"/>
        </w:rPr>
        <w:t xml:space="preserve"> </w:t>
      </w:r>
      <w:proofErr w:type="spellStart"/>
      <w:r w:rsidRPr="00EC5E95">
        <w:rPr>
          <w:lang w:val="sk-SK"/>
        </w:rPr>
        <w:t>ramiprilátu</w:t>
      </w:r>
      <w:proofErr w:type="spellEnd"/>
      <w:r w:rsidRPr="00EC5E95">
        <w:rPr>
          <w:lang w:val="sk-SK"/>
        </w:rPr>
        <w:t xml:space="preserve"> proporčne súvisí s </w:t>
      </w:r>
      <w:proofErr w:type="spellStart"/>
      <w:r w:rsidR="004124B1" w:rsidRPr="00571DB3">
        <w:rPr>
          <w:lang w:val="sk-SK"/>
        </w:rPr>
        <w:t>klírensom</w:t>
      </w:r>
      <w:proofErr w:type="spellEnd"/>
      <w:r w:rsidR="004124B1" w:rsidRPr="00571DB3">
        <w:rPr>
          <w:lang w:val="sk-SK"/>
        </w:rPr>
        <w:t xml:space="preserve"> </w:t>
      </w:r>
      <w:proofErr w:type="spellStart"/>
      <w:r w:rsidR="004124B1" w:rsidRPr="00571DB3">
        <w:rPr>
          <w:lang w:val="sk-SK"/>
        </w:rPr>
        <w:t>kreatinínu</w:t>
      </w:r>
      <w:proofErr w:type="spellEnd"/>
      <w:r w:rsidR="004124B1" w:rsidRPr="00571DB3">
        <w:rPr>
          <w:lang w:val="sk-SK"/>
        </w:rPr>
        <w:t xml:space="preserve">. Toto má za následok zvýšenú plazmatickú koncentráciu </w:t>
      </w:r>
      <w:proofErr w:type="spellStart"/>
      <w:r w:rsidR="004124B1" w:rsidRPr="00571DB3">
        <w:rPr>
          <w:lang w:val="sk-SK"/>
        </w:rPr>
        <w:t>ramipril</w:t>
      </w:r>
      <w:r w:rsidRPr="00571DB3">
        <w:rPr>
          <w:lang w:val="sk-SK"/>
        </w:rPr>
        <w:t>átu</w:t>
      </w:r>
      <w:proofErr w:type="spellEnd"/>
      <w:r w:rsidRPr="00571DB3">
        <w:rPr>
          <w:lang w:val="sk-SK"/>
        </w:rPr>
        <w:t>, ktorá klesá pomalšie ako u </w:t>
      </w:r>
      <w:r w:rsidR="004124B1" w:rsidRPr="00C3029B">
        <w:rPr>
          <w:lang w:val="sk-SK"/>
        </w:rPr>
        <w:t>pacientov</w:t>
      </w:r>
      <w:r w:rsidRPr="00C3029B">
        <w:rPr>
          <w:lang w:val="sk-SK"/>
        </w:rPr>
        <w:t xml:space="preserve"> s </w:t>
      </w:r>
      <w:r w:rsidR="004124B1" w:rsidRPr="00C3029B">
        <w:rPr>
          <w:lang w:val="sk-SK"/>
        </w:rPr>
        <w:t>normálnou funkciou obličiek.</w:t>
      </w:r>
    </w:p>
    <w:p w14:paraId="32C217CB" w14:textId="61404651" w:rsidR="0076116E" w:rsidRPr="00EC5E95" w:rsidRDefault="004124B1" w:rsidP="0087630B">
      <w:pPr>
        <w:pStyle w:val="Styl3"/>
      </w:pPr>
      <w:r w:rsidRPr="00EC5E95">
        <w:t>Pacienti s</w:t>
      </w:r>
      <w:r w:rsidR="00716E02" w:rsidRPr="00EC5E95">
        <w:t> poruchou funckie</w:t>
      </w:r>
      <w:r w:rsidRPr="00EC5E95">
        <w:t>pečene (pozri časť 4.2)</w:t>
      </w:r>
    </w:p>
    <w:p w14:paraId="5B179E1C" w14:textId="4B3F25BA" w:rsidR="0076116E" w:rsidRPr="00EC5E95" w:rsidRDefault="00441A02" w:rsidP="00A84884">
      <w:pPr>
        <w:pStyle w:val="Normlndobloku"/>
        <w:rPr>
          <w:lang w:val="sk-SK"/>
        </w:rPr>
      </w:pPr>
      <w:r w:rsidRPr="00EC5E95">
        <w:rPr>
          <w:lang w:val="sk-SK"/>
        </w:rPr>
        <w:t>U </w:t>
      </w:r>
      <w:r w:rsidR="004124B1" w:rsidRPr="00EC5E95">
        <w:rPr>
          <w:lang w:val="sk-SK"/>
        </w:rPr>
        <w:t>pacientov s</w:t>
      </w:r>
      <w:r w:rsidR="00716E02" w:rsidRPr="00EC5E95">
        <w:rPr>
          <w:lang w:val="sk-SK"/>
        </w:rPr>
        <w:t> poruchou</w:t>
      </w:r>
      <w:r w:rsidR="004124B1" w:rsidRPr="00EC5E95">
        <w:rPr>
          <w:lang w:val="sk-SK"/>
        </w:rPr>
        <w:t xml:space="preserve"> funkci</w:t>
      </w:r>
      <w:r w:rsidR="00716E02" w:rsidRPr="00EC5E95">
        <w:rPr>
          <w:lang w:val="sk-SK"/>
        </w:rPr>
        <w:t>e</w:t>
      </w:r>
      <w:r w:rsidR="004124B1" w:rsidRPr="00EC5E95">
        <w:rPr>
          <w:lang w:val="sk-SK"/>
        </w:rPr>
        <w:t xml:space="preserve"> pečene je metabolizovanie </w:t>
      </w:r>
      <w:proofErr w:type="spellStart"/>
      <w:r w:rsidR="004124B1" w:rsidRPr="00EC5E95">
        <w:rPr>
          <w:lang w:val="sk-SK"/>
        </w:rPr>
        <w:t>ramiprilu</w:t>
      </w:r>
      <w:proofErr w:type="spellEnd"/>
      <w:r w:rsidR="004124B1" w:rsidRPr="00EC5E95">
        <w:rPr>
          <w:lang w:val="sk-SK"/>
        </w:rPr>
        <w:t xml:space="preserve"> na </w:t>
      </w:r>
      <w:proofErr w:type="spellStart"/>
      <w:r w:rsidR="004124B1" w:rsidRPr="00EC5E95">
        <w:rPr>
          <w:lang w:val="sk-SK"/>
        </w:rPr>
        <w:t>ramiprilát</w:t>
      </w:r>
      <w:proofErr w:type="spellEnd"/>
      <w:r w:rsidR="004124B1" w:rsidRPr="00EC5E95">
        <w:rPr>
          <w:lang w:val="sk-SK"/>
        </w:rPr>
        <w:t xml:space="preserve"> oneskorené kv</w:t>
      </w:r>
      <w:r w:rsidR="004124B1" w:rsidRPr="00456BE0">
        <w:rPr>
          <w:lang w:val="sk-SK"/>
        </w:rPr>
        <w:t>ô</w:t>
      </w:r>
      <w:r w:rsidR="004124B1" w:rsidRPr="00EC5E95">
        <w:rPr>
          <w:lang w:val="sk-SK"/>
        </w:rPr>
        <w:t>li znížene</w:t>
      </w:r>
      <w:r w:rsidRPr="00EC5E95">
        <w:rPr>
          <w:lang w:val="sk-SK"/>
        </w:rPr>
        <w:t xml:space="preserve">j aktivite pečeňových </w:t>
      </w:r>
      <w:proofErr w:type="spellStart"/>
      <w:r w:rsidRPr="00EC5E95">
        <w:rPr>
          <w:lang w:val="sk-SK"/>
        </w:rPr>
        <w:t>esteráz</w:t>
      </w:r>
      <w:proofErr w:type="spellEnd"/>
      <w:r w:rsidRPr="00EC5E95">
        <w:rPr>
          <w:lang w:val="sk-SK"/>
        </w:rPr>
        <w:t xml:space="preserve"> a plazmatická hladina </w:t>
      </w:r>
      <w:proofErr w:type="spellStart"/>
      <w:r w:rsidRPr="00EC5E95">
        <w:rPr>
          <w:lang w:val="sk-SK"/>
        </w:rPr>
        <w:t>ramiprilu</w:t>
      </w:r>
      <w:proofErr w:type="spellEnd"/>
      <w:r w:rsidRPr="00EC5E95">
        <w:rPr>
          <w:lang w:val="sk-SK"/>
        </w:rPr>
        <w:t xml:space="preserve"> u </w:t>
      </w:r>
      <w:r w:rsidR="004124B1" w:rsidRPr="00EC5E95">
        <w:rPr>
          <w:lang w:val="sk-SK"/>
        </w:rPr>
        <w:t xml:space="preserve">týchto pacientov je zvýšená. Maximálna </w:t>
      </w:r>
      <w:r w:rsidRPr="00EC5E95">
        <w:rPr>
          <w:lang w:val="sk-SK"/>
        </w:rPr>
        <w:t xml:space="preserve">koncentrácia </w:t>
      </w:r>
      <w:proofErr w:type="spellStart"/>
      <w:r w:rsidRPr="00EC5E95">
        <w:rPr>
          <w:lang w:val="sk-SK"/>
        </w:rPr>
        <w:t>ramiprilátu</w:t>
      </w:r>
      <w:proofErr w:type="spellEnd"/>
      <w:r w:rsidRPr="00EC5E95">
        <w:rPr>
          <w:lang w:val="sk-SK"/>
        </w:rPr>
        <w:t xml:space="preserve"> u </w:t>
      </w:r>
      <w:r w:rsidR="004124B1" w:rsidRPr="00EC5E95">
        <w:rPr>
          <w:lang w:val="sk-SK"/>
        </w:rPr>
        <w:t xml:space="preserve">týchto </w:t>
      </w:r>
      <w:r w:rsidRPr="00EC5E95">
        <w:rPr>
          <w:lang w:val="sk-SK"/>
        </w:rPr>
        <w:t>pacientov však nie je odlišná v porovnaní s </w:t>
      </w:r>
      <w:proofErr w:type="spellStart"/>
      <w:r w:rsidR="004124B1" w:rsidRPr="00EC5E95">
        <w:rPr>
          <w:lang w:val="sk-SK"/>
        </w:rPr>
        <w:t>pacientami</w:t>
      </w:r>
      <w:proofErr w:type="spellEnd"/>
      <w:r w:rsidR="004124B1" w:rsidRPr="00EC5E95">
        <w:rPr>
          <w:lang w:val="sk-SK"/>
        </w:rPr>
        <w:t xml:space="preserve"> s</w:t>
      </w:r>
      <w:r w:rsidR="001C3DB2" w:rsidRPr="00EC5E95">
        <w:rPr>
          <w:lang w:val="sk-SK"/>
        </w:rPr>
        <w:t> </w:t>
      </w:r>
      <w:r w:rsidR="004124B1" w:rsidRPr="00EC5E95">
        <w:rPr>
          <w:lang w:val="sk-SK"/>
        </w:rPr>
        <w:t>normálnou funkciou pečene.</w:t>
      </w:r>
    </w:p>
    <w:p w14:paraId="3419906F" w14:textId="77777777" w:rsidR="00716E02" w:rsidRPr="006B2B62" w:rsidRDefault="00716E02" w:rsidP="0087630B">
      <w:pPr>
        <w:pStyle w:val="Styl3"/>
        <w:rPr>
          <w:lang w:val="sk-SK"/>
        </w:rPr>
      </w:pPr>
      <w:r w:rsidRPr="006B2B62">
        <w:rPr>
          <w:lang w:val="sk-SK"/>
        </w:rPr>
        <w:t>Pediatrická populácia</w:t>
      </w:r>
    </w:p>
    <w:p w14:paraId="53C6BA41" w14:textId="08323FF2" w:rsidR="00716E02" w:rsidRPr="00EC5E95" w:rsidRDefault="00716E02" w:rsidP="00465D90">
      <w:pPr>
        <w:pStyle w:val="Normlndobloku"/>
        <w:rPr>
          <w:lang w:val="sk-SK"/>
        </w:rPr>
      </w:pPr>
      <w:proofErr w:type="spellStart"/>
      <w:r w:rsidRPr="00EC5E95">
        <w:rPr>
          <w:lang w:val="sk-SK"/>
        </w:rPr>
        <w:t>Farmakokinetický</w:t>
      </w:r>
      <w:proofErr w:type="spellEnd"/>
      <w:r w:rsidRPr="00EC5E95">
        <w:rPr>
          <w:lang w:val="sk-SK"/>
        </w:rPr>
        <w:t xml:space="preserve"> profil </w:t>
      </w:r>
      <w:proofErr w:type="spellStart"/>
      <w:r w:rsidRPr="00EC5E95">
        <w:rPr>
          <w:lang w:val="sk-SK"/>
        </w:rPr>
        <w:t>ramiprilu</w:t>
      </w:r>
      <w:proofErr w:type="spellEnd"/>
      <w:r w:rsidRPr="00EC5E95">
        <w:rPr>
          <w:lang w:val="sk-SK"/>
        </w:rPr>
        <w:t xml:space="preserve"> sa skúmal u 30 pediatrických </w:t>
      </w:r>
      <w:proofErr w:type="spellStart"/>
      <w:r w:rsidRPr="00EC5E95">
        <w:rPr>
          <w:lang w:val="sk-SK"/>
        </w:rPr>
        <w:t>hypertenzných</w:t>
      </w:r>
      <w:proofErr w:type="spellEnd"/>
      <w:r w:rsidRPr="00EC5E95">
        <w:rPr>
          <w:lang w:val="sk-SK"/>
        </w:rPr>
        <w:t xml:space="preserve"> pacientov vo veku 2</w:t>
      </w:r>
      <w:r w:rsidRPr="00571DB3">
        <w:rPr>
          <w:lang w:val="sk-SK"/>
        </w:rPr>
        <w:t> </w:t>
      </w:r>
      <w:r w:rsidR="00520BCD">
        <w:rPr>
          <w:lang w:val="sk-SK"/>
        </w:rPr>
        <w:t>–</w:t>
      </w:r>
      <w:r w:rsidRPr="00571DB3">
        <w:rPr>
          <w:lang w:val="sk-SK"/>
        </w:rPr>
        <w:t xml:space="preserve"> 16 rokov vážiacich </w:t>
      </w:r>
      <w:r w:rsidRPr="00C3029B">
        <w:rPr>
          <w:lang w:val="sk-SK"/>
        </w:rPr>
        <w:t xml:space="preserve">&gt; </w:t>
      </w:r>
      <w:smartTag w:uri="urn:schemas-microsoft-com:office:smarttags" w:element="metricconverter">
        <w:smartTagPr>
          <w:attr w:name="ProductID" w:val="10ﾠkg"/>
        </w:smartTagPr>
        <w:r w:rsidRPr="00C3029B">
          <w:rPr>
            <w:lang w:val="sk-SK"/>
          </w:rPr>
          <w:t>10 kg</w:t>
        </w:r>
      </w:smartTag>
      <w:r w:rsidRPr="00C3029B">
        <w:rPr>
          <w:lang w:val="sk-SK"/>
        </w:rPr>
        <w:t xml:space="preserve">. Po dávkach od 0,05 až 0,2 mg/kg sa </w:t>
      </w:r>
      <w:proofErr w:type="spellStart"/>
      <w:r w:rsidRPr="00C3029B">
        <w:rPr>
          <w:lang w:val="sk-SK"/>
        </w:rPr>
        <w:t>r</w:t>
      </w:r>
      <w:r w:rsidRPr="00EC5E95">
        <w:rPr>
          <w:lang w:val="sk-SK"/>
        </w:rPr>
        <w:t>amipril</w:t>
      </w:r>
      <w:proofErr w:type="spellEnd"/>
      <w:r w:rsidRPr="00EC5E95">
        <w:rPr>
          <w:lang w:val="sk-SK"/>
        </w:rPr>
        <w:t xml:space="preserve"> rýchlo a extenzívne metabolizoval na </w:t>
      </w:r>
      <w:proofErr w:type="spellStart"/>
      <w:r w:rsidRPr="00EC5E95">
        <w:rPr>
          <w:lang w:val="sk-SK"/>
        </w:rPr>
        <w:t>ramiprilát</w:t>
      </w:r>
      <w:proofErr w:type="spellEnd"/>
      <w:r w:rsidRPr="00EC5E95">
        <w:rPr>
          <w:lang w:val="sk-SK"/>
        </w:rPr>
        <w:t xml:space="preserve">. Maximálna plazmatická koncentrácia </w:t>
      </w:r>
      <w:proofErr w:type="spellStart"/>
      <w:r w:rsidRPr="00EC5E95">
        <w:rPr>
          <w:lang w:val="sk-SK"/>
        </w:rPr>
        <w:t>ramiprilátu</w:t>
      </w:r>
      <w:proofErr w:type="spellEnd"/>
      <w:r w:rsidRPr="00EC5E95">
        <w:rPr>
          <w:lang w:val="sk-SK"/>
        </w:rPr>
        <w:t xml:space="preserve"> sa dosiahla v intervale 2 </w:t>
      </w:r>
      <w:r w:rsidR="00520BCD">
        <w:rPr>
          <w:lang w:val="sk-SK"/>
        </w:rPr>
        <w:t>–</w:t>
      </w:r>
      <w:r w:rsidRPr="00EC5E95">
        <w:rPr>
          <w:lang w:val="sk-SK"/>
        </w:rPr>
        <w:t xml:space="preserve"> 3 hodín. </w:t>
      </w:r>
      <w:proofErr w:type="spellStart"/>
      <w:r w:rsidRPr="00EC5E95">
        <w:rPr>
          <w:lang w:val="sk-SK"/>
        </w:rPr>
        <w:t>Klírens</w:t>
      </w:r>
      <w:proofErr w:type="spellEnd"/>
      <w:r w:rsidRPr="00EC5E95">
        <w:rPr>
          <w:lang w:val="sk-SK"/>
        </w:rPr>
        <w:t xml:space="preserve"> </w:t>
      </w:r>
      <w:proofErr w:type="spellStart"/>
      <w:r w:rsidRPr="00EC5E95">
        <w:rPr>
          <w:lang w:val="sk-SK"/>
        </w:rPr>
        <w:t>ramiprilátu</w:t>
      </w:r>
      <w:proofErr w:type="spellEnd"/>
      <w:r w:rsidRPr="00EC5E95">
        <w:rPr>
          <w:lang w:val="sk-SK"/>
        </w:rPr>
        <w:t xml:space="preserve"> vysoko </w:t>
      </w:r>
      <w:proofErr w:type="spellStart"/>
      <w:r w:rsidRPr="00EC5E95">
        <w:rPr>
          <w:lang w:val="sk-SK"/>
        </w:rPr>
        <w:t>koreloval</w:t>
      </w:r>
      <w:proofErr w:type="spellEnd"/>
      <w:r w:rsidRPr="00EC5E95">
        <w:rPr>
          <w:lang w:val="sk-SK"/>
        </w:rPr>
        <w:t xml:space="preserve"> s protokolom o telesnej hmotnosti (p &lt; 0,01) ako aj s</w:t>
      </w:r>
      <w:r w:rsidR="004947E0" w:rsidRPr="00EC5E95">
        <w:rPr>
          <w:lang w:val="sk-SK"/>
        </w:rPr>
        <w:t xml:space="preserve"> </w:t>
      </w:r>
      <w:r w:rsidR="00520BCD">
        <w:rPr>
          <w:lang w:val="sk-SK"/>
        </w:rPr>
        <w:t>d</w:t>
      </w:r>
      <w:r w:rsidRPr="00EC5E95">
        <w:rPr>
          <w:lang w:val="sk-SK"/>
        </w:rPr>
        <w:t xml:space="preserve">ávkou (p &lt; 0,001). </w:t>
      </w:r>
      <w:proofErr w:type="spellStart"/>
      <w:r w:rsidRPr="00EC5E95">
        <w:rPr>
          <w:lang w:val="sk-SK"/>
        </w:rPr>
        <w:t>Klírens</w:t>
      </w:r>
      <w:proofErr w:type="spellEnd"/>
      <w:r w:rsidRPr="00EC5E95">
        <w:rPr>
          <w:lang w:val="sk-SK"/>
        </w:rPr>
        <w:t xml:space="preserve"> a distribučný objem narastal so stúpajúcim vekom detí vo všetkých skúšaných hladinách dávok.</w:t>
      </w:r>
    </w:p>
    <w:p w14:paraId="09E437D8" w14:textId="77777777" w:rsidR="00716E02" w:rsidRPr="00EC5E95" w:rsidRDefault="00716E02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Dávka 0,05 mg /kg u detí dosiahla hladinu expozície porovnateľnú s tou, ktorá sa dosiahla u dospelých liečených </w:t>
      </w:r>
      <w:proofErr w:type="spellStart"/>
      <w:r w:rsidRPr="00EC5E95">
        <w:rPr>
          <w:lang w:val="sk-SK"/>
        </w:rPr>
        <w:t>ramiprilom</w:t>
      </w:r>
      <w:proofErr w:type="spellEnd"/>
      <w:r w:rsidRPr="00EC5E95">
        <w:rPr>
          <w:lang w:val="sk-SK"/>
        </w:rPr>
        <w:t xml:space="preserve"> 5 mg. Dávka 0,2 mg/kg u detí mala za následok hladinu expozície vyššiu ako maximálna odporúčaná dávka 10 mg za deň u dospelých.</w:t>
      </w:r>
    </w:p>
    <w:p w14:paraId="133EFFFC" w14:textId="50972DA1" w:rsidR="0076116E" w:rsidRPr="00EC5E95" w:rsidRDefault="00441A02" w:rsidP="00015569">
      <w:pPr>
        <w:pStyle w:val="Styl2"/>
        <w:rPr>
          <w:noProof w:val="0"/>
          <w:lang w:val="sk-SK"/>
        </w:rPr>
      </w:pPr>
      <w:r w:rsidRPr="00EC5E95">
        <w:rPr>
          <w:noProof w:val="0"/>
          <w:lang w:val="sk-SK"/>
        </w:rPr>
        <w:t>Predklinické údaje o </w:t>
      </w:r>
      <w:r w:rsidR="004124B1" w:rsidRPr="00EC5E95">
        <w:rPr>
          <w:noProof w:val="0"/>
          <w:lang w:val="sk-SK"/>
        </w:rPr>
        <w:t>bezpečnosti</w:t>
      </w:r>
    </w:p>
    <w:p w14:paraId="72EF27F5" w14:textId="6DFF279C" w:rsidR="0076116E" w:rsidRPr="00EC5E95" w:rsidRDefault="004E22A5" w:rsidP="00A84884">
      <w:pPr>
        <w:pStyle w:val="Normlndobloku"/>
        <w:rPr>
          <w:lang w:val="sk-SK"/>
        </w:rPr>
      </w:pPr>
      <w:r w:rsidRPr="000F6B9E">
        <w:rPr>
          <w:lang w:val="sk-SK"/>
        </w:rPr>
        <w:t xml:space="preserve">Perorálne podanie </w:t>
      </w:r>
      <w:proofErr w:type="spellStart"/>
      <w:r w:rsidRPr="000F6B9E">
        <w:rPr>
          <w:lang w:val="sk-SK"/>
        </w:rPr>
        <w:t>ramiprilu</w:t>
      </w:r>
      <w:proofErr w:type="spellEnd"/>
      <w:r w:rsidRPr="000F6B9E">
        <w:rPr>
          <w:lang w:val="sk-SK"/>
        </w:rPr>
        <w:t xml:space="preserve"> nepreukázalo</w:t>
      </w:r>
      <w:r w:rsidRPr="00EC5E95">
        <w:rPr>
          <w:lang w:val="sk-SK"/>
        </w:rPr>
        <w:t xml:space="preserve"> </w:t>
      </w:r>
      <w:r w:rsidR="00441A02" w:rsidRPr="00EC5E95">
        <w:rPr>
          <w:lang w:val="sk-SK"/>
        </w:rPr>
        <w:t>akútnu toxicitu u hlodavcov a </w:t>
      </w:r>
      <w:r w:rsidR="004124B1" w:rsidRPr="00EC5E95">
        <w:rPr>
          <w:lang w:val="sk-SK"/>
        </w:rPr>
        <w:t>psov.</w:t>
      </w:r>
    </w:p>
    <w:p w14:paraId="5BDCD1CC" w14:textId="2C5E0CE7" w:rsidR="0076116E" w:rsidRPr="00EC5E95" w:rsidRDefault="00441A02" w:rsidP="00A84884">
      <w:pPr>
        <w:pStyle w:val="Normlndobloku"/>
        <w:rPr>
          <w:lang w:val="sk-SK"/>
        </w:rPr>
      </w:pPr>
      <w:r w:rsidRPr="00EC5E95">
        <w:rPr>
          <w:lang w:val="sk-SK"/>
        </w:rPr>
        <w:t>Štúdie s </w:t>
      </w:r>
      <w:r w:rsidR="004124B1" w:rsidRPr="00EC5E95">
        <w:rPr>
          <w:lang w:val="sk-SK"/>
        </w:rPr>
        <w:t xml:space="preserve">chronickým perorálnym podávaním </w:t>
      </w:r>
      <w:r w:rsidRPr="00EC5E95">
        <w:rPr>
          <w:lang w:val="sk-SK"/>
        </w:rPr>
        <w:t>sa robili na potkanoch, psoch a opiciach. U </w:t>
      </w:r>
      <w:r w:rsidR="004124B1" w:rsidRPr="00EC5E95">
        <w:rPr>
          <w:lang w:val="sk-SK"/>
        </w:rPr>
        <w:t>troch druhov sa zistili zmeny hodn</w:t>
      </w:r>
      <w:r w:rsidRPr="00EC5E95">
        <w:rPr>
          <w:lang w:val="sk-SK"/>
        </w:rPr>
        <w:t>ôt plazmatických elektrolytov a </w:t>
      </w:r>
      <w:r w:rsidR="004124B1" w:rsidRPr="00EC5E95">
        <w:rPr>
          <w:lang w:val="sk-SK"/>
        </w:rPr>
        <w:t>zmeny krvného obrazu.</w:t>
      </w:r>
    </w:p>
    <w:p w14:paraId="41695940" w14:textId="24314923" w:rsidR="0076116E" w:rsidRPr="00EC5E95" w:rsidRDefault="00441A02" w:rsidP="00A84884">
      <w:pPr>
        <w:pStyle w:val="Normlndobloku"/>
        <w:rPr>
          <w:lang w:val="sk-SK"/>
        </w:rPr>
      </w:pPr>
      <w:r w:rsidRPr="00EC5E95">
        <w:rPr>
          <w:lang w:val="sk-SK"/>
        </w:rPr>
        <w:t>V </w:t>
      </w:r>
      <w:r w:rsidR="004124B1" w:rsidRPr="00EC5E95">
        <w:rPr>
          <w:lang w:val="sk-SK"/>
        </w:rPr>
        <w:t xml:space="preserve">dôsledku </w:t>
      </w:r>
      <w:proofErr w:type="spellStart"/>
      <w:r w:rsidR="004124B1" w:rsidRPr="00EC5E95">
        <w:rPr>
          <w:lang w:val="sk-SK"/>
        </w:rPr>
        <w:t>farmakodynamickej</w:t>
      </w:r>
      <w:proofErr w:type="spellEnd"/>
      <w:r w:rsidR="004124B1" w:rsidRPr="00EC5E95">
        <w:rPr>
          <w:lang w:val="sk-SK"/>
        </w:rPr>
        <w:t xml:space="preserve"> aktivity </w:t>
      </w:r>
      <w:proofErr w:type="spellStart"/>
      <w:r w:rsidR="004124B1" w:rsidRPr="00EC5E95">
        <w:rPr>
          <w:lang w:val="sk-SK"/>
        </w:rPr>
        <w:t>ramiprilu</w:t>
      </w:r>
      <w:proofErr w:type="spellEnd"/>
      <w:r w:rsidR="004124B1" w:rsidRPr="00EC5E95">
        <w:rPr>
          <w:lang w:val="sk-SK"/>
        </w:rPr>
        <w:t xml:space="preserve"> sa zaznamenalo výrazné rozšírenie </w:t>
      </w:r>
      <w:proofErr w:type="spellStart"/>
      <w:r w:rsidR="004124B1" w:rsidRPr="00EC5E95">
        <w:rPr>
          <w:lang w:val="sk-SK"/>
        </w:rPr>
        <w:t>juxtaglomerulárneho</w:t>
      </w:r>
      <w:proofErr w:type="spellEnd"/>
      <w:r w:rsidR="004124B1" w:rsidRPr="00EC5E95">
        <w:rPr>
          <w:lang w:val="sk-SK"/>
        </w:rPr>
        <w:t xml:space="preserve"> aparátu u</w:t>
      </w:r>
      <w:r w:rsidRPr="00EC5E95">
        <w:rPr>
          <w:lang w:val="sk-SK"/>
        </w:rPr>
        <w:t> psa a opice od denných dávok 250 </w:t>
      </w:r>
      <w:r w:rsidR="004124B1" w:rsidRPr="00EC5E95">
        <w:rPr>
          <w:lang w:val="sk-SK"/>
        </w:rPr>
        <w:t>mg/kg/deň. P</w:t>
      </w:r>
      <w:r w:rsidRPr="00EC5E95">
        <w:rPr>
          <w:lang w:val="sk-SK"/>
        </w:rPr>
        <w:t>otkany tolerovali denné dávky 2 mg/kg/deň, psy 2,5 mg/kg/deň a opice 8 </w:t>
      </w:r>
      <w:r w:rsidR="004124B1" w:rsidRPr="00EC5E95">
        <w:rPr>
          <w:lang w:val="sk-SK"/>
        </w:rPr>
        <w:t>mg/kg/deň bez škodlivých účinkov.</w:t>
      </w:r>
    </w:p>
    <w:p w14:paraId="0191B370" w14:textId="77F2D3F8" w:rsidR="0076116E" w:rsidRPr="00EC5E95" w:rsidRDefault="004E22A5" w:rsidP="00A84884">
      <w:pPr>
        <w:pStyle w:val="Normlndobloku"/>
        <w:rPr>
          <w:lang w:val="sk-SK"/>
        </w:rPr>
      </w:pPr>
      <w:r w:rsidRPr="000F6B9E">
        <w:rPr>
          <w:lang w:val="sk-SK"/>
        </w:rPr>
        <w:t>Štúdie reprodukčnej toxicity</w:t>
      </w:r>
      <w:r w:rsidR="00441A02" w:rsidRPr="00EC5E95">
        <w:rPr>
          <w:lang w:val="sk-SK"/>
        </w:rPr>
        <w:t xml:space="preserve"> u potkana, králika a </w:t>
      </w:r>
      <w:r w:rsidR="004124B1" w:rsidRPr="00EC5E95">
        <w:rPr>
          <w:lang w:val="sk-SK"/>
        </w:rPr>
        <w:t xml:space="preserve">opice nepreukázali žiadne </w:t>
      </w:r>
      <w:proofErr w:type="spellStart"/>
      <w:r w:rsidR="004124B1" w:rsidRPr="00EC5E95">
        <w:rPr>
          <w:lang w:val="sk-SK"/>
        </w:rPr>
        <w:t>teratogénne</w:t>
      </w:r>
      <w:proofErr w:type="spellEnd"/>
      <w:r w:rsidR="004124B1" w:rsidRPr="00EC5E95">
        <w:rPr>
          <w:lang w:val="sk-SK"/>
        </w:rPr>
        <w:t xml:space="preserve"> vlastnosti. </w:t>
      </w:r>
      <w:proofErr w:type="spellStart"/>
      <w:r w:rsidR="004124B1" w:rsidRPr="00EC5E95">
        <w:rPr>
          <w:lang w:val="sk-SK"/>
        </w:rPr>
        <w:t>Ferti</w:t>
      </w:r>
      <w:r w:rsidR="00441A02" w:rsidRPr="00EC5E95">
        <w:rPr>
          <w:lang w:val="sk-SK"/>
        </w:rPr>
        <w:t>lita</w:t>
      </w:r>
      <w:proofErr w:type="spellEnd"/>
      <w:r w:rsidR="00441A02" w:rsidRPr="00EC5E95">
        <w:rPr>
          <w:lang w:val="sk-SK"/>
        </w:rPr>
        <w:t xml:space="preserve"> u potkanov nebola zhoršená ani u </w:t>
      </w:r>
      <w:r w:rsidR="004124B1" w:rsidRPr="00EC5E95">
        <w:rPr>
          <w:lang w:val="sk-SK"/>
        </w:rPr>
        <w:t xml:space="preserve">jedincov samčieho ani samičieho pohlavia. Podanie </w:t>
      </w:r>
      <w:proofErr w:type="spellStart"/>
      <w:r w:rsidR="004124B1" w:rsidRPr="00EC5E95">
        <w:rPr>
          <w:lang w:val="sk-SK"/>
        </w:rPr>
        <w:t>ramiprilu</w:t>
      </w:r>
      <w:proofErr w:type="spellEnd"/>
      <w:r w:rsidR="004124B1" w:rsidRPr="00EC5E95">
        <w:rPr>
          <w:lang w:val="sk-SK"/>
        </w:rPr>
        <w:t xml:space="preserve"> potkanom samičieh</w:t>
      </w:r>
      <w:r w:rsidR="00441A02" w:rsidRPr="00EC5E95">
        <w:rPr>
          <w:lang w:val="sk-SK"/>
        </w:rPr>
        <w:t xml:space="preserve">o pohlavia vo </w:t>
      </w:r>
      <w:proofErr w:type="spellStart"/>
      <w:r w:rsidR="00441A02" w:rsidRPr="00EC5E95">
        <w:rPr>
          <w:lang w:val="sk-SK"/>
        </w:rPr>
        <w:t>fetálnom</w:t>
      </w:r>
      <w:proofErr w:type="spellEnd"/>
      <w:r w:rsidR="00441A02" w:rsidRPr="00EC5E95">
        <w:rPr>
          <w:lang w:val="sk-SK"/>
        </w:rPr>
        <w:t xml:space="preserve"> období a </w:t>
      </w:r>
      <w:r w:rsidR="004124B1" w:rsidRPr="00EC5E95">
        <w:rPr>
          <w:lang w:val="sk-SK"/>
        </w:rPr>
        <w:t>počas laktácie spôsobilo nevratné poškodenie obličiek (d</w:t>
      </w:r>
      <w:r w:rsidR="00441A02" w:rsidRPr="00EC5E95">
        <w:rPr>
          <w:lang w:val="sk-SK"/>
        </w:rPr>
        <w:t>ilatácia obličkovej panvičky) u </w:t>
      </w:r>
      <w:r w:rsidR="004124B1" w:rsidRPr="00EC5E95">
        <w:rPr>
          <w:lang w:val="sk-SK"/>
        </w:rPr>
        <w:t>mláďat pri denných dá</w:t>
      </w:r>
      <w:r w:rsidR="00441A02" w:rsidRPr="00EC5E95">
        <w:rPr>
          <w:lang w:val="sk-SK"/>
        </w:rPr>
        <w:t>vkach 50 </w:t>
      </w:r>
      <w:r w:rsidR="004124B1" w:rsidRPr="00EC5E95">
        <w:rPr>
          <w:lang w:val="sk-SK"/>
        </w:rPr>
        <w:t>mg/kg telesnej hmotnosti alebo vyšších.</w:t>
      </w:r>
    </w:p>
    <w:p w14:paraId="4D9D723B" w14:textId="39BAC682" w:rsidR="0076116E" w:rsidRPr="00EC5E95" w:rsidRDefault="004E22A5" w:rsidP="00A84884">
      <w:pPr>
        <w:pStyle w:val="Normlndobloku"/>
        <w:rPr>
          <w:lang w:val="sk-SK"/>
        </w:rPr>
      </w:pPr>
      <w:r w:rsidRPr="00EC5E95">
        <w:rPr>
          <w:lang w:val="sk-SK"/>
        </w:rPr>
        <w:t>Rozsiahle</w:t>
      </w:r>
      <w:r w:rsidR="00441A02" w:rsidRPr="00EC5E95">
        <w:rPr>
          <w:lang w:val="sk-SK"/>
        </w:rPr>
        <w:t xml:space="preserve"> testovanie </w:t>
      </w:r>
      <w:proofErr w:type="spellStart"/>
      <w:r w:rsidR="00441A02" w:rsidRPr="00EC5E95">
        <w:rPr>
          <w:lang w:val="sk-SK"/>
        </w:rPr>
        <w:t>mutagenity</w:t>
      </w:r>
      <w:proofErr w:type="spellEnd"/>
      <w:r w:rsidR="00441A02" w:rsidRPr="00EC5E95">
        <w:rPr>
          <w:lang w:val="sk-SK"/>
        </w:rPr>
        <w:t xml:space="preserve"> s </w:t>
      </w:r>
      <w:r w:rsidR="004124B1" w:rsidRPr="00EC5E95">
        <w:rPr>
          <w:lang w:val="sk-SK"/>
        </w:rPr>
        <w:t xml:space="preserve">použitím niekoľkých testovacích systémov nepreukázalo, že by mal </w:t>
      </w:r>
      <w:proofErr w:type="spellStart"/>
      <w:r w:rsidR="004124B1" w:rsidRPr="00EC5E95">
        <w:rPr>
          <w:lang w:val="sk-SK"/>
        </w:rPr>
        <w:t>ramipril</w:t>
      </w:r>
      <w:proofErr w:type="spellEnd"/>
      <w:r w:rsidR="004124B1" w:rsidRPr="00EC5E95">
        <w:rPr>
          <w:lang w:val="sk-SK"/>
        </w:rPr>
        <w:t xml:space="preserve"> mutagénne alebo </w:t>
      </w:r>
      <w:proofErr w:type="spellStart"/>
      <w:r w:rsidR="004124B1" w:rsidRPr="00EC5E95">
        <w:rPr>
          <w:lang w:val="sk-SK"/>
        </w:rPr>
        <w:t>genotoxické</w:t>
      </w:r>
      <w:proofErr w:type="spellEnd"/>
      <w:r w:rsidR="004124B1" w:rsidRPr="00EC5E95">
        <w:rPr>
          <w:lang w:val="sk-SK"/>
        </w:rPr>
        <w:t xml:space="preserve"> vlastnosti.</w:t>
      </w:r>
    </w:p>
    <w:p w14:paraId="2C341129" w14:textId="77777777" w:rsidR="00967584" w:rsidRPr="00EC5E95" w:rsidRDefault="00967584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Ireverzibilné poškodenie obličiek bolo pozorované u veľmi mladých potkanov, ktorým bola podaná jednorazová dávka </w:t>
      </w:r>
      <w:proofErr w:type="spellStart"/>
      <w:r w:rsidRPr="00EC5E95">
        <w:rPr>
          <w:lang w:val="sk-SK"/>
        </w:rPr>
        <w:t>ramiprilu</w:t>
      </w:r>
      <w:proofErr w:type="spellEnd"/>
      <w:r w:rsidRPr="00EC5E95">
        <w:rPr>
          <w:lang w:val="sk-SK"/>
        </w:rPr>
        <w:t>.</w:t>
      </w:r>
    </w:p>
    <w:p w14:paraId="64831B06" w14:textId="77777777" w:rsidR="0076116E" w:rsidRPr="00EC5E95" w:rsidRDefault="004124B1" w:rsidP="00015569">
      <w:pPr>
        <w:pStyle w:val="Styl1"/>
        <w:rPr>
          <w:noProof w:val="0"/>
          <w:lang w:val="sk-SK"/>
        </w:rPr>
      </w:pPr>
      <w:r w:rsidRPr="00EC5E95">
        <w:rPr>
          <w:noProof w:val="0"/>
          <w:lang w:val="sk-SK"/>
        </w:rPr>
        <w:t>FARMACEUTICKÉ INFORMÁCIE</w:t>
      </w:r>
    </w:p>
    <w:p w14:paraId="14B099D0" w14:textId="77777777" w:rsidR="0076116E" w:rsidRPr="00EC5E95" w:rsidRDefault="004124B1" w:rsidP="00015569">
      <w:pPr>
        <w:pStyle w:val="Styl2"/>
        <w:rPr>
          <w:noProof w:val="0"/>
          <w:lang w:val="sk-SK"/>
        </w:rPr>
      </w:pPr>
      <w:r w:rsidRPr="00EC5E95">
        <w:rPr>
          <w:noProof w:val="0"/>
          <w:lang w:val="sk-SK"/>
        </w:rPr>
        <w:t>Zoznam pomocných látok</w:t>
      </w:r>
    </w:p>
    <w:p w14:paraId="560971DD" w14:textId="77777777" w:rsidR="004124B1" w:rsidRPr="00EC5E95" w:rsidRDefault="00A105A0" w:rsidP="00A84884">
      <w:pPr>
        <w:pStyle w:val="Normlndobloku"/>
        <w:rPr>
          <w:lang w:val="sk-SK"/>
        </w:rPr>
      </w:pPr>
      <w:proofErr w:type="spellStart"/>
      <w:r w:rsidRPr="00EC5E95">
        <w:rPr>
          <w:lang w:val="sk-SK"/>
        </w:rPr>
        <w:t>Hydrogenuhličitan</w:t>
      </w:r>
      <w:proofErr w:type="spellEnd"/>
      <w:r w:rsidRPr="00EC5E95">
        <w:rPr>
          <w:lang w:val="sk-SK"/>
        </w:rPr>
        <w:t xml:space="preserve"> sodný</w:t>
      </w:r>
    </w:p>
    <w:p w14:paraId="4362190E" w14:textId="77777777" w:rsidR="00A105A0" w:rsidRPr="00EC5E95" w:rsidRDefault="00A105A0" w:rsidP="00A84884">
      <w:pPr>
        <w:pStyle w:val="Normlndobloku"/>
        <w:rPr>
          <w:lang w:val="sk-SK"/>
        </w:rPr>
      </w:pPr>
      <w:proofErr w:type="spellStart"/>
      <w:r w:rsidRPr="00EC5E95">
        <w:rPr>
          <w:lang w:val="sk-SK"/>
        </w:rPr>
        <w:t>Monohydrát</w:t>
      </w:r>
      <w:proofErr w:type="spellEnd"/>
      <w:r w:rsidRPr="00EC5E95">
        <w:rPr>
          <w:lang w:val="sk-SK"/>
        </w:rPr>
        <w:t xml:space="preserve"> laktózy</w:t>
      </w:r>
    </w:p>
    <w:p w14:paraId="25680BE6" w14:textId="77777777" w:rsidR="00A105A0" w:rsidRPr="00EC5E95" w:rsidRDefault="00A105A0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Sodná soľ </w:t>
      </w:r>
      <w:proofErr w:type="spellStart"/>
      <w:r w:rsidRPr="00EC5E95">
        <w:rPr>
          <w:lang w:val="sk-SK"/>
        </w:rPr>
        <w:t>kroskarmelózy</w:t>
      </w:r>
      <w:proofErr w:type="spellEnd"/>
    </w:p>
    <w:p w14:paraId="239D39EB" w14:textId="77777777" w:rsidR="00A105A0" w:rsidRPr="00EC5E95" w:rsidRDefault="00A105A0" w:rsidP="00A84884">
      <w:pPr>
        <w:pStyle w:val="Normlndobloku"/>
        <w:rPr>
          <w:lang w:val="sk-SK"/>
        </w:rPr>
      </w:pPr>
      <w:proofErr w:type="spellStart"/>
      <w:r w:rsidRPr="00EC5E95">
        <w:rPr>
          <w:lang w:val="sk-SK"/>
        </w:rPr>
        <w:lastRenderedPageBreak/>
        <w:t>Predželatinovaný</w:t>
      </w:r>
      <w:proofErr w:type="spellEnd"/>
      <w:r w:rsidRPr="00EC5E95">
        <w:rPr>
          <w:lang w:val="sk-SK"/>
        </w:rPr>
        <w:t xml:space="preserve"> kukuričný škrob</w:t>
      </w:r>
    </w:p>
    <w:p w14:paraId="61C3AB29" w14:textId="77777777" w:rsidR="00A105A0" w:rsidRPr="00EC5E95" w:rsidRDefault="00A105A0" w:rsidP="00A84884">
      <w:pPr>
        <w:pStyle w:val="Normlndobloku"/>
        <w:rPr>
          <w:lang w:val="sk-SK"/>
        </w:rPr>
      </w:pPr>
      <w:proofErr w:type="spellStart"/>
      <w:r w:rsidRPr="00EC5E95">
        <w:rPr>
          <w:lang w:val="sk-SK"/>
        </w:rPr>
        <w:t>Nátriumstearylfumarát</w:t>
      </w:r>
      <w:proofErr w:type="spellEnd"/>
    </w:p>
    <w:p w14:paraId="2A8A25FA" w14:textId="344B3455" w:rsidR="00A105A0" w:rsidRPr="00EC5E95" w:rsidRDefault="00441A02" w:rsidP="00A84884">
      <w:pPr>
        <w:pStyle w:val="Normlndobloku"/>
        <w:rPr>
          <w:lang w:val="sk-SK"/>
        </w:rPr>
      </w:pPr>
      <w:r w:rsidRPr="00EC5E95">
        <w:rPr>
          <w:lang w:val="sk-SK"/>
        </w:rPr>
        <w:t>Tablety 2,5 </w:t>
      </w:r>
      <w:r w:rsidR="00A105A0" w:rsidRPr="00EC5E95">
        <w:rPr>
          <w:lang w:val="sk-SK"/>
        </w:rPr>
        <w:t>mg tiež obsahujú žltý oxid železitý (E</w:t>
      </w:r>
      <w:r w:rsidRPr="00EC5E95">
        <w:rPr>
          <w:lang w:val="sk-SK"/>
        </w:rPr>
        <w:t> </w:t>
      </w:r>
      <w:r w:rsidR="00A105A0" w:rsidRPr="00EC5E95">
        <w:rPr>
          <w:lang w:val="sk-SK"/>
        </w:rPr>
        <w:t>172)</w:t>
      </w:r>
    </w:p>
    <w:p w14:paraId="10DFB8BF" w14:textId="5468440D" w:rsidR="00A105A0" w:rsidRPr="00EC5E95" w:rsidRDefault="00441A02" w:rsidP="00A84884">
      <w:pPr>
        <w:pStyle w:val="Normlndobloku"/>
        <w:rPr>
          <w:lang w:val="sk-SK"/>
        </w:rPr>
      </w:pPr>
      <w:r w:rsidRPr="00EC5E95">
        <w:rPr>
          <w:lang w:val="sk-SK"/>
        </w:rPr>
        <w:t>Tablety 5 </w:t>
      </w:r>
      <w:r w:rsidR="00A105A0" w:rsidRPr="00EC5E95">
        <w:rPr>
          <w:lang w:val="sk-SK"/>
        </w:rPr>
        <w:t>mg tiež obsahujú žltý oxid železitý (E</w:t>
      </w:r>
      <w:r w:rsidRPr="00EC5E95">
        <w:rPr>
          <w:lang w:val="sk-SK"/>
        </w:rPr>
        <w:t> </w:t>
      </w:r>
      <w:r w:rsidR="00A105A0" w:rsidRPr="00EC5E95">
        <w:rPr>
          <w:lang w:val="sk-SK"/>
        </w:rPr>
        <w:t>172) a červený oxid železitý (E</w:t>
      </w:r>
      <w:r w:rsidRPr="00EC5E95">
        <w:rPr>
          <w:lang w:val="sk-SK"/>
        </w:rPr>
        <w:t> </w:t>
      </w:r>
      <w:r w:rsidR="00A105A0" w:rsidRPr="00EC5E95">
        <w:rPr>
          <w:lang w:val="sk-SK"/>
        </w:rPr>
        <w:t>172)</w:t>
      </w:r>
    </w:p>
    <w:p w14:paraId="71BF3174" w14:textId="77777777" w:rsidR="0076116E" w:rsidRPr="00EC5E95" w:rsidRDefault="004124B1" w:rsidP="00015569">
      <w:pPr>
        <w:pStyle w:val="Styl2"/>
        <w:rPr>
          <w:noProof w:val="0"/>
          <w:lang w:val="sk-SK"/>
        </w:rPr>
      </w:pPr>
      <w:r w:rsidRPr="00EC5E95">
        <w:rPr>
          <w:noProof w:val="0"/>
          <w:lang w:val="sk-SK"/>
        </w:rPr>
        <w:t>Inkompatibility</w:t>
      </w:r>
    </w:p>
    <w:p w14:paraId="4ED92693" w14:textId="77777777" w:rsidR="004124B1" w:rsidRPr="00EC5E95" w:rsidRDefault="00216C61" w:rsidP="00A84884">
      <w:pPr>
        <w:pStyle w:val="Normlndobloku"/>
        <w:rPr>
          <w:lang w:val="sk-SK"/>
        </w:rPr>
      </w:pPr>
      <w:r w:rsidRPr="00EC5E95">
        <w:rPr>
          <w:lang w:val="sk-SK"/>
        </w:rPr>
        <w:t>Neaplikovateľné</w:t>
      </w:r>
    </w:p>
    <w:p w14:paraId="7BA9C3EB" w14:textId="77777777" w:rsidR="0076116E" w:rsidRPr="00EC5E95" w:rsidRDefault="004124B1" w:rsidP="00015569">
      <w:pPr>
        <w:pStyle w:val="Styl2"/>
        <w:rPr>
          <w:noProof w:val="0"/>
          <w:lang w:val="sk-SK"/>
        </w:rPr>
      </w:pPr>
      <w:r w:rsidRPr="00EC5E95">
        <w:rPr>
          <w:noProof w:val="0"/>
          <w:lang w:val="sk-SK"/>
        </w:rPr>
        <w:t>Čas použiteľnosti</w:t>
      </w:r>
    </w:p>
    <w:p w14:paraId="3ACE0B81" w14:textId="77777777" w:rsidR="004124B1" w:rsidRPr="00EC5E95" w:rsidRDefault="005D2B6E" w:rsidP="00A84884">
      <w:pPr>
        <w:pStyle w:val="Normlndobloku"/>
        <w:rPr>
          <w:lang w:val="sk-SK"/>
        </w:rPr>
      </w:pPr>
      <w:r w:rsidRPr="00EC5E95">
        <w:rPr>
          <w:lang w:val="sk-SK"/>
        </w:rPr>
        <w:t>2</w:t>
      </w:r>
      <w:r w:rsidR="00F5175D" w:rsidRPr="00EC5E95">
        <w:rPr>
          <w:lang w:val="sk-SK"/>
        </w:rPr>
        <w:t xml:space="preserve"> roky</w:t>
      </w:r>
    </w:p>
    <w:p w14:paraId="0D9C1488" w14:textId="77777777" w:rsidR="0076116E" w:rsidRPr="00EC5E95" w:rsidRDefault="004124B1" w:rsidP="00015569">
      <w:pPr>
        <w:pStyle w:val="Styl2"/>
        <w:rPr>
          <w:noProof w:val="0"/>
          <w:lang w:val="sk-SK"/>
        </w:rPr>
      </w:pPr>
      <w:r w:rsidRPr="00EC5E95">
        <w:rPr>
          <w:noProof w:val="0"/>
          <w:lang w:val="sk-SK"/>
        </w:rPr>
        <w:t>Špeciálne upozornenia na uchovávanie</w:t>
      </w:r>
    </w:p>
    <w:p w14:paraId="37CC4F84" w14:textId="6045E14E" w:rsidR="007A693C" w:rsidRPr="00EC5E95" w:rsidRDefault="00216C61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Uchovávajte pri teplote </w:t>
      </w:r>
      <w:r w:rsidR="00642ED6" w:rsidRPr="00EC5E95">
        <w:rPr>
          <w:lang w:val="sk-SK"/>
        </w:rPr>
        <w:t xml:space="preserve">do </w:t>
      </w:r>
      <w:r w:rsidRPr="00EC5E95">
        <w:rPr>
          <w:lang w:val="sk-SK"/>
        </w:rPr>
        <w:t>30</w:t>
      </w:r>
      <w:r w:rsidR="000F38F4">
        <w:rPr>
          <w:lang w:val="sk-SK"/>
        </w:rPr>
        <w:t> °</w:t>
      </w:r>
      <w:r w:rsidRPr="00EC5E95">
        <w:rPr>
          <w:lang w:val="sk-SK"/>
        </w:rPr>
        <w:t>C</w:t>
      </w:r>
      <w:r w:rsidR="007A693C" w:rsidRPr="00EC5E95">
        <w:rPr>
          <w:lang w:val="sk-SK"/>
        </w:rPr>
        <w:t>.</w:t>
      </w:r>
    </w:p>
    <w:p w14:paraId="341357F1" w14:textId="77777777" w:rsidR="007A693C" w:rsidRPr="00EC5E95" w:rsidRDefault="007A693C" w:rsidP="00A84884">
      <w:pPr>
        <w:pStyle w:val="Normlndobloku"/>
        <w:rPr>
          <w:lang w:val="sk-SK"/>
        </w:rPr>
      </w:pPr>
      <w:proofErr w:type="spellStart"/>
      <w:r w:rsidRPr="00EC5E95">
        <w:rPr>
          <w:lang w:val="sk-SK"/>
        </w:rPr>
        <w:t>Blister</w:t>
      </w:r>
      <w:proofErr w:type="spellEnd"/>
      <w:r w:rsidRPr="00EC5E95">
        <w:rPr>
          <w:lang w:val="sk-SK"/>
        </w:rPr>
        <w:t>: Uchovávajte v pôvodnom obale na ochranu pred vlhkosťou.</w:t>
      </w:r>
    </w:p>
    <w:p w14:paraId="65217BFC" w14:textId="77777777" w:rsidR="004124B1" w:rsidRPr="00EC5E95" w:rsidRDefault="007A693C" w:rsidP="00A84884">
      <w:pPr>
        <w:pStyle w:val="Normlndobloku"/>
        <w:rPr>
          <w:lang w:val="sk-SK"/>
        </w:rPr>
      </w:pPr>
      <w:r w:rsidRPr="00EC5E95">
        <w:rPr>
          <w:lang w:val="sk-SK"/>
        </w:rPr>
        <w:t>Fľaše: Fľašu udržiavajte dôkladne uzatvorenú na ochranu pred vlhkosťou.</w:t>
      </w:r>
    </w:p>
    <w:p w14:paraId="509E5EAB" w14:textId="73E15DE0" w:rsidR="0076116E" w:rsidRPr="00EC5E95" w:rsidRDefault="00441A02" w:rsidP="00015569">
      <w:pPr>
        <w:pStyle w:val="Styl2"/>
        <w:rPr>
          <w:noProof w:val="0"/>
          <w:lang w:val="sk-SK"/>
        </w:rPr>
      </w:pPr>
      <w:r w:rsidRPr="00EC5E95">
        <w:rPr>
          <w:noProof w:val="0"/>
          <w:lang w:val="sk-SK"/>
        </w:rPr>
        <w:t>Druh obalu a </w:t>
      </w:r>
      <w:r w:rsidR="004124B1" w:rsidRPr="00EC5E95">
        <w:rPr>
          <w:noProof w:val="0"/>
          <w:lang w:val="sk-SK"/>
        </w:rPr>
        <w:t>obsah balenia</w:t>
      </w:r>
    </w:p>
    <w:p w14:paraId="66A2A414" w14:textId="27DB53D6" w:rsidR="004F0955" w:rsidRPr="000F6B9E" w:rsidRDefault="004F0955" w:rsidP="00A84884">
      <w:pPr>
        <w:pStyle w:val="Normlndobloku"/>
        <w:rPr>
          <w:lang w:val="sk-SK"/>
        </w:rPr>
      </w:pPr>
      <w:r w:rsidRPr="000F6B9E">
        <w:rPr>
          <w:lang w:val="sk-SK"/>
        </w:rPr>
        <w:t>Blistrové balenie (Al/Al/Polyamid/PVC) 10, 14, 20, 28, 30, 42, 50, 98 a</w:t>
      </w:r>
      <w:r w:rsidR="00441A02" w:rsidRPr="00EC5E95">
        <w:rPr>
          <w:lang w:val="sk-SK"/>
        </w:rPr>
        <w:t> </w:t>
      </w:r>
      <w:r w:rsidRPr="000F6B9E">
        <w:rPr>
          <w:lang w:val="sk-SK"/>
        </w:rPr>
        <w:t>100 tabliet</w:t>
      </w:r>
    </w:p>
    <w:p w14:paraId="087D8AEE" w14:textId="469B94CA" w:rsidR="004F0955" w:rsidRPr="000F6B9E" w:rsidRDefault="004F0955" w:rsidP="00A84884">
      <w:pPr>
        <w:pStyle w:val="Normlndobloku"/>
        <w:rPr>
          <w:lang w:val="sk-SK"/>
        </w:rPr>
      </w:pPr>
      <w:r w:rsidRPr="000F6B9E">
        <w:rPr>
          <w:lang w:val="sk-SK"/>
        </w:rPr>
        <w:t>Plastová PP fľaša s vysúšadlom a</w:t>
      </w:r>
      <w:r w:rsidR="001E636D">
        <w:rPr>
          <w:lang w:val="sk-SK"/>
        </w:rPr>
        <w:t> </w:t>
      </w:r>
      <w:r w:rsidRPr="000F6B9E">
        <w:rPr>
          <w:lang w:val="sk-SK"/>
        </w:rPr>
        <w:t>LDPE uzáverom: 100 a</w:t>
      </w:r>
      <w:r w:rsidR="001E636D">
        <w:rPr>
          <w:lang w:val="sk-SK"/>
        </w:rPr>
        <w:t> </w:t>
      </w:r>
      <w:r w:rsidRPr="000F6B9E">
        <w:rPr>
          <w:lang w:val="sk-SK"/>
        </w:rPr>
        <w:t>500 tabliet</w:t>
      </w:r>
    </w:p>
    <w:p w14:paraId="53478302" w14:textId="171B6686" w:rsidR="00C02016" w:rsidRPr="000F6B9E" w:rsidRDefault="00C02016" w:rsidP="00A84884">
      <w:pPr>
        <w:pStyle w:val="Normlndobloku"/>
        <w:rPr>
          <w:lang w:val="sk-SK"/>
        </w:rPr>
      </w:pPr>
      <w:r w:rsidRPr="00C3029B">
        <w:rPr>
          <w:lang w:val="sk-SK"/>
        </w:rPr>
        <w:t xml:space="preserve">Na trh nemusia byť uvedené </w:t>
      </w:r>
      <w:r w:rsidRPr="000F6B9E">
        <w:rPr>
          <w:lang w:val="sk-SK"/>
        </w:rPr>
        <w:t>všetky veľkosti balenia.</w:t>
      </w:r>
    </w:p>
    <w:p w14:paraId="7979C68E" w14:textId="4BD5D5B4" w:rsidR="0076116E" w:rsidRPr="00EC5E95" w:rsidRDefault="004124B1" w:rsidP="00015569">
      <w:pPr>
        <w:pStyle w:val="Styl2"/>
        <w:rPr>
          <w:noProof w:val="0"/>
          <w:lang w:val="sk-SK"/>
        </w:rPr>
      </w:pPr>
      <w:r w:rsidRPr="00C3029B">
        <w:rPr>
          <w:noProof w:val="0"/>
          <w:lang w:val="sk-SK"/>
        </w:rPr>
        <w:t>Špeciálne opatrenia na</w:t>
      </w:r>
      <w:r w:rsidR="00441A02" w:rsidRPr="00EC5E95">
        <w:rPr>
          <w:noProof w:val="0"/>
          <w:lang w:val="sk-SK"/>
        </w:rPr>
        <w:t xml:space="preserve"> likvidáciu a iné zaobchádzanie s </w:t>
      </w:r>
      <w:r w:rsidRPr="00EC5E95">
        <w:rPr>
          <w:noProof w:val="0"/>
          <w:lang w:val="sk-SK"/>
        </w:rPr>
        <w:t>liekom</w:t>
      </w:r>
    </w:p>
    <w:p w14:paraId="4FC325D4" w14:textId="77777777" w:rsidR="00E917EF" w:rsidRPr="000F6B9E" w:rsidRDefault="00E917EF" w:rsidP="00A84884">
      <w:pPr>
        <w:pStyle w:val="Normlndobloku"/>
        <w:rPr>
          <w:lang w:val="sk-SK"/>
        </w:rPr>
      </w:pPr>
      <w:r w:rsidRPr="000F6B9E">
        <w:rPr>
          <w:lang w:val="sk-SK"/>
        </w:rPr>
        <w:t>Žiadne zvláštne požiadavky.</w:t>
      </w:r>
    </w:p>
    <w:p w14:paraId="0C8F13C1" w14:textId="65743C9F" w:rsidR="004124B1" w:rsidRPr="00EC5E95" w:rsidRDefault="004124B1" w:rsidP="00015569">
      <w:pPr>
        <w:pStyle w:val="Styl1"/>
        <w:rPr>
          <w:noProof w:val="0"/>
          <w:lang w:val="sk-SK"/>
        </w:rPr>
      </w:pPr>
      <w:r w:rsidRPr="00EC5E95">
        <w:rPr>
          <w:noProof w:val="0"/>
          <w:lang w:val="sk-SK"/>
        </w:rPr>
        <w:t>DR</w:t>
      </w:r>
      <w:r w:rsidR="00441A02" w:rsidRPr="00EC5E95">
        <w:rPr>
          <w:noProof w:val="0"/>
          <w:lang w:val="sk-SK"/>
        </w:rPr>
        <w:t>ŽITEĽ ROZHODNUTIA O </w:t>
      </w:r>
      <w:r w:rsidR="005A645F" w:rsidRPr="00EC5E95">
        <w:rPr>
          <w:noProof w:val="0"/>
          <w:lang w:val="sk-SK"/>
        </w:rPr>
        <w:t>REGISTRÁCII</w:t>
      </w:r>
    </w:p>
    <w:p w14:paraId="40436717" w14:textId="37467E9F" w:rsidR="00CE44C4" w:rsidRDefault="0072240B" w:rsidP="0072240B">
      <w:pPr>
        <w:pStyle w:val="Normlndobloku"/>
        <w:rPr>
          <w:lang w:val="sk-SK"/>
        </w:rPr>
      </w:pPr>
      <w:r w:rsidRPr="00EC5E95">
        <w:rPr>
          <w:lang w:val="sk-SK"/>
        </w:rPr>
        <w:t xml:space="preserve">MEDOCHEMIE </w:t>
      </w:r>
      <w:proofErr w:type="spellStart"/>
      <w:r w:rsidRPr="00EC5E95">
        <w:rPr>
          <w:lang w:val="sk-SK"/>
        </w:rPr>
        <w:t>Ltd</w:t>
      </w:r>
      <w:proofErr w:type="spellEnd"/>
      <w:r w:rsidRPr="00EC5E95">
        <w:rPr>
          <w:lang w:val="sk-SK"/>
        </w:rPr>
        <w:t>.</w:t>
      </w:r>
    </w:p>
    <w:p w14:paraId="691CCEEA" w14:textId="267471F4" w:rsidR="00CE44C4" w:rsidRDefault="0072240B" w:rsidP="0072240B">
      <w:pPr>
        <w:pStyle w:val="Normlndobloku"/>
        <w:rPr>
          <w:lang w:val="sk-SK"/>
        </w:rPr>
      </w:pPr>
      <w:r w:rsidRPr="00EC5E95">
        <w:rPr>
          <w:lang w:val="sk-SK"/>
        </w:rPr>
        <w:t>1-10 </w:t>
      </w:r>
      <w:proofErr w:type="spellStart"/>
      <w:r w:rsidRPr="00EC5E95">
        <w:rPr>
          <w:lang w:val="sk-SK"/>
        </w:rPr>
        <w:t>Constantinoupoleos</w:t>
      </w:r>
      <w:proofErr w:type="spellEnd"/>
      <w:r w:rsidRPr="00EC5E95">
        <w:rPr>
          <w:lang w:val="sk-SK"/>
        </w:rPr>
        <w:t xml:space="preserve"> </w:t>
      </w:r>
      <w:proofErr w:type="spellStart"/>
      <w:r w:rsidR="001E636D">
        <w:rPr>
          <w:lang w:val="sk-SK"/>
        </w:rPr>
        <w:t>S</w:t>
      </w:r>
      <w:r w:rsidRPr="00C3029B">
        <w:rPr>
          <w:lang w:val="sk-SK"/>
        </w:rPr>
        <w:t>treet</w:t>
      </w:r>
      <w:proofErr w:type="spellEnd"/>
    </w:p>
    <w:p w14:paraId="1B8B56E1" w14:textId="5C446F76" w:rsidR="00CE44C4" w:rsidRDefault="0072240B" w:rsidP="0072240B">
      <w:pPr>
        <w:pStyle w:val="Normlndobloku"/>
        <w:rPr>
          <w:lang w:val="sk-SK"/>
        </w:rPr>
      </w:pPr>
      <w:r w:rsidRPr="00C3029B">
        <w:rPr>
          <w:lang w:val="sk-SK"/>
        </w:rPr>
        <w:t>3011 </w:t>
      </w:r>
      <w:proofErr w:type="spellStart"/>
      <w:r w:rsidRPr="00C3029B">
        <w:rPr>
          <w:lang w:val="sk-SK"/>
        </w:rPr>
        <w:t>Limassol</w:t>
      </w:r>
      <w:proofErr w:type="spellEnd"/>
    </w:p>
    <w:p w14:paraId="67F58F81" w14:textId="4874E931" w:rsidR="0072240B" w:rsidRPr="00C3029B" w:rsidRDefault="0072240B" w:rsidP="0072240B">
      <w:pPr>
        <w:pStyle w:val="Normlndobloku"/>
        <w:rPr>
          <w:lang w:val="sk-SK"/>
        </w:rPr>
      </w:pPr>
      <w:r w:rsidRPr="00C3029B">
        <w:rPr>
          <w:lang w:val="sk-SK"/>
        </w:rPr>
        <w:t>Cyprus</w:t>
      </w:r>
    </w:p>
    <w:p w14:paraId="528F3123" w14:textId="4822E926" w:rsidR="0076116E" w:rsidRPr="00EC5E95" w:rsidRDefault="004124B1" w:rsidP="00015569">
      <w:pPr>
        <w:pStyle w:val="Styl1"/>
        <w:rPr>
          <w:noProof w:val="0"/>
          <w:lang w:val="sk-SK"/>
        </w:rPr>
      </w:pPr>
      <w:r w:rsidRPr="00C3029B">
        <w:rPr>
          <w:noProof w:val="0"/>
          <w:lang w:val="sk-SK"/>
        </w:rPr>
        <w:t>REGISTRA</w:t>
      </w:r>
      <w:r w:rsidR="00C566DC" w:rsidRPr="00C3029B">
        <w:rPr>
          <w:noProof w:val="0"/>
          <w:lang w:val="sk-SK"/>
        </w:rPr>
        <w:t>Č</w:t>
      </w:r>
      <w:r w:rsidRPr="00C3029B">
        <w:rPr>
          <w:noProof w:val="0"/>
          <w:lang w:val="sk-SK"/>
        </w:rPr>
        <w:t>NÉ ČÍSL</w:t>
      </w:r>
      <w:r w:rsidR="00F546C5" w:rsidRPr="00C3029B">
        <w:rPr>
          <w:noProof w:val="0"/>
          <w:lang w:val="sk-SK"/>
        </w:rPr>
        <w:t>A</w:t>
      </w:r>
    </w:p>
    <w:p w14:paraId="5A5CED6C" w14:textId="7E57234E" w:rsidR="004124B1" w:rsidRPr="00EC5E95" w:rsidRDefault="005C2481" w:rsidP="00A84884">
      <w:pPr>
        <w:pStyle w:val="Normlndobloku"/>
        <w:rPr>
          <w:lang w:val="sk-SK"/>
        </w:rPr>
      </w:pPr>
      <w:r w:rsidRPr="00EC5E95">
        <w:rPr>
          <w:lang w:val="sk-SK"/>
        </w:rPr>
        <w:t>RAMIMED 2,5</w:t>
      </w:r>
      <w:r w:rsidR="00441A02" w:rsidRPr="00EC5E95">
        <w:rPr>
          <w:lang w:val="sk-SK"/>
        </w:rPr>
        <w:t> </w:t>
      </w:r>
      <w:r w:rsidRPr="00EC5E95">
        <w:rPr>
          <w:lang w:val="sk-SK"/>
        </w:rPr>
        <w:t>mg</w:t>
      </w:r>
      <w:r w:rsidR="00B046C6" w:rsidRPr="00EC5E95">
        <w:rPr>
          <w:lang w:val="sk-SK"/>
        </w:rPr>
        <w:t>:</w:t>
      </w:r>
      <w:r w:rsidR="00B046C6" w:rsidRPr="00EC5E95">
        <w:rPr>
          <w:lang w:val="sk-SK"/>
        </w:rPr>
        <w:tab/>
      </w:r>
      <w:r w:rsidRPr="00EC5E95">
        <w:rPr>
          <w:lang w:val="sk-SK"/>
        </w:rPr>
        <w:t>58/0518/08</w:t>
      </w:r>
    </w:p>
    <w:p w14:paraId="3A0D1CAE" w14:textId="6FF252A1" w:rsidR="005C2481" w:rsidRPr="00EC5E95" w:rsidRDefault="00441A02" w:rsidP="00A84884">
      <w:pPr>
        <w:pStyle w:val="Normlndobloku"/>
        <w:rPr>
          <w:lang w:val="sk-SK"/>
        </w:rPr>
      </w:pPr>
      <w:r w:rsidRPr="00EC5E95">
        <w:rPr>
          <w:lang w:val="sk-SK"/>
        </w:rPr>
        <w:t>RAMIMED 5 </w:t>
      </w:r>
      <w:r w:rsidR="005C2481" w:rsidRPr="00EC5E95">
        <w:rPr>
          <w:lang w:val="sk-SK"/>
        </w:rPr>
        <w:t>mg</w:t>
      </w:r>
      <w:r w:rsidR="00B046C6" w:rsidRPr="00EC5E95">
        <w:rPr>
          <w:lang w:val="sk-SK"/>
        </w:rPr>
        <w:t>:</w:t>
      </w:r>
      <w:r w:rsidR="00B046C6" w:rsidRPr="00EC5E95">
        <w:rPr>
          <w:lang w:val="sk-SK"/>
        </w:rPr>
        <w:tab/>
      </w:r>
      <w:r w:rsidR="005C2481" w:rsidRPr="00EC5E95">
        <w:rPr>
          <w:lang w:val="sk-SK"/>
        </w:rPr>
        <w:t>58/0519/08</w:t>
      </w:r>
    </w:p>
    <w:p w14:paraId="24120DE3" w14:textId="3E58EEE3" w:rsidR="005C2481" w:rsidRPr="00EC5E95" w:rsidRDefault="00441A02" w:rsidP="00A84884">
      <w:pPr>
        <w:pStyle w:val="Normlndobloku"/>
        <w:rPr>
          <w:lang w:val="sk-SK"/>
        </w:rPr>
      </w:pPr>
      <w:r w:rsidRPr="00EC5E95">
        <w:rPr>
          <w:lang w:val="sk-SK"/>
        </w:rPr>
        <w:t>RAMIMED 10 </w:t>
      </w:r>
      <w:r w:rsidR="005C2481" w:rsidRPr="00EC5E95">
        <w:rPr>
          <w:lang w:val="sk-SK"/>
        </w:rPr>
        <w:t>mg</w:t>
      </w:r>
      <w:r w:rsidR="00B046C6" w:rsidRPr="00EC5E95">
        <w:rPr>
          <w:lang w:val="sk-SK"/>
        </w:rPr>
        <w:t>:</w:t>
      </w:r>
      <w:r w:rsidR="00B046C6" w:rsidRPr="00EC5E95">
        <w:rPr>
          <w:lang w:val="sk-SK"/>
        </w:rPr>
        <w:tab/>
      </w:r>
      <w:r w:rsidR="005C2481" w:rsidRPr="00EC5E95">
        <w:rPr>
          <w:lang w:val="sk-SK"/>
        </w:rPr>
        <w:t>58/0520/08</w:t>
      </w:r>
    </w:p>
    <w:p w14:paraId="63AB8CAA" w14:textId="1D628899" w:rsidR="00870E11" w:rsidRPr="00EC5E95" w:rsidRDefault="004610E5" w:rsidP="004610E5">
      <w:pPr>
        <w:pStyle w:val="Styl1"/>
        <w:rPr>
          <w:noProof w:val="0"/>
          <w:lang w:val="sk-SK"/>
        </w:rPr>
      </w:pPr>
      <w:r w:rsidRPr="00EC5E95">
        <w:rPr>
          <w:noProof w:val="0"/>
          <w:lang w:val="sk-SK"/>
        </w:rPr>
        <w:t>DÁTUM PRVEJ REGISTRÁCIE/PREDĹŽENIA REGISTRÁCIE</w:t>
      </w:r>
    </w:p>
    <w:p w14:paraId="47402F5F" w14:textId="54D825D5" w:rsidR="00C02016" w:rsidRPr="00EC5E95" w:rsidRDefault="00C02016" w:rsidP="00A84884">
      <w:pPr>
        <w:pStyle w:val="Normlndobloku"/>
        <w:rPr>
          <w:lang w:val="sk-SK"/>
        </w:rPr>
      </w:pPr>
      <w:r w:rsidRPr="00EC5E95">
        <w:rPr>
          <w:lang w:val="sk-SK"/>
        </w:rPr>
        <w:t xml:space="preserve">Dátum prvej registrácie: </w:t>
      </w:r>
      <w:r w:rsidR="004610E5" w:rsidRPr="00EC5E95">
        <w:rPr>
          <w:lang w:val="sk-SK"/>
        </w:rPr>
        <w:t>15.</w:t>
      </w:r>
      <w:r w:rsidR="00554BEE">
        <w:rPr>
          <w:lang w:val="sk-SK"/>
        </w:rPr>
        <w:t> </w:t>
      </w:r>
      <w:r w:rsidR="00CE44C4">
        <w:rPr>
          <w:lang w:val="sk-SK"/>
        </w:rPr>
        <w:t>október</w:t>
      </w:r>
      <w:r w:rsidRPr="00EC5E95">
        <w:rPr>
          <w:lang w:val="sk-SK"/>
        </w:rPr>
        <w:t xml:space="preserve"> </w:t>
      </w:r>
      <w:r w:rsidR="004610E5" w:rsidRPr="00EC5E95">
        <w:rPr>
          <w:lang w:val="sk-SK"/>
        </w:rPr>
        <w:t>2008</w:t>
      </w:r>
    </w:p>
    <w:p w14:paraId="046632A5" w14:textId="3BE429E0" w:rsidR="0076116E" w:rsidRPr="00EC5E95" w:rsidRDefault="00C02016" w:rsidP="00A84884">
      <w:pPr>
        <w:pStyle w:val="Normlndobloku"/>
        <w:rPr>
          <w:lang w:val="sk-SK"/>
        </w:rPr>
      </w:pPr>
      <w:r w:rsidRPr="00EC5E95">
        <w:rPr>
          <w:lang w:val="sk-SK"/>
        </w:rPr>
        <w:lastRenderedPageBreak/>
        <w:t>Dátum posledného predĺženia registrácie:</w:t>
      </w:r>
      <w:r w:rsidR="004610E5" w:rsidRPr="00EC5E95">
        <w:rPr>
          <w:lang w:val="sk-SK"/>
        </w:rPr>
        <w:t xml:space="preserve"> </w:t>
      </w:r>
      <w:r w:rsidR="009A2C52" w:rsidRPr="00EC5E95">
        <w:rPr>
          <w:lang w:val="sk-SK"/>
        </w:rPr>
        <w:t>10.</w:t>
      </w:r>
      <w:r w:rsidR="00554BEE">
        <w:rPr>
          <w:lang w:val="sk-SK"/>
        </w:rPr>
        <w:t> </w:t>
      </w:r>
      <w:r w:rsidRPr="00EC5E95">
        <w:rPr>
          <w:lang w:val="sk-SK"/>
        </w:rPr>
        <w:t xml:space="preserve">december </w:t>
      </w:r>
      <w:r w:rsidR="009A2C52" w:rsidRPr="00EC5E95">
        <w:rPr>
          <w:lang w:val="sk-SK"/>
        </w:rPr>
        <w:t>2009</w:t>
      </w:r>
    </w:p>
    <w:p w14:paraId="5FB1A354" w14:textId="77777777" w:rsidR="0076116E" w:rsidRPr="00EC5E95" w:rsidRDefault="004124B1" w:rsidP="00015569">
      <w:pPr>
        <w:pStyle w:val="Styl1"/>
        <w:rPr>
          <w:noProof w:val="0"/>
          <w:lang w:val="sk-SK"/>
        </w:rPr>
      </w:pPr>
      <w:r w:rsidRPr="00EC5E95">
        <w:rPr>
          <w:noProof w:val="0"/>
          <w:lang w:val="sk-SK"/>
        </w:rPr>
        <w:t>DÁTUM REVÍZIE TEXTU</w:t>
      </w:r>
    </w:p>
    <w:p w14:paraId="3CD3C0FB" w14:textId="5143A6A9" w:rsidR="005C2481" w:rsidRPr="001E636D" w:rsidRDefault="00CE44C4" w:rsidP="00A84884">
      <w:pPr>
        <w:pStyle w:val="Normlndobloku"/>
        <w:rPr>
          <w:lang w:val="sk-SK"/>
        </w:rPr>
      </w:pPr>
      <w:r>
        <w:rPr>
          <w:lang w:val="sk-SK"/>
        </w:rPr>
        <w:t>11/2018</w:t>
      </w:r>
    </w:p>
    <w:sectPr w:rsidR="005C2481" w:rsidRPr="001E636D" w:rsidSect="00C404A3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17" w:right="1417" w:bottom="1417" w:left="1417" w:header="709" w:footer="709" w:gutter="0"/>
      <w:cols w:space="708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DA6C93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A6C934" w16cid:durableId="1F9918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33B52" w14:textId="77777777" w:rsidR="008B4C90" w:rsidRDefault="008B4C90" w:rsidP="00054C50">
      <w:pPr>
        <w:spacing w:after="0" w:line="240" w:lineRule="auto"/>
      </w:pPr>
      <w:r>
        <w:separator/>
      </w:r>
    </w:p>
  </w:endnote>
  <w:endnote w:type="continuationSeparator" w:id="0">
    <w:p w14:paraId="42C4F5E5" w14:textId="77777777" w:rsidR="008B4C90" w:rsidRDefault="008B4C90" w:rsidP="00054C50">
      <w:pPr>
        <w:spacing w:after="0" w:line="240" w:lineRule="auto"/>
      </w:pPr>
      <w:r>
        <w:continuationSeparator/>
      </w:r>
    </w:p>
  </w:endnote>
  <w:endnote w:type="continuationNotice" w:id="1">
    <w:p w14:paraId="1E318866" w14:textId="77777777" w:rsidR="008B4C90" w:rsidRDefault="008B4C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F3381" w14:textId="7DE8C949" w:rsidR="00BE19A9" w:rsidRPr="00C404A3" w:rsidRDefault="00BE19A9" w:rsidP="00054C50">
    <w:pPr>
      <w:jc w:val="center"/>
      <w:rPr>
        <w:sz w:val="18"/>
        <w:szCs w:val="18"/>
      </w:rPr>
    </w:pPr>
    <w:r w:rsidRPr="00C404A3">
      <w:rPr>
        <w:rFonts w:ascii="Times New Roman" w:hAnsi="Times New Roman"/>
        <w:sz w:val="18"/>
        <w:szCs w:val="18"/>
      </w:rPr>
      <w:fldChar w:fldCharType="begin"/>
    </w:r>
    <w:r w:rsidRPr="00C404A3">
      <w:rPr>
        <w:rFonts w:ascii="Times New Roman" w:hAnsi="Times New Roman"/>
        <w:sz w:val="18"/>
        <w:szCs w:val="18"/>
      </w:rPr>
      <w:instrText xml:space="preserve"> PAGE </w:instrText>
    </w:r>
    <w:r w:rsidRPr="00C404A3">
      <w:rPr>
        <w:rFonts w:ascii="Times New Roman" w:hAnsi="Times New Roman"/>
        <w:sz w:val="18"/>
        <w:szCs w:val="18"/>
      </w:rPr>
      <w:fldChar w:fldCharType="separate"/>
    </w:r>
    <w:r w:rsidR="003268C1">
      <w:rPr>
        <w:rFonts w:ascii="Times New Roman" w:hAnsi="Times New Roman"/>
        <w:noProof/>
        <w:sz w:val="18"/>
        <w:szCs w:val="18"/>
      </w:rPr>
      <w:t>1</w:t>
    </w:r>
    <w:r w:rsidRPr="00C404A3">
      <w:rPr>
        <w:rFonts w:ascii="Times New Roman" w:hAnsi="Times New Roman"/>
        <w:sz w:val="18"/>
        <w:szCs w:val="18"/>
      </w:rPr>
      <w:fldChar w:fldCharType="end"/>
    </w:r>
    <w:r w:rsidRPr="00C404A3">
      <w:rPr>
        <w:rFonts w:ascii="Times New Roman" w:hAnsi="Times New Roman"/>
        <w:sz w:val="18"/>
        <w:szCs w:val="18"/>
      </w:rPr>
      <w:t>/</w:t>
    </w:r>
    <w:r w:rsidRPr="00C404A3">
      <w:rPr>
        <w:rFonts w:ascii="Times New Roman" w:hAnsi="Times New Roman"/>
        <w:sz w:val="18"/>
        <w:szCs w:val="18"/>
      </w:rPr>
      <w:fldChar w:fldCharType="begin"/>
    </w:r>
    <w:r w:rsidRPr="00C404A3">
      <w:rPr>
        <w:rFonts w:ascii="Times New Roman" w:hAnsi="Times New Roman"/>
        <w:sz w:val="18"/>
        <w:szCs w:val="18"/>
      </w:rPr>
      <w:instrText xml:space="preserve"> NUMPAGES  </w:instrText>
    </w:r>
    <w:r w:rsidRPr="00C404A3">
      <w:rPr>
        <w:rFonts w:ascii="Times New Roman" w:hAnsi="Times New Roman"/>
        <w:sz w:val="18"/>
        <w:szCs w:val="18"/>
      </w:rPr>
      <w:fldChar w:fldCharType="separate"/>
    </w:r>
    <w:r w:rsidR="003268C1">
      <w:rPr>
        <w:rFonts w:ascii="Times New Roman" w:hAnsi="Times New Roman"/>
        <w:noProof/>
        <w:sz w:val="18"/>
        <w:szCs w:val="18"/>
      </w:rPr>
      <w:t>20</w:t>
    </w:r>
    <w:r w:rsidRPr="00C404A3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AE4E6" w14:textId="2C8E4C24" w:rsidR="00BE19A9" w:rsidRDefault="00BE19A9" w:rsidP="00054C50">
    <w:pPr>
      <w:jc w:val="center"/>
    </w:pPr>
    <w:r w:rsidRPr="00054C50">
      <w:rPr>
        <w:rFonts w:ascii="Times New Roman" w:hAnsi="Times New Roman"/>
      </w:rPr>
      <w:fldChar w:fldCharType="begin"/>
    </w:r>
    <w:r w:rsidRPr="00054C50">
      <w:rPr>
        <w:rFonts w:ascii="Times New Roman" w:hAnsi="Times New Roman"/>
      </w:rPr>
      <w:instrText xml:space="preserve"> PAGE </w:instrText>
    </w:r>
    <w:r w:rsidRPr="00054C50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 w:rsidRPr="00054C50">
      <w:rPr>
        <w:rFonts w:ascii="Times New Roman" w:hAnsi="Times New Roman"/>
      </w:rPr>
      <w:fldChar w:fldCharType="end"/>
    </w:r>
    <w:r w:rsidRPr="00054C50">
      <w:rPr>
        <w:rFonts w:ascii="Times New Roman" w:hAnsi="Times New Roman"/>
      </w:rPr>
      <w:t>/</w:t>
    </w:r>
    <w:r w:rsidRPr="00054C50">
      <w:rPr>
        <w:rFonts w:ascii="Times New Roman" w:hAnsi="Times New Roman"/>
      </w:rPr>
      <w:fldChar w:fldCharType="begin"/>
    </w:r>
    <w:r w:rsidRPr="00054C50">
      <w:rPr>
        <w:rFonts w:ascii="Times New Roman" w:hAnsi="Times New Roman"/>
      </w:rPr>
      <w:instrText xml:space="preserve"> NUMPAGES  </w:instrText>
    </w:r>
    <w:r w:rsidRPr="00054C50">
      <w:rPr>
        <w:rFonts w:ascii="Times New Roman" w:hAnsi="Times New Roman"/>
      </w:rPr>
      <w:fldChar w:fldCharType="separate"/>
    </w:r>
    <w:r w:rsidR="003268C1">
      <w:rPr>
        <w:rFonts w:ascii="Times New Roman" w:hAnsi="Times New Roman"/>
        <w:noProof/>
      </w:rPr>
      <w:t>20</w:t>
    </w:r>
    <w:r w:rsidRPr="00054C5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96F02" w14:textId="77777777" w:rsidR="008B4C90" w:rsidRDefault="008B4C90" w:rsidP="00054C50">
      <w:pPr>
        <w:spacing w:after="0" w:line="240" w:lineRule="auto"/>
      </w:pPr>
      <w:r>
        <w:separator/>
      </w:r>
    </w:p>
  </w:footnote>
  <w:footnote w:type="continuationSeparator" w:id="0">
    <w:p w14:paraId="7D1F8236" w14:textId="77777777" w:rsidR="008B4C90" w:rsidRDefault="008B4C90" w:rsidP="00054C50">
      <w:pPr>
        <w:spacing w:after="0" w:line="240" w:lineRule="auto"/>
      </w:pPr>
      <w:r>
        <w:continuationSeparator/>
      </w:r>
    </w:p>
  </w:footnote>
  <w:footnote w:type="continuationNotice" w:id="1">
    <w:p w14:paraId="0EC93B90" w14:textId="77777777" w:rsidR="008B4C90" w:rsidRDefault="008B4C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9CB1F" w14:textId="199D0374" w:rsidR="00BE19A9" w:rsidRPr="000F6B9E" w:rsidRDefault="00BE19A9" w:rsidP="0054647D">
    <w:pPr>
      <w:spacing w:after="0" w:line="240" w:lineRule="auto"/>
      <w:rPr>
        <w:rFonts w:ascii="Times New Roman" w:hAnsi="Times New Roman"/>
        <w:sz w:val="18"/>
        <w:lang w:val="sk-SK"/>
      </w:rPr>
    </w:pPr>
    <w:r w:rsidRPr="00465D90">
      <w:rPr>
        <w:rFonts w:ascii="Times New Roman" w:hAnsi="Times New Roman"/>
        <w:sz w:val="18"/>
        <w:szCs w:val="18"/>
        <w:lang w:val="sk-SK"/>
      </w:rPr>
      <w:t>Príloha č. 1 k notifikácii o zmene, ev. č.:</w:t>
    </w:r>
    <w:r w:rsidRPr="000F6B9E">
      <w:rPr>
        <w:rFonts w:ascii="Times New Roman" w:hAnsi="Times New Roman"/>
        <w:sz w:val="18"/>
        <w:szCs w:val="18"/>
        <w:lang w:val="sk-SK"/>
      </w:rPr>
      <w:t xml:space="preserve"> 2014/05754</w:t>
    </w:r>
    <w:r>
      <w:rPr>
        <w:rFonts w:ascii="Times New Roman" w:hAnsi="Times New Roman"/>
        <w:sz w:val="18"/>
        <w:szCs w:val="18"/>
        <w:lang w:val="sk-SK"/>
      </w:rPr>
      <w:t>-Z1B</w:t>
    </w:r>
    <w:r w:rsidRPr="000F6B9E">
      <w:rPr>
        <w:rFonts w:ascii="Times New Roman" w:hAnsi="Times New Roman"/>
        <w:sz w:val="18"/>
        <w:szCs w:val="18"/>
        <w:lang w:val="sk-SK"/>
      </w:rPr>
      <w:t>, 2016/04358</w:t>
    </w:r>
    <w:r>
      <w:rPr>
        <w:rFonts w:ascii="Times New Roman" w:hAnsi="Times New Roman"/>
        <w:sz w:val="18"/>
        <w:szCs w:val="18"/>
        <w:lang w:val="sk-SK"/>
      </w:rPr>
      <w:t>-Z1B</w:t>
    </w:r>
    <w:r w:rsidRPr="000F6B9E">
      <w:rPr>
        <w:rFonts w:ascii="Times New Roman" w:hAnsi="Times New Roman"/>
        <w:sz w:val="18"/>
        <w:szCs w:val="18"/>
        <w:lang w:val="sk-SK"/>
      </w:rPr>
      <w:t>, 2017/04027</w:t>
    </w:r>
    <w:r>
      <w:rPr>
        <w:rFonts w:ascii="Times New Roman" w:hAnsi="Times New Roman"/>
        <w:sz w:val="18"/>
        <w:szCs w:val="18"/>
        <w:lang w:val="sk-SK"/>
      </w:rPr>
      <w:t>-Z1B</w:t>
    </w:r>
  </w:p>
  <w:p w14:paraId="1BC52C46" w14:textId="3A7EB34A" w:rsidR="00BE19A9" w:rsidRPr="00F029F4" w:rsidRDefault="00BE19A9" w:rsidP="00F029F4">
    <w:pPr>
      <w:spacing w:after="0" w:line="240" w:lineRule="auto"/>
      <w:rPr>
        <w:rFonts w:ascii="Times New Roman" w:hAnsi="Times New Roman"/>
        <w:sz w:val="18"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2BDB8" w14:textId="77777777" w:rsidR="00BE19A9" w:rsidRDefault="00BE19A9" w:rsidP="00F34937">
    <w:pPr>
      <w:spacing w:after="0" w:line="240" w:lineRule="auto"/>
      <w:rPr>
        <w:rFonts w:ascii="Times New Roman" w:hAnsi="Times New Roman"/>
        <w:sz w:val="18"/>
        <w:szCs w:val="18"/>
      </w:rPr>
    </w:pPr>
  </w:p>
  <w:p w14:paraId="6D35452F" w14:textId="4A49D075" w:rsidR="00BE19A9" w:rsidRPr="000F6B9E" w:rsidRDefault="00BE19A9" w:rsidP="00F34937">
    <w:pPr>
      <w:spacing w:after="0" w:line="240" w:lineRule="auto"/>
      <w:rPr>
        <w:rFonts w:ascii="Times New Roman" w:hAnsi="Times New Roman"/>
        <w:sz w:val="18"/>
        <w:lang w:val="sk-SK"/>
      </w:rPr>
    </w:pPr>
    <w:r w:rsidRPr="00465D90">
      <w:rPr>
        <w:rFonts w:ascii="Times New Roman" w:hAnsi="Times New Roman"/>
        <w:sz w:val="18"/>
        <w:szCs w:val="18"/>
        <w:lang w:val="sk-SK"/>
      </w:rPr>
      <w:t xml:space="preserve">Príloha č. 1 k notifikácii o zmene, ev. </w:t>
    </w:r>
    <w:r w:rsidRPr="00465D90">
      <w:rPr>
        <w:rFonts w:ascii="Times New Roman" w:hAnsi="Times New Roman"/>
        <w:sz w:val="18"/>
        <w:szCs w:val="18"/>
        <w:lang w:val="sk-SK"/>
      </w:rPr>
      <w:t>č.:</w:t>
    </w:r>
    <w:r w:rsidRPr="000F6B9E">
      <w:rPr>
        <w:rFonts w:ascii="Times New Roman" w:hAnsi="Times New Roman"/>
        <w:sz w:val="18"/>
        <w:szCs w:val="18"/>
        <w:lang w:val="sk-SK"/>
      </w:rPr>
      <w:t xml:space="preserve"> 2014/05754, 2016/04358, 2017/04027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B270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3A8B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2A39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02CB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4366E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52ED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8683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C8C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6949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5AA63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75E83"/>
    <w:multiLevelType w:val="hybridMultilevel"/>
    <w:tmpl w:val="EA4E6A1E"/>
    <w:lvl w:ilvl="0" w:tplc="93D4B2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02ED6B02"/>
    <w:multiLevelType w:val="hybridMultilevel"/>
    <w:tmpl w:val="A894A2F0"/>
    <w:lvl w:ilvl="0" w:tplc="7A70927E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4C7DB5"/>
    <w:multiLevelType w:val="hybridMultilevel"/>
    <w:tmpl w:val="DEB69768"/>
    <w:lvl w:ilvl="0" w:tplc="0466293E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CE5EF6"/>
    <w:multiLevelType w:val="multilevel"/>
    <w:tmpl w:val="584A7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4">
    <w:nsid w:val="63F572B3"/>
    <w:multiLevelType w:val="hybridMultilevel"/>
    <w:tmpl w:val="0C7073C8"/>
    <w:lvl w:ilvl="0" w:tplc="EECA4E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AD4AA7"/>
    <w:multiLevelType w:val="multilevel"/>
    <w:tmpl w:val="EEA6DE54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6D9982FE"/>
    <w:multiLevelType w:val="hybridMultilevel"/>
    <w:tmpl w:val="2DDB444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12"/>
  </w:num>
  <w:num w:numId="5">
    <w:abstractNumId w:val="15"/>
  </w:num>
  <w:num w:numId="6">
    <w:abstractNumId w:val="15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6"/>
  </w:num>
  <w:num w:numId="19">
    <w:abstractNumId w:val="12"/>
  </w:num>
  <w:num w:numId="2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lanka Kváčová">
    <w15:presenceInfo w15:providerId="AD" w15:userId="S-1-5-21-2883121066-1603970394-1633130217-1116"/>
  </w15:person>
  <w15:person w15:author="matuskova">
    <w15:presenceInfo w15:providerId="None" w15:userId="matus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B1"/>
    <w:rsid w:val="00015569"/>
    <w:rsid w:val="000478C7"/>
    <w:rsid w:val="00047AC3"/>
    <w:rsid w:val="0005254E"/>
    <w:rsid w:val="00054C50"/>
    <w:rsid w:val="00056924"/>
    <w:rsid w:val="0006472C"/>
    <w:rsid w:val="0007390F"/>
    <w:rsid w:val="000820D7"/>
    <w:rsid w:val="000843EF"/>
    <w:rsid w:val="0008481D"/>
    <w:rsid w:val="0008620F"/>
    <w:rsid w:val="00087AB2"/>
    <w:rsid w:val="000A0147"/>
    <w:rsid w:val="000A1CFB"/>
    <w:rsid w:val="000B264A"/>
    <w:rsid w:val="000C0242"/>
    <w:rsid w:val="000C755F"/>
    <w:rsid w:val="000F38F4"/>
    <w:rsid w:val="000F6B9E"/>
    <w:rsid w:val="001006B9"/>
    <w:rsid w:val="00120432"/>
    <w:rsid w:val="00133A70"/>
    <w:rsid w:val="001407A2"/>
    <w:rsid w:val="00160AAC"/>
    <w:rsid w:val="00161442"/>
    <w:rsid w:val="00164028"/>
    <w:rsid w:val="00166E42"/>
    <w:rsid w:val="0017239C"/>
    <w:rsid w:val="001A1CBE"/>
    <w:rsid w:val="001A3FDC"/>
    <w:rsid w:val="001C3DB2"/>
    <w:rsid w:val="001D7710"/>
    <w:rsid w:val="001E0B63"/>
    <w:rsid w:val="001E636D"/>
    <w:rsid w:val="001E65EA"/>
    <w:rsid w:val="001F6AEC"/>
    <w:rsid w:val="00216C61"/>
    <w:rsid w:val="0023568A"/>
    <w:rsid w:val="0024597E"/>
    <w:rsid w:val="0024759D"/>
    <w:rsid w:val="00267958"/>
    <w:rsid w:val="00270442"/>
    <w:rsid w:val="00292DE6"/>
    <w:rsid w:val="00295BC4"/>
    <w:rsid w:val="00296D11"/>
    <w:rsid w:val="002A727D"/>
    <w:rsid w:val="002E4932"/>
    <w:rsid w:val="002F042B"/>
    <w:rsid w:val="002F0A24"/>
    <w:rsid w:val="002F2C85"/>
    <w:rsid w:val="00305587"/>
    <w:rsid w:val="003134B5"/>
    <w:rsid w:val="00316C73"/>
    <w:rsid w:val="00325AA7"/>
    <w:rsid w:val="003268C1"/>
    <w:rsid w:val="003466FE"/>
    <w:rsid w:val="00365E2E"/>
    <w:rsid w:val="0037394E"/>
    <w:rsid w:val="003A1534"/>
    <w:rsid w:val="003B4788"/>
    <w:rsid w:val="003C1207"/>
    <w:rsid w:val="003C4E8E"/>
    <w:rsid w:val="003D343B"/>
    <w:rsid w:val="003E2854"/>
    <w:rsid w:val="003F3D66"/>
    <w:rsid w:val="00401E90"/>
    <w:rsid w:val="00411A9F"/>
    <w:rsid w:val="004124B1"/>
    <w:rsid w:val="004230F3"/>
    <w:rsid w:val="00441A02"/>
    <w:rsid w:val="00456BE0"/>
    <w:rsid w:val="004602FC"/>
    <w:rsid w:val="004610E5"/>
    <w:rsid w:val="00465D90"/>
    <w:rsid w:val="00467B67"/>
    <w:rsid w:val="004947E0"/>
    <w:rsid w:val="00497D94"/>
    <w:rsid w:val="004A4952"/>
    <w:rsid w:val="004A4C5B"/>
    <w:rsid w:val="004A5BA9"/>
    <w:rsid w:val="004B2A05"/>
    <w:rsid w:val="004B6804"/>
    <w:rsid w:val="004D3FD6"/>
    <w:rsid w:val="004E22A5"/>
    <w:rsid w:val="004F0955"/>
    <w:rsid w:val="005059C4"/>
    <w:rsid w:val="00515C93"/>
    <w:rsid w:val="00520BCD"/>
    <w:rsid w:val="00522B1E"/>
    <w:rsid w:val="00525F7C"/>
    <w:rsid w:val="0054647D"/>
    <w:rsid w:val="00554BEE"/>
    <w:rsid w:val="00554F49"/>
    <w:rsid w:val="00555552"/>
    <w:rsid w:val="0056162C"/>
    <w:rsid w:val="00571DB3"/>
    <w:rsid w:val="005729C1"/>
    <w:rsid w:val="00576DC2"/>
    <w:rsid w:val="00583EA2"/>
    <w:rsid w:val="005A3CC3"/>
    <w:rsid w:val="005A645F"/>
    <w:rsid w:val="005C2481"/>
    <w:rsid w:val="005D2B6E"/>
    <w:rsid w:val="005E050F"/>
    <w:rsid w:val="005F0003"/>
    <w:rsid w:val="005F3A4E"/>
    <w:rsid w:val="006058E5"/>
    <w:rsid w:val="00615EF0"/>
    <w:rsid w:val="006330AB"/>
    <w:rsid w:val="00640FE3"/>
    <w:rsid w:val="00642ED6"/>
    <w:rsid w:val="00657F4A"/>
    <w:rsid w:val="006640A6"/>
    <w:rsid w:val="00670C12"/>
    <w:rsid w:val="00672F0A"/>
    <w:rsid w:val="00674506"/>
    <w:rsid w:val="0067479F"/>
    <w:rsid w:val="00686A64"/>
    <w:rsid w:val="00696682"/>
    <w:rsid w:val="006B1577"/>
    <w:rsid w:val="006B2B62"/>
    <w:rsid w:val="006C4FA9"/>
    <w:rsid w:val="006C5736"/>
    <w:rsid w:val="006D45B8"/>
    <w:rsid w:val="006D7CD5"/>
    <w:rsid w:val="006E1CA7"/>
    <w:rsid w:val="006F5F3A"/>
    <w:rsid w:val="007000B8"/>
    <w:rsid w:val="00701DB1"/>
    <w:rsid w:val="00716E02"/>
    <w:rsid w:val="007201E7"/>
    <w:rsid w:val="0072240B"/>
    <w:rsid w:val="00723063"/>
    <w:rsid w:val="00735135"/>
    <w:rsid w:val="00737EB3"/>
    <w:rsid w:val="0074172D"/>
    <w:rsid w:val="00746A26"/>
    <w:rsid w:val="0076116E"/>
    <w:rsid w:val="00770E67"/>
    <w:rsid w:val="007714D5"/>
    <w:rsid w:val="007760A4"/>
    <w:rsid w:val="007813DA"/>
    <w:rsid w:val="007A693C"/>
    <w:rsid w:val="007B4C96"/>
    <w:rsid w:val="007C1810"/>
    <w:rsid w:val="007D33DE"/>
    <w:rsid w:val="007D65C8"/>
    <w:rsid w:val="007F33D0"/>
    <w:rsid w:val="007F404C"/>
    <w:rsid w:val="007F43A9"/>
    <w:rsid w:val="008227C2"/>
    <w:rsid w:val="00835352"/>
    <w:rsid w:val="0083585A"/>
    <w:rsid w:val="0086146C"/>
    <w:rsid w:val="008621DD"/>
    <w:rsid w:val="00870E11"/>
    <w:rsid w:val="00873B66"/>
    <w:rsid w:val="00874976"/>
    <w:rsid w:val="0087630B"/>
    <w:rsid w:val="00892A44"/>
    <w:rsid w:val="008949C1"/>
    <w:rsid w:val="008A3D18"/>
    <w:rsid w:val="008A4BC2"/>
    <w:rsid w:val="008A4DB5"/>
    <w:rsid w:val="008A77AA"/>
    <w:rsid w:val="008B4C90"/>
    <w:rsid w:val="008E1CD6"/>
    <w:rsid w:val="008F1209"/>
    <w:rsid w:val="00904D2A"/>
    <w:rsid w:val="0091334C"/>
    <w:rsid w:val="00947281"/>
    <w:rsid w:val="00956381"/>
    <w:rsid w:val="00966889"/>
    <w:rsid w:val="009672D2"/>
    <w:rsid w:val="00967584"/>
    <w:rsid w:val="00972039"/>
    <w:rsid w:val="00974F95"/>
    <w:rsid w:val="009A149C"/>
    <w:rsid w:val="009A2C52"/>
    <w:rsid w:val="009C5240"/>
    <w:rsid w:val="009D0A1D"/>
    <w:rsid w:val="009E2291"/>
    <w:rsid w:val="00A00A1D"/>
    <w:rsid w:val="00A066D4"/>
    <w:rsid w:val="00A105A0"/>
    <w:rsid w:val="00A4513A"/>
    <w:rsid w:val="00A543F2"/>
    <w:rsid w:val="00A54905"/>
    <w:rsid w:val="00A54D1E"/>
    <w:rsid w:val="00A626DF"/>
    <w:rsid w:val="00A661F4"/>
    <w:rsid w:val="00A66B70"/>
    <w:rsid w:val="00A8051C"/>
    <w:rsid w:val="00A84774"/>
    <w:rsid w:val="00A84884"/>
    <w:rsid w:val="00AA1F85"/>
    <w:rsid w:val="00AB12B6"/>
    <w:rsid w:val="00AC7B0A"/>
    <w:rsid w:val="00AD3392"/>
    <w:rsid w:val="00AD4A96"/>
    <w:rsid w:val="00AE048E"/>
    <w:rsid w:val="00B046C6"/>
    <w:rsid w:val="00B05A52"/>
    <w:rsid w:val="00B155D7"/>
    <w:rsid w:val="00B364B3"/>
    <w:rsid w:val="00B41AAE"/>
    <w:rsid w:val="00B47211"/>
    <w:rsid w:val="00B5169E"/>
    <w:rsid w:val="00B51E22"/>
    <w:rsid w:val="00B54033"/>
    <w:rsid w:val="00B55464"/>
    <w:rsid w:val="00B83332"/>
    <w:rsid w:val="00B835CB"/>
    <w:rsid w:val="00BA736D"/>
    <w:rsid w:val="00BB4272"/>
    <w:rsid w:val="00BE19A9"/>
    <w:rsid w:val="00BF5E83"/>
    <w:rsid w:val="00C02016"/>
    <w:rsid w:val="00C07AFE"/>
    <w:rsid w:val="00C102CC"/>
    <w:rsid w:val="00C14489"/>
    <w:rsid w:val="00C2004C"/>
    <w:rsid w:val="00C3029B"/>
    <w:rsid w:val="00C30795"/>
    <w:rsid w:val="00C30BA2"/>
    <w:rsid w:val="00C360D4"/>
    <w:rsid w:val="00C4009B"/>
    <w:rsid w:val="00C404A3"/>
    <w:rsid w:val="00C566DC"/>
    <w:rsid w:val="00C61940"/>
    <w:rsid w:val="00C67ABE"/>
    <w:rsid w:val="00C82F6C"/>
    <w:rsid w:val="00CA0F1A"/>
    <w:rsid w:val="00CA38E9"/>
    <w:rsid w:val="00CC0562"/>
    <w:rsid w:val="00CD329D"/>
    <w:rsid w:val="00CE44C4"/>
    <w:rsid w:val="00D008BA"/>
    <w:rsid w:val="00D07135"/>
    <w:rsid w:val="00D333B9"/>
    <w:rsid w:val="00D35013"/>
    <w:rsid w:val="00D37F05"/>
    <w:rsid w:val="00D430CD"/>
    <w:rsid w:val="00D46318"/>
    <w:rsid w:val="00D505B3"/>
    <w:rsid w:val="00D867AB"/>
    <w:rsid w:val="00D94EE9"/>
    <w:rsid w:val="00D95284"/>
    <w:rsid w:val="00DB7278"/>
    <w:rsid w:val="00DC6F5D"/>
    <w:rsid w:val="00DD05AA"/>
    <w:rsid w:val="00DD462F"/>
    <w:rsid w:val="00DD48A1"/>
    <w:rsid w:val="00DE34A3"/>
    <w:rsid w:val="00DF7D1B"/>
    <w:rsid w:val="00E00810"/>
    <w:rsid w:val="00E02AB5"/>
    <w:rsid w:val="00E12E42"/>
    <w:rsid w:val="00E1717B"/>
    <w:rsid w:val="00E207A4"/>
    <w:rsid w:val="00E2331B"/>
    <w:rsid w:val="00E33EC0"/>
    <w:rsid w:val="00E4082F"/>
    <w:rsid w:val="00E41682"/>
    <w:rsid w:val="00E46459"/>
    <w:rsid w:val="00E541E6"/>
    <w:rsid w:val="00E564A2"/>
    <w:rsid w:val="00E667C9"/>
    <w:rsid w:val="00E66C7D"/>
    <w:rsid w:val="00E67234"/>
    <w:rsid w:val="00E71FAF"/>
    <w:rsid w:val="00E73D9A"/>
    <w:rsid w:val="00E917EF"/>
    <w:rsid w:val="00E97674"/>
    <w:rsid w:val="00EA278B"/>
    <w:rsid w:val="00EB53F0"/>
    <w:rsid w:val="00EB5BFC"/>
    <w:rsid w:val="00EB5EF2"/>
    <w:rsid w:val="00EC15AA"/>
    <w:rsid w:val="00EC2DC2"/>
    <w:rsid w:val="00EC5348"/>
    <w:rsid w:val="00EC5E95"/>
    <w:rsid w:val="00EE0C78"/>
    <w:rsid w:val="00EE5347"/>
    <w:rsid w:val="00F029F4"/>
    <w:rsid w:val="00F11571"/>
    <w:rsid w:val="00F34937"/>
    <w:rsid w:val="00F470A8"/>
    <w:rsid w:val="00F5175D"/>
    <w:rsid w:val="00F546C5"/>
    <w:rsid w:val="00F600B9"/>
    <w:rsid w:val="00F67C57"/>
    <w:rsid w:val="00F7105E"/>
    <w:rsid w:val="00F74874"/>
    <w:rsid w:val="00FB5BF4"/>
    <w:rsid w:val="00FC42C8"/>
    <w:rsid w:val="00FD543E"/>
    <w:rsid w:val="00FE5FB5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0489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0F1A"/>
    <w:pPr>
      <w:spacing w:after="200" w:line="276" w:lineRule="auto"/>
    </w:pPr>
    <w:rPr>
      <w:rFonts w:ascii="Calibri" w:eastAsia="Calibri" w:hAnsi="Calibri"/>
      <w:sz w:val="22"/>
      <w:szCs w:val="22"/>
      <w:lang w:val="cs-CZ" w:eastAsia="en-US"/>
    </w:rPr>
  </w:style>
  <w:style w:type="paragraph" w:styleId="Nadpis1">
    <w:name w:val="heading 1"/>
    <w:basedOn w:val="Normlny"/>
    <w:next w:val="Normlny"/>
    <w:qFormat/>
    <w:rsid w:val="009E22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ky2">
    <w:name w:val="Odrážky2"/>
    <w:basedOn w:val="Normlndobloku"/>
    <w:autoRedefine/>
    <w:qFormat/>
    <w:rsid w:val="00E73D9A"/>
    <w:pPr>
      <w:numPr>
        <w:numId w:val="12"/>
      </w:numPr>
      <w:ind w:left="1037" w:hanging="357"/>
    </w:pPr>
  </w:style>
  <w:style w:type="paragraph" w:customStyle="1" w:styleId="Dobloku">
    <w:name w:val="Do bloku"/>
    <w:basedOn w:val="Nadpis1"/>
    <w:rsid w:val="009E2291"/>
    <w:pPr>
      <w:spacing w:before="0" w:after="0"/>
      <w:jc w:val="center"/>
    </w:pPr>
    <w:rPr>
      <w:rFonts w:ascii="Times New Roman" w:hAnsi="Times New Roman" w:cs="Times New Roman"/>
      <w:bCs w:val="0"/>
      <w:caps/>
      <w:kern w:val="0"/>
      <w:sz w:val="22"/>
      <w:szCs w:val="20"/>
    </w:rPr>
  </w:style>
  <w:style w:type="paragraph" w:customStyle="1" w:styleId="SPCnadpis">
    <w:name w:val="SPC nadpis"/>
    <w:basedOn w:val="Nadpis1"/>
    <w:rsid w:val="00E41682"/>
    <w:pPr>
      <w:spacing w:after="120"/>
      <w:jc w:val="center"/>
    </w:pPr>
    <w:rPr>
      <w:rFonts w:ascii="Times New Roman" w:hAnsi="Times New Roman"/>
      <w:sz w:val="22"/>
    </w:rPr>
  </w:style>
  <w:style w:type="paragraph" w:customStyle="1" w:styleId="1STYL1">
    <w:name w:val="1 STYL1"/>
    <w:basedOn w:val="Normlny"/>
    <w:rsid w:val="002F2C85"/>
    <w:pPr>
      <w:ind w:left="357" w:hanging="357"/>
    </w:pPr>
  </w:style>
  <w:style w:type="paragraph" w:customStyle="1" w:styleId="11styl2">
    <w:name w:val="1.1 styl2"/>
    <w:basedOn w:val="Normlny"/>
    <w:rsid w:val="00E73D9A"/>
    <w:pPr>
      <w:spacing w:after="120"/>
      <w:jc w:val="both"/>
    </w:pPr>
    <w:rPr>
      <w:b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E73D9A"/>
    <w:pPr>
      <w:numPr>
        <w:numId w:val="4"/>
      </w:numPr>
    </w:pPr>
    <w:rPr>
      <w:noProof/>
    </w:rPr>
  </w:style>
  <w:style w:type="paragraph" w:customStyle="1" w:styleId="Normlndobloku">
    <w:name w:val="Normální do bloku"/>
    <w:basedOn w:val="Normlny"/>
    <w:link w:val="NormlndoblokuCharChar"/>
    <w:autoRedefine/>
    <w:rsid w:val="00956381"/>
    <w:pPr>
      <w:suppressAutoHyphens/>
      <w:spacing w:after="120" w:line="240" w:lineRule="auto"/>
      <w:jc w:val="both"/>
    </w:pPr>
    <w:rPr>
      <w:rFonts w:ascii="TimesNewRoman" w:eastAsia="Times New Roman" w:hAnsi="TimesNewRoman" w:cs="TimesNewRoman"/>
      <w:szCs w:val="24"/>
      <w:lang w:eastAsia="cs-CZ"/>
    </w:rPr>
  </w:style>
  <w:style w:type="paragraph" w:customStyle="1" w:styleId="1STYL10">
    <w:name w:val="1. STYL1"/>
    <w:basedOn w:val="Normlndoblokusodrkami"/>
    <w:rsid w:val="00E73D9A"/>
    <w:pPr>
      <w:numPr>
        <w:numId w:val="0"/>
      </w:numPr>
      <w:spacing w:before="240"/>
      <w:jc w:val="left"/>
    </w:pPr>
    <w:rPr>
      <w:b/>
    </w:rPr>
  </w:style>
  <w:style w:type="paragraph" w:customStyle="1" w:styleId="Default">
    <w:name w:val="Default"/>
    <w:link w:val="DefaultChar"/>
    <w:rsid w:val="004124B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komentraChar">
    <w:name w:val="Text komentára Char"/>
    <w:link w:val="Textkomentra"/>
    <w:semiHidden/>
    <w:rsid w:val="0076116E"/>
    <w:rPr>
      <w:rFonts w:ascii="Calibri" w:eastAsia="Calibri" w:hAnsi="Calibri"/>
      <w:lang w:eastAsia="en-US"/>
    </w:rPr>
  </w:style>
  <w:style w:type="paragraph" w:styleId="Zkladntext">
    <w:name w:val="Body Text"/>
    <w:basedOn w:val="Default"/>
    <w:next w:val="Default"/>
    <w:link w:val="ZkladntextChar"/>
    <w:rsid w:val="004124B1"/>
    <w:rPr>
      <w:color w:val="auto"/>
    </w:rPr>
  </w:style>
  <w:style w:type="character" w:customStyle="1" w:styleId="DefaultChar">
    <w:name w:val="Default Char"/>
    <w:link w:val="Default"/>
    <w:rsid w:val="0076116E"/>
    <w:rPr>
      <w:color w:val="000000"/>
      <w:sz w:val="24"/>
      <w:szCs w:val="24"/>
      <w:lang w:val="sk-SK" w:eastAsia="sk-SK" w:bidi="ar-SA"/>
    </w:rPr>
  </w:style>
  <w:style w:type="table" w:styleId="Mriekatabuky">
    <w:name w:val="Table Grid"/>
    <w:basedOn w:val="Normlnatabuka"/>
    <w:rsid w:val="00270442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semiHidden/>
    <w:rsid w:val="00216C6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216C61"/>
    <w:rPr>
      <w:sz w:val="20"/>
      <w:szCs w:val="20"/>
    </w:rPr>
  </w:style>
  <w:style w:type="character" w:customStyle="1" w:styleId="ZkladntextChar">
    <w:name w:val="Základný text Char"/>
    <w:basedOn w:val="DefaultChar"/>
    <w:link w:val="Zkladntext"/>
    <w:rsid w:val="0076116E"/>
    <w:rPr>
      <w:color w:val="000000"/>
      <w:sz w:val="24"/>
      <w:szCs w:val="24"/>
      <w:lang w:val="sk-SK" w:eastAsia="sk-SK" w:bidi="ar-SA"/>
    </w:rPr>
  </w:style>
  <w:style w:type="paragraph" w:styleId="Textbubliny">
    <w:name w:val="Balloon Text"/>
    <w:basedOn w:val="Normlny"/>
    <w:semiHidden/>
    <w:rsid w:val="00216C61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y"/>
    <w:autoRedefine/>
    <w:rsid w:val="00E73D9A"/>
    <w:pPr>
      <w:keepNext/>
      <w:numPr>
        <w:numId w:val="6"/>
      </w:numPr>
      <w:tabs>
        <w:tab w:val="left" w:pos="567"/>
      </w:tabs>
      <w:spacing w:before="600" w:after="120" w:line="240" w:lineRule="auto"/>
      <w:ind w:left="357" w:hanging="357"/>
    </w:pPr>
    <w:rPr>
      <w:rFonts w:ascii="Times New Roman" w:eastAsia="Times New Roman" w:hAnsi="Times New Roman"/>
      <w:b/>
      <w:bCs/>
      <w:caps/>
      <w:noProof/>
      <w:szCs w:val="24"/>
    </w:rPr>
  </w:style>
  <w:style w:type="paragraph" w:customStyle="1" w:styleId="Styl2">
    <w:name w:val="Styl2"/>
    <w:basedOn w:val="Normlny"/>
    <w:autoRedefine/>
    <w:rsid w:val="00B046C6"/>
    <w:pPr>
      <w:keepNext/>
      <w:numPr>
        <w:ilvl w:val="1"/>
        <w:numId w:val="6"/>
      </w:numPr>
      <w:tabs>
        <w:tab w:val="left" w:pos="567"/>
      </w:tabs>
      <w:suppressAutoHyphens/>
      <w:spacing w:before="240" w:after="120" w:line="240" w:lineRule="auto"/>
      <w:ind w:left="0" w:firstLine="0"/>
    </w:pPr>
    <w:rPr>
      <w:rFonts w:ascii="Times New Roman" w:eastAsia="Times New Roman" w:hAnsi="Times New Roman"/>
      <w:b/>
      <w:bCs/>
      <w:noProof/>
    </w:rPr>
  </w:style>
  <w:style w:type="paragraph" w:customStyle="1" w:styleId="Styl3">
    <w:name w:val="Styl3"/>
    <w:basedOn w:val="Normlny"/>
    <w:autoRedefine/>
    <w:rsid w:val="007000B8"/>
    <w:pPr>
      <w:keepNext/>
      <w:suppressAutoHyphens/>
      <w:spacing w:before="240" w:after="120" w:line="240" w:lineRule="auto"/>
      <w:jc w:val="both"/>
    </w:pPr>
    <w:rPr>
      <w:rFonts w:ascii="TimesNewRoman" w:eastAsia="Times New Roman" w:hAnsi="TimesNewRoman" w:cs="TimesNewRoman"/>
      <w:noProof/>
      <w:szCs w:val="24"/>
      <w:u w:val="single"/>
      <w:lang w:val="en-US" w:eastAsia="cs-CZ"/>
    </w:rPr>
  </w:style>
  <w:style w:type="paragraph" w:customStyle="1" w:styleId="Styl4">
    <w:name w:val="Styl4"/>
    <w:basedOn w:val="Styl3"/>
    <w:autoRedefine/>
    <w:qFormat/>
    <w:rsid w:val="004A4952"/>
    <w:pPr>
      <w:spacing w:before="0"/>
    </w:pPr>
    <w:rPr>
      <w:i/>
      <w:iCs/>
    </w:rPr>
  </w:style>
  <w:style w:type="paragraph" w:customStyle="1" w:styleId="Tabulka">
    <w:name w:val="Tabulka"/>
    <w:basedOn w:val="Normlndobloku"/>
    <w:autoRedefine/>
    <w:qFormat/>
    <w:rsid w:val="00C14489"/>
    <w:pPr>
      <w:jc w:val="left"/>
    </w:pPr>
    <w:rPr>
      <w:sz w:val="20"/>
    </w:rPr>
  </w:style>
  <w:style w:type="paragraph" w:styleId="Hlavika">
    <w:name w:val="header"/>
    <w:basedOn w:val="Normlny"/>
    <w:link w:val="HlavikaChar"/>
    <w:rsid w:val="00054C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054C50"/>
    <w:rPr>
      <w:rFonts w:ascii="Calibri" w:eastAsia="Calibri" w:hAnsi="Calibri"/>
      <w:sz w:val="22"/>
      <w:szCs w:val="22"/>
      <w:lang w:eastAsia="en-US"/>
    </w:rPr>
  </w:style>
  <w:style w:type="paragraph" w:styleId="Pta">
    <w:name w:val="footer"/>
    <w:basedOn w:val="Normlny"/>
    <w:link w:val="PtaChar"/>
    <w:rsid w:val="00054C5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054C50"/>
    <w:rPr>
      <w:rFonts w:ascii="Calibri" w:eastAsia="Calibri" w:hAnsi="Calibri"/>
      <w:sz w:val="22"/>
      <w:szCs w:val="22"/>
      <w:lang w:eastAsia="en-US"/>
    </w:rPr>
  </w:style>
  <w:style w:type="character" w:customStyle="1" w:styleId="NormlndoblokuCharChar">
    <w:name w:val="Normální do bloku Char Char"/>
    <w:link w:val="Normlndobloku"/>
    <w:rsid w:val="00956381"/>
    <w:rPr>
      <w:rFonts w:ascii="TimesNewRoman" w:hAnsi="TimesNewRoman" w:cs="TimesNewRoman"/>
      <w:sz w:val="22"/>
      <w:szCs w:val="24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467B67"/>
    <w:rPr>
      <w:b/>
      <w:bCs/>
    </w:rPr>
  </w:style>
  <w:style w:type="character" w:customStyle="1" w:styleId="PredmetkomentraChar">
    <w:name w:val="Predmet komentára Char"/>
    <w:link w:val="Predmetkomentra"/>
    <w:rsid w:val="00467B67"/>
    <w:rPr>
      <w:rFonts w:ascii="Calibri" w:eastAsia="Calibri" w:hAnsi="Calibri"/>
      <w:b/>
      <w:bCs/>
      <w:lang w:eastAsia="en-US"/>
    </w:rPr>
  </w:style>
  <w:style w:type="paragraph" w:customStyle="1" w:styleId="EMEABodyText">
    <w:name w:val="EMEA Body Text"/>
    <w:basedOn w:val="Normlny"/>
    <w:rsid w:val="00FD543E"/>
    <w:pPr>
      <w:spacing w:after="0" w:line="240" w:lineRule="auto"/>
    </w:pPr>
    <w:rPr>
      <w:rFonts w:ascii="Times New Roman" w:eastAsia="Times New Roman" w:hAnsi="Times New Roman"/>
      <w:szCs w:val="20"/>
      <w:lang w:val="en-GB" w:eastAsia="sv-SE"/>
    </w:rPr>
  </w:style>
  <w:style w:type="character" w:styleId="Hypertextovprepojenie">
    <w:name w:val="Hyperlink"/>
    <w:rsid w:val="0006472C"/>
    <w:rPr>
      <w:color w:val="0000FF"/>
      <w:u w:val="single"/>
    </w:rPr>
  </w:style>
  <w:style w:type="paragraph" w:styleId="Bezriadkovania">
    <w:name w:val="No Spacing"/>
    <w:uiPriority w:val="1"/>
    <w:qFormat/>
    <w:rsid w:val="00947281"/>
    <w:rPr>
      <w:rFonts w:ascii="Calibri" w:eastAsia="Calibri" w:hAnsi="Calibri"/>
      <w:sz w:val="22"/>
      <w:szCs w:val="22"/>
      <w:lang w:val="cs-CZ" w:eastAsia="en-US"/>
    </w:rPr>
  </w:style>
  <w:style w:type="character" w:customStyle="1" w:styleId="hps">
    <w:name w:val="hps"/>
    <w:rsid w:val="0072240B"/>
  </w:style>
  <w:style w:type="character" w:customStyle="1" w:styleId="NormlndoblokuChar">
    <w:name w:val="Normální do bloku Char"/>
    <w:rsid w:val="0072240B"/>
    <w:rPr>
      <w:rFonts w:ascii="TimesNewRoman" w:eastAsia="Times New Roman" w:hAnsi="TimesNewRoman"/>
      <w:sz w:val="22"/>
      <w:szCs w:val="22"/>
      <w:lang w:val="sk-SK" w:eastAsia="sk-SK"/>
    </w:rPr>
  </w:style>
  <w:style w:type="paragraph" w:customStyle="1" w:styleId="Styl2-2">
    <w:name w:val="Styl2-2"/>
    <w:basedOn w:val="Styl2"/>
    <w:next w:val="Normlndobloku"/>
    <w:autoRedefine/>
    <w:qFormat/>
    <w:rsid w:val="00F546C5"/>
    <w:pPr>
      <w:numPr>
        <w:ilvl w:val="0"/>
        <w:numId w:val="0"/>
      </w:numPr>
      <w:tabs>
        <w:tab w:val="clear" w:pos="567"/>
      </w:tabs>
      <w:suppressAutoHyphens w:val="0"/>
      <w:spacing w:before="120"/>
    </w:pPr>
    <w:rPr>
      <w:noProof w:val="0"/>
      <w:szCs w:val="20"/>
      <w:lang w:val="en-GB"/>
    </w:rPr>
  </w:style>
  <w:style w:type="paragraph" w:customStyle="1" w:styleId="desbasis">
    <w:name w:val="_des_basis"/>
    <w:basedOn w:val="Normlny"/>
    <w:link w:val="desbasisChar"/>
    <w:uiPriority w:val="99"/>
    <w:rsid w:val="008A77AA"/>
    <w:pPr>
      <w:spacing w:after="0" w:line="240" w:lineRule="auto"/>
    </w:pPr>
    <w:rPr>
      <w:rFonts w:ascii="Arial" w:eastAsia="Times New Roman" w:hAnsi="Arial" w:cs="Arial"/>
      <w:lang w:val="de-DE" w:eastAsia="de-DE"/>
    </w:rPr>
  </w:style>
  <w:style w:type="character" w:customStyle="1" w:styleId="desbasisChar">
    <w:name w:val="_des_basis Char"/>
    <w:link w:val="desbasis"/>
    <w:uiPriority w:val="99"/>
    <w:locked/>
    <w:rsid w:val="008A77AA"/>
    <w:rPr>
      <w:rFonts w:ascii="Arial" w:hAnsi="Arial" w:cs="Arial"/>
      <w:sz w:val="22"/>
      <w:szCs w:val="22"/>
      <w:lang w:val="de-DE" w:eastAsia="de-DE"/>
    </w:rPr>
  </w:style>
  <w:style w:type="character" w:styleId="Zvraznenie">
    <w:name w:val="Emphasis"/>
    <w:uiPriority w:val="20"/>
    <w:qFormat/>
    <w:rsid w:val="008A77AA"/>
    <w:rPr>
      <w:b/>
      <w:bCs/>
      <w:i w:val="0"/>
      <w:iCs w:val="0"/>
    </w:rPr>
  </w:style>
  <w:style w:type="character" w:customStyle="1" w:styleId="st1">
    <w:name w:val="st1"/>
    <w:rsid w:val="008A77AA"/>
  </w:style>
  <w:style w:type="paragraph" w:styleId="Revzia">
    <w:name w:val="Revision"/>
    <w:hidden/>
    <w:uiPriority w:val="99"/>
    <w:semiHidden/>
    <w:rsid w:val="001407A2"/>
    <w:rPr>
      <w:rFonts w:ascii="Calibri" w:eastAsia="Calibri" w:hAnsi="Calibri"/>
      <w:sz w:val="22"/>
      <w:szCs w:val="22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0F1A"/>
    <w:pPr>
      <w:spacing w:after="200" w:line="276" w:lineRule="auto"/>
    </w:pPr>
    <w:rPr>
      <w:rFonts w:ascii="Calibri" w:eastAsia="Calibri" w:hAnsi="Calibri"/>
      <w:sz w:val="22"/>
      <w:szCs w:val="22"/>
      <w:lang w:val="cs-CZ" w:eastAsia="en-US"/>
    </w:rPr>
  </w:style>
  <w:style w:type="paragraph" w:styleId="Nadpis1">
    <w:name w:val="heading 1"/>
    <w:basedOn w:val="Normlny"/>
    <w:next w:val="Normlny"/>
    <w:qFormat/>
    <w:rsid w:val="009E22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ky2">
    <w:name w:val="Odrážky2"/>
    <w:basedOn w:val="Normlndobloku"/>
    <w:autoRedefine/>
    <w:qFormat/>
    <w:rsid w:val="00E73D9A"/>
    <w:pPr>
      <w:numPr>
        <w:numId w:val="12"/>
      </w:numPr>
      <w:ind w:left="1037" w:hanging="357"/>
    </w:pPr>
  </w:style>
  <w:style w:type="paragraph" w:customStyle="1" w:styleId="Dobloku">
    <w:name w:val="Do bloku"/>
    <w:basedOn w:val="Nadpis1"/>
    <w:rsid w:val="009E2291"/>
    <w:pPr>
      <w:spacing w:before="0" w:after="0"/>
      <w:jc w:val="center"/>
    </w:pPr>
    <w:rPr>
      <w:rFonts w:ascii="Times New Roman" w:hAnsi="Times New Roman" w:cs="Times New Roman"/>
      <w:bCs w:val="0"/>
      <w:caps/>
      <w:kern w:val="0"/>
      <w:sz w:val="22"/>
      <w:szCs w:val="20"/>
    </w:rPr>
  </w:style>
  <w:style w:type="paragraph" w:customStyle="1" w:styleId="SPCnadpis">
    <w:name w:val="SPC nadpis"/>
    <w:basedOn w:val="Nadpis1"/>
    <w:rsid w:val="00E41682"/>
    <w:pPr>
      <w:spacing w:after="120"/>
      <w:jc w:val="center"/>
    </w:pPr>
    <w:rPr>
      <w:rFonts w:ascii="Times New Roman" w:hAnsi="Times New Roman"/>
      <w:sz w:val="22"/>
    </w:rPr>
  </w:style>
  <w:style w:type="paragraph" w:customStyle="1" w:styleId="1STYL1">
    <w:name w:val="1 STYL1"/>
    <w:basedOn w:val="Normlny"/>
    <w:rsid w:val="002F2C85"/>
    <w:pPr>
      <w:ind w:left="357" w:hanging="357"/>
    </w:pPr>
  </w:style>
  <w:style w:type="paragraph" w:customStyle="1" w:styleId="11styl2">
    <w:name w:val="1.1 styl2"/>
    <w:basedOn w:val="Normlny"/>
    <w:rsid w:val="00E73D9A"/>
    <w:pPr>
      <w:spacing w:after="120"/>
      <w:jc w:val="both"/>
    </w:pPr>
    <w:rPr>
      <w:b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E73D9A"/>
    <w:pPr>
      <w:numPr>
        <w:numId w:val="4"/>
      </w:numPr>
    </w:pPr>
    <w:rPr>
      <w:noProof/>
    </w:rPr>
  </w:style>
  <w:style w:type="paragraph" w:customStyle="1" w:styleId="Normlndobloku">
    <w:name w:val="Normální do bloku"/>
    <w:basedOn w:val="Normlny"/>
    <w:link w:val="NormlndoblokuCharChar"/>
    <w:autoRedefine/>
    <w:rsid w:val="00956381"/>
    <w:pPr>
      <w:suppressAutoHyphens/>
      <w:spacing w:after="120" w:line="240" w:lineRule="auto"/>
      <w:jc w:val="both"/>
    </w:pPr>
    <w:rPr>
      <w:rFonts w:ascii="TimesNewRoman" w:eastAsia="Times New Roman" w:hAnsi="TimesNewRoman" w:cs="TimesNewRoman"/>
      <w:szCs w:val="24"/>
      <w:lang w:eastAsia="cs-CZ"/>
    </w:rPr>
  </w:style>
  <w:style w:type="paragraph" w:customStyle="1" w:styleId="1STYL10">
    <w:name w:val="1. STYL1"/>
    <w:basedOn w:val="Normlndoblokusodrkami"/>
    <w:rsid w:val="00E73D9A"/>
    <w:pPr>
      <w:numPr>
        <w:numId w:val="0"/>
      </w:numPr>
      <w:spacing w:before="240"/>
      <w:jc w:val="left"/>
    </w:pPr>
    <w:rPr>
      <w:b/>
    </w:rPr>
  </w:style>
  <w:style w:type="paragraph" w:customStyle="1" w:styleId="Default">
    <w:name w:val="Default"/>
    <w:link w:val="DefaultChar"/>
    <w:rsid w:val="004124B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komentraChar">
    <w:name w:val="Text komentára Char"/>
    <w:link w:val="Textkomentra"/>
    <w:semiHidden/>
    <w:rsid w:val="0076116E"/>
    <w:rPr>
      <w:rFonts w:ascii="Calibri" w:eastAsia="Calibri" w:hAnsi="Calibri"/>
      <w:lang w:eastAsia="en-US"/>
    </w:rPr>
  </w:style>
  <w:style w:type="paragraph" w:styleId="Zkladntext">
    <w:name w:val="Body Text"/>
    <w:basedOn w:val="Default"/>
    <w:next w:val="Default"/>
    <w:link w:val="ZkladntextChar"/>
    <w:rsid w:val="004124B1"/>
    <w:rPr>
      <w:color w:val="auto"/>
    </w:rPr>
  </w:style>
  <w:style w:type="character" w:customStyle="1" w:styleId="DefaultChar">
    <w:name w:val="Default Char"/>
    <w:link w:val="Default"/>
    <w:rsid w:val="0076116E"/>
    <w:rPr>
      <w:color w:val="000000"/>
      <w:sz w:val="24"/>
      <w:szCs w:val="24"/>
      <w:lang w:val="sk-SK" w:eastAsia="sk-SK" w:bidi="ar-SA"/>
    </w:rPr>
  </w:style>
  <w:style w:type="table" w:styleId="Mriekatabuky">
    <w:name w:val="Table Grid"/>
    <w:basedOn w:val="Normlnatabuka"/>
    <w:rsid w:val="00270442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semiHidden/>
    <w:rsid w:val="00216C6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216C61"/>
    <w:rPr>
      <w:sz w:val="20"/>
      <w:szCs w:val="20"/>
    </w:rPr>
  </w:style>
  <w:style w:type="character" w:customStyle="1" w:styleId="ZkladntextChar">
    <w:name w:val="Základný text Char"/>
    <w:basedOn w:val="DefaultChar"/>
    <w:link w:val="Zkladntext"/>
    <w:rsid w:val="0076116E"/>
    <w:rPr>
      <w:color w:val="000000"/>
      <w:sz w:val="24"/>
      <w:szCs w:val="24"/>
      <w:lang w:val="sk-SK" w:eastAsia="sk-SK" w:bidi="ar-SA"/>
    </w:rPr>
  </w:style>
  <w:style w:type="paragraph" w:styleId="Textbubliny">
    <w:name w:val="Balloon Text"/>
    <w:basedOn w:val="Normlny"/>
    <w:semiHidden/>
    <w:rsid w:val="00216C61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y"/>
    <w:autoRedefine/>
    <w:rsid w:val="00E73D9A"/>
    <w:pPr>
      <w:keepNext/>
      <w:numPr>
        <w:numId w:val="6"/>
      </w:numPr>
      <w:tabs>
        <w:tab w:val="left" w:pos="567"/>
      </w:tabs>
      <w:spacing w:before="600" w:after="120" w:line="240" w:lineRule="auto"/>
      <w:ind w:left="357" w:hanging="357"/>
    </w:pPr>
    <w:rPr>
      <w:rFonts w:ascii="Times New Roman" w:eastAsia="Times New Roman" w:hAnsi="Times New Roman"/>
      <w:b/>
      <w:bCs/>
      <w:caps/>
      <w:noProof/>
      <w:szCs w:val="24"/>
    </w:rPr>
  </w:style>
  <w:style w:type="paragraph" w:customStyle="1" w:styleId="Styl2">
    <w:name w:val="Styl2"/>
    <w:basedOn w:val="Normlny"/>
    <w:autoRedefine/>
    <w:rsid w:val="00B046C6"/>
    <w:pPr>
      <w:keepNext/>
      <w:numPr>
        <w:ilvl w:val="1"/>
        <w:numId w:val="6"/>
      </w:numPr>
      <w:tabs>
        <w:tab w:val="left" w:pos="567"/>
      </w:tabs>
      <w:suppressAutoHyphens/>
      <w:spacing w:before="240" w:after="120" w:line="240" w:lineRule="auto"/>
      <w:ind w:left="0" w:firstLine="0"/>
    </w:pPr>
    <w:rPr>
      <w:rFonts w:ascii="Times New Roman" w:eastAsia="Times New Roman" w:hAnsi="Times New Roman"/>
      <w:b/>
      <w:bCs/>
      <w:noProof/>
    </w:rPr>
  </w:style>
  <w:style w:type="paragraph" w:customStyle="1" w:styleId="Styl3">
    <w:name w:val="Styl3"/>
    <w:basedOn w:val="Normlny"/>
    <w:autoRedefine/>
    <w:rsid w:val="007000B8"/>
    <w:pPr>
      <w:keepNext/>
      <w:suppressAutoHyphens/>
      <w:spacing w:before="240" w:after="120" w:line="240" w:lineRule="auto"/>
      <w:jc w:val="both"/>
    </w:pPr>
    <w:rPr>
      <w:rFonts w:ascii="TimesNewRoman" w:eastAsia="Times New Roman" w:hAnsi="TimesNewRoman" w:cs="TimesNewRoman"/>
      <w:noProof/>
      <w:szCs w:val="24"/>
      <w:u w:val="single"/>
      <w:lang w:val="en-US" w:eastAsia="cs-CZ"/>
    </w:rPr>
  </w:style>
  <w:style w:type="paragraph" w:customStyle="1" w:styleId="Styl4">
    <w:name w:val="Styl4"/>
    <w:basedOn w:val="Styl3"/>
    <w:autoRedefine/>
    <w:qFormat/>
    <w:rsid w:val="004A4952"/>
    <w:pPr>
      <w:spacing w:before="0"/>
    </w:pPr>
    <w:rPr>
      <w:i/>
      <w:iCs/>
    </w:rPr>
  </w:style>
  <w:style w:type="paragraph" w:customStyle="1" w:styleId="Tabulka">
    <w:name w:val="Tabulka"/>
    <w:basedOn w:val="Normlndobloku"/>
    <w:autoRedefine/>
    <w:qFormat/>
    <w:rsid w:val="00C14489"/>
    <w:pPr>
      <w:jc w:val="left"/>
    </w:pPr>
    <w:rPr>
      <w:sz w:val="20"/>
    </w:rPr>
  </w:style>
  <w:style w:type="paragraph" w:styleId="Hlavika">
    <w:name w:val="header"/>
    <w:basedOn w:val="Normlny"/>
    <w:link w:val="HlavikaChar"/>
    <w:rsid w:val="00054C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054C50"/>
    <w:rPr>
      <w:rFonts w:ascii="Calibri" w:eastAsia="Calibri" w:hAnsi="Calibri"/>
      <w:sz w:val="22"/>
      <w:szCs w:val="22"/>
      <w:lang w:eastAsia="en-US"/>
    </w:rPr>
  </w:style>
  <w:style w:type="paragraph" w:styleId="Pta">
    <w:name w:val="footer"/>
    <w:basedOn w:val="Normlny"/>
    <w:link w:val="PtaChar"/>
    <w:rsid w:val="00054C5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054C50"/>
    <w:rPr>
      <w:rFonts w:ascii="Calibri" w:eastAsia="Calibri" w:hAnsi="Calibri"/>
      <w:sz w:val="22"/>
      <w:szCs w:val="22"/>
      <w:lang w:eastAsia="en-US"/>
    </w:rPr>
  </w:style>
  <w:style w:type="character" w:customStyle="1" w:styleId="NormlndoblokuCharChar">
    <w:name w:val="Normální do bloku Char Char"/>
    <w:link w:val="Normlndobloku"/>
    <w:rsid w:val="00956381"/>
    <w:rPr>
      <w:rFonts w:ascii="TimesNewRoman" w:hAnsi="TimesNewRoman" w:cs="TimesNewRoman"/>
      <w:sz w:val="22"/>
      <w:szCs w:val="24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467B67"/>
    <w:rPr>
      <w:b/>
      <w:bCs/>
    </w:rPr>
  </w:style>
  <w:style w:type="character" w:customStyle="1" w:styleId="PredmetkomentraChar">
    <w:name w:val="Predmet komentára Char"/>
    <w:link w:val="Predmetkomentra"/>
    <w:rsid w:val="00467B67"/>
    <w:rPr>
      <w:rFonts w:ascii="Calibri" w:eastAsia="Calibri" w:hAnsi="Calibri"/>
      <w:b/>
      <w:bCs/>
      <w:lang w:eastAsia="en-US"/>
    </w:rPr>
  </w:style>
  <w:style w:type="paragraph" w:customStyle="1" w:styleId="EMEABodyText">
    <w:name w:val="EMEA Body Text"/>
    <w:basedOn w:val="Normlny"/>
    <w:rsid w:val="00FD543E"/>
    <w:pPr>
      <w:spacing w:after="0" w:line="240" w:lineRule="auto"/>
    </w:pPr>
    <w:rPr>
      <w:rFonts w:ascii="Times New Roman" w:eastAsia="Times New Roman" w:hAnsi="Times New Roman"/>
      <w:szCs w:val="20"/>
      <w:lang w:val="en-GB" w:eastAsia="sv-SE"/>
    </w:rPr>
  </w:style>
  <w:style w:type="character" w:styleId="Hypertextovprepojenie">
    <w:name w:val="Hyperlink"/>
    <w:rsid w:val="0006472C"/>
    <w:rPr>
      <w:color w:val="0000FF"/>
      <w:u w:val="single"/>
    </w:rPr>
  </w:style>
  <w:style w:type="paragraph" w:styleId="Bezriadkovania">
    <w:name w:val="No Spacing"/>
    <w:uiPriority w:val="1"/>
    <w:qFormat/>
    <w:rsid w:val="00947281"/>
    <w:rPr>
      <w:rFonts w:ascii="Calibri" w:eastAsia="Calibri" w:hAnsi="Calibri"/>
      <w:sz w:val="22"/>
      <w:szCs w:val="22"/>
      <w:lang w:val="cs-CZ" w:eastAsia="en-US"/>
    </w:rPr>
  </w:style>
  <w:style w:type="character" w:customStyle="1" w:styleId="hps">
    <w:name w:val="hps"/>
    <w:rsid w:val="0072240B"/>
  </w:style>
  <w:style w:type="character" w:customStyle="1" w:styleId="NormlndoblokuChar">
    <w:name w:val="Normální do bloku Char"/>
    <w:rsid w:val="0072240B"/>
    <w:rPr>
      <w:rFonts w:ascii="TimesNewRoman" w:eastAsia="Times New Roman" w:hAnsi="TimesNewRoman"/>
      <w:sz w:val="22"/>
      <w:szCs w:val="22"/>
      <w:lang w:val="sk-SK" w:eastAsia="sk-SK"/>
    </w:rPr>
  </w:style>
  <w:style w:type="paragraph" w:customStyle="1" w:styleId="Styl2-2">
    <w:name w:val="Styl2-2"/>
    <w:basedOn w:val="Styl2"/>
    <w:next w:val="Normlndobloku"/>
    <w:autoRedefine/>
    <w:qFormat/>
    <w:rsid w:val="00F546C5"/>
    <w:pPr>
      <w:numPr>
        <w:ilvl w:val="0"/>
        <w:numId w:val="0"/>
      </w:numPr>
      <w:tabs>
        <w:tab w:val="clear" w:pos="567"/>
      </w:tabs>
      <w:suppressAutoHyphens w:val="0"/>
      <w:spacing w:before="120"/>
    </w:pPr>
    <w:rPr>
      <w:noProof w:val="0"/>
      <w:szCs w:val="20"/>
      <w:lang w:val="en-GB"/>
    </w:rPr>
  </w:style>
  <w:style w:type="paragraph" w:customStyle="1" w:styleId="desbasis">
    <w:name w:val="_des_basis"/>
    <w:basedOn w:val="Normlny"/>
    <w:link w:val="desbasisChar"/>
    <w:uiPriority w:val="99"/>
    <w:rsid w:val="008A77AA"/>
    <w:pPr>
      <w:spacing w:after="0" w:line="240" w:lineRule="auto"/>
    </w:pPr>
    <w:rPr>
      <w:rFonts w:ascii="Arial" w:eastAsia="Times New Roman" w:hAnsi="Arial" w:cs="Arial"/>
      <w:lang w:val="de-DE" w:eastAsia="de-DE"/>
    </w:rPr>
  </w:style>
  <w:style w:type="character" w:customStyle="1" w:styleId="desbasisChar">
    <w:name w:val="_des_basis Char"/>
    <w:link w:val="desbasis"/>
    <w:uiPriority w:val="99"/>
    <w:locked/>
    <w:rsid w:val="008A77AA"/>
    <w:rPr>
      <w:rFonts w:ascii="Arial" w:hAnsi="Arial" w:cs="Arial"/>
      <w:sz w:val="22"/>
      <w:szCs w:val="22"/>
      <w:lang w:val="de-DE" w:eastAsia="de-DE"/>
    </w:rPr>
  </w:style>
  <w:style w:type="character" w:styleId="Zvraznenie">
    <w:name w:val="Emphasis"/>
    <w:uiPriority w:val="20"/>
    <w:qFormat/>
    <w:rsid w:val="008A77AA"/>
    <w:rPr>
      <w:b/>
      <w:bCs/>
      <w:i w:val="0"/>
      <w:iCs w:val="0"/>
    </w:rPr>
  </w:style>
  <w:style w:type="character" w:customStyle="1" w:styleId="st1">
    <w:name w:val="st1"/>
    <w:rsid w:val="008A77AA"/>
  </w:style>
  <w:style w:type="paragraph" w:styleId="Revzia">
    <w:name w:val="Revision"/>
    <w:hidden/>
    <w:uiPriority w:val="99"/>
    <w:semiHidden/>
    <w:rsid w:val="001407A2"/>
    <w:rPr>
      <w:rFonts w:ascii="Calibri" w:eastAsia="Calibri" w:hAnsi="Calibri"/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20</Pages>
  <Words>6401</Words>
  <Characters>36490</Characters>
  <Application>Microsoft Office Word</Application>
  <DocSecurity>0</DocSecurity>
  <Lines>304</Lines>
  <Paragraphs>85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Medochemie, Ltd.</Company>
  <LinksUpToDate>false</LinksUpToDate>
  <CharactersWithSpaces>42806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katarinaj</dc:creator>
  <cp:lastModifiedBy>Grančaiová, Zuzana</cp:lastModifiedBy>
  <cp:revision>32</cp:revision>
  <cp:lastPrinted>2018-11-19T08:13:00Z</cp:lastPrinted>
  <dcterms:created xsi:type="dcterms:W3CDTF">2017-07-14T10:06:00Z</dcterms:created>
  <dcterms:modified xsi:type="dcterms:W3CDTF">2018-11-19T08:15:00Z</dcterms:modified>
</cp:coreProperties>
</file>