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43" w:rsidRDefault="004B6243" w:rsidP="005D39E2">
      <w:pPr>
        <w:pStyle w:val="SPCnadpis"/>
        <w:spacing w:before="0" w:after="0"/>
        <w:rPr>
          <w:lang w:val="sk-SK"/>
        </w:rPr>
      </w:pPr>
      <w:bookmarkStart w:id="0" w:name="_GoBack"/>
      <w:bookmarkEnd w:id="0"/>
    </w:p>
    <w:p w:rsidR="00624A15" w:rsidRDefault="00624A15" w:rsidP="00727EB5">
      <w:pPr>
        <w:pStyle w:val="Normlndobloku"/>
      </w:pPr>
    </w:p>
    <w:p w:rsidR="00624A15" w:rsidRDefault="00624A15" w:rsidP="00727EB5">
      <w:pPr>
        <w:pStyle w:val="Normlndobloku"/>
      </w:pPr>
    </w:p>
    <w:p w:rsidR="00CD1BB9" w:rsidRDefault="00CD1BB9" w:rsidP="005D39E2">
      <w:pPr>
        <w:pStyle w:val="SPCnadpis"/>
        <w:spacing w:before="0" w:after="0"/>
        <w:rPr>
          <w:lang w:val="sk-SK"/>
        </w:rPr>
      </w:pPr>
      <w:r w:rsidRPr="00F010F4">
        <w:rPr>
          <w:lang w:val="sk-SK"/>
        </w:rPr>
        <w:t>S</w:t>
      </w:r>
      <w:r w:rsidR="00A84DDA" w:rsidRPr="00E82E3A">
        <w:rPr>
          <w:lang w:val="sk-SK"/>
        </w:rPr>
        <w:t>ÚHRN CHARAKTERISTICKÝCH VLASTNOSTÍ LIEKU</w:t>
      </w:r>
    </w:p>
    <w:p w:rsidR="004B6243" w:rsidRDefault="004B6243" w:rsidP="005D39E2">
      <w:pPr>
        <w:pStyle w:val="SPCnadpis"/>
        <w:spacing w:before="0" w:after="0"/>
        <w:rPr>
          <w:lang w:val="sk-SK"/>
        </w:rPr>
      </w:pPr>
    </w:p>
    <w:p w:rsidR="004B6243" w:rsidRPr="00E82E3A" w:rsidRDefault="004B6243" w:rsidP="005D39E2">
      <w:pPr>
        <w:pStyle w:val="SPCnadpis"/>
        <w:spacing w:before="0" w:after="0"/>
        <w:rPr>
          <w:lang w:val="sk-SK"/>
        </w:rPr>
      </w:pPr>
    </w:p>
    <w:p w:rsidR="004B6243" w:rsidRDefault="00CD1BB9" w:rsidP="005D39E2">
      <w:pPr>
        <w:pStyle w:val="Styl1"/>
        <w:spacing w:before="0" w:after="0"/>
        <w:rPr>
          <w:lang w:val="sk-SK"/>
        </w:rPr>
      </w:pPr>
      <w:r w:rsidRPr="00E82E3A">
        <w:rPr>
          <w:lang w:val="sk-SK"/>
        </w:rPr>
        <w:t>NÁZOV LIEKU</w:t>
      </w:r>
    </w:p>
    <w:p w:rsidR="00ED620F" w:rsidRPr="00E82E3A" w:rsidRDefault="006D3E44" w:rsidP="003A17BF">
      <w:pPr>
        <w:pStyle w:val="Styl1"/>
        <w:numPr>
          <w:ilvl w:val="0"/>
          <w:numId w:val="0"/>
        </w:numPr>
        <w:tabs>
          <w:tab w:val="left" w:pos="7620"/>
        </w:tabs>
        <w:spacing w:before="0" w:after="0"/>
        <w:ind w:left="357"/>
        <w:rPr>
          <w:lang w:val="sk-SK"/>
        </w:rPr>
      </w:pPr>
      <w:r>
        <w:rPr>
          <w:lang w:val="sk-SK"/>
        </w:rPr>
        <w:tab/>
      </w:r>
    </w:p>
    <w:p w:rsidR="00CD1BB9" w:rsidRPr="006A7B07" w:rsidRDefault="000F3526" w:rsidP="00611497">
      <w:pPr>
        <w:pStyle w:val="Normlndobloku"/>
      </w:pPr>
      <w:r w:rsidRPr="00E82E3A">
        <w:t>RAMIMED HCT</w:t>
      </w:r>
      <w:r w:rsidR="00CD1BB9" w:rsidRPr="006A7B07">
        <w:t xml:space="preserve"> 2,5/12,5</w:t>
      </w:r>
    </w:p>
    <w:p w:rsidR="00A97F7C" w:rsidRPr="003453F2" w:rsidRDefault="000F3526" w:rsidP="00611497">
      <w:pPr>
        <w:pStyle w:val="Normlndobloku"/>
      </w:pPr>
      <w:r w:rsidRPr="003453F2">
        <w:t>RAMIMED HCT</w:t>
      </w:r>
      <w:r w:rsidR="00CD1BB9" w:rsidRPr="003453F2">
        <w:t xml:space="preserve"> 5/25</w:t>
      </w:r>
    </w:p>
    <w:p w:rsidR="00CD1BB9" w:rsidRDefault="00A97F7C" w:rsidP="00611497">
      <w:pPr>
        <w:pStyle w:val="Normlndobloku"/>
      </w:pPr>
      <w:r w:rsidRPr="003453F2">
        <w:t>Tablety</w:t>
      </w:r>
    </w:p>
    <w:p w:rsidR="004B6243" w:rsidRDefault="004B6243" w:rsidP="00611497">
      <w:pPr>
        <w:pStyle w:val="Normlndobloku"/>
      </w:pPr>
    </w:p>
    <w:p w:rsidR="004B6243" w:rsidRPr="003453F2" w:rsidRDefault="004B6243" w:rsidP="00611497">
      <w:pPr>
        <w:pStyle w:val="Normlndobloku"/>
      </w:pPr>
    </w:p>
    <w:p w:rsidR="00CD1BB9" w:rsidRDefault="00CD1BB9" w:rsidP="005D39E2">
      <w:pPr>
        <w:pStyle w:val="Styl1"/>
        <w:spacing w:before="0" w:after="0"/>
        <w:rPr>
          <w:lang w:val="sk-SK"/>
        </w:rPr>
      </w:pPr>
      <w:r w:rsidRPr="003453F2">
        <w:rPr>
          <w:lang w:val="sk-SK"/>
        </w:rPr>
        <w:t>KVALITATÍVNE A KVANTITATÍVNE ZLOŽENIE</w:t>
      </w:r>
    </w:p>
    <w:p w:rsidR="004B6243" w:rsidRPr="003453F2" w:rsidRDefault="004B6243" w:rsidP="005D39E2">
      <w:pPr>
        <w:pStyle w:val="Styl1"/>
        <w:numPr>
          <w:ilvl w:val="0"/>
          <w:numId w:val="0"/>
        </w:numPr>
        <w:spacing w:before="0" w:after="0"/>
        <w:ind w:left="357"/>
        <w:rPr>
          <w:lang w:val="sk-SK"/>
        </w:rPr>
      </w:pPr>
    </w:p>
    <w:p w:rsidR="00CD1BB9" w:rsidRPr="003453F2" w:rsidRDefault="000F3526" w:rsidP="00611497">
      <w:pPr>
        <w:pStyle w:val="Normlndobloku"/>
      </w:pPr>
      <w:r w:rsidRPr="003453F2">
        <w:t>RAMIMED HCT</w:t>
      </w:r>
      <w:r w:rsidR="00CD1BB9" w:rsidRPr="003453F2">
        <w:t xml:space="preserve"> 2,5/12,5: Každá tableta obsahuje 2,5 mg ramiprilu a 12,5</w:t>
      </w:r>
      <w:r w:rsidR="00A97F7C" w:rsidRPr="003453F2">
        <w:t xml:space="preserve"> </w:t>
      </w:r>
      <w:r w:rsidR="00CD1BB9" w:rsidRPr="003453F2">
        <w:t>mg hydrochlorotiazidu.</w:t>
      </w:r>
    </w:p>
    <w:p w:rsidR="00CD1BB9" w:rsidRPr="003453F2" w:rsidRDefault="000F3526" w:rsidP="00611497">
      <w:pPr>
        <w:pStyle w:val="Normlndobloku"/>
      </w:pPr>
      <w:r w:rsidRPr="003453F2">
        <w:t>RAMIMED HCT</w:t>
      </w:r>
      <w:r w:rsidR="00CD1BB9" w:rsidRPr="003453F2">
        <w:t xml:space="preserve"> 5/25: Každá tableta obsahuje 5 mg ramiprilu a</w:t>
      </w:r>
      <w:r w:rsidR="00F010F4" w:rsidRPr="003453F2">
        <w:t> </w:t>
      </w:r>
      <w:r w:rsidR="00CD1BB9" w:rsidRPr="003453F2">
        <w:t>25</w:t>
      </w:r>
      <w:r w:rsidR="00F010F4" w:rsidRPr="003453F2">
        <w:t xml:space="preserve"> </w:t>
      </w:r>
      <w:r w:rsidR="00CD1BB9" w:rsidRPr="003453F2">
        <w:t>mg hydrochlorotiazidu.</w:t>
      </w:r>
    </w:p>
    <w:p w:rsidR="004B6243" w:rsidRDefault="004B6243" w:rsidP="005D39E2">
      <w:pPr>
        <w:pStyle w:val="Styl3"/>
        <w:spacing w:before="0" w:after="0"/>
        <w:rPr>
          <w:lang w:val="sk-SK"/>
        </w:rPr>
      </w:pPr>
    </w:p>
    <w:p w:rsidR="009C2D4B" w:rsidRPr="003453F2" w:rsidRDefault="00A71643" w:rsidP="005D39E2">
      <w:pPr>
        <w:pStyle w:val="Styl3"/>
        <w:spacing w:before="0" w:after="0"/>
        <w:rPr>
          <w:lang w:val="sk-SK"/>
        </w:rPr>
      </w:pPr>
      <w:r w:rsidRPr="003453F2">
        <w:rPr>
          <w:lang w:val="sk-SK"/>
        </w:rPr>
        <w:t>Pomocné látky</w:t>
      </w:r>
      <w:r w:rsidR="00D65A5E" w:rsidRPr="003453F2">
        <w:rPr>
          <w:lang w:val="sk-SK"/>
        </w:rPr>
        <w:t xml:space="preserve"> so známym</w:t>
      </w:r>
      <w:r w:rsidR="00342F28" w:rsidRPr="003453F2">
        <w:rPr>
          <w:lang w:val="sk-SK"/>
        </w:rPr>
        <w:t xml:space="preserve"> </w:t>
      </w:r>
      <w:r w:rsidR="00D65A5E" w:rsidRPr="003A17BF">
        <w:rPr>
          <w:lang w:val="sk-SK"/>
        </w:rPr>
        <w:t>účinkom:</w:t>
      </w:r>
      <w:r w:rsidR="00B00CB7" w:rsidRPr="003A17BF">
        <w:rPr>
          <w:lang w:val="sk-SK"/>
        </w:rPr>
        <w:t xml:space="preserve"> </w:t>
      </w:r>
      <w:r w:rsidR="00B00CB7" w:rsidRPr="00AD335A">
        <w:t>monohydrát laktózy</w:t>
      </w:r>
    </w:p>
    <w:p w:rsidR="009C2D4B" w:rsidRPr="003453F2" w:rsidRDefault="000F3526" w:rsidP="00611497">
      <w:pPr>
        <w:pStyle w:val="Normlndobloku"/>
      </w:pPr>
      <w:r w:rsidRPr="003453F2">
        <w:t>RAMIMED HCT</w:t>
      </w:r>
      <w:r w:rsidR="009C2D4B" w:rsidRPr="003453F2">
        <w:t xml:space="preserve"> 2,5/12,5: monohydrát laktózy 64,5 mg.</w:t>
      </w:r>
    </w:p>
    <w:p w:rsidR="009C2D4B" w:rsidRPr="003453F2" w:rsidRDefault="000F3526" w:rsidP="00611497">
      <w:pPr>
        <w:pStyle w:val="Normlndobloku"/>
      </w:pPr>
      <w:r w:rsidRPr="003453F2">
        <w:t>RAMIMED HCT</w:t>
      </w:r>
      <w:r w:rsidR="009C2D4B" w:rsidRPr="003453F2">
        <w:t xml:space="preserve"> 5/25: monohydrát laktózy 129 mg.</w:t>
      </w:r>
    </w:p>
    <w:p w:rsidR="004B6243" w:rsidRDefault="004B6243" w:rsidP="00611497">
      <w:pPr>
        <w:pStyle w:val="Normlndobloku"/>
      </w:pPr>
    </w:p>
    <w:p w:rsidR="009C2D4B" w:rsidRDefault="00CD1BB9" w:rsidP="00611497">
      <w:pPr>
        <w:pStyle w:val="Normlndobloku"/>
      </w:pPr>
      <w:r w:rsidRPr="003453F2">
        <w:t>Úplný zoznam pomocných látok, pozri časť 6.1.</w:t>
      </w:r>
    </w:p>
    <w:p w:rsidR="004B6243" w:rsidRDefault="004B6243" w:rsidP="00611497">
      <w:pPr>
        <w:pStyle w:val="Normlndobloku"/>
      </w:pPr>
    </w:p>
    <w:p w:rsidR="004B6243" w:rsidRPr="003453F2" w:rsidRDefault="004B6243" w:rsidP="00611497">
      <w:pPr>
        <w:pStyle w:val="Normlndobloku"/>
      </w:pPr>
    </w:p>
    <w:p w:rsidR="00CD1BB9" w:rsidRDefault="00CD1BB9" w:rsidP="005D39E2">
      <w:pPr>
        <w:pStyle w:val="Styl1"/>
        <w:spacing w:before="0" w:after="0"/>
        <w:rPr>
          <w:lang w:val="sk-SK"/>
        </w:rPr>
      </w:pPr>
      <w:r w:rsidRPr="003453F2">
        <w:rPr>
          <w:lang w:val="sk-SK"/>
        </w:rPr>
        <w:t>LIEKOVÁ FORMA</w:t>
      </w:r>
    </w:p>
    <w:p w:rsidR="004B6243" w:rsidRPr="003453F2" w:rsidRDefault="004B6243" w:rsidP="005D39E2">
      <w:pPr>
        <w:pStyle w:val="Styl1"/>
        <w:numPr>
          <w:ilvl w:val="0"/>
          <w:numId w:val="0"/>
        </w:numPr>
        <w:spacing w:before="0" w:after="0"/>
        <w:ind w:left="357"/>
        <w:rPr>
          <w:lang w:val="sk-SK"/>
        </w:rPr>
      </w:pPr>
    </w:p>
    <w:p w:rsidR="004B6243" w:rsidRDefault="009C2D4B" w:rsidP="00611497">
      <w:pPr>
        <w:pStyle w:val="Normlndobloku"/>
      </w:pPr>
      <w:r w:rsidRPr="003453F2">
        <w:t>Tableta</w:t>
      </w:r>
    </w:p>
    <w:p w:rsidR="00CD1BB9" w:rsidRPr="003453F2" w:rsidRDefault="00CD1BB9" w:rsidP="00611497">
      <w:pPr>
        <w:pStyle w:val="Normlndobloku"/>
      </w:pPr>
    </w:p>
    <w:p w:rsidR="00D97698" w:rsidRDefault="000F3526" w:rsidP="00611497">
      <w:pPr>
        <w:pStyle w:val="Normlndobloku"/>
      </w:pPr>
      <w:r w:rsidRPr="003453F2">
        <w:t>RAMIMED HCT</w:t>
      </w:r>
      <w:r w:rsidR="00CD1BB9" w:rsidRPr="003453F2">
        <w:t xml:space="preserve"> 2,5/12,5: Biele až </w:t>
      </w:r>
      <w:r w:rsidR="00A677AE" w:rsidRPr="003453F2">
        <w:t xml:space="preserve">takmer biele </w:t>
      </w:r>
      <w:r w:rsidR="00CD1BB9" w:rsidRPr="003453F2">
        <w:t>neobalené ploché tablety kapsulového tvaru, 4 x 8 mm, s</w:t>
      </w:r>
      <w:r w:rsidR="00683254" w:rsidRPr="003453F2">
        <w:t xml:space="preserve"> deliacou </w:t>
      </w:r>
      <w:r w:rsidR="00CD1BB9" w:rsidRPr="003453F2">
        <w:t>ryhou na jednej strane. Na druhej strane vyryté „12.5“.</w:t>
      </w:r>
      <w:r w:rsidR="00B37FE8" w:rsidRPr="003453F2">
        <w:t xml:space="preserve"> </w:t>
      </w:r>
      <w:r w:rsidR="00EC472D" w:rsidRPr="003453F2">
        <w:t xml:space="preserve">Deliaca ryha iba pomáha </w:t>
      </w:r>
      <w:r w:rsidR="007B43A1" w:rsidRPr="005D39E2">
        <w:rPr>
          <w:noProof/>
        </w:rPr>
        <w:t>rozlomiť tabletu</w:t>
      </w:r>
      <w:r w:rsidR="00D65A5E" w:rsidRPr="005D39E2">
        <w:rPr>
          <w:noProof/>
        </w:rPr>
        <w:t>, aby sa dala</w:t>
      </w:r>
      <w:r w:rsidR="00341F18" w:rsidRPr="005D39E2">
        <w:rPr>
          <w:noProof/>
        </w:rPr>
        <w:t xml:space="preserve"> </w:t>
      </w:r>
      <w:r w:rsidR="00EC472D" w:rsidRPr="00E82E3A">
        <w:t xml:space="preserve">ľahšie </w:t>
      </w:r>
      <w:r w:rsidR="00A829F9" w:rsidRPr="00E82E3A">
        <w:t>prehltnúť</w:t>
      </w:r>
      <w:r w:rsidR="00D65A5E" w:rsidRPr="00E82E3A">
        <w:t xml:space="preserve"> </w:t>
      </w:r>
      <w:r w:rsidR="00EC472D" w:rsidRPr="00E82E3A">
        <w:t xml:space="preserve">a neslúži </w:t>
      </w:r>
      <w:r w:rsidR="007B43A1" w:rsidRPr="00E82E3A">
        <w:t xml:space="preserve">na </w:t>
      </w:r>
      <w:r w:rsidR="00EC472D" w:rsidRPr="00E82E3A">
        <w:t>rozdelenie na rovnaké dávky.</w:t>
      </w:r>
    </w:p>
    <w:p w:rsidR="004B6243" w:rsidRPr="00E82E3A" w:rsidRDefault="004B6243" w:rsidP="00611497">
      <w:pPr>
        <w:pStyle w:val="Normlndobloku"/>
      </w:pPr>
    </w:p>
    <w:p w:rsidR="009C2D4B" w:rsidRDefault="000F3526" w:rsidP="00611497">
      <w:pPr>
        <w:pStyle w:val="Normlndobloku"/>
      </w:pPr>
      <w:r w:rsidRPr="00E82E3A">
        <w:t>RAMIMED HCT</w:t>
      </w:r>
      <w:r w:rsidR="00CD1BB9" w:rsidRPr="006A7B07">
        <w:t xml:space="preserve"> 5/25: Biele až </w:t>
      </w:r>
      <w:r w:rsidR="00A677AE" w:rsidRPr="006A7B07">
        <w:t xml:space="preserve">takmer biele </w:t>
      </w:r>
      <w:r w:rsidR="00CD1BB9" w:rsidRPr="003453F2">
        <w:t xml:space="preserve">neobalené ploché tablety kapsulového tvaru, 5 x 10 mm, s ryhou na </w:t>
      </w:r>
      <w:r w:rsidR="00646DDA" w:rsidRPr="003453F2">
        <w:t>vrchnej</w:t>
      </w:r>
      <w:r w:rsidR="00CD1BB9" w:rsidRPr="003453F2">
        <w:t xml:space="preserve"> strane a</w:t>
      </w:r>
      <w:r w:rsidR="00646DDA" w:rsidRPr="003453F2">
        <w:t> oboch bočných stranách</w:t>
      </w:r>
      <w:r w:rsidR="00CD1BB9" w:rsidRPr="003453F2">
        <w:t>. Na druhej strane vyryté „25“.</w:t>
      </w:r>
      <w:r w:rsidR="00140A80" w:rsidRPr="003453F2">
        <w:t xml:space="preserve"> </w:t>
      </w:r>
      <w:r w:rsidR="009C2D4B" w:rsidRPr="003453F2">
        <w:t xml:space="preserve">Tableta sa môže rozdeliť na rovnaké </w:t>
      </w:r>
      <w:r w:rsidR="00A829F9" w:rsidRPr="003453F2">
        <w:t>dávky</w:t>
      </w:r>
      <w:r w:rsidR="009C2D4B" w:rsidRPr="003453F2">
        <w:t>.</w:t>
      </w:r>
    </w:p>
    <w:p w:rsidR="004B6243" w:rsidRDefault="004B6243" w:rsidP="00611497">
      <w:pPr>
        <w:pStyle w:val="Normlndobloku"/>
      </w:pPr>
    </w:p>
    <w:p w:rsidR="004B6243" w:rsidRPr="003453F2" w:rsidRDefault="004B6243" w:rsidP="00611497">
      <w:pPr>
        <w:pStyle w:val="Normlndobloku"/>
      </w:pPr>
    </w:p>
    <w:p w:rsidR="00CD1BB9" w:rsidRDefault="00CD1BB9" w:rsidP="005D39E2">
      <w:pPr>
        <w:pStyle w:val="Styl1"/>
        <w:spacing w:before="0" w:after="0"/>
        <w:rPr>
          <w:lang w:val="sk-SK"/>
        </w:rPr>
      </w:pPr>
      <w:r w:rsidRPr="003453F2">
        <w:rPr>
          <w:lang w:val="sk-SK"/>
        </w:rPr>
        <w:t>KLINICKÉ ÚDAJE</w:t>
      </w:r>
    </w:p>
    <w:p w:rsidR="004B6243" w:rsidRPr="003453F2" w:rsidRDefault="004B6243" w:rsidP="005D39E2">
      <w:pPr>
        <w:pStyle w:val="Styl1"/>
        <w:numPr>
          <w:ilvl w:val="0"/>
          <w:numId w:val="0"/>
        </w:numPr>
        <w:spacing w:before="0" w:after="0"/>
        <w:ind w:left="357"/>
        <w:rPr>
          <w:lang w:val="sk-SK"/>
        </w:rPr>
      </w:pPr>
    </w:p>
    <w:p w:rsidR="00CD1BB9" w:rsidRDefault="00CD1BB9" w:rsidP="005D39E2">
      <w:pPr>
        <w:pStyle w:val="Styl2"/>
        <w:spacing w:before="0" w:after="0"/>
        <w:rPr>
          <w:lang w:val="sk-SK"/>
        </w:rPr>
      </w:pPr>
      <w:r w:rsidRPr="003453F2">
        <w:rPr>
          <w:lang w:val="sk-SK"/>
        </w:rPr>
        <w:t>Terapeutické indikácie</w:t>
      </w:r>
    </w:p>
    <w:p w:rsidR="004B6243" w:rsidRPr="003453F2" w:rsidRDefault="004B6243" w:rsidP="005D39E2">
      <w:pPr>
        <w:pStyle w:val="Styl2"/>
        <w:numPr>
          <w:ilvl w:val="0"/>
          <w:numId w:val="0"/>
        </w:numPr>
        <w:spacing w:before="0" w:after="0"/>
        <w:rPr>
          <w:lang w:val="sk-SK"/>
        </w:rPr>
      </w:pPr>
    </w:p>
    <w:p w:rsidR="00D97698" w:rsidRDefault="00CD1BB9" w:rsidP="00611497">
      <w:pPr>
        <w:pStyle w:val="Normlndobloku"/>
      </w:pPr>
      <w:r w:rsidRPr="003453F2">
        <w:t>Liečba esenciálnej hyper</w:t>
      </w:r>
      <w:r w:rsidR="00646DDA" w:rsidRPr="003453F2">
        <w:t>t</w:t>
      </w:r>
      <w:r w:rsidRPr="003453F2">
        <w:t>enzie.</w:t>
      </w:r>
    </w:p>
    <w:p w:rsidR="004B6243" w:rsidRPr="003453F2" w:rsidRDefault="004B6243" w:rsidP="00611497">
      <w:pPr>
        <w:pStyle w:val="Normlndobloku"/>
      </w:pPr>
    </w:p>
    <w:p w:rsidR="00CD1BB9" w:rsidRDefault="00CD1BB9" w:rsidP="00611497">
      <w:pPr>
        <w:pStyle w:val="Normlndobloku"/>
      </w:pPr>
      <w:r w:rsidRPr="003453F2">
        <w:t xml:space="preserve">Fixná kombinácia dávky ramiprilu a hydrochlorotiazidu je indikovaná </w:t>
      </w:r>
      <w:r w:rsidR="009C2D4B" w:rsidRPr="003453F2">
        <w:t xml:space="preserve">pre </w:t>
      </w:r>
      <w:r w:rsidRPr="003453F2">
        <w:t>pacientov, ktorých krvný tlak sa nedá primerane regulovať so samotným ramiprilom</w:t>
      </w:r>
      <w:r w:rsidR="009C2D4B" w:rsidRPr="003453F2">
        <w:t xml:space="preserve"> alebo samotným hydrochlorotiazidom</w:t>
      </w:r>
      <w:r w:rsidRPr="003453F2">
        <w:t>.</w:t>
      </w:r>
    </w:p>
    <w:p w:rsidR="004B6243" w:rsidRPr="003453F2" w:rsidRDefault="004B6243" w:rsidP="00611497">
      <w:pPr>
        <w:pStyle w:val="Normlndobloku"/>
      </w:pPr>
    </w:p>
    <w:p w:rsidR="00CD1BB9" w:rsidRDefault="00CD1BB9" w:rsidP="005D39E2">
      <w:pPr>
        <w:pStyle w:val="Styl2"/>
        <w:spacing w:before="0" w:after="0"/>
        <w:rPr>
          <w:lang w:val="sk-SK"/>
        </w:rPr>
      </w:pPr>
      <w:r w:rsidRPr="003453F2">
        <w:rPr>
          <w:lang w:val="sk-SK"/>
        </w:rPr>
        <w:t>Dávkovanie a spôsob podávania</w:t>
      </w:r>
    </w:p>
    <w:p w:rsidR="004B6243" w:rsidRPr="003453F2" w:rsidRDefault="004B6243" w:rsidP="005D39E2">
      <w:pPr>
        <w:pStyle w:val="Styl2"/>
        <w:numPr>
          <w:ilvl w:val="0"/>
          <w:numId w:val="0"/>
        </w:numPr>
        <w:spacing w:before="0" w:after="0"/>
        <w:rPr>
          <w:lang w:val="sk-SK"/>
        </w:rPr>
      </w:pPr>
    </w:p>
    <w:p w:rsidR="00A829F9" w:rsidRDefault="00A829F9" w:rsidP="005D39E2">
      <w:pPr>
        <w:pStyle w:val="Styl3"/>
        <w:spacing w:before="0" w:after="0"/>
        <w:rPr>
          <w:lang w:val="sk-SK"/>
        </w:rPr>
      </w:pPr>
      <w:r w:rsidRPr="003453F2">
        <w:rPr>
          <w:lang w:val="sk-SK"/>
        </w:rPr>
        <w:t>Dávkovanie</w:t>
      </w:r>
    </w:p>
    <w:p w:rsidR="004B6243" w:rsidRPr="003453F2" w:rsidRDefault="004B6243" w:rsidP="005D39E2">
      <w:pPr>
        <w:pStyle w:val="Styl3"/>
        <w:spacing w:before="0" w:after="0"/>
        <w:rPr>
          <w:lang w:val="sk-SK"/>
        </w:rPr>
      </w:pPr>
    </w:p>
    <w:p w:rsidR="00CD1BB9" w:rsidRPr="003453F2" w:rsidRDefault="009A5A1D" w:rsidP="005D39E2">
      <w:pPr>
        <w:pStyle w:val="Styl3"/>
        <w:spacing w:before="0" w:after="0"/>
        <w:rPr>
          <w:lang w:val="sk-SK"/>
        </w:rPr>
      </w:pPr>
      <w:r w:rsidRPr="003453F2">
        <w:rPr>
          <w:lang w:val="sk-SK"/>
        </w:rPr>
        <w:t>Dospelí</w:t>
      </w:r>
    </w:p>
    <w:p w:rsidR="007179E5" w:rsidRDefault="007179E5" w:rsidP="00611497">
      <w:pPr>
        <w:pStyle w:val="Normlndobloku"/>
      </w:pPr>
      <w:r w:rsidRPr="003453F2">
        <w:t>Dávku je potrebné prispôsobiť individuálne podľa profilu pacienta (pozri časť 4.4) a na základe kontroly krvného tlaku. Podávanie fixnej kombinácie ramiprilu a hydrochlorotiazidu sa odporúča zvyčajne po titrácii dávky s jednou zo zložiek.</w:t>
      </w:r>
    </w:p>
    <w:p w:rsidR="004B6243" w:rsidRPr="003453F2" w:rsidRDefault="004B6243" w:rsidP="00611497">
      <w:pPr>
        <w:pStyle w:val="Normlndobloku"/>
      </w:pPr>
    </w:p>
    <w:p w:rsidR="007179E5" w:rsidRDefault="007179E5" w:rsidP="00611497">
      <w:pPr>
        <w:pStyle w:val="Normlndobloku"/>
      </w:pPr>
      <w:r w:rsidRPr="003453F2">
        <w:t xml:space="preserve">Liečba </w:t>
      </w:r>
      <w:r w:rsidR="000F3526" w:rsidRPr="003453F2">
        <w:t>RAMIMED</w:t>
      </w:r>
      <w:r w:rsidR="00D02C9F" w:rsidRPr="003453F2">
        <w:t>OM</w:t>
      </w:r>
      <w:r w:rsidR="000F3526" w:rsidRPr="003453F2">
        <w:t xml:space="preserve"> HCT</w:t>
      </w:r>
      <w:r w:rsidRPr="003453F2">
        <w:t xml:space="preserve"> sa má začínať najnižšou odporúčanou dávkou. V prípade potreby je možné dávku postupne zvyšovať, až pokiaľ sa nedosiahne želaná úroveň krvného tlaku; maximálna povolená dávka je 10 mg ramiprilu a 25 mg hydrochlorotiazidu denne.</w:t>
      </w:r>
    </w:p>
    <w:p w:rsidR="004B6243" w:rsidRPr="003453F2" w:rsidRDefault="004B6243" w:rsidP="00611497">
      <w:pPr>
        <w:pStyle w:val="Normlndobloku"/>
      </w:pPr>
    </w:p>
    <w:p w:rsidR="00542CC1" w:rsidRPr="003453F2" w:rsidRDefault="00542CC1" w:rsidP="005D39E2">
      <w:pPr>
        <w:pStyle w:val="Styl3"/>
        <w:spacing w:before="0" w:after="0"/>
        <w:rPr>
          <w:lang w:val="sk-SK"/>
        </w:rPr>
      </w:pPr>
      <w:r w:rsidRPr="003453F2">
        <w:rPr>
          <w:lang w:val="sk-SK"/>
        </w:rPr>
        <w:t>Špeciálne skupiny pacientov</w:t>
      </w:r>
    </w:p>
    <w:p w:rsidR="00542CC1" w:rsidRPr="005D39E2" w:rsidRDefault="00542CC1" w:rsidP="005D39E2">
      <w:pPr>
        <w:pStyle w:val="Styl3"/>
        <w:spacing w:before="0" w:after="0"/>
        <w:rPr>
          <w:i/>
          <w:u w:val="none"/>
          <w:lang w:val="sk-SK"/>
        </w:rPr>
      </w:pPr>
      <w:r w:rsidRPr="005D39E2">
        <w:rPr>
          <w:i/>
          <w:u w:val="none"/>
          <w:lang w:val="sk-SK"/>
        </w:rPr>
        <w:t>Pacienti liečení diuretikami</w:t>
      </w:r>
    </w:p>
    <w:p w:rsidR="00D97698" w:rsidRPr="003453F2" w:rsidRDefault="00542CC1" w:rsidP="00611497">
      <w:pPr>
        <w:pStyle w:val="Normlndobloku"/>
      </w:pPr>
      <w:r w:rsidRPr="003453F2">
        <w:t>U pacientov, ktorí sú súčasne liečení aj diuretikami, je potrebná zvýšená opatrnosť, keďže v</w:t>
      </w:r>
      <w:r w:rsidR="00EF198F" w:rsidRPr="003453F2">
        <w:t> </w:t>
      </w:r>
      <w:r w:rsidRPr="003453F2">
        <w:t xml:space="preserve">začiatkoch liečby sa môže vyskytnúť hypotenzia. Pred začatím liečby </w:t>
      </w:r>
      <w:r w:rsidR="000F3526" w:rsidRPr="003453F2">
        <w:t>RAMIMED</w:t>
      </w:r>
      <w:r w:rsidR="00D02C9F" w:rsidRPr="003453F2">
        <w:t>OM</w:t>
      </w:r>
      <w:r w:rsidR="000F3526" w:rsidRPr="003453F2">
        <w:t xml:space="preserve"> HCT</w:t>
      </w:r>
      <w:r w:rsidRPr="003453F2">
        <w:t xml:space="preserve"> je potrebné zvážiť zníženie dávky diuretík alebo prerušenie liečby diuretikami.</w:t>
      </w:r>
    </w:p>
    <w:p w:rsidR="00DA18ED" w:rsidRDefault="00DA18ED" w:rsidP="00611497">
      <w:pPr>
        <w:pStyle w:val="Normlndobloku"/>
      </w:pPr>
    </w:p>
    <w:p w:rsidR="00A829F9" w:rsidRDefault="00DE7CBE" w:rsidP="00611497">
      <w:pPr>
        <w:pStyle w:val="Normlndobloku"/>
      </w:pPr>
      <w:r>
        <w:t>Ak prerušenie liečby</w:t>
      </w:r>
      <w:r w:rsidR="00A829F9" w:rsidRPr="003453F2">
        <w:t xml:space="preserve"> nie je možné, </w:t>
      </w:r>
      <w:r>
        <w:t>o</w:t>
      </w:r>
      <w:r w:rsidR="00A829F9" w:rsidRPr="003453F2">
        <w:t>dpor</w:t>
      </w:r>
      <w:r>
        <w:t>ú</w:t>
      </w:r>
      <w:r w:rsidR="00A829F9" w:rsidRPr="003453F2">
        <w:t>č</w:t>
      </w:r>
      <w:r>
        <w:t xml:space="preserve">a sa, aby sa </w:t>
      </w:r>
      <w:r w:rsidR="00A829F9" w:rsidRPr="003453F2">
        <w:t>liečb</w:t>
      </w:r>
      <w:r>
        <w:t>a začala</w:t>
      </w:r>
      <w:r w:rsidR="00A829F9" w:rsidRPr="003453F2">
        <w:t xml:space="preserve"> s najnižšou možnou dávkou ramiprilu (1,25 mg denne) </w:t>
      </w:r>
      <w:r>
        <w:t>vo voľnej kombinácii. Odporúča sa, aby následne vykonaná zmena dennej dávky neprekročila dávku</w:t>
      </w:r>
      <w:r w:rsidR="00A829F9" w:rsidRPr="003453F2">
        <w:t xml:space="preserve"> 2,5 mg ramiprilu</w:t>
      </w:r>
      <w:r w:rsidR="00A829F9" w:rsidRPr="005D39E2">
        <w:t>/12,5 mg hydrochlorotiazidu.</w:t>
      </w:r>
    </w:p>
    <w:p w:rsidR="004B6243" w:rsidRPr="00E82E3A" w:rsidRDefault="004B6243" w:rsidP="00611497">
      <w:pPr>
        <w:pStyle w:val="Normlndobloku"/>
      </w:pPr>
    </w:p>
    <w:p w:rsidR="00542CC1" w:rsidRPr="005D39E2" w:rsidRDefault="00542CC1" w:rsidP="005D39E2">
      <w:pPr>
        <w:pStyle w:val="Styl3"/>
        <w:spacing w:before="0" w:after="0"/>
        <w:rPr>
          <w:i/>
          <w:u w:val="none"/>
          <w:lang w:val="sk-SK"/>
        </w:rPr>
      </w:pPr>
      <w:r w:rsidRPr="005D39E2">
        <w:rPr>
          <w:i/>
          <w:u w:val="none"/>
          <w:lang w:val="sk-SK"/>
        </w:rPr>
        <w:t>Pacienti s po</w:t>
      </w:r>
      <w:r w:rsidR="00E82E3A" w:rsidRPr="005D39E2">
        <w:rPr>
          <w:i/>
          <w:u w:val="none"/>
          <w:lang w:val="sk-SK"/>
        </w:rPr>
        <w:t>ruchou</w:t>
      </w:r>
      <w:r w:rsidRPr="005D39E2">
        <w:rPr>
          <w:i/>
          <w:u w:val="none"/>
          <w:lang w:val="sk-SK"/>
        </w:rPr>
        <w:t xml:space="preserve"> f</w:t>
      </w:r>
      <w:r w:rsidR="001F57D9" w:rsidRPr="005D39E2">
        <w:rPr>
          <w:i/>
          <w:u w:val="none"/>
          <w:lang w:val="sk-SK"/>
        </w:rPr>
        <w:t>unkcie obličiek</w:t>
      </w:r>
    </w:p>
    <w:p w:rsidR="00542CC1" w:rsidRDefault="00542CC1" w:rsidP="00611497">
      <w:pPr>
        <w:pStyle w:val="Normlndobloku"/>
      </w:pPr>
      <w:r w:rsidRPr="00E82E3A">
        <w:t>Pri ťažk</w:t>
      </w:r>
      <w:r w:rsidR="00E82E3A">
        <w:t>ej</w:t>
      </w:r>
      <w:r w:rsidRPr="00E82E3A">
        <w:t xml:space="preserve"> po</w:t>
      </w:r>
      <w:r w:rsidR="00E82E3A">
        <w:t>ruche</w:t>
      </w:r>
      <w:r w:rsidRPr="00E82E3A">
        <w:t xml:space="preserve"> funkcie obličiek </w:t>
      </w:r>
      <w:r w:rsidR="00A829F9" w:rsidRPr="00E82E3A">
        <w:t xml:space="preserve">(klírens kreatinínu </w:t>
      </w:r>
      <w:r w:rsidR="00A829F9" w:rsidRPr="005D39E2">
        <w:t>&lt; 30 ml/min</w:t>
      </w:r>
      <w:r w:rsidR="00A829F9" w:rsidRPr="00E82E3A">
        <w:t xml:space="preserve">) </w:t>
      </w:r>
      <w:r w:rsidRPr="00E82E3A">
        <w:t xml:space="preserve">je </w:t>
      </w:r>
      <w:r w:rsidR="000F3526" w:rsidRPr="00E82E3A">
        <w:t>RAMIMED HCT</w:t>
      </w:r>
      <w:r w:rsidRPr="00E82E3A">
        <w:t xml:space="preserve"> kontraindikovaný, pretože obsahuje hydrochlorotiazid (pozri časť 4.3). Pacientom s po</w:t>
      </w:r>
      <w:r w:rsidR="00E82E3A">
        <w:t>ruchou</w:t>
      </w:r>
      <w:r w:rsidRPr="00E82E3A">
        <w:t xml:space="preserve"> funkcie obličiek môže byť potrebné znížiť dávky </w:t>
      </w:r>
      <w:r w:rsidR="000F3526" w:rsidRPr="00E82E3A">
        <w:t>RAMIMED</w:t>
      </w:r>
      <w:r w:rsidR="00AF1E4C">
        <w:t>U</w:t>
      </w:r>
      <w:r w:rsidR="000F3526" w:rsidRPr="00E82E3A">
        <w:t xml:space="preserve"> HCT</w:t>
      </w:r>
      <w:r w:rsidRPr="00E82E3A">
        <w:t xml:space="preserve">. Pacientom, ktorí majú klírens kreatinínu medzi </w:t>
      </w:r>
      <w:smartTag w:uri="urn:schemas-microsoft-com:office:smarttags" w:element="metricconverter">
        <w:smartTagPr>
          <w:attr w:name="ProductID" w:val="30 a"/>
        </w:smartTagPr>
        <w:r w:rsidRPr="00E82E3A">
          <w:t>30 a</w:t>
        </w:r>
      </w:smartTag>
      <w:r w:rsidRPr="00E82E3A">
        <w:t xml:space="preserve"> 60 ml/min, má byť podávaná dávka s najnižšou fixnou kombináciou ramiprilu a</w:t>
      </w:r>
      <w:r w:rsidR="001A4E5B" w:rsidRPr="003453F2">
        <w:t> </w:t>
      </w:r>
      <w:r w:rsidRPr="00E82E3A">
        <w:t>hydrochlorotiazidu po podaní samostatnej dávky ramiprilu. Maximálna povolená dávka je 5 mg ramiprilu a 25 mg hydrochlorotiazidu denne.</w:t>
      </w:r>
    </w:p>
    <w:p w:rsidR="004B6243" w:rsidRPr="00E82E3A" w:rsidRDefault="004B6243" w:rsidP="00611497">
      <w:pPr>
        <w:pStyle w:val="Normlndobloku"/>
      </w:pPr>
    </w:p>
    <w:p w:rsidR="00542CC1" w:rsidRPr="005D39E2" w:rsidRDefault="00542CC1" w:rsidP="005D39E2">
      <w:pPr>
        <w:pStyle w:val="Styl3"/>
        <w:spacing w:before="0" w:after="0"/>
        <w:rPr>
          <w:i/>
          <w:u w:val="none"/>
          <w:lang w:val="sk-SK"/>
        </w:rPr>
      </w:pPr>
      <w:r w:rsidRPr="005D39E2">
        <w:rPr>
          <w:i/>
          <w:u w:val="none"/>
          <w:lang w:val="sk-SK"/>
        </w:rPr>
        <w:t>Pacienti s po</w:t>
      </w:r>
      <w:r w:rsidR="00E82E3A" w:rsidRPr="005D39E2">
        <w:rPr>
          <w:i/>
          <w:u w:val="none"/>
          <w:lang w:val="sk-SK"/>
        </w:rPr>
        <w:t>ruchou</w:t>
      </w:r>
      <w:r w:rsidR="001F57D9" w:rsidRPr="005D39E2">
        <w:rPr>
          <w:i/>
          <w:u w:val="none"/>
          <w:lang w:val="sk-SK"/>
        </w:rPr>
        <w:t xml:space="preserve"> funkcie pečene</w:t>
      </w:r>
    </w:p>
    <w:p w:rsidR="00542CC1" w:rsidRPr="00E82E3A" w:rsidRDefault="00542CC1" w:rsidP="00611497">
      <w:pPr>
        <w:pStyle w:val="Normlndobloku"/>
      </w:pPr>
      <w:r w:rsidRPr="00E82E3A">
        <w:t>U pacientov s miern</w:t>
      </w:r>
      <w:r w:rsidR="00E82E3A">
        <w:t>e</w:t>
      </w:r>
      <w:r w:rsidRPr="00E82E3A">
        <w:t xml:space="preserve"> až stredne ťažk</w:t>
      </w:r>
      <w:r w:rsidR="00E82E3A">
        <w:t>ou</w:t>
      </w:r>
      <w:r w:rsidRPr="00E82E3A">
        <w:t xml:space="preserve"> po</w:t>
      </w:r>
      <w:r w:rsidR="00E82E3A">
        <w:t>ruchou</w:t>
      </w:r>
      <w:r w:rsidRPr="00E82E3A">
        <w:t xml:space="preserve"> funkcie pečene sa musí liečba </w:t>
      </w:r>
      <w:r w:rsidR="000F3526" w:rsidRPr="00E82E3A">
        <w:t>RAMIMED</w:t>
      </w:r>
      <w:r w:rsidR="00AF1E4C">
        <w:t>OM</w:t>
      </w:r>
      <w:r w:rsidR="000F3526" w:rsidRPr="00E82E3A">
        <w:t xml:space="preserve"> HCT</w:t>
      </w:r>
      <w:r w:rsidR="0021742C" w:rsidRPr="00E82E3A">
        <w:t xml:space="preserve"> </w:t>
      </w:r>
      <w:r w:rsidRPr="00E82E3A">
        <w:t>začať iba pod dôsledným lekárskym dohľadom a maximálna denná dávka je 2,5 mg ramiprilu a</w:t>
      </w:r>
      <w:r w:rsidR="001A4E5B" w:rsidRPr="003453F2">
        <w:t> </w:t>
      </w:r>
      <w:r w:rsidRPr="00E82E3A">
        <w:t>12,5</w:t>
      </w:r>
      <w:r w:rsidR="00DF2DE2" w:rsidRPr="003453F2">
        <w:t> </w:t>
      </w:r>
      <w:r w:rsidRPr="00E82E3A">
        <w:t>mg hydrochlorotiazidu.</w:t>
      </w:r>
    </w:p>
    <w:p w:rsidR="00542CC1" w:rsidRPr="00E82E3A" w:rsidRDefault="00542CC1" w:rsidP="00611497">
      <w:pPr>
        <w:pStyle w:val="Normlndobloku"/>
      </w:pPr>
      <w:r w:rsidRPr="00E82E3A">
        <w:t>Pri ťažk</w:t>
      </w:r>
      <w:r w:rsidR="00E82E3A">
        <w:t>ej</w:t>
      </w:r>
      <w:r w:rsidRPr="00E82E3A">
        <w:t xml:space="preserve"> po</w:t>
      </w:r>
      <w:r w:rsidR="00E82E3A">
        <w:t>ruche</w:t>
      </w:r>
      <w:r w:rsidRPr="00E82E3A">
        <w:t xml:space="preserve"> funkcie pečene je </w:t>
      </w:r>
      <w:r w:rsidR="000F3526" w:rsidRPr="00E82E3A">
        <w:t>RAMIMED HCT</w:t>
      </w:r>
      <w:r w:rsidRPr="00E82E3A">
        <w:t xml:space="preserve"> kontraindikovaný (pozri časť 4.3).</w:t>
      </w:r>
    </w:p>
    <w:p w:rsidR="004B6243" w:rsidRDefault="004B6243" w:rsidP="005D39E2">
      <w:pPr>
        <w:pStyle w:val="Styl3"/>
        <w:spacing w:before="0" w:after="0"/>
        <w:rPr>
          <w:lang w:val="sk-SK"/>
        </w:rPr>
      </w:pPr>
    </w:p>
    <w:p w:rsidR="00542CC1" w:rsidRPr="005D39E2" w:rsidRDefault="00542CC1" w:rsidP="005D39E2">
      <w:pPr>
        <w:pStyle w:val="Styl3"/>
        <w:spacing w:before="0" w:after="0"/>
        <w:rPr>
          <w:i/>
          <w:u w:val="none"/>
          <w:lang w:val="sk-SK"/>
        </w:rPr>
      </w:pPr>
      <w:r w:rsidRPr="005D39E2">
        <w:rPr>
          <w:i/>
          <w:u w:val="none"/>
          <w:lang w:val="sk-SK"/>
        </w:rPr>
        <w:t>Starší pacienti</w:t>
      </w:r>
    </w:p>
    <w:p w:rsidR="00542CC1" w:rsidRDefault="00542CC1" w:rsidP="00611497">
      <w:pPr>
        <w:pStyle w:val="Normlndobloku"/>
      </w:pPr>
      <w:r w:rsidRPr="003453F2">
        <w:t>Úvodná dávka musí byť nízka a následná titrácia dávky musí byť pozvoľnejšia pre väčšiu pravdepodobnosť výskytu nežiaducich účinkov, a to najmä u veľmi starých a telesne slabých pacientov.</w:t>
      </w:r>
    </w:p>
    <w:p w:rsidR="004B6243" w:rsidRPr="003453F2" w:rsidRDefault="004B6243" w:rsidP="00611497">
      <w:pPr>
        <w:pStyle w:val="Normlndobloku"/>
      </w:pPr>
    </w:p>
    <w:p w:rsidR="00542CC1" w:rsidRPr="005D39E2" w:rsidRDefault="00A829F9" w:rsidP="005D39E2">
      <w:pPr>
        <w:pStyle w:val="Styl3"/>
        <w:spacing w:before="0" w:after="0"/>
        <w:rPr>
          <w:i/>
          <w:u w:val="none"/>
          <w:lang w:val="sk-SK"/>
        </w:rPr>
      </w:pPr>
      <w:r w:rsidRPr="005D39E2">
        <w:rPr>
          <w:i/>
          <w:u w:val="none"/>
          <w:lang w:val="sk-SK"/>
        </w:rPr>
        <w:t>Pediatrická populácia</w:t>
      </w:r>
    </w:p>
    <w:p w:rsidR="00D97698" w:rsidRDefault="00542CC1" w:rsidP="00611497">
      <w:pPr>
        <w:pStyle w:val="Normlndobloku"/>
      </w:pPr>
      <w:r w:rsidRPr="003453F2">
        <w:t xml:space="preserve">Používanie lieku </w:t>
      </w:r>
      <w:r w:rsidR="000F3526" w:rsidRPr="003453F2">
        <w:t>RAMIMED HCT</w:t>
      </w:r>
      <w:r w:rsidRPr="003453F2">
        <w:t xml:space="preserve"> sa neodporúča u detí a adolescentov mladších ako 18 rokov kvôli nedostatočným údajom o bezpečnosti a účinnosti.</w:t>
      </w:r>
    </w:p>
    <w:p w:rsidR="004B6243" w:rsidRPr="003453F2" w:rsidRDefault="004B6243" w:rsidP="00611497">
      <w:pPr>
        <w:pStyle w:val="Normlndobloku"/>
      </w:pPr>
    </w:p>
    <w:p w:rsidR="00A829F9" w:rsidRPr="003453F2" w:rsidRDefault="00AC3986" w:rsidP="005D39E2">
      <w:pPr>
        <w:pStyle w:val="Styl3"/>
        <w:spacing w:before="0" w:after="0"/>
        <w:rPr>
          <w:lang w:val="sk-SK"/>
        </w:rPr>
      </w:pPr>
      <w:r w:rsidRPr="003453F2">
        <w:rPr>
          <w:lang w:val="sk-SK"/>
        </w:rPr>
        <w:t>Spôsob podávania</w:t>
      </w:r>
    </w:p>
    <w:p w:rsidR="008B5AAD" w:rsidRPr="00E82E3A" w:rsidRDefault="008B5AAD" w:rsidP="00611497">
      <w:pPr>
        <w:pStyle w:val="Normlndobloku"/>
      </w:pPr>
      <w:r w:rsidRPr="005D39E2">
        <w:t>Perorálne podanie</w:t>
      </w:r>
      <w:r w:rsidR="00DA18ED">
        <w:t>.</w:t>
      </w:r>
    </w:p>
    <w:p w:rsidR="004B6243" w:rsidRDefault="004B6243" w:rsidP="00611497">
      <w:pPr>
        <w:pStyle w:val="Normlndobloku"/>
      </w:pPr>
    </w:p>
    <w:p w:rsidR="00A829F9" w:rsidRPr="006A7B07" w:rsidRDefault="00A829F9" w:rsidP="00236263">
      <w:pPr>
        <w:pStyle w:val="Normlndobloku"/>
      </w:pPr>
      <w:r w:rsidRPr="00E82E3A">
        <w:t>Odporúča sa, aby sa RAMIMED HCT užíval denne, v rovnakom čase, najle</w:t>
      </w:r>
      <w:r w:rsidRPr="006A7B07">
        <w:t>pšie ráno.</w:t>
      </w:r>
    </w:p>
    <w:p w:rsidR="00A829F9" w:rsidRPr="003453F2" w:rsidRDefault="00A829F9" w:rsidP="00BC3F91">
      <w:pPr>
        <w:pStyle w:val="Normlndobloku"/>
      </w:pPr>
      <w:r w:rsidRPr="003453F2">
        <w:t>RAMIMED HCT možno užívať pred jedlom, pri jedle alebo po jedle, pretože príjem potravy neovplyvňuje jeho biologickú dostupnosť (pozri časť 5.2).</w:t>
      </w:r>
    </w:p>
    <w:p w:rsidR="00A829F9" w:rsidRPr="003453F2" w:rsidRDefault="00A829F9" w:rsidP="00042B7E">
      <w:pPr>
        <w:pStyle w:val="Normlndobloku"/>
      </w:pPr>
      <w:r w:rsidRPr="003453F2">
        <w:t>RAMIMED HCT sa musí prehltnúť s tekutinou. Nesmie sa žuvať ani drviť.</w:t>
      </w:r>
    </w:p>
    <w:p w:rsidR="00A829F9" w:rsidRPr="003453F2" w:rsidRDefault="00A829F9" w:rsidP="00042B7E">
      <w:pPr>
        <w:pStyle w:val="Normlndobloku"/>
      </w:pPr>
    </w:p>
    <w:p w:rsidR="00CD1BB9" w:rsidRDefault="00CD1BB9" w:rsidP="005D39E2">
      <w:pPr>
        <w:pStyle w:val="Styl2"/>
        <w:spacing w:before="0" w:after="0"/>
        <w:rPr>
          <w:lang w:val="sk-SK"/>
        </w:rPr>
      </w:pPr>
      <w:r w:rsidRPr="003453F2">
        <w:rPr>
          <w:lang w:val="sk-SK"/>
        </w:rPr>
        <w:t>Kontraindikácie</w:t>
      </w:r>
    </w:p>
    <w:p w:rsidR="004B6243" w:rsidRPr="003453F2" w:rsidRDefault="004B6243" w:rsidP="005D39E2">
      <w:pPr>
        <w:pStyle w:val="Styl2"/>
        <w:numPr>
          <w:ilvl w:val="0"/>
          <w:numId w:val="0"/>
        </w:numPr>
        <w:spacing w:before="0" w:after="0"/>
        <w:rPr>
          <w:lang w:val="sk-SK"/>
        </w:rPr>
      </w:pPr>
    </w:p>
    <w:p w:rsidR="0021742C" w:rsidRPr="003453F2" w:rsidRDefault="00AD10FC" w:rsidP="00727EB5">
      <w:pPr>
        <w:pStyle w:val="Normlndoblokusodrkami"/>
        <w:jc w:val="both"/>
      </w:pPr>
      <w:r w:rsidRPr="003453F2">
        <w:t xml:space="preserve">Precitlivenosť </w:t>
      </w:r>
      <w:r w:rsidR="0021742C" w:rsidRPr="003453F2">
        <w:t xml:space="preserve">na liečivo, alebo na ktorýkoľvek iný ACE (enzým konvertujúci angiotenzín) inhibítor, hydrochlorotiazid, iné tiazidové diuretiká, sulfónamidy alebo na ktorúkoľvek </w:t>
      </w:r>
      <w:r w:rsidRPr="003453F2">
        <w:t>z</w:t>
      </w:r>
      <w:r w:rsidR="00EF198F" w:rsidRPr="003453F2">
        <w:t> </w:t>
      </w:r>
      <w:r w:rsidR="0021742C" w:rsidRPr="003453F2">
        <w:t>pomocn</w:t>
      </w:r>
      <w:r w:rsidRPr="003453F2">
        <w:t>ých</w:t>
      </w:r>
      <w:r w:rsidR="0021742C" w:rsidRPr="003453F2">
        <w:t xml:space="preserve"> lát</w:t>
      </w:r>
      <w:r w:rsidRPr="003453F2">
        <w:t>ok</w:t>
      </w:r>
      <w:r w:rsidR="0021742C" w:rsidRPr="003453F2">
        <w:t xml:space="preserve"> </w:t>
      </w:r>
      <w:r w:rsidR="00AC3986" w:rsidRPr="003453F2">
        <w:t>uveden</w:t>
      </w:r>
      <w:r w:rsidRPr="003453F2">
        <w:t>ých</w:t>
      </w:r>
      <w:r w:rsidR="00AC3986" w:rsidRPr="003453F2">
        <w:t xml:space="preserve"> v časti</w:t>
      </w:r>
      <w:r w:rsidR="0021742C" w:rsidRPr="003453F2">
        <w:t xml:space="preserve"> 6.1</w:t>
      </w:r>
    </w:p>
    <w:p w:rsidR="0021742C" w:rsidRPr="003453F2" w:rsidRDefault="0021742C" w:rsidP="00727EB5">
      <w:pPr>
        <w:pStyle w:val="Normlndoblokusodrkami"/>
        <w:jc w:val="both"/>
      </w:pPr>
      <w:r w:rsidRPr="003453F2">
        <w:t>Angioedém v anamnéze (hereditárny, idiopatický alebo angioedém pri predošlom užití ACE inhibítora alebo antagonistov receptoru angiotenzínu II (AIIRA)</w:t>
      </w:r>
    </w:p>
    <w:p w:rsidR="0021742C" w:rsidRPr="003453F2" w:rsidRDefault="0021742C" w:rsidP="00727EB5">
      <w:pPr>
        <w:pStyle w:val="Normlndoblokusodrkami"/>
        <w:jc w:val="both"/>
      </w:pPr>
      <w:r w:rsidRPr="003453F2">
        <w:t>Extrakorporálna liečba umožňujúca kontakt krvi s negatívne nabitým povrchom (pozri časť 4.5)</w:t>
      </w:r>
    </w:p>
    <w:p w:rsidR="00D97698" w:rsidRPr="003453F2" w:rsidRDefault="0021742C" w:rsidP="00727EB5">
      <w:pPr>
        <w:pStyle w:val="Normlndoblokusodrkami"/>
        <w:jc w:val="both"/>
      </w:pPr>
      <w:r w:rsidRPr="003453F2">
        <w:lastRenderedPageBreak/>
        <w:t>Významná bilaterálna renálna arteriálna stenóza alebo renálna arteriálna stenóza v jedinej funkčnej obličke</w:t>
      </w:r>
    </w:p>
    <w:p w:rsidR="0021742C" w:rsidRPr="003453F2" w:rsidRDefault="0021742C" w:rsidP="00727EB5">
      <w:pPr>
        <w:pStyle w:val="Normlndoblokusodrkami"/>
        <w:jc w:val="both"/>
      </w:pPr>
      <w:r w:rsidRPr="003453F2">
        <w:t xml:space="preserve">Druhý a tretí trimester gravidity (pozri časti </w:t>
      </w:r>
      <w:smartTag w:uri="urn:schemas-microsoft-com:office:smarttags" w:element="metricconverter">
        <w:smartTagPr>
          <w:attr w:name="ProductID" w:val="4.4 a"/>
        </w:smartTagPr>
        <w:r w:rsidRPr="003453F2">
          <w:t>4.4 a</w:t>
        </w:r>
      </w:smartTag>
      <w:r w:rsidRPr="003453F2">
        <w:t xml:space="preserve"> 4.6)</w:t>
      </w:r>
    </w:p>
    <w:p w:rsidR="0021742C" w:rsidRPr="003453F2" w:rsidRDefault="0021742C" w:rsidP="00727EB5">
      <w:pPr>
        <w:pStyle w:val="Normlndoblokusodrkami"/>
        <w:jc w:val="both"/>
      </w:pPr>
      <w:r w:rsidRPr="003453F2">
        <w:t>Laktácia (pozri časť 4.6)</w:t>
      </w:r>
    </w:p>
    <w:p w:rsidR="00D97698" w:rsidRPr="006A7B07" w:rsidRDefault="0021742C" w:rsidP="00727EB5">
      <w:pPr>
        <w:pStyle w:val="Normlndoblokusodrkami"/>
        <w:jc w:val="both"/>
      </w:pPr>
      <w:r w:rsidRPr="003453F2">
        <w:t>Ťažk</w:t>
      </w:r>
      <w:r w:rsidR="006A7B07">
        <w:t>á</w:t>
      </w:r>
      <w:r w:rsidRPr="006A7B07">
        <w:t xml:space="preserve"> po</w:t>
      </w:r>
      <w:r w:rsidR="006A7B07">
        <w:t>rucha</w:t>
      </w:r>
      <w:r w:rsidRPr="006A7B07">
        <w:t xml:space="preserve"> funkcie obličiek s klírensom kreatinínu menej ako 30 ml/min u</w:t>
      </w:r>
      <w:r w:rsidR="00EF198F" w:rsidRPr="006A7B07">
        <w:t> </w:t>
      </w:r>
      <w:r w:rsidRPr="006A7B07">
        <w:t>nedialyzovaných pacientov</w:t>
      </w:r>
    </w:p>
    <w:p w:rsidR="00D97698" w:rsidRPr="003453F2" w:rsidRDefault="0021742C" w:rsidP="00727EB5">
      <w:pPr>
        <w:pStyle w:val="Normlndoblokusodrkami"/>
        <w:jc w:val="both"/>
      </w:pPr>
      <w:r w:rsidRPr="003453F2">
        <w:t xml:space="preserve">Klinicky relevantné poruchy elektrolytov, ktoré liečba </w:t>
      </w:r>
      <w:r w:rsidR="000F3526" w:rsidRPr="003453F2">
        <w:t>RAMIMED</w:t>
      </w:r>
      <w:r w:rsidR="00AF1E4C">
        <w:t>OM</w:t>
      </w:r>
      <w:r w:rsidR="000F3526" w:rsidRPr="003453F2">
        <w:t xml:space="preserve"> HCT</w:t>
      </w:r>
      <w:r w:rsidRPr="003453F2">
        <w:t xml:space="preserve"> môže zhoršiť (pozri časť 4.4)</w:t>
      </w:r>
    </w:p>
    <w:p w:rsidR="0021742C" w:rsidRPr="00AD335A" w:rsidRDefault="0021742C" w:rsidP="00727EB5">
      <w:pPr>
        <w:pStyle w:val="Normlndoblokusodrkami"/>
        <w:jc w:val="both"/>
      </w:pPr>
      <w:r w:rsidRPr="003A17BF">
        <w:t>Ťažk</w:t>
      </w:r>
      <w:r w:rsidR="006A7B07" w:rsidRPr="00AD335A">
        <w:t>á</w:t>
      </w:r>
      <w:r w:rsidRPr="00AD335A">
        <w:t xml:space="preserve"> po</w:t>
      </w:r>
      <w:r w:rsidR="006A7B07" w:rsidRPr="00AD335A">
        <w:t>rucha</w:t>
      </w:r>
      <w:r w:rsidRPr="00AD335A">
        <w:t xml:space="preserve"> funkcie pečene, hepatická encefalopatia</w:t>
      </w:r>
    </w:p>
    <w:p w:rsidR="00AC3986" w:rsidRPr="00AD335A" w:rsidRDefault="007457EB" w:rsidP="00727EB5">
      <w:pPr>
        <w:pStyle w:val="Normlndoblokusodrkami"/>
        <w:jc w:val="both"/>
      </w:pPr>
      <w:r w:rsidRPr="00AD335A">
        <w:t xml:space="preserve">Súbežné užívanie </w:t>
      </w:r>
      <w:r w:rsidR="00620497" w:rsidRPr="00AD335A">
        <w:t xml:space="preserve">lieku </w:t>
      </w:r>
      <w:r w:rsidR="002C3F3E" w:rsidRPr="00AD335A">
        <w:t>RAMIMED HCT</w:t>
      </w:r>
      <w:r w:rsidRPr="00AD335A">
        <w:t xml:space="preserve"> s liekmi obsahujúcimi aliskiren je kontraindikované u</w:t>
      </w:r>
      <w:r w:rsidR="00624A15" w:rsidRPr="00AD335A">
        <w:t> </w:t>
      </w:r>
      <w:r w:rsidRPr="00AD335A">
        <w:t>pacientov s diabet</w:t>
      </w:r>
      <w:r w:rsidR="00175246" w:rsidRPr="00AD335A">
        <w:t>om</w:t>
      </w:r>
      <w:r w:rsidRPr="00AD335A">
        <w:t xml:space="preserve"> mellitus alebo poruchou funkcie obličiek (GFR &lt; 60 ml/min/1,73 m</w:t>
      </w:r>
      <w:r w:rsidRPr="00AD335A">
        <w:rPr>
          <w:vertAlign w:val="superscript"/>
        </w:rPr>
        <w:t>2</w:t>
      </w:r>
      <w:r w:rsidRPr="00AD335A">
        <w:t>) (pozri časti 4.5 a 5.1).</w:t>
      </w:r>
    </w:p>
    <w:p w:rsidR="004B6243" w:rsidRPr="003A17BF" w:rsidRDefault="004B6243" w:rsidP="00620497">
      <w:pPr>
        <w:pStyle w:val="Normlndobloku"/>
      </w:pPr>
    </w:p>
    <w:p w:rsidR="00CD1BB9" w:rsidRPr="00AD335A" w:rsidRDefault="00CD1BB9" w:rsidP="005D39E2">
      <w:pPr>
        <w:pStyle w:val="Styl2"/>
        <w:spacing w:before="0" w:after="0"/>
        <w:rPr>
          <w:lang w:val="sk-SK"/>
        </w:rPr>
      </w:pPr>
      <w:r w:rsidRPr="00AD335A">
        <w:rPr>
          <w:lang w:val="sk-SK"/>
        </w:rPr>
        <w:t>Osobitné upozornenia a opatrenia pri používaní</w:t>
      </w:r>
    </w:p>
    <w:p w:rsidR="004B6243" w:rsidRPr="00E82E3A" w:rsidRDefault="004B6243" w:rsidP="005D39E2">
      <w:pPr>
        <w:pStyle w:val="Styl2"/>
        <w:numPr>
          <w:ilvl w:val="0"/>
          <w:numId w:val="0"/>
        </w:numPr>
        <w:spacing w:before="0" w:after="0"/>
        <w:rPr>
          <w:lang w:val="sk-SK"/>
        </w:rPr>
      </w:pPr>
    </w:p>
    <w:p w:rsidR="0021742C" w:rsidRPr="003453F2" w:rsidRDefault="0021742C" w:rsidP="005D39E2">
      <w:pPr>
        <w:pStyle w:val="Styl3"/>
        <w:spacing w:before="0" w:after="0"/>
        <w:rPr>
          <w:lang w:val="sk-SK"/>
        </w:rPr>
      </w:pPr>
      <w:r w:rsidRPr="003453F2">
        <w:rPr>
          <w:lang w:val="sk-SK"/>
        </w:rPr>
        <w:t>Špeciálne skupiny pacientov</w:t>
      </w:r>
    </w:p>
    <w:p w:rsidR="004B6243" w:rsidRDefault="004B6243" w:rsidP="005D39E2">
      <w:pPr>
        <w:pStyle w:val="Styl3"/>
        <w:spacing w:before="0" w:after="0"/>
        <w:rPr>
          <w:lang w:val="sk-SK"/>
        </w:rPr>
      </w:pPr>
    </w:p>
    <w:p w:rsidR="00DC1BD9" w:rsidRPr="005D39E2" w:rsidRDefault="0021742C" w:rsidP="005D39E2">
      <w:pPr>
        <w:pStyle w:val="Styl3"/>
        <w:spacing w:before="0" w:after="0"/>
        <w:rPr>
          <w:i/>
          <w:u w:val="none"/>
          <w:lang w:val="sk-SK"/>
        </w:rPr>
      </w:pPr>
      <w:r w:rsidRPr="005D39E2">
        <w:rPr>
          <w:i/>
          <w:u w:val="none"/>
          <w:lang w:val="sk-SK"/>
        </w:rPr>
        <w:t>Gravidita</w:t>
      </w:r>
    </w:p>
    <w:p w:rsidR="0021742C" w:rsidRDefault="00D53158" w:rsidP="00611497">
      <w:pPr>
        <w:pStyle w:val="Normlndobloku"/>
      </w:pPr>
      <w:r w:rsidRPr="003453F2">
        <w:t>P</w:t>
      </w:r>
      <w:r w:rsidR="0021742C" w:rsidRPr="003453F2">
        <w:t xml:space="preserve">očas gravidity sa nesmie začať liečba ACE inhibítormi ako </w:t>
      </w:r>
      <w:r w:rsidRPr="003453F2">
        <w:t xml:space="preserve">je </w:t>
      </w:r>
      <w:r w:rsidR="0021742C" w:rsidRPr="003453F2">
        <w:t>napríklad ramipril alebo antagonistami receptoru angiotenzínu II (AIIRA). Ak sa pokračovanie liečby ACE inhibítormi/antagonistami AIIR nepovažuje vyslovene za nevyhnutné, musí sa liečba pacientok plánujúcich graviditu zmeniť na alternatívnu antihypertenzn</w:t>
      </w:r>
      <w:r w:rsidR="006A7B07">
        <w:t>ú</w:t>
      </w:r>
      <w:r w:rsidR="0021742C" w:rsidRPr="006A7B07">
        <w:t xml:space="preserve"> liečbu, ktorá má preukázaný bezpečnostný profil pre používanie počas gravidity. Ak je gravidita diagnostikovaná, liečba ACE inhibítormi/</w:t>
      </w:r>
      <w:r w:rsidR="00DB1340" w:rsidRPr="006A7B07">
        <w:t xml:space="preserve"> </w:t>
      </w:r>
      <w:r w:rsidR="0021742C" w:rsidRPr="006A7B07">
        <w:t>antagonistami AIIR sa musí okamžite ukončiť a ak je to vhodné, musí sa začať alt</w:t>
      </w:r>
      <w:r w:rsidR="0021742C" w:rsidRPr="003453F2">
        <w:t xml:space="preserve">ernatívna liečba (pozri časti </w:t>
      </w:r>
      <w:smartTag w:uri="urn:schemas-microsoft-com:office:smarttags" w:element="metricconverter">
        <w:smartTagPr>
          <w:attr w:name="ProductID" w:val="4.3 a"/>
        </w:smartTagPr>
        <w:r w:rsidR="0021742C" w:rsidRPr="003453F2">
          <w:t>4.3 a</w:t>
        </w:r>
      </w:smartTag>
      <w:r w:rsidR="0021742C" w:rsidRPr="003453F2">
        <w:t xml:space="preserve"> 4.6).</w:t>
      </w:r>
    </w:p>
    <w:p w:rsidR="004B6243" w:rsidRPr="003453F2" w:rsidRDefault="004B6243" w:rsidP="00611497">
      <w:pPr>
        <w:pStyle w:val="Normlndobloku"/>
      </w:pPr>
    </w:p>
    <w:p w:rsidR="0021742C" w:rsidRPr="005D39E2" w:rsidRDefault="0021742C" w:rsidP="005D39E2">
      <w:pPr>
        <w:pStyle w:val="Styl3"/>
        <w:numPr>
          <w:ilvl w:val="0"/>
          <w:numId w:val="22"/>
        </w:numPr>
        <w:spacing w:before="0" w:after="0"/>
        <w:rPr>
          <w:i/>
          <w:u w:val="none"/>
          <w:lang w:val="sk-SK"/>
        </w:rPr>
      </w:pPr>
      <w:r w:rsidRPr="005D39E2">
        <w:rPr>
          <w:i/>
          <w:u w:val="none"/>
          <w:lang w:val="sk-SK"/>
        </w:rPr>
        <w:t>Pacienti s mimoriadnym rizikom hypotenzie</w:t>
      </w:r>
    </w:p>
    <w:p w:rsidR="004B6243" w:rsidRPr="003453F2" w:rsidRDefault="004B6243" w:rsidP="005D39E2">
      <w:pPr>
        <w:pStyle w:val="Styl3"/>
        <w:spacing w:before="0" w:after="0"/>
        <w:rPr>
          <w:lang w:val="sk-SK"/>
        </w:rPr>
      </w:pPr>
    </w:p>
    <w:p w:rsidR="00D97698" w:rsidRDefault="0021742C" w:rsidP="00611497">
      <w:pPr>
        <w:pStyle w:val="Normlndoblokusodrkami"/>
      </w:pPr>
      <w:r w:rsidRPr="003453F2">
        <w:t>Pacienti s výrazne aktivovaným renín-angiotenzín-aldosterónovým systémom</w:t>
      </w:r>
    </w:p>
    <w:p w:rsidR="0021742C" w:rsidRPr="003453F2" w:rsidRDefault="0021742C" w:rsidP="00611497">
      <w:pPr>
        <w:pStyle w:val="Normlndobloku"/>
      </w:pPr>
      <w:r w:rsidRPr="003453F2">
        <w:t>U pacientov s výrazne aktivovaným renín-angiotenzín-aldosterónovým systémom existuje riziko akútneho výrazného poklesu krvného tlaku a zhoršenia renálnej funkcie v dôsledku ACE inhibície, najmä ak sa ACE inhibítor alebo diuretikum ako sprievodná liečba podáva prvýkrát alebo ak sa podáva prvýkrát zvýšená dávka.</w:t>
      </w:r>
    </w:p>
    <w:p w:rsidR="0021742C" w:rsidRPr="003453F2" w:rsidRDefault="0021742C" w:rsidP="00236263">
      <w:pPr>
        <w:pStyle w:val="Normlndobloku"/>
      </w:pPr>
      <w:r w:rsidRPr="003453F2">
        <w:t xml:space="preserve">Predpokladať významnú aktiváciu renín-angiotenzín-aldosterónového systému a počítať s lekárskym dohľadom </w:t>
      </w:r>
      <w:r w:rsidR="00942CE2" w:rsidRPr="003453F2">
        <w:t>vrátane sledovania</w:t>
      </w:r>
      <w:r w:rsidRPr="003453F2">
        <w:t xml:space="preserve"> krvného tlaku je potrebné napríklad u týchto pacientov:</w:t>
      </w:r>
    </w:p>
    <w:p w:rsidR="0021742C" w:rsidRPr="003453F2" w:rsidRDefault="0021742C" w:rsidP="00727EB5">
      <w:pPr>
        <w:pStyle w:val="Normlndoblokusodrkami"/>
        <w:jc w:val="both"/>
      </w:pPr>
      <w:r w:rsidRPr="003453F2">
        <w:t>pacienti s ťažkou hypertenziou</w:t>
      </w:r>
    </w:p>
    <w:p w:rsidR="0021742C" w:rsidRPr="003453F2" w:rsidRDefault="0021742C" w:rsidP="00727EB5">
      <w:pPr>
        <w:pStyle w:val="Normlndoblokusodrkami"/>
        <w:jc w:val="both"/>
      </w:pPr>
      <w:r w:rsidRPr="003453F2">
        <w:t>pacienti s dekompenzovaným kongestívnym zlyhaním srdca</w:t>
      </w:r>
    </w:p>
    <w:p w:rsidR="0021742C" w:rsidRPr="003453F2" w:rsidRDefault="0021742C" w:rsidP="00727EB5">
      <w:pPr>
        <w:pStyle w:val="Normlndoblokusodrkami"/>
        <w:jc w:val="both"/>
      </w:pPr>
      <w:r w:rsidRPr="003453F2">
        <w:t>pacienti s hemodynamicky relevantnou prekážkou v prítoku alebo odtoku krvi v ľavej komore (napr. stenóza aortálnej alebo mitrálnej chlopne)</w:t>
      </w:r>
    </w:p>
    <w:p w:rsidR="0021742C" w:rsidRPr="003453F2" w:rsidRDefault="0021742C" w:rsidP="00727EB5">
      <w:pPr>
        <w:pStyle w:val="Normlndoblokusodrkami"/>
        <w:jc w:val="both"/>
      </w:pPr>
      <w:r w:rsidRPr="003453F2">
        <w:t>pacienti s unilaterálnou renálnou arteriálnou stenózou, pričom druhá oblička je funkčná</w:t>
      </w:r>
    </w:p>
    <w:p w:rsidR="0021742C" w:rsidRPr="003453F2" w:rsidRDefault="0021742C" w:rsidP="00727EB5">
      <w:pPr>
        <w:pStyle w:val="Normlndoblokusodrkami"/>
        <w:jc w:val="both"/>
      </w:pPr>
      <w:r w:rsidRPr="003453F2">
        <w:t>pacienti, ktorí majú alebo u ktorých môže vzniknúť nedostatok tekutín a solí (vrátane pacientov užívajúcich diuretiká)</w:t>
      </w:r>
    </w:p>
    <w:p w:rsidR="0021742C" w:rsidRPr="003453F2" w:rsidRDefault="0021742C" w:rsidP="00727EB5">
      <w:pPr>
        <w:pStyle w:val="Normlndoblokusodrkami"/>
        <w:jc w:val="both"/>
      </w:pPr>
      <w:r w:rsidRPr="003453F2">
        <w:t>pacienti s cirhózou pečene a/alebo s ascitom</w:t>
      </w:r>
    </w:p>
    <w:p w:rsidR="0021742C" w:rsidRDefault="0021742C" w:rsidP="00727EB5">
      <w:pPr>
        <w:pStyle w:val="Normlndoblokusodrkami"/>
        <w:jc w:val="both"/>
      </w:pPr>
      <w:r w:rsidRPr="003453F2">
        <w:t xml:space="preserve">pacienti podrobujúci sa </w:t>
      </w:r>
      <w:r w:rsidR="00AF1E4C">
        <w:t>závažnej</w:t>
      </w:r>
      <w:r w:rsidRPr="003453F2">
        <w:t xml:space="preserve"> operácii alebo počas anestézie látkami spôsobujúcimi hypotenziu.</w:t>
      </w:r>
    </w:p>
    <w:p w:rsidR="004B6243" w:rsidRPr="005D39E2" w:rsidRDefault="004B6243" w:rsidP="00042B7E">
      <w:pPr>
        <w:pStyle w:val="Normlndobloku"/>
      </w:pPr>
    </w:p>
    <w:p w:rsidR="0021742C" w:rsidRDefault="0021742C" w:rsidP="00042B7E">
      <w:pPr>
        <w:pStyle w:val="Normlndobloku"/>
      </w:pPr>
      <w:r w:rsidRPr="003453F2">
        <w:t>Vo všeobecnosti sa odporúča pred začatím liečby upraviť dehydratáciu, hypovolémiu alebo depléciu solí (u pacientov so srdcovým zlyhaním sa však úprava musí dôkladne zvážiť s ohľadom na riziko objemového preplnenia).</w:t>
      </w:r>
    </w:p>
    <w:p w:rsidR="004B6243" w:rsidRPr="003453F2" w:rsidRDefault="004B6243" w:rsidP="00042B7E">
      <w:pPr>
        <w:pStyle w:val="Normlndobloku"/>
      </w:pPr>
    </w:p>
    <w:p w:rsidR="0021742C" w:rsidRPr="003453F2" w:rsidRDefault="0021742C" w:rsidP="005D39E2">
      <w:pPr>
        <w:pStyle w:val="Styl3"/>
        <w:spacing w:before="0" w:after="0"/>
        <w:rPr>
          <w:lang w:val="sk-SK"/>
        </w:rPr>
      </w:pPr>
      <w:r w:rsidRPr="003453F2">
        <w:rPr>
          <w:lang w:val="sk-SK"/>
        </w:rPr>
        <w:t>Operácia</w:t>
      </w:r>
    </w:p>
    <w:p w:rsidR="0021742C" w:rsidRDefault="0021742C" w:rsidP="00611497">
      <w:pPr>
        <w:pStyle w:val="Normlndobloku"/>
      </w:pPr>
      <w:r w:rsidRPr="003453F2">
        <w:t>Odporúča sa, aby sa liečba inhibítormi enzýmu konvertujúceho angiotenzín ako napríklad ramiprilom, ukončila v prípadoch, kde je to možné, jeden deň pred operáciou.</w:t>
      </w:r>
    </w:p>
    <w:p w:rsidR="00DA18ED" w:rsidRPr="003453F2" w:rsidRDefault="00DA18ED" w:rsidP="00611497">
      <w:pPr>
        <w:pStyle w:val="Normlndobloku"/>
      </w:pPr>
    </w:p>
    <w:p w:rsidR="0021742C" w:rsidRPr="005D39E2" w:rsidRDefault="0021742C" w:rsidP="00236263">
      <w:pPr>
        <w:pStyle w:val="Normlndoblokusodrkami"/>
      </w:pPr>
      <w:r w:rsidRPr="005D39E2">
        <w:t>Pacienti s rizikom srdcovej alebo mozgovej ischémie v prípade akútnej hypotenzie</w:t>
      </w:r>
    </w:p>
    <w:p w:rsidR="0021742C" w:rsidRDefault="0021742C" w:rsidP="00BC3F91">
      <w:pPr>
        <w:pStyle w:val="Normlndobloku"/>
      </w:pPr>
      <w:r w:rsidRPr="003453F2">
        <w:t>Úvodná fáza liečby si vyžaduje špeciálny lekársky dohľad.</w:t>
      </w:r>
    </w:p>
    <w:p w:rsidR="00C605A7" w:rsidRPr="003453F2" w:rsidRDefault="00C605A7" w:rsidP="00BC3F91">
      <w:pPr>
        <w:pStyle w:val="Normlndobloku"/>
      </w:pPr>
    </w:p>
    <w:p w:rsidR="00D97698" w:rsidRPr="005D39E2" w:rsidRDefault="0021742C" w:rsidP="005D39E2">
      <w:pPr>
        <w:pStyle w:val="Styl3"/>
        <w:numPr>
          <w:ilvl w:val="0"/>
          <w:numId w:val="24"/>
        </w:numPr>
        <w:spacing w:before="0" w:after="0"/>
        <w:rPr>
          <w:i/>
          <w:u w:val="none"/>
          <w:lang w:val="sk-SK"/>
        </w:rPr>
      </w:pPr>
      <w:r w:rsidRPr="005D39E2">
        <w:rPr>
          <w:i/>
          <w:u w:val="none"/>
          <w:lang w:val="sk-SK"/>
        </w:rPr>
        <w:t>Primárny hyperaldosteronizmus</w:t>
      </w:r>
    </w:p>
    <w:p w:rsidR="0021742C" w:rsidRPr="003453F2" w:rsidRDefault="0021742C" w:rsidP="00611497">
      <w:pPr>
        <w:pStyle w:val="Normlndobloku"/>
      </w:pPr>
      <w:r w:rsidRPr="003453F2">
        <w:t>Kombinácia ramiprilu a hydrochlorotiazidu nie je vhodná na liečbu primárneho hyperaldosteronizmu. Ak ramipril + hydrochlorotiazid užívajú pacienti s primárnym hyperaldosteronizmom, je nutné monitorovať plazmatickú hladinu draslíka.</w:t>
      </w:r>
    </w:p>
    <w:p w:rsidR="00DA18ED" w:rsidRDefault="00DA18ED" w:rsidP="005D39E2">
      <w:pPr>
        <w:pStyle w:val="Styl3"/>
        <w:spacing w:before="0" w:after="0"/>
        <w:rPr>
          <w:lang w:val="sk-SK"/>
        </w:rPr>
      </w:pPr>
    </w:p>
    <w:p w:rsidR="0021742C" w:rsidRPr="005D39E2" w:rsidRDefault="0021742C" w:rsidP="005D39E2">
      <w:pPr>
        <w:pStyle w:val="Styl3"/>
        <w:numPr>
          <w:ilvl w:val="0"/>
          <w:numId w:val="25"/>
        </w:numPr>
        <w:spacing w:before="0" w:after="0"/>
        <w:rPr>
          <w:i/>
          <w:u w:val="none"/>
          <w:lang w:val="sk-SK"/>
        </w:rPr>
      </w:pPr>
      <w:r w:rsidRPr="005D39E2">
        <w:rPr>
          <w:i/>
          <w:u w:val="none"/>
          <w:lang w:val="sk-SK"/>
        </w:rPr>
        <w:t>Starší pacienti</w:t>
      </w:r>
    </w:p>
    <w:p w:rsidR="0021742C" w:rsidRPr="003453F2" w:rsidRDefault="0021742C" w:rsidP="00611497">
      <w:pPr>
        <w:pStyle w:val="Normlndobloku"/>
      </w:pPr>
      <w:r w:rsidRPr="003453F2">
        <w:t>Pozri časť 4.2.</w:t>
      </w:r>
    </w:p>
    <w:p w:rsidR="00DA18ED" w:rsidRDefault="00DA18ED" w:rsidP="005D39E2">
      <w:pPr>
        <w:pStyle w:val="Styl3"/>
        <w:spacing w:before="0" w:after="0"/>
        <w:rPr>
          <w:lang w:val="sk-SK"/>
        </w:rPr>
      </w:pPr>
    </w:p>
    <w:p w:rsidR="00D97698" w:rsidRPr="005D39E2" w:rsidRDefault="0021742C" w:rsidP="005D39E2">
      <w:pPr>
        <w:pStyle w:val="Styl3"/>
        <w:numPr>
          <w:ilvl w:val="0"/>
          <w:numId w:val="26"/>
        </w:numPr>
        <w:spacing w:before="0" w:after="0"/>
        <w:rPr>
          <w:i/>
          <w:u w:val="none"/>
          <w:lang w:val="sk-SK"/>
        </w:rPr>
      </w:pPr>
      <w:r w:rsidRPr="005D39E2">
        <w:rPr>
          <w:i/>
          <w:u w:val="none"/>
          <w:lang w:val="sk-SK"/>
        </w:rPr>
        <w:t>Pacienti s poruchami pečene</w:t>
      </w:r>
    </w:p>
    <w:p w:rsidR="0021742C" w:rsidRPr="003453F2" w:rsidRDefault="0021742C" w:rsidP="00611497">
      <w:pPr>
        <w:pStyle w:val="Normlndobloku"/>
      </w:pPr>
      <w:r w:rsidRPr="003453F2">
        <w:t>Elektrolytické poruchy spôsobené diuretickou liečbou, vrátane liečby hydrochlorotiazidom, môžu u</w:t>
      </w:r>
      <w:r w:rsidR="00EF198F" w:rsidRPr="003453F2">
        <w:t> </w:t>
      </w:r>
      <w:r w:rsidRPr="003453F2">
        <w:t>pacientov s poruchami pečene spôsobiť pečeňovú encefalopatiu.</w:t>
      </w:r>
    </w:p>
    <w:p w:rsidR="00DA18ED" w:rsidRDefault="00DA18ED"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Sledovanie renálnej funkcie</w:t>
      </w:r>
    </w:p>
    <w:p w:rsidR="0021742C" w:rsidRPr="003453F2" w:rsidRDefault="0021742C" w:rsidP="00611497">
      <w:pPr>
        <w:pStyle w:val="Normlndobloku"/>
      </w:pPr>
      <w:r w:rsidRPr="003453F2">
        <w:t>Pred začatím liečby a počas liečby, najmä v počiatočných týždňoch, sa musí sledovať renálna funkcia a prípadne upraviť dávkovanie. Dôkladné sledovanie je potrebné obzvlášť u pacientov so zhoršenou renálnou funkciou (pozri časť 4.2). Riziko zhoršenia renálnej funkcie je najmä u pacientov s</w:t>
      </w:r>
      <w:r w:rsidR="00EF198F" w:rsidRPr="003453F2">
        <w:t> </w:t>
      </w:r>
      <w:r w:rsidRPr="003453F2">
        <w:t>kongestívnym zlyhaním srdca alebo po transplantácii obličky</w:t>
      </w:r>
      <w:r w:rsidR="006E3057" w:rsidRPr="003453F2">
        <w:t>, alebo s renovaskulárnou chorobou vrátane pacientov s hemodynamicky relevantnou unilaterálnou stenózou renálnej artérie.</w:t>
      </w:r>
    </w:p>
    <w:p w:rsidR="00DA18ED" w:rsidRDefault="00DA18ED" w:rsidP="005D39E2">
      <w:pPr>
        <w:pStyle w:val="Styl3"/>
        <w:spacing w:before="0" w:after="0"/>
        <w:rPr>
          <w:lang w:val="sk-SK"/>
        </w:rPr>
      </w:pPr>
    </w:p>
    <w:p w:rsidR="0021742C" w:rsidRPr="00EB3F6D" w:rsidRDefault="0021742C" w:rsidP="005D39E2">
      <w:pPr>
        <w:pStyle w:val="Styl3"/>
        <w:spacing w:before="0" w:after="0"/>
        <w:rPr>
          <w:lang w:val="sk-SK"/>
        </w:rPr>
      </w:pPr>
      <w:r w:rsidRPr="003453F2">
        <w:rPr>
          <w:lang w:val="sk-SK"/>
        </w:rPr>
        <w:t>Poruch</w:t>
      </w:r>
      <w:r w:rsidR="00EB3F6D">
        <w:rPr>
          <w:lang w:val="sk-SK"/>
        </w:rPr>
        <w:t>a</w:t>
      </w:r>
      <w:r w:rsidRPr="00EB3F6D">
        <w:rPr>
          <w:lang w:val="sk-SK"/>
        </w:rPr>
        <w:t xml:space="preserve"> obličiek</w:t>
      </w:r>
    </w:p>
    <w:p w:rsidR="0021742C" w:rsidRPr="003453F2" w:rsidRDefault="0021742C" w:rsidP="00611497">
      <w:pPr>
        <w:pStyle w:val="Normlndobloku"/>
      </w:pPr>
      <w:r w:rsidRPr="003453F2">
        <w:t>U pacientov s poruchou obličiek môžu tiazidy urýchliť urémiu. U pacientov s poruchou funkcie obličiek sa môžu rozvinúť kumulatívne efekty liečiva. Ak sa preukáže progredujúce zhoršenie funkcie obličiek, ktoré je indikované zvýšením hladiny nebielkovinového dusíka, je nutné dôkladne prehodnotiť liečbu a zvážiť vysadenie diuretickej liečby (pozri časť 4.3).</w:t>
      </w:r>
    </w:p>
    <w:p w:rsidR="004B6243" w:rsidRDefault="004B6243"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Elektrolytová nerovnováha</w:t>
      </w:r>
    </w:p>
    <w:p w:rsidR="0021742C" w:rsidRPr="003453F2" w:rsidRDefault="0021742C" w:rsidP="00611497">
      <w:pPr>
        <w:pStyle w:val="Normlndobloku"/>
      </w:pPr>
      <w:r w:rsidRPr="003453F2">
        <w:t>Podobne ako u ostatných pacientov, ktorí sú liečení diuretikami, je potrebné vykonávať pravidelné vyšetrenie elektrolytov v sére v príslušných intervaloch. Tiazidy, vrátane hydrochlorotiazidu, môžu spôsobiť nerovnováhu tekutín a elektrolytov (hypokaliémia, hyponatriémia a hypochloremická alkalóza). Aj keď môže pri užívaní tiazidových diuretík vzniknúť hypokaliémia, súbežná liečba ramiprilom môže hypokaliémiu spôsobenú diuretikami znížiť. Riziko hypokaliémie je najväčšie u</w:t>
      </w:r>
      <w:r w:rsidR="00EF198F" w:rsidRPr="003453F2">
        <w:t> </w:t>
      </w:r>
      <w:r w:rsidRPr="003453F2">
        <w:t>pacientov s cirhózou pečene, u pacientov s veľkou diurézou, u pacientov s nedostatočným príjmom elektrolytov a u pacientov so súbežnou liečbou kortikosteroidmi alebo ACTH (pozri časť 4.5). Prvé meranie plazmatickej hladiny draslíka sa má urobiť počas prvého týždňa po začatí liečby. Ak sa zistí nízka hladina draslíka, musí sa urobiť náprava.</w:t>
      </w:r>
    </w:p>
    <w:p w:rsidR="0021742C" w:rsidRPr="003453F2" w:rsidRDefault="0021742C" w:rsidP="00611497">
      <w:pPr>
        <w:pStyle w:val="Normlndobloku"/>
      </w:pPr>
      <w:r w:rsidRPr="003453F2">
        <w:t>Je možný výskyt dilučnej hyponatriémie. Zníženie hladiny sodíka môže byť na začiatku asymptomatické a preto je nevyhnutné pravidelné kontrolovanie hladiny sodíka. U starších pacientov a pacientov, ktorí majú cirhózu, musí byť kontrolovanie častejšie.</w:t>
      </w:r>
    </w:p>
    <w:p w:rsidR="00D97698" w:rsidRPr="003453F2" w:rsidRDefault="0021742C" w:rsidP="00236263">
      <w:pPr>
        <w:pStyle w:val="Normlndobloku"/>
      </w:pPr>
      <w:r w:rsidRPr="003453F2">
        <w:t>Bolo dokázané, že tiazidy zvyšujú vylučovanie magnézia v moči, čo môže viesť k hypomagneziémii.</w:t>
      </w:r>
    </w:p>
    <w:p w:rsidR="004B6243" w:rsidRDefault="004B6243" w:rsidP="005D39E2">
      <w:pPr>
        <w:pStyle w:val="Styl3"/>
        <w:spacing w:before="0" w:after="0"/>
        <w:rPr>
          <w:lang w:val="sk-SK"/>
        </w:rPr>
      </w:pPr>
    </w:p>
    <w:p w:rsidR="0021742C" w:rsidRPr="00AD335A" w:rsidRDefault="0021742C" w:rsidP="005D39E2">
      <w:pPr>
        <w:pStyle w:val="Styl3"/>
        <w:spacing w:before="0" w:after="0"/>
        <w:rPr>
          <w:lang w:val="sk-SK"/>
        </w:rPr>
      </w:pPr>
      <w:r w:rsidRPr="003A17BF">
        <w:rPr>
          <w:lang w:val="sk-SK"/>
        </w:rPr>
        <w:t>Hyperkaliém</w:t>
      </w:r>
      <w:r w:rsidRPr="00AD335A">
        <w:rPr>
          <w:lang w:val="sk-SK"/>
        </w:rPr>
        <w:t>ia</w:t>
      </w:r>
    </w:p>
    <w:p w:rsidR="00F2677B" w:rsidRPr="00AD335A" w:rsidRDefault="00A545D6" w:rsidP="00727EB5">
      <w:pPr>
        <w:pStyle w:val="Normlndobloku"/>
      </w:pPr>
      <w:r w:rsidRPr="00AD335A">
        <w:t>Pri liečbe ACE inhibítorom môže dôjsť k hyperkaliémii. K pacientom, u ktorých hrozí vznik</w:t>
      </w:r>
      <w:r w:rsidR="00F2677B" w:rsidRPr="00AD335A">
        <w:t xml:space="preserve"> </w:t>
      </w:r>
      <w:r w:rsidRPr="00AD335A">
        <w:t>hyperkaliémie, patria jedinci s obličkovou nedostatočnosťou, diabetom mellitus,</w:t>
      </w:r>
      <w:r w:rsidR="00F2677B" w:rsidRPr="00AD335A">
        <w:t xml:space="preserve"> </w:t>
      </w:r>
      <w:r w:rsidRPr="00AD335A">
        <w:t>hypoaldosteronizmom alebo pacienti súbežne užívajúci draslík šetriace diuretiká, doplnky draslíka</w:t>
      </w:r>
      <w:r w:rsidR="00F2677B" w:rsidRPr="00AD335A">
        <w:t xml:space="preserve"> </w:t>
      </w:r>
      <w:r w:rsidRPr="00AD335A">
        <w:t xml:space="preserve">alebo náhrady solí obsahujúce draslík, </w:t>
      </w:r>
      <w:r w:rsidR="00175246" w:rsidRPr="00AD335A">
        <w:t>alebo</w:t>
      </w:r>
      <w:r w:rsidRPr="00AD335A">
        <w:t xml:space="preserve"> pacienti užívajúci iné liečivá súvisiace so zvýšením</w:t>
      </w:r>
      <w:r w:rsidR="00F2677B" w:rsidRPr="00AD335A">
        <w:t xml:space="preserve"> </w:t>
      </w:r>
      <w:r w:rsidRPr="00AD335A">
        <w:t>hladiny draslíka v sére (napr. heparín, kotrimoxazol, známy aj ako trimetoprim/sulfametoxazol).</w:t>
      </w:r>
      <w:r w:rsidR="00F2677B" w:rsidRPr="00AD335A">
        <w:t xml:space="preserve"> </w:t>
      </w:r>
      <w:r w:rsidRPr="00AD335A">
        <w:t xml:space="preserve">Ak sa súbežné </w:t>
      </w:r>
      <w:r w:rsidR="00175246" w:rsidRPr="00AD335A">
        <w:t>po</w:t>
      </w:r>
      <w:r w:rsidRPr="00AD335A">
        <w:t>užívanie uvedených l</w:t>
      </w:r>
      <w:r w:rsidR="00175246" w:rsidRPr="00AD335A">
        <w:t>iečiv</w:t>
      </w:r>
      <w:r w:rsidRPr="00AD335A">
        <w:t xml:space="preserve"> považuje za vhodné, odporúča sa pravidelné sledovanie</w:t>
      </w:r>
      <w:r w:rsidR="00F2677B" w:rsidRPr="00AD335A">
        <w:t xml:space="preserve"> </w:t>
      </w:r>
      <w:r w:rsidRPr="00AD335A">
        <w:t>hladiny draslíka v sére (pozri časť 4.5).</w:t>
      </w:r>
    </w:p>
    <w:p w:rsidR="004B6243" w:rsidRPr="003A17BF" w:rsidRDefault="004B6243" w:rsidP="005D39E2">
      <w:pPr>
        <w:pStyle w:val="Styl3"/>
        <w:spacing w:before="0" w:after="0"/>
        <w:rPr>
          <w:lang w:val="sk-SK"/>
        </w:rPr>
      </w:pPr>
    </w:p>
    <w:p w:rsidR="0021742C" w:rsidRPr="00AD335A" w:rsidRDefault="0021742C" w:rsidP="005D39E2">
      <w:pPr>
        <w:pStyle w:val="Styl3"/>
        <w:spacing w:before="0" w:after="0"/>
        <w:rPr>
          <w:lang w:val="sk-SK"/>
        </w:rPr>
      </w:pPr>
      <w:r w:rsidRPr="00AD335A">
        <w:rPr>
          <w:lang w:val="sk-SK"/>
        </w:rPr>
        <w:t>Hepatická encefalopatia</w:t>
      </w:r>
    </w:p>
    <w:p w:rsidR="0021742C" w:rsidRPr="003453F2" w:rsidRDefault="0021742C" w:rsidP="00611497">
      <w:pPr>
        <w:pStyle w:val="Normlndobloku"/>
      </w:pPr>
      <w:r w:rsidRPr="00AD335A">
        <w:t xml:space="preserve">Poruchy elektrolytov spôsobené diuretickou liečbou vrátane </w:t>
      </w:r>
      <w:r w:rsidR="0001325F" w:rsidRPr="00AD335A">
        <w:t>liečby</w:t>
      </w:r>
      <w:r w:rsidRPr="00AD335A">
        <w:t xml:space="preserve"> hydrochlorotiazidom môžu u</w:t>
      </w:r>
      <w:r w:rsidR="00EF198F" w:rsidRPr="00AD335A">
        <w:t> </w:t>
      </w:r>
      <w:r w:rsidRPr="00AD335A">
        <w:t>pacientov s ochorením pečene spôsobiť hepatickú encefalopatiu. V prípade hepatickej encefalopatie musí byť liečba okamžite ukončená.</w:t>
      </w:r>
    </w:p>
    <w:p w:rsidR="004B6243" w:rsidRDefault="004B6243"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Hyperkalciémia</w:t>
      </w:r>
    </w:p>
    <w:p w:rsidR="0021742C" w:rsidRDefault="0021742C" w:rsidP="00611497">
      <w:pPr>
        <w:pStyle w:val="Normlndobloku"/>
      </w:pPr>
      <w:r w:rsidRPr="003453F2">
        <w:t>Hydrochlorotiazid stimuluje renálnu reabsorbciu kalcia a môže spôsobiť hyperkalciémiu. Môže tiež interferovať pri testovaní funkcie prištítnych teliesok.</w:t>
      </w:r>
    </w:p>
    <w:p w:rsidR="00F2677B" w:rsidRPr="003453F2" w:rsidRDefault="00F2677B" w:rsidP="00611497">
      <w:pPr>
        <w:pStyle w:val="Normlndobloku"/>
      </w:pPr>
    </w:p>
    <w:p w:rsidR="00F2677B" w:rsidRPr="00AD335A" w:rsidRDefault="00F2677B" w:rsidP="00727EB5">
      <w:pPr>
        <w:pStyle w:val="Styl3"/>
        <w:spacing w:before="0" w:after="0"/>
        <w:rPr>
          <w:lang w:val="sk-SK"/>
        </w:rPr>
      </w:pPr>
      <w:r w:rsidRPr="00AD335A">
        <w:rPr>
          <w:lang w:val="sk-SK"/>
        </w:rPr>
        <w:t>Hypersenzitivita/angioedém</w:t>
      </w:r>
    </w:p>
    <w:p w:rsidR="00F2677B" w:rsidRPr="00AD335A" w:rsidRDefault="00F2677B" w:rsidP="00727EB5">
      <w:pPr>
        <w:pStyle w:val="Styl3"/>
        <w:spacing w:before="0" w:after="0"/>
        <w:rPr>
          <w:lang w:val="sk-SK"/>
        </w:rPr>
      </w:pPr>
      <w:r w:rsidRPr="00AD335A">
        <w:rPr>
          <w:lang w:val="sk-SK"/>
        </w:rPr>
        <w:t>Súbežné užívanie mTOR inhibítorov (napr. sirolimu, everolimu, temsirolimu)</w:t>
      </w:r>
    </w:p>
    <w:p w:rsidR="004B6243" w:rsidRPr="00AD335A" w:rsidRDefault="00F2677B" w:rsidP="00727EB5">
      <w:pPr>
        <w:pStyle w:val="Normlndobloku"/>
      </w:pPr>
      <w:r w:rsidRPr="00AD335A">
        <w:t>Pacientom na súbežnej liečbe mTOR inhibítormi (napr. sirolimom, everolimom, temsirolimom) môže hroziť vyššie riziko angioedému (napr. opuch dýchacích ciest alebo jazyka s </w:t>
      </w:r>
      <w:r w:rsidR="00175246" w:rsidRPr="00AD335A">
        <w:t>poruchou</w:t>
      </w:r>
      <w:r w:rsidRPr="00AD335A">
        <w:t xml:space="preserve"> respiračnej funkcie alebo bez nej) (pozri časť 4.5).</w:t>
      </w:r>
    </w:p>
    <w:p w:rsidR="0021742C" w:rsidRPr="003A17BF" w:rsidRDefault="0021742C" w:rsidP="005D39E2">
      <w:pPr>
        <w:pStyle w:val="Styl3"/>
        <w:spacing w:before="0" w:after="0"/>
        <w:rPr>
          <w:lang w:val="sk-SK"/>
        </w:rPr>
      </w:pPr>
    </w:p>
    <w:p w:rsidR="0021742C" w:rsidRPr="003A17BF" w:rsidRDefault="0021742C" w:rsidP="00611497">
      <w:pPr>
        <w:pStyle w:val="Normlndobloku"/>
      </w:pPr>
      <w:r w:rsidRPr="00AD335A">
        <w:t>U pacientov liečených ACE inhibítormi, vrátane ramiprilu, bol hlásený angioedém (pozri časť 4.8).</w:t>
      </w:r>
      <w:r w:rsidR="00F2677B" w:rsidRPr="00AD335A">
        <w:t xml:space="preserve"> Toto riziko môže byť tiež zvýšené u pacientov, ktorí súbežne užívajú lieky, ako je vildagliptín.</w:t>
      </w:r>
    </w:p>
    <w:p w:rsidR="00F2677B" w:rsidRPr="00AD335A" w:rsidRDefault="00F2677B" w:rsidP="00611497">
      <w:pPr>
        <w:pStyle w:val="Normlndobloku"/>
      </w:pPr>
    </w:p>
    <w:p w:rsidR="0021742C" w:rsidRPr="00AD335A" w:rsidRDefault="0021742C" w:rsidP="00611497">
      <w:pPr>
        <w:pStyle w:val="Normlndobloku"/>
      </w:pPr>
      <w:r w:rsidRPr="00AD335A">
        <w:t xml:space="preserve">V prípade výskytu angioedému je nutné liečbu </w:t>
      </w:r>
      <w:r w:rsidR="000F3526" w:rsidRPr="00AD335A">
        <w:t>RAMIMED</w:t>
      </w:r>
      <w:r w:rsidR="00E57C93" w:rsidRPr="00AD335A">
        <w:t>OM</w:t>
      </w:r>
      <w:r w:rsidR="000F3526" w:rsidRPr="00AD335A">
        <w:t xml:space="preserve"> HCT</w:t>
      </w:r>
      <w:r w:rsidRPr="00AD335A">
        <w:t xml:space="preserve"> ukončiť.</w:t>
      </w:r>
    </w:p>
    <w:p w:rsidR="0021742C" w:rsidRDefault="0021742C" w:rsidP="00236263">
      <w:pPr>
        <w:pStyle w:val="Normlndobloku"/>
      </w:pPr>
      <w:r w:rsidRPr="00AD335A">
        <w:t>Bezodkladne sa musí začať núdzová liečba. Pacient musí zostať na pozorovaní najmenej 12 až 24</w:t>
      </w:r>
      <w:r w:rsidR="00EF198F" w:rsidRPr="00AD335A">
        <w:t> </w:t>
      </w:r>
      <w:r w:rsidRPr="00AD335A">
        <w:t>hodín a prepustený môže byť až po úplnom vymiznutí príznakov.</w:t>
      </w:r>
    </w:p>
    <w:p w:rsidR="00E57C93" w:rsidRPr="003453F2" w:rsidRDefault="00E57C93" w:rsidP="00BC3F91">
      <w:pPr>
        <w:pStyle w:val="Normlndobloku"/>
      </w:pPr>
    </w:p>
    <w:p w:rsidR="0021742C" w:rsidRPr="003453F2" w:rsidRDefault="0021742C" w:rsidP="00042B7E">
      <w:pPr>
        <w:pStyle w:val="Normlndobloku"/>
      </w:pPr>
      <w:r w:rsidRPr="003453F2">
        <w:t xml:space="preserve">U pacientov liečených ACE inhibítormi, vrátane </w:t>
      </w:r>
      <w:r w:rsidR="000F3526" w:rsidRPr="003453F2">
        <w:t>RAMIMEDU HCT</w:t>
      </w:r>
      <w:r w:rsidRPr="003453F2">
        <w:t>, (pozri časť 4.8) bol hlásený intestinálny angioedém. Prejavil sa abdominálnou bolesťou (s nauzeou alebo vracaním alebo bez týchto príznakov).</w:t>
      </w:r>
    </w:p>
    <w:p w:rsidR="006E3057" w:rsidRPr="003453F2" w:rsidRDefault="006E3057" w:rsidP="00042B7E">
      <w:pPr>
        <w:pStyle w:val="Normlndobloku"/>
      </w:pPr>
      <w:r w:rsidRPr="003453F2">
        <w:t xml:space="preserve">Príznaky </w:t>
      </w:r>
      <w:r w:rsidR="00E57C93">
        <w:t>intestinálneho</w:t>
      </w:r>
      <w:r w:rsidRPr="003453F2">
        <w:t xml:space="preserve"> angioedému vymizli po vysadení ACE inhib</w:t>
      </w:r>
      <w:r w:rsidR="00E57C93">
        <w:t>í</w:t>
      </w:r>
      <w:r w:rsidRPr="003453F2">
        <w:t>tor</w:t>
      </w:r>
      <w:r w:rsidR="00E57C93">
        <w:t>a</w:t>
      </w:r>
      <w:r w:rsidRPr="003453F2">
        <w:t>.</w:t>
      </w:r>
    </w:p>
    <w:p w:rsidR="004B6243" w:rsidRDefault="004B6243"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Anafylaktické reakcie počas desenzibilizácie</w:t>
      </w:r>
    </w:p>
    <w:p w:rsidR="0021742C" w:rsidRPr="003453F2" w:rsidRDefault="0021742C" w:rsidP="00611497">
      <w:pPr>
        <w:pStyle w:val="Normlndobloku"/>
      </w:pPr>
      <w:r w:rsidRPr="003453F2">
        <w:t xml:space="preserve">Pravdepodobnosť a závažnosť anafylaktických a anafylaktoidných reakcií na jed hmyzu a ďalšie alergény sa následkom ACE inhibície zvyšuje. Pred desenzibilizáciou je potrebné zvážiť dočasné pozastavenie liečby </w:t>
      </w:r>
      <w:r w:rsidR="000F3526" w:rsidRPr="003453F2">
        <w:t>RAMIMED</w:t>
      </w:r>
      <w:r w:rsidR="00E57C93">
        <w:t>OM</w:t>
      </w:r>
      <w:r w:rsidR="000F3526" w:rsidRPr="003453F2">
        <w:t xml:space="preserve"> HCT</w:t>
      </w:r>
      <w:r w:rsidRPr="003453F2">
        <w:t>.</w:t>
      </w:r>
    </w:p>
    <w:p w:rsidR="004B6243" w:rsidRDefault="004B6243"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Neutropénia/agranulocytóza</w:t>
      </w:r>
    </w:p>
    <w:p w:rsidR="0021742C" w:rsidRPr="003453F2" w:rsidRDefault="0021742C" w:rsidP="00611497">
      <w:pPr>
        <w:pStyle w:val="Normlndobloku"/>
      </w:pPr>
      <w:r w:rsidRPr="003453F2">
        <w:t xml:space="preserve">Zriedkavo sa vyskytla neutropénia/agranulocytóza a taktiež bol hlásený útlm kostnej drene. Odporúča sa sledovať počet bielych krviniek, aby bolo možné odhaliť možnú leukopéniu. Častejšie sledovanie sa odporúča v začiatočnej fáze liečby a u pacientov so zhoršenou renálnou funkciou, ktorí majú súčasne kolagénové ochorenie (napr. lupus erythematosus alebo sklerodermiu) a u pacientov liečených inými liekmi, ktoré môžu spôsobovať zmeny krvného obrazu (pozri časti </w:t>
      </w:r>
      <w:smartTag w:uri="urn:schemas-microsoft-com:office:smarttags" w:element="metricconverter">
        <w:smartTagPr>
          <w:attr w:name="ProductID" w:val="4.5 a"/>
        </w:smartTagPr>
        <w:r w:rsidRPr="003453F2">
          <w:t>4.5 a</w:t>
        </w:r>
      </w:smartTag>
      <w:r w:rsidRPr="003453F2">
        <w:t xml:space="preserve"> 4.8).</w:t>
      </w:r>
    </w:p>
    <w:p w:rsidR="004B6243" w:rsidRDefault="004B6243" w:rsidP="005D39E2">
      <w:pPr>
        <w:pStyle w:val="Styl3"/>
        <w:spacing w:before="0" w:after="0"/>
        <w:rPr>
          <w:lang w:val="sk-SK"/>
        </w:rPr>
      </w:pPr>
    </w:p>
    <w:p w:rsidR="006E3057" w:rsidRPr="00611497" w:rsidRDefault="006E3057" w:rsidP="005D39E2">
      <w:pPr>
        <w:pStyle w:val="Styl3"/>
        <w:spacing w:before="0" w:after="0"/>
        <w:rPr>
          <w:lang w:val="sk-SK"/>
        </w:rPr>
      </w:pPr>
      <w:r w:rsidRPr="00611497">
        <w:rPr>
          <w:lang w:val="sk-SK"/>
        </w:rPr>
        <w:t>Akútna myopia a glaukóm s uzavretým uhlom</w:t>
      </w:r>
    </w:p>
    <w:p w:rsidR="006E3057" w:rsidRPr="003453F2" w:rsidRDefault="006E3057" w:rsidP="00611497">
      <w:pPr>
        <w:pStyle w:val="Normlndobloku"/>
      </w:pPr>
      <w:r w:rsidRPr="003453F2">
        <w:t>Hydrochlorotiazid</w:t>
      </w:r>
      <w:r w:rsidR="00E57C93">
        <w:t xml:space="preserve"> ako</w:t>
      </w:r>
      <w:r w:rsidRPr="003453F2">
        <w:t xml:space="preserve"> sulfónamid môže spôsobiť </w:t>
      </w:r>
      <w:r w:rsidR="00E57C93">
        <w:t>idiosynkratickú</w:t>
      </w:r>
      <w:r w:rsidRPr="003453F2">
        <w:t xml:space="preserve"> reakciu</w:t>
      </w:r>
      <w:r w:rsidR="00E57C93">
        <w:t>, čo má za následok</w:t>
      </w:r>
      <w:r w:rsidRPr="003453F2">
        <w:t xml:space="preserve"> akútn</w:t>
      </w:r>
      <w:r w:rsidR="00E57C93">
        <w:t>u</w:t>
      </w:r>
      <w:r w:rsidRPr="003453F2">
        <w:t xml:space="preserve"> prechodn</w:t>
      </w:r>
      <w:r w:rsidR="00E57C93">
        <w:t>ú</w:t>
      </w:r>
      <w:r w:rsidRPr="003453F2">
        <w:t xml:space="preserve"> myopi</w:t>
      </w:r>
      <w:r w:rsidR="00E57C93">
        <w:t>u</w:t>
      </w:r>
      <w:r w:rsidRPr="003453F2">
        <w:t xml:space="preserve"> a akútn</w:t>
      </w:r>
      <w:r w:rsidR="00E57C93">
        <w:t>y</w:t>
      </w:r>
      <w:r w:rsidRPr="003453F2">
        <w:t xml:space="preserve"> glaukóm s uzavretým uhlom. Symptómy zahŕňajú akútny nástup zhoršenia zrakovej ostrosti alebo bolesť oka a zvyčajne sa objavia v priebehu niekoľkých hodín až týždňov po začatí liečby. Neliečený akútny glaukóm s uzavretým uhlom môže viesť k trvalej strate zraku. Primárna liečba spočíva v čo najrýchlejšom vysadení hydrochlorotiazidu. Ak sa vnútroočný tlak nepodarí dostať pod kontrolu, je potrebné zvážiť okamžitú medikamentóznu alebo chirurgickú liečbu. Medzi rizikové faktory vzniku akútneho glaukómu s uzavretým uhlom môže patriť alergie na sulfónamidy alebo penicilíny v anamnéze.</w:t>
      </w:r>
    </w:p>
    <w:p w:rsidR="004B6243" w:rsidRPr="003453F2" w:rsidRDefault="004B6243" w:rsidP="00611497">
      <w:pPr>
        <w:pStyle w:val="Normlndobloku"/>
      </w:pPr>
    </w:p>
    <w:p w:rsidR="0021742C" w:rsidRPr="003453F2" w:rsidRDefault="0021742C" w:rsidP="005D39E2">
      <w:pPr>
        <w:pStyle w:val="Styl3"/>
        <w:spacing w:before="0" w:after="0"/>
        <w:rPr>
          <w:lang w:val="sk-SK"/>
        </w:rPr>
      </w:pPr>
      <w:r w:rsidRPr="003453F2">
        <w:rPr>
          <w:lang w:val="sk-SK"/>
        </w:rPr>
        <w:t>Etnické rozdiely</w:t>
      </w:r>
    </w:p>
    <w:p w:rsidR="0021742C" w:rsidRPr="003453F2" w:rsidRDefault="0021742C" w:rsidP="00611497">
      <w:pPr>
        <w:pStyle w:val="Normlndobloku"/>
      </w:pPr>
      <w:r w:rsidRPr="003453F2">
        <w:t>ACE inhibítory spôsobujú vyšší výskyt angioedému u pacientov čiernej pleti v porovnaní s pacientmi inej rasy.</w:t>
      </w:r>
    </w:p>
    <w:p w:rsidR="0021742C" w:rsidRPr="003453F2" w:rsidRDefault="0021742C" w:rsidP="00611497">
      <w:pPr>
        <w:pStyle w:val="Normlndobloku"/>
      </w:pPr>
      <w:r w:rsidRPr="003453F2">
        <w:t>Podobne ako iné ACE inhibítory, ramipril môže byť menej účinný pri znižovaní krvného tlaku u</w:t>
      </w:r>
      <w:r w:rsidR="00EF198F" w:rsidRPr="003453F2">
        <w:t> </w:t>
      </w:r>
      <w:r w:rsidRPr="003453F2">
        <w:t>pacientov čiernej pleti ako u pacientov inej rasy, pravdepodobne z dôvodu vyššej prevalencie hypertenzie s nízkou hladinou renínu v černošskej populácii s hypertenziou.</w:t>
      </w:r>
    </w:p>
    <w:p w:rsidR="004B6243" w:rsidRDefault="004B6243" w:rsidP="005D39E2">
      <w:pPr>
        <w:pStyle w:val="Styl3"/>
        <w:spacing w:before="0" w:after="0"/>
        <w:rPr>
          <w:lang w:val="sk-SK"/>
        </w:rPr>
      </w:pPr>
    </w:p>
    <w:p w:rsidR="0021742C" w:rsidRPr="003453F2" w:rsidRDefault="00424792" w:rsidP="005D39E2">
      <w:pPr>
        <w:pStyle w:val="Styl3"/>
        <w:spacing w:before="0" w:after="0"/>
        <w:rPr>
          <w:lang w:val="sk-SK"/>
        </w:rPr>
      </w:pPr>
      <w:r w:rsidRPr="003453F2">
        <w:rPr>
          <w:lang w:val="sk-SK"/>
        </w:rPr>
        <w:t>Športovci</w:t>
      </w:r>
    </w:p>
    <w:p w:rsidR="00D97698" w:rsidRPr="003453F2" w:rsidRDefault="0021742C" w:rsidP="00611497">
      <w:pPr>
        <w:pStyle w:val="Normlndobloku"/>
      </w:pPr>
      <w:r w:rsidRPr="003453F2">
        <w:t>Hydrochlorotiazid môže spôsobiť pozitívny výsledok dopingového testu.</w:t>
      </w:r>
    </w:p>
    <w:p w:rsidR="004B6243" w:rsidRDefault="004B6243"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Metabolické a endokrinné účinky</w:t>
      </w:r>
    </w:p>
    <w:p w:rsidR="00D97698" w:rsidRPr="003453F2" w:rsidRDefault="0021742C" w:rsidP="00611497">
      <w:pPr>
        <w:pStyle w:val="Normlndobloku"/>
      </w:pPr>
      <w:r w:rsidRPr="003453F2">
        <w:t xml:space="preserve">Liečba </w:t>
      </w:r>
      <w:r w:rsidR="00C30C0A" w:rsidRPr="003453F2">
        <w:t>t</w:t>
      </w:r>
      <w:r w:rsidRPr="003453F2">
        <w:t>iazid</w:t>
      </w:r>
      <w:r w:rsidR="00C30C0A" w:rsidRPr="003453F2">
        <w:t>mi</w:t>
      </w:r>
      <w:r w:rsidRPr="003453F2">
        <w:t xml:space="preserve"> môže znížiť glukózovú toleranciu. U diabetických pacientov môže byť nutné upraviť dávky inzulínu alebo perorálnych hypoglykemických prípravkov. Počas liečby tiazidmi sa môže prejaviť latentný diabetes mellitus.</w:t>
      </w:r>
    </w:p>
    <w:p w:rsidR="0021742C" w:rsidRPr="003453F2" w:rsidRDefault="0021742C" w:rsidP="00611497">
      <w:pPr>
        <w:pStyle w:val="Normlndobloku"/>
      </w:pPr>
      <w:r w:rsidRPr="003453F2">
        <w:t>Pri liečbe tiazidmi dochádza k zvýšeniu hladiny cholesterolu a triglyceridov. U niektorých pacientov môže liečba tiazidmi vyvolať hyperurikémiu alebo dnu.</w:t>
      </w:r>
    </w:p>
    <w:p w:rsidR="004B6243" w:rsidRDefault="004B6243" w:rsidP="005D39E2">
      <w:pPr>
        <w:pStyle w:val="Styl3"/>
        <w:spacing w:before="0" w:after="0"/>
        <w:rPr>
          <w:lang w:val="sk-SK"/>
        </w:rPr>
      </w:pPr>
    </w:p>
    <w:p w:rsidR="0021742C" w:rsidRPr="003453F2" w:rsidRDefault="0021742C" w:rsidP="005D39E2">
      <w:pPr>
        <w:pStyle w:val="Styl3"/>
        <w:spacing w:before="0" w:after="0"/>
        <w:rPr>
          <w:lang w:val="sk-SK"/>
        </w:rPr>
      </w:pPr>
      <w:r w:rsidRPr="003453F2">
        <w:rPr>
          <w:lang w:val="sk-SK"/>
        </w:rPr>
        <w:t>Kašeľ</w:t>
      </w:r>
    </w:p>
    <w:p w:rsidR="0021742C" w:rsidRDefault="0021742C" w:rsidP="00611497">
      <w:pPr>
        <w:pStyle w:val="Normlndobloku"/>
      </w:pPr>
      <w:r w:rsidRPr="003453F2">
        <w:t>Pri užívaní ACE inhibítorov bol hlásený kašeľ. Charakteristicky je kašeľ neproduktívny, pretrvávajúci a po ukončení liečby vymizne. Kašeľ vyvolaný ACE inhibítorom je potrebné považovať ako odlišnú diagnózu kašľa.</w:t>
      </w:r>
    </w:p>
    <w:p w:rsidR="004B6243" w:rsidRPr="003453F2" w:rsidRDefault="004B6243" w:rsidP="00611497">
      <w:pPr>
        <w:pStyle w:val="Normlndobloku"/>
      </w:pPr>
    </w:p>
    <w:p w:rsidR="0021742C" w:rsidRPr="003453F2" w:rsidRDefault="0021742C" w:rsidP="005D39E2">
      <w:pPr>
        <w:pStyle w:val="Styl3"/>
        <w:spacing w:before="0" w:after="0"/>
        <w:rPr>
          <w:lang w:val="sk-SK"/>
        </w:rPr>
      </w:pPr>
      <w:r w:rsidRPr="003453F2">
        <w:rPr>
          <w:lang w:val="sk-SK"/>
        </w:rPr>
        <w:t>Iné</w:t>
      </w:r>
    </w:p>
    <w:p w:rsidR="0021742C" w:rsidRPr="003453F2" w:rsidRDefault="0021742C" w:rsidP="00611497">
      <w:pPr>
        <w:pStyle w:val="Normlndobloku"/>
      </w:pPr>
      <w:r w:rsidRPr="003453F2">
        <w:t>U pacientov s alergickou anamnézou alebo anamnézou bronchiálnej astmy, ale aj bez daných anamnéz, sa môžu vyskytnúť reakcie z precitlivenosti. Pri užívaní tiazidov bola popísaná možnosť exacerbácie alebo aktivácie systémového lupus erythematosus.</w:t>
      </w:r>
    </w:p>
    <w:p w:rsidR="004B6243" w:rsidRDefault="004B6243" w:rsidP="005D39E2">
      <w:pPr>
        <w:pStyle w:val="Styl3"/>
        <w:spacing w:before="0" w:after="0"/>
        <w:rPr>
          <w:lang w:val="sk-SK"/>
        </w:rPr>
      </w:pPr>
    </w:p>
    <w:p w:rsidR="008E17F1" w:rsidRPr="005D39E2" w:rsidRDefault="001D0E59" w:rsidP="005D39E2">
      <w:pPr>
        <w:pStyle w:val="Styl3"/>
        <w:spacing w:before="0" w:after="0"/>
        <w:rPr>
          <w:i/>
          <w:u w:val="none"/>
          <w:lang w:val="sk-SK"/>
        </w:rPr>
      </w:pPr>
      <w:r w:rsidRPr="005D39E2">
        <w:rPr>
          <w:i/>
          <w:u w:val="none"/>
          <w:lang w:val="sk-SK"/>
        </w:rPr>
        <w:t>D</w:t>
      </w:r>
      <w:r>
        <w:rPr>
          <w:i/>
          <w:u w:val="none"/>
          <w:lang w:val="sk-SK"/>
        </w:rPr>
        <w:t>uálna</w:t>
      </w:r>
      <w:r w:rsidRPr="005D39E2">
        <w:rPr>
          <w:i/>
          <w:u w:val="none"/>
          <w:lang w:val="sk-SK"/>
        </w:rPr>
        <w:t xml:space="preserve"> </w:t>
      </w:r>
      <w:r w:rsidR="00F64367">
        <w:rPr>
          <w:i/>
          <w:u w:val="none"/>
          <w:lang w:val="sk-SK"/>
        </w:rPr>
        <w:t>inhibícia</w:t>
      </w:r>
      <w:r w:rsidR="00F64367" w:rsidRPr="005D39E2">
        <w:rPr>
          <w:i/>
          <w:u w:val="none"/>
          <w:lang w:val="sk-SK"/>
        </w:rPr>
        <w:t xml:space="preserve"> </w:t>
      </w:r>
      <w:r w:rsidR="008E17F1" w:rsidRPr="005D39E2">
        <w:rPr>
          <w:i/>
          <w:u w:val="none"/>
          <w:lang w:val="sk-SK"/>
        </w:rPr>
        <w:t xml:space="preserve">systému </w:t>
      </w:r>
      <w:proofErr w:type="spellStart"/>
      <w:r w:rsidR="008E17F1" w:rsidRPr="005D39E2">
        <w:rPr>
          <w:i/>
          <w:u w:val="none"/>
          <w:lang w:val="sk-SK"/>
        </w:rPr>
        <w:t>renín-angiotenzín-aldosterón</w:t>
      </w:r>
      <w:proofErr w:type="spellEnd"/>
      <w:r w:rsidR="008E17F1" w:rsidRPr="005D39E2">
        <w:rPr>
          <w:i/>
          <w:u w:val="none"/>
          <w:lang w:val="sk-SK"/>
        </w:rPr>
        <w:t xml:space="preserve"> (RAAS)</w:t>
      </w:r>
    </w:p>
    <w:p w:rsidR="008E17F1" w:rsidRPr="00AD335A" w:rsidRDefault="008E17F1" w:rsidP="00611497">
      <w:pPr>
        <w:pStyle w:val="Normlndobloku"/>
      </w:pPr>
      <w:r w:rsidRPr="003453F2">
        <w:t xml:space="preserve">U citlivých jedincov bola </w:t>
      </w:r>
      <w:r w:rsidR="001D0E59">
        <w:t xml:space="preserve">následkom inhibície systému </w:t>
      </w:r>
      <w:r w:rsidR="001D0E59" w:rsidRPr="003453F2">
        <w:t xml:space="preserve">renín-angiotenzín-aldosterón </w:t>
      </w:r>
      <w:r w:rsidRPr="003453F2">
        <w:t xml:space="preserve">hlásená hypotenzia, synkopa, hyperkaliémia a zmeny </w:t>
      </w:r>
      <w:r w:rsidR="001D0E59">
        <w:t xml:space="preserve">renálnej </w:t>
      </w:r>
      <w:r w:rsidRPr="003453F2">
        <w:t>funkci</w:t>
      </w:r>
      <w:r w:rsidR="005B4CCA">
        <w:t>e</w:t>
      </w:r>
      <w:r w:rsidRPr="003453F2">
        <w:t xml:space="preserve"> (vrátane akútneho zlyhania obličiek) najmä pri kombinácii </w:t>
      </w:r>
      <w:r w:rsidR="001D0E59">
        <w:t>lie</w:t>
      </w:r>
      <w:r w:rsidR="001D0E59" w:rsidRPr="003453F2">
        <w:t>kov</w:t>
      </w:r>
      <w:r w:rsidRPr="003453F2">
        <w:t xml:space="preserve">, ktoré ovplyvňujú tento systém. </w:t>
      </w:r>
      <w:r w:rsidR="001D0E59" w:rsidRPr="003453F2">
        <w:t>D</w:t>
      </w:r>
      <w:r w:rsidR="001D0E59">
        <w:t>uálna</w:t>
      </w:r>
      <w:r w:rsidR="001D0E59" w:rsidRPr="003453F2">
        <w:t xml:space="preserve"> </w:t>
      </w:r>
      <w:r w:rsidR="00F64367">
        <w:t>inhibícia</w:t>
      </w:r>
      <w:r w:rsidR="00F64367" w:rsidRPr="003453F2">
        <w:t xml:space="preserve"> </w:t>
      </w:r>
      <w:r w:rsidRPr="003453F2">
        <w:t xml:space="preserve">systému </w:t>
      </w:r>
      <w:proofErr w:type="spellStart"/>
      <w:r w:rsidRPr="003453F2">
        <w:t>renín-angiotenzín-aldosterón</w:t>
      </w:r>
      <w:proofErr w:type="spellEnd"/>
      <w:r w:rsidRPr="003453F2">
        <w:t xml:space="preserve"> (napr. pri podávaní </w:t>
      </w:r>
      <w:proofErr w:type="spellStart"/>
      <w:r w:rsidRPr="003453F2">
        <w:t>ramiprilu</w:t>
      </w:r>
      <w:proofErr w:type="spellEnd"/>
      <w:r w:rsidRPr="003453F2">
        <w:t xml:space="preserve"> s</w:t>
      </w:r>
      <w:r w:rsidR="00EF198F" w:rsidRPr="003453F2">
        <w:t> </w:t>
      </w:r>
      <w:r w:rsidRPr="003453F2">
        <w:t xml:space="preserve">ostatnými </w:t>
      </w:r>
      <w:proofErr w:type="spellStart"/>
      <w:r w:rsidRPr="003453F2">
        <w:t>blokátor</w:t>
      </w:r>
      <w:r w:rsidR="00F64367">
        <w:t>mi</w:t>
      </w:r>
      <w:proofErr w:type="spellEnd"/>
      <w:r w:rsidR="001D0E59">
        <w:t xml:space="preserve"> systému</w:t>
      </w:r>
      <w:r w:rsidRPr="003453F2">
        <w:t xml:space="preserve"> </w:t>
      </w:r>
      <w:proofErr w:type="spellStart"/>
      <w:r w:rsidRPr="003453F2">
        <w:t>renín-</w:t>
      </w:r>
      <w:r w:rsidRPr="003A17BF">
        <w:t>angiotenzín-aldosterón</w:t>
      </w:r>
      <w:proofErr w:type="spellEnd"/>
      <w:r w:rsidRPr="003A17BF">
        <w:t>) sa preto neodporúča. Ak sa sú</w:t>
      </w:r>
      <w:r w:rsidR="001D0E59" w:rsidRPr="003A17BF">
        <w:t>bež</w:t>
      </w:r>
      <w:r w:rsidRPr="00AD335A">
        <w:t xml:space="preserve">né podávanie považuje za </w:t>
      </w:r>
      <w:r w:rsidR="00EA17E2" w:rsidRPr="00AD335A">
        <w:t>nevyhnutné</w:t>
      </w:r>
      <w:r w:rsidRPr="00AD335A">
        <w:t>, odporúča sa pozorné monitorovanie renálnej funkcie.</w:t>
      </w:r>
    </w:p>
    <w:p w:rsidR="006B501E" w:rsidRPr="00AD335A" w:rsidRDefault="007457EB" w:rsidP="007457EB">
      <w:pPr>
        <w:pStyle w:val="Normlndobloku"/>
      </w:pPr>
      <w:r w:rsidRPr="00AD335A">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7457EB" w:rsidRPr="00AD335A" w:rsidRDefault="007457EB" w:rsidP="00727EB5">
      <w:pPr>
        <w:pStyle w:val="Normlndobloku"/>
      </w:pPr>
      <w:r w:rsidRPr="00AD335A">
        <w:t>Ak sa liečba duálnou inhibíciou považuje za absolútne nevyhnutnú, má sa podať iba pod dohľadom odborníka a u pacienta sa m</w:t>
      </w:r>
      <w:r w:rsidR="00620497" w:rsidRPr="00AD335A">
        <w:t>á</w:t>
      </w:r>
      <w:r w:rsidRPr="00AD335A">
        <w:t xml:space="preserve"> často a dôsledne kontrolovať funkcia obličiek, elektrolyty a krvný tlak.</w:t>
      </w:r>
    </w:p>
    <w:p w:rsidR="008E17F1" w:rsidRPr="003A17BF" w:rsidRDefault="007457EB" w:rsidP="007457EB">
      <w:pPr>
        <w:pStyle w:val="Normlndobloku"/>
      </w:pPr>
      <w:r w:rsidRPr="00AD335A">
        <w:t>Inhibítory ACE a blokátory receptorov angiotenzínu II sa nemajú súbežne používať u pacientov s</w:t>
      </w:r>
      <w:r w:rsidR="00566F61" w:rsidRPr="00AD335A">
        <w:t> </w:t>
      </w:r>
      <w:r w:rsidRPr="00AD335A">
        <w:t xml:space="preserve">diabetickou </w:t>
      </w:r>
      <w:proofErr w:type="spellStart"/>
      <w:r w:rsidRPr="00AD335A">
        <w:t>nefropatiou</w:t>
      </w:r>
      <w:proofErr w:type="spellEnd"/>
      <w:r w:rsidRPr="00AD335A">
        <w:t>.</w:t>
      </w:r>
    </w:p>
    <w:p w:rsidR="004B6243" w:rsidRPr="00AD335A" w:rsidRDefault="004B6243" w:rsidP="00236263">
      <w:pPr>
        <w:pStyle w:val="Normlndobloku"/>
      </w:pPr>
    </w:p>
    <w:p w:rsidR="008D53DF" w:rsidRDefault="00C334BA" w:rsidP="00611497">
      <w:pPr>
        <w:pStyle w:val="Normlndobloku"/>
      </w:pPr>
      <w:r w:rsidRPr="00AD335A">
        <w:t xml:space="preserve">Tento liek </w:t>
      </w:r>
      <w:r w:rsidR="008D53DF" w:rsidRPr="00AD335A">
        <w:t>obsahuje monohydrát laktózy. Pacienti so zriedkavými dedičnými problémami galaktózovej intolerancie, lapónskeho deficitu laktázy alebo glukózogalaktózovej malabsorpcie nesmú užívať tento liek.</w:t>
      </w:r>
    </w:p>
    <w:p w:rsidR="004B6243" w:rsidRPr="003453F2" w:rsidRDefault="004B6243" w:rsidP="00611497">
      <w:pPr>
        <w:pStyle w:val="Normlndobloku"/>
      </w:pPr>
    </w:p>
    <w:p w:rsidR="00CD1BB9" w:rsidRDefault="00CD1BB9" w:rsidP="005D39E2">
      <w:pPr>
        <w:pStyle w:val="Styl2"/>
        <w:spacing w:before="0" w:after="0"/>
        <w:rPr>
          <w:lang w:val="sk-SK"/>
        </w:rPr>
      </w:pPr>
      <w:r w:rsidRPr="003453F2">
        <w:rPr>
          <w:lang w:val="sk-SK"/>
        </w:rPr>
        <w:t>Liekové a iné interakcie</w:t>
      </w:r>
    </w:p>
    <w:p w:rsidR="004B6243" w:rsidRPr="003453F2" w:rsidRDefault="004B6243" w:rsidP="005D39E2">
      <w:pPr>
        <w:pStyle w:val="Styl2"/>
        <w:numPr>
          <w:ilvl w:val="0"/>
          <w:numId w:val="0"/>
        </w:numPr>
        <w:spacing w:before="0" w:after="0"/>
        <w:rPr>
          <w:lang w:val="sk-SK"/>
        </w:rPr>
      </w:pPr>
    </w:p>
    <w:p w:rsidR="00313E1E" w:rsidRDefault="00313E1E" w:rsidP="005D39E2">
      <w:pPr>
        <w:pStyle w:val="Styl3"/>
        <w:spacing w:before="0" w:after="0"/>
        <w:rPr>
          <w:lang w:val="sk-SK"/>
        </w:rPr>
      </w:pPr>
      <w:r w:rsidRPr="003453F2">
        <w:rPr>
          <w:lang w:val="sk-SK"/>
        </w:rPr>
        <w:t>Kontraindikované kombinácie</w:t>
      </w:r>
    </w:p>
    <w:p w:rsidR="004B6243" w:rsidRPr="003453F2" w:rsidRDefault="004B6243" w:rsidP="005D39E2">
      <w:pPr>
        <w:pStyle w:val="Styl3"/>
        <w:spacing w:before="0" w:after="0"/>
        <w:rPr>
          <w:lang w:val="sk-SK"/>
        </w:rPr>
      </w:pPr>
    </w:p>
    <w:p w:rsidR="00313E1E" w:rsidRPr="003453F2" w:rsidRDefault="00313E1E" w:rsidP="00611497">
      <w:pPr>
        <w:pStyle w:val="Normlndobloku"/>
      </w:pPr>
      <w:r w:rsidRPr="003453F2">
        <w:t>Extrakorporálne liečby umožňujúce kontakt krvi s negatívne nabitými povrchmi ako je napríklad dialýza alebo hemofiltrácia s určitými vysokoprietokovými membránami (napr. polyakrylonitrilové membrány) a nízkodenzitnou lipoproteínovou aferézou s dextránsulfátom pre zvýšené riziko ťažkých anafylaktoidných reakcií (pozri časť 4.3). Pri takejto liečbe sa vyžaduje, aby sa zvážilo použitie odlišného typu dialyzačnej membrány alebo lieku z inej skupiny antihypertenzív.</w:t>
      </w:r>
    </w:p>
    <w:p w:rsidR="004B6243" w:rsidRDefault="004B6243" w:rsidP="005D39E2">
      <w:pPr>
        <w:pStyle w:val="Styl3"/>
        <w:spacing w:before="0" w:after="0"/>
        <w:rPr>
          <w:lang w:val="sk-SK"/>
        </w:rPr>
      </w:pPr>
    </w:p>
    <w:p w:rsidR="00313E1E" w:rsidRDefault="00313E1E" w:rsidP="005D39E2">
      <w:pPr>
        <w:pStyle w:val="Styl3"/>
        <w:spacing w:before="0" w:after="0"/>
        <w:rPr>
          <w:lang w:val="sk-SK"/>
        </w:rPr>
      </w:pPr>
      <w:r w:rsidRPr="003453F2">
        <w:rPr>
          <w:lang w:val="sk-SK"/>
        </w:rPr>
        <w:t>Opatrenia pri používaní</w:t>
      </w:r>
    </w:p>
    <w:p w:rsidR="00EA17E2" w:rsidRPr="003453F2" w:rsidRDefault="00EA17E2" w:rsidP="005D39E2">
      <w:pPr>
        <w:pStyle w:val="Styl3"/>
        <w:spacing w:before="0" w:after="0"/>
        <w:rPr>
          <w:lang w:val="sk-SK"/>
        </w:rPr>
      </w:pPr>
    </w:p>
    <w:p w:rsidR="00336194" w:rsidRPr="005D39E2" w:rsidRDefault="00313E1E" w:rsidP="00611497">
      <w:pPr>
        <w:pStyle w:val="Styl3"/>
        <w:spacing w:before="0" w:after="0"/>
        <w:jc w:val="both"/>
        <w:rPr>
          <w:i/>
          <w:u w:val="none"/>
          <w:lang w:val="sk-SK"/>
        </w:rPr>
      </w:pPr>
      <w:r w:rsidRPr="005D39E2">
        <w:rPr>
          <w:i/>
          <w:u w:val="none"/>
          <w:lang w:val="sk-SK"/>
        </w:rPr>
        <w:t xml:space="preserve">Draselné soli, heparín, draslík šetriace diuretiká a ďalšie liečivá zvyšujúce hladinu draslíka v plazme (vrátane antagonistov </w:t>
      </w:r>
      <w:proofErr w:type="spellStart"/>
      <w:r w:rsidRPr="005D39E2">
        <w:rPr>
          <w:i/>
          <w:u w:val="none"/>
          <w:lang w:val="sk-SK"/>
        </w:rPr>
        <w:t>angiotenzínu</w:t>
      </w:r>
      <w:proofErr w:type="spellEnd"/>
      <w:r w:rsidRPr="005D39E2">
        <w:rPr>
          <w:i/>
          <w:u w:val="none"/>
          <w:lang w:val="sk-SK"/>
        </w:rPr>
        <w:t xml:space="preserve"> II, </w:t>
      </w:r>
      <w:proofErr w:type="spellStart"/>
      <w:r w:rsidRPr="005D39E2">
        <w:rPr>
          <w:i/>
          <w:u w:val="none"/>
          <w:lang w:val="sk-SK"/>
        </w:rPr>
        <w:t>takrolimu</w:t>
      </w:r>
      <w:proofErr w:type="spellEnd"/>
      <w:r w:rsidRPr="005D39E2">
        <w:rPr>
          <w:i/>
          <w:u w:val="none"/>
          <w:lang w:val="sk-SK"/>
        </w:rPr>
        <w:t xml:space="preserve">, </w:t>
      </w:r>
      <w:proofErr w:type="spellStart"/>
      <w:r w:rsidRPr="005D39E2">
        <w:rPr>
          <w:i/>
          <w:u w:val="none"/>
          <w:lang w:val="sk-SK"/>
        </w:rPr>
        <w:t>cyklosporínu</w:t>
      </w:r>
      <w:proofErr w:type="spellEnd"/>
      <w:r w:rsidR="00336194" w:rsidRPr="005D39E2">
        <w:rPr>
          <w:i/>
          <w:u w:val="none"/>
          <w:lang w:val="sk-SK"/>
        </w:rPr>
        <w:t>)</w:t>
      </w:r>
    </w:p>
    <w:p w:rsidR="00313E1E" w:rsidRPr="00AD335A" w:rsidRDefault="00313E1E" w:rsidP="00611497">
      <w:pPr>
        <w:pStyle w:val="Normlndobloku"/>
      </w:pPr>
      <w:r w:rsidRPr="003A17BF">
        <w:t>Môže sa vyskytnúť hyperkaliémia, preto</w:t>
      </w:r>
      <w:r w:rsidRPr="00AD335A">
        <w:t xml:space="preserve"> sa vyžaduje sledovanie hladiny sérového draslíka.</w:t>
      </w:r>
    </w:p>
    <w:p w:rsidR="003269E9" w:rsidRPr="00AD335A" w:rsidRDefault="003269E9" w:rsidP="00611497">
      <w:pPr>
        <w:pStyle w:val="Normlndobloku"/>
      </w:pPr>
    </w:p>
    <w:p w:rsidR="003269E9" w:rsidRPr="003A17BF" w:rsidRDefault="003269E9" w:rsidP="00727EB5">
      <w:pPr>
        <w:pStyle w:val="Styl3"/>
        <w:spacing w:before="0" w:after="0"/>
        <w:jc w:val="both"/>
        <w:rPr>
          <w:i/>
          <w:iCs/>
        </w:rPr>
      </w:pPr>
      <w:r w:rsidRPr="00AD335A">
        <w:rPr>
          <w:bCs w:val="0"/>
          <w:i/>
          <w:iCs/>
          <w:u w:val="none"/>
          <w:lang w:val="sk-SK"/>
        </w:rPr>
        <w:lastRenderedPageBreak/>
        <w:t>Trimetoprim a kotrimoxazol (trimetoprim/sulfametoxazol)</w:t>
      </w:r>
    </w:p>
    <w:p w:rsidR="003269E9" w:rsidRPr="003A17BF" w:rsidRDefault="003269E9" w:rsidP="003269E9">
      <w:pPr>
        <w:pStyle w:val="Normlndobloku"/>
      </w:pPr>
      <w:r w:rsidRPr="00AD335A">
        <w:t xml:space="preserve">Pacientom na súbežnej liečbe </w:t>
      </w:r>
      <w:r w:rsidR="00EA17E2" w:rsidRPr="00AD335A">
        <w:t xml:space="preserve">ACE inhibítormi a trimetoprimom a </w:t>
      </w:r>
      <w:r w:rsidRPr="00AD335A">
        <w:t>kotrimoxazolom (trimetoprim/sulfametoxazol) môže hroziť vyššie riziko hyperkaliémie (pozri časť 4.4).</w:t>
      </w:r>
    </w:p>
    <w:p w:rsidR="004B6243" w:rsidRPr="00AD335A" w:rsidRDefault="004B6243" w:rsidP="00727EB5">
      <w:pPr>
        <w:pStyle w:val="Normlndobloku"/>
      </w:pPr>
    </w:p>
    <w:p w:rsidR="00EA17E2" w:rsidRPr="00AD335A" w:rsidRDefault="00314A0D" w:rsidP="00727EB5">
      <w:pPr>
        <w:pStyle w:val="Normlndobloku"/>
        <w:rPr>
          <w:bCs/>
          <w:i/>
          <w:szCs w:val="22"/>
          <w:lang w:eastAsia="en-US"/>
        </w:rPr>
      </w:pPr>
      <w:r w:rsidRPr="00AD335A">
        <w:rPr>
          <w:i/>
        </w:rPr>
        <w:t>D</w:t>
      </w:r>
      <w:r w:rsidR="00EA17E2" w:rsidRPr="00AD335A">
        <w:rPr>
          <w:i/>
        </w:rPr>
        <w:t>uálna inhibícia systému</w:t>
      </w:r>
      <w:r w:rsidRPr="00AD335A">
        <w:rPr>
          <w:bCs/>
          <w:i/>
          <w:szCs w:val="22"/>
          <w:lang w:eastAsia="en-US"/>
        </w:rPr>
        <w:t xml:space="preserve"> </w:t>
      </w:r>
      <w:proofErr w:type="spellStart"/>
      <w:r w:rsidRPr="00AD335A">
        <w:rPr>
          <w:i/>
        </w:rPr>
        <w:t>renín-</w:t>
      </w:r>
      <w:r w:rsidRPr="00AD335A">
        <w:rPr>
          <w:bCs/>
          <w:i/>
          <w:szCs w:val="22"/>
          <w:lang w:eastAsia="en-US"/>
        </w:rPr>
        <w:t>angiotenzín</w:t>
      </w:r>
      <w:r w:rsidRPr="00AD335A">
        <w:rPr>
          <w:i/>
        </w:rPr>
        <w:t>-</w:t>
      </w:r>
      <w:r w:rsidRPr="00AD335A">
        <w:rPr>
          <w:bCs/>
          <w:i/>
          <w:szCs w:val="22"/>
          <w:lang w:eastAsia="en-US"/>
        </w:rPr>
        <w:t>aldosterón</w:t>
      </w:r>
      <w:proofErr w:type="spellEnd"/>
      <w:r w:rsidRPr="00AD335A">
        <w:rPr>
          <w:bCs/>
          <w:i/>
          <w:szCs w:val="22"/>
          <w:lang w:eastAsia="en-US"/>
        </w:rPr>
        <w:t xml:space="preserve"> </w:t>
      </w:r>
      <w:r w:rsidRPr="00AD335A">
        <w:rPr>
          <w:i/>
        </w:rPr>
        <w:t>(</w:t>
      </w:r>
      <w:r w:rsidRPr="00AD335A">
        <w:rPr>
          <w:bCs/>
          <w:i/>
          <w:szCs w:val="22"/>
          <w:lang w:eastAsia="en-US"/>
        </w:rPr>
        <w:t xml:space="preserve">RAAS) </w:t>
      </w:r>
      <w:r w:rsidRPr="00AD335A">
        <w:rPr>
          <w:i/>
        </w:rPr>
        <w:t>pomocou</w:t>
      </w:r>
      <w:r w:rsidRPr="00AD335A">
        <w:rPr>
          <w:bCs/>
          <w:i/>
          <w:szCs w:val="22"/>
          <w:lang w:eastAsia="en-US"/>
        </w:rPr>
        <w:t xml:space="preserve"> </w:t>
      </w:r>
      <w:r w:rsidRPr="00AD335A">
        <w:rPr>
          <w:i/>
        </w:rPr>
        <w:t xml:space="preserve">kombinovaného </w:t>
      </w:r>
      <w:r w:rsidR="00EA17E2" w:rsidRPr="00AD335A">
        <w:rPr>
          <w:i/>
        </w:rPr>
        <w:t>po</w:t>
      </w:r>
      <w:r w:rsidRPr="00AD335A">
        <w:rPr>
          <w:i/>
        </w:rPr>
        <w:t>užívania</w:t>
      </w:r>
      <w:r w:rsidRPr="00AD335A">
        <w:rPr>
          <w:bCs/>
          <w:i/>
          <w:szCs w:val="22"/>
          <w:lang w:eastAsia="en-US"/>
        </w:rPr>
        <w:t xml:space="preserve"> </w:t>
      </w:r>
      <w:r w:rsidRPr="00AD335A">
        <w:rPr>
          <w:i/>
        </w:rPr>
        <w:t>ACE</w:t>
      </w:r>
      <w:r w:rsidRPr="00AD335A">
        <w:rPr>
          <w:bCs/>
          <w:i/>
          <w:szCs w:val="22"/>
          <w:lang w:eastAsia="en-US"/>
        </w:rPr>
        <w:t xml:space="preserve"> inhibítorov, antagonistov </w:t>
      </w:r>
      <w:r w:rsidRPr="00AD335A">
        <w:rPr>
          <w:i/>
        </w:rPr>
        <w:t>angiotenzín</w:t>
      </w:r>
      <w:r w:rsidRPr="00AD335A">
        <w:rPr>
          <w:bCs/>
          <w:i/>
          <w:szCs w:val="22"/>
          <w:lang w:eastAsia="en-US"/>
        </w:rPr>
        <w:t xml:space="preserve">u </w:t>
      </w:r>
      <w:r w:rsidRPr="00AD335A">
        <w:rPr>
          <w:i/>
        </w:rPr>
        <w:t>II</w:t>
      </w:r>
      <w:r w:rsidRPr="00AD335A">
        <w:rPr>
          <w:bCs/>
          <w:i/>
          <w:szCs w:val="22"/>
          <w:lang w:eastAsia="en-US"/>
        </w:rPr>
        <w:t xml:space="preserve"> </w:t>
      </w:r>
      <w:r w:rsidRPr="00AD335A">
        <w:rPr>
          <w:i/>
        </w:rPr>
        <w:t>alebo</w:t>
      </w:r>
      <w:r w:rsidRPr="00AD335A">
        <w:rPr>
          <w:bCs/>
          <w:i/>
          <w:szCs w:val="22"/>
          <w:lang w:eastAsia="en-US"/>
        </w:rPr>
        <w:t xml:space="preserve"> </w:t>
      </w:r>
      <w:r w:rsidRPr="00AD335A">
        <w:rPr>
          <w:i/>
        </w:rPr>
        <w:t>aliskirenu</w:t>
      </w:r>
    </w:p>
    <w:p w:rsidR="00314A0D" w:rsidRPr="003A17BF" w:rsidRDefault="00314A0D" w:rsidP="00727EB5">
      <w:pPr>
        <w:pStyle w:val="Normlndobloku"/>
      </w:pPr>
      <w:r w:rsidRPr="00AD335A">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314A0D" w:rsidRPr="00AD335A" w:rsidRDefault="00314A0D" w:rsidP="00727EB5">
      <w:pPr>
        <w:pStyle w:val="Normlndobloku"/>
      </w:pPr>
    </w:p>
    <w:p w:rsidR="00336194" w:rsidRPr="00611497" w:rsidRDefault="00313E1E" w:rsidP="00611497">
      <w:pPr>
        <w:pStyle w:val="Styl3"/>
        <w:spacing w:before="0" w:after="0"/>
        <w:jc w:val="both"/>
        <w:rPr>
          <w:bCs w:val="0"/>
          <w:i/>
          <w:iCs/>
          <w:u w:val="none"/>
          <w:lang w:val="sk-SK"/>
        </w:rPr>
      </w:pPr>
      <w:r w:rsidRPr="00AD335A">
        <w:rPr>
          <w:bCs w:val="0"/>
          <w:i/>
          <w:iCs/>
          <w:u w:val="none"/>
          <w:lang w:val="sk-SK"/>
        </w:rPr>
        <w:t xml:space="preserve">Antihypertenzíva (napr. diuretiká) a ďalšie lieky, ktoré môžu znižovať krvný tlak (napr. nitráty, tricyklické antidepresíva, anestetiká, akútny príjem alkoholu, baklofen, alfuzosín, doxazosín, prazosín, </w:t>
      </w:r>
      <w:r w:rsidR="00844CDA" w:rsidRPr="00AD335A">
        <w:rPr>
          <w:bCs w:val="0"/>
          <w:i/>
          <w:iCs/>
          <w:u w:val="none"/>
          <w:lang w:val="sk-SK"/>
        </w:rPr>
        <w:t>tamsulozín</w:t>
      </w:r>
      <w:r w:rsidRPr="00AD335A">
        <w:rPr>
          <w:bCs w:val="0"/>
          <w:i/>
          <w:iCs/>
          <w:u w:val="none"/>
          <w:lang w:val="sk-SK"/>
        </w:rPr>
        <w:t xml:space="preserve">, </w:t>
      </w:r>
      <w:r w:rsidR="00844CDA" w:rsidRPr="00AD335A">
        <w:rPr>
          <w:bCs w:val="0"/>
          <w:i/>
          <w:iCs/>
          <w:u w:val="none"/>
          <w:lang w:val="sk-SK"/>
        </w:rPr>
        <w:t>terazozín</w:t>
      </w:r>
      <w:r w:rsidRPr="00611497">
        <w:rPr>
          <w:bCs w:val="0"/>
          <w:i/>
          <w:iCs/>
          <w:u w:val="none"/>
          <w:lang w:val="sk-SK"/>
        </w:rPr>
        <w:t>)</w:t>
      </w:r>
    </w:p>
    <w:p w:rsidR="00313E1E" w:rsidRDefault="00313E1E" w:rsidP="00611497">
      <w:pPr>
        <w:pStyle w:val="Normlndobloku"/>
      </w:pPr>
      <w:r w:rsidRPr="003453F2">
        <w:t>Predpokladá sa potenciácia rizika hypotenzie (pozri časť 4.2 o diuretikách).</w:t>
      </w:r>
    </w:p>
    <w:p w:rsidR="004B6243" w:rsidRPr="003453F2" w:rsidRDefault="004B6243" w:rsidP="00611497">
      <w:pPr>
        <w:pStyle w:val="Normlndobloku"/>
      </w:pPr>
    </w:p>
    <w:p w:rsidR="00336194" w:rsidRPr="00611497" w:rsidRDefault="00313E1E" w:rsidP="00611497">
      <w:pPr>
        <w:pStyle w:val="Styl3"/>
        <w:spacing w:before="0" w:after="0"/>
        <w:jc w:val="both"/>
        <w:rPr>
          <w:bCs w:val="0"/>
          <w:i/>
          <w:iCs/>
          <w:u w:val="none"/>
          <w:lang w:val="sk-SK"/>
        </w:rPr>
      </w:pPr>
      <w:r w:rsidRPr="00611497">
        <w:rPr>
          <w:bCs w:val="0"/>
          <w:i/>
          <w:iCs/>
          <w:u w:val="none"/>
          <w:lang w:val="sk-SK"/>
        </w:rPr>
        <w:t>Vazopresorické sympatomimetiká a ďalšie lieky (adrenalín), ktoré môžu znižovať antihypertenzn</w:t>
      </w:r>
      <w:r w:rsidR="006A7B07" w:rsidRPr="00611497">
        <w:rPr>
          <w:bCs w:val="0"/>
          <w:i/>
          <w:iCs/>
          <w:u w:val="none"/>
          <w:lang w:val="sk-SK"/>
        </w:rPr>
        <w:t>ý</w:t>
      </w:r>
      <w:r w:rsidRPr="00611497">
        <w:rPr>
          <w:bCs w:val="0"/>
          <w:i/>
          <w:iCs/>
          <w:u w:val="none"/>
          <w:lang w:val="sk-SK"/>
        </w:rPr>
        <w:t xml:space="preserve"> účinok </w:t>
      </w:r>
      <w:r w:rsidR="000F3526" w:rsidRPr="00611497">
        <w:rPr>
          <w:bCs w:val="0"/>
          <w:i/>
          <w:iCs/>
          <w:u w:val="none"/>
          <w:lang w:val="sk-SK"/>
        </w:rPr>
        <w:t>RAMIMED</w:t>
      </w:r>
      <w:r w:rsidR="00BB6588" w:rsidRPr="00611497">
        <w:rPr>
          <w:bCs w:val="0"/>
          <w:i/>
          <w:iCs/>
          <w:u w:val="none"/>
          <w:lang w:val="sk-SK"/>
        </w:rPr>
        <w:t>U</w:t>
      </w:r>
      <w:r w:rsidR="000F3526" w:rsidRPr="00611497">
        <w:rPr>
          <w:bCs w:val="0"/>
          <w:i/>
          <w:iCs/>
          <w:u w:val="none"/>
          <w:lang w:val="sk-SK"/>
        </w:rPr>
        <w:t xml:space="preserve"> HCT</w:t>
      </w:r>
    </w:p>
    <w:p w:rsidR="00313E1E" w:rsidRDefault="00313E1E" w:rsidP="00611497">
      <w:pPr>
        <w:pStyle w:val="Normlndobloku"/>
      </w:pPr>
      <w:r w:rsidRPr="004B6243">
        <w:t>Odporúča sa sledovať krvný tlak.</w:t>
      </w:r>
    </w:p>
    <w:p w:rsidR="008E17F1" w:rsidRDefault="00BB6588" w:rsidP="00611497">
      <w:pPr>
        <w:pStyle w:val="Normlndobloku"/>
      </w:pPr>
      <w:r>
        <w:t>Okrem toho, ú</w:t>
      </w:r>
      <w:r w:rsidR="008E17F1" w:rsidRPr="003453F2">
        <w:t xml:space="preserve">činok vazopresorických sympatomimetík môže byť </w:t>
      </w:r>
      <w:r>
        <w:t>zoslabený</w:t>
      </w:r>
      <w:r w:rsidR="008E17F1" w:rsidRPr="003453F2">
        <w:t xml:space="preserve"> hydrochlor</w:t>
      </w:r>
      <w:r w:rsidR="00D7210E" w:rsidRPr="003453F2">
        <w:t>o</w:t>
      </w:r>
      <w:r w:rsidR="008E17F1" w:rsidRPr="003453F2">
        <w:t>tiazid</w:t>
      </w:r>
      <w:r>
        <w:t>om</w:t>
      </w:r>
      <w:r w:rsidR="008E17F1" w:rsidRPr="003453F2">
        <w:t>.</w:t>
      </w:r>
    </w:p>
    <w:p w:rsidR="004B6243" w:rsidRPr="003453F2" w:rsidRDefault="004B6243" w:rsidP="00611497">
      <w:pPr>
        <w:pStyle w:val="Normlndobloku"/>
      </w:pPr>
    </w:p>
    <w:p w:rsidR="00336194" w:rsidRPr="00611497" w:rsidRDefault="00313E1E" w:rsidP="00611497">
      <w:pPr>
        <w:pStyle w:val="Styl3"/>
        <w:spacing w:before="0" w:after="0"/>
        <w:jc w:val="both"/>
        <w:rPr>
          <w:bCs w:val="0"/>
          <w:i/>
          <w:iCs/>
          <w:u w:val="none"/>
          <w:lang w:val="sk-SK"/>
        </w:rPr>
      </w:pPr>
      <w:r w:rsidRPr="00611497">
        <w:rPr>
          <w:bCs w:val="0"/>
          <w:i/>
          <w:iCs/>
          <w:u w:val="none"/>
          <w:lang w:val="sk-SK"/>
        </w:rPr>
        <w:t>Alopurinol, imunosupresíva, kortikosteroidy, prokaínamid, cytostatiká a ďalšie lieky, ktoré môžu zmeniť počet krviniek</w:t>
      </w:r>
    </w:p>
    <w:p w:rsidR="00313E1E" w:rsidRPr="003453F2" w:rsidRDefault="00313E1E" w:rsidP="00611497">
      <w:pPr>
        <w:pStyle w:val="Normlndobloku"/>
      </w:pPr>
      <w:r w:rsidRPr="003453F2">
        <w:t>Zvýšená pravdepodobnosť hematologických reakcií (pozri časť 4.4).</w:t>
      </w:r>
    </w:p>
    <w:p w:rsidR="004B6243" w:rsidRDefault="004B6243" w:rsidP="005D39E2">
      <w:pPr>
        <w:pStyle w:val="Styl3"/>
        <w:spacing w:before="0" w:after="0"/>
        <w:rPr>
          <w:lang w:val="sk-SK"/>
        </w:rPr>
      </w:pPr>
    </w:p>
    <w:p w:rsidR="00336194" w:rsidRPr="00611497" w:rsidRDefault="00313E1E" w:rsidP="00611497">
      <w:pPr>
        <w:pStyle w:val="Styl3"/>
        <w:spacing w:before="0" w:after="0"/>
        <w:jc w:val="both"/>
        <w:rPr>
          <w:bCs w:val="0"/>
          <w:i/>
          <w:iCs/>
          <w:u w:val="none"/>
          <w:lang w:val="sk-SK"/>
        </w:rPr>
      </w:pPr>
      <w:r w:rsidRPr="00611497">
        <w:rPr>
          <w:bCs w:val="0"/>
          <w:i/>
          <w:iCs/>
          <w:u w:val="none"/>
          <w:lang w:val="sk-SK"/>
        </w:rPr>
        <w:t>Lítiové soli</w:t>
      </w:r>
    </w:p>
    <w:p w:rsidR="00D97698" w:rsidRDefault="00313E1E" w:rsidP="00611497">
      <w:pPr>
        <w:pStyle w:val="Normlndobloku"/>
      </w:pPr>
      <w:r w:rsidRPr="003453F2">
        <w:t>Vylučovanie lítia môže byť ACE inhibítormi znížené a preto môže byť vyššia toxicita lítia. Hladina lítia sa musí monitorovať. Súbežné používanie tiazidových diuretík môže zvýšiť už zvýšené riziko lítiovej toxicity pri liečbe ACE inhibítormi. Preto sa neodporúča kombinácia ramiprilu a</w:t>
      </w:r>
      <w:r w:rsidR="00EF198F" w:rsidRPr="003453F2">
        <w:t> </w:t>
      </w:r>
      <w:r w:rsidRPr="003453F2">
        <w:t>hydrochlorotiazidu s lítiom.</w:t>
      </w:r>
    </w:p>
    <w:p w:rsidR="004B6243" w:rsidRPr="003453F2" w:rsidRDefault="004B6243" w:rsidP="00611497">
      <w:pPr>
        <w:pStyle w:val="Normlndobloku"/>
      </w:pPr>
    </w:p>
    <w:p w:rsidR="001520C5" w:rsidRPr="00611497" w:rsidRDefault="00313E1E" w:rsidP="00611497">
      <w:pPr>
        <w:pStyle w:val="Styl3"/>
        <w:spacing w:before="0" w:after="0"/>
        <w:jc w:val="both"/>
        <w:rPr>
          <w:bCs w:val="0"/>
          <w:i/>
          <w:iCs/>
          <w:u w:val="none"/>
          <w:lang w:val="sk-SK"/>
        </w:rPr>
      </w:pPr>
      <w:r w:rsidRPr="00611497">
        <w:rPr>
          <w:bCs w:val="0"/>
          <w:i/>
          <w:iCs/>
          <w:u w:val="none"/>
          <w:lang w:val="sk-SK"/>
        </w:rPr>
        <w:t>Antidiabetiká vrátane inzulínu</w:t>
      </w:r>
    </w:p>
    <w:p w:rsidR="00313E1E" w:rsidRDefault="00313E1E" w:rsidP="00611497">
      <w:pPr>
        <w:pStyle w:val="Normlndobloku"/>
      </w:pPr>
      <w:r w:rsidRPr="003453F2">
        <w:t>Môžu sa vyskytnúť hypoglykemické reakcie. Hydrochlorotiazid môže oslabiť účinok antidiabetík. Preto sa v počiatočnej fáze kombinovanej liečby odporúča pozorné sledovanie hladiny glukózy v krvi.</w:t>
      </w:r>
    </w:p>
    <w:p w:rsidR="004B6243" w:rsidRPr="003453F2" w:rsidRDefault="004B6243" w:rsidP="00611497">
      <w:pPr>
        <w:pStyle w:val="Normlndobloku"/>
      </w:pPr>
    </w:p>
    <w:p w:rsidR="001520C5" w:rsidRPr="00611497" w:rsidRDefault="00313E1E" w:rsidP="00611497">
      <w:pPr>
        <w:pStyle w:val="Styl3"/>
        <w:spacing w:before="0" w:after="0"/>
        <w:jc w:val="both"/>
        <w:rPr>
          <w:bCs w:val="0"/>
          <w:i/>
          <w:iCs/>
          <w:u w:val="none"/>
          <w:lang w:val="sk-SK"/>
        </w:rPr>
      </w:pPr>
      <w:r w:rsidRPr="00611497">
        <w:rPr>
          <w:bCs w:val="0"/>
          <w:i/>
          <w:iCs/>
          <w:u w:val="none"/>
          <w:lang w:val="sk-SK"/>
        </w:rPr>
        <w:t>Nesteroidové protizápalové lieky a kyselina acetylsalicylová</w:t>
      </w:r>
    </w:p>
    <w:p w:rsidR="00313E1E" w:rsidRDefault="00313E1E" w:rsidP="00611497">
      <w:pPr>
        <w:pStyle w:val="Normlndobloku"/>
      </w:pPr>
      <w:r w:rsidRPr="003453F2">
        <w:t>Predpokladá sa zníženie antihypertenzn</w:t>
      </w:r>
      <w:r w:rsidR="006A7B07">
        <w:t>é</w:t>
      </w:r>
      <w:r w:rsidRPr="006A7B07">
        <w:t xml:space="preserve">ho účinku </w:t>
      </w:r>
      <w:r w:rsidR="000F3526" w:rsidRPr="006A7B07">
        <w:t>RAMIMED</w:t>
      </w:r>
      <w:r w:rsidR="00BB6588">
        <w:t>U</w:t>
      </w:r>
      <w:r w:rsidR="000F3526" w:rsidRPr="006A7B07">
        <w:t xml:space="preserve"> HCT</w:t>
      </w:r>
      <w:r w:rsidRPr="006A7B07">
        <w:t xml:space="preserve">. </w:t>
      </w:r>
      <w:r w:rsidR="005D39E2">
        <w:t>S</w:t>
      </w:r>
      <w:r w:rsidRPr="006A7B07">
        <w:t>účasná liečba</w:t>
      </w:r>
      <w:r w:rsidRPr="00EB3F6D">
        <w:t xml:space="preserve"> ACE inhibítormi a NSAID môže viesť k zvýšenému riziku zhoršenia renálnej funkcie a k zvýšeniu hladiny draslíka.</w:t>
      </w:r>
    </w:p>
    <w:p w:rsidR="004B6243" w:rsidRPr="00EB3F6D" w:rsidRDefault="004B6243" w:rsidP="00611497">
      <w:pPr>
        <w:pStyle w:val="Normlndobloku"/>
      </w:pPr>
    </w:p>
    <w:p w:rsidR="001520C5" w:rsidRPr="00611497" w:rsidRDefault="00313E1E" w:rsidP="00611497">
      <w:pPr>
        <w:pStyle w:val="Styl3"/>
        <w:spacing w:before="0" w:after="0"/>
        <w:jc w:val="both"/>
        <w:rPr>
          <w:bCs w:val="0"/>
          <w:i/>
          <w:iCs/>
          <w:u w:val="none"/>
          <w:lang w:val="sk-SK"/>
        </w:rPr>
      </w:pPr>
      <w:r w:rsidRPr="00611497">
        <w:rPr>
          <w:bCs w:val="0"/>
          <w:i/>
          <w:iCs/>
          <w:u w:val="none"/>
          <w:lang w:val="sk-SK"/>
        </w:rPr>
        <w:t>Perorálne antikoagulanty</w:t>
      </w:r>
    </w:p>
    <w:p w:rsidR="00313E1E" w:rsidRDefault="001520C5" w:rsidP="00611497">
      <w:pPr>
        <w:pStyle w:val="Normlndobloku"/>
      </w:pPr>
      <w:r w:rsidRPr="003453F2">
        <w:t>S</w:t>
      </w:r>
      <w:r w:rsidR="00313E1E" w:rsidRPr="003453F2">
        <w:t xml:space="preserve">úbežné užívanie hydrochlorotiazidu môže </w:t>
      </w:r>
      <w:r w:rsidRPr="003453F2">
        <w:t>znížiť účinok antikoagulantov.</w:t>
      </w:r>
    </w:p>
    <w:p w:rsidR="00497469" w:rsidRPr="003453F2" w:rsidRDefault="00497469" w:rsidP="00611497">
      <w:pPr>
        <w:pStyle w:val="Normlndobloku"/>
      </w:pPr>
    </w:p>
    <w:p w:rsidR="00E15F01" w:rsidRPr="00611497" w:rsidRDefault="00313E1E" w:rsidP="00611497">
      <w:pPr>
        <w:pStyle w:val="Styl3"/>
        <w:spacing w:before="0" w:after="0"/>
        <w:jc w:val="both"/>
        <w:rPr>
          <w:bCs w:val="0"/>
          <w:i/>
          <w:iCs/>
          <w:u w:val="none"/>
          <w:lang w:val="sk-SK"/>
        </w:rPr>
      </w:pPr>
      <w:r w:rsidRPr="00611497">
        <w:rPr>
          <w:bCs w:val="0"/>
          <w:i/>
          <w:iCs/>
          <w:u w:val="none"/>
          <w:lang w:val="sk-SK"/>
        </w:rPr>
        <w:t>Kortikosteroidy, ACTH, amfotericín B,</w:t>
      </w:r>
      <w:r w:rsidR="001520C5" w:rsidRPr="00611497">
        <w:rPr>
          <w:bCs w:val="0"/>
          <w:i/>
          <w:iCs/>
          <w:u w:val="none"/>
          <w:lang w:val="sk-SK"/>
        </w:rPr>
        <w:t xml:space="preserve"> </w:t>
      </w:r>
      <w:r w:rsidRPr="00611497">
        <w:rPr>
          <w:bCs w:val="0"/>
          <w:i/>
          <w:iCs/>
          <w:u w:val="none"/>
          <w:lang w:val="sk-SK"/>
        </w:rPr>
        <w:t>karbenoxolon, veľké množstvá sladkého drievka, laxatíva (v prípade dlhodobého užívania) a iné kaliuretické látky alebo látky znižujúc</w:t>
      </w:r>
      <w:r w:rsidR="00E15F01" w:rsidRPr="00611497">
        <w:rPr>
          <w:bCs w:val="0"/>
          <w:i/>
          <w:iCs/>
          <w:u w:val="none"/>
          <w:lang w:val="sk-SK"/>
        </w:rPr>
        <w:t>e plazmatickú hladinu draslíka</w:t>
      </w:r>
    </w:p>
    <w:p w:rsidR="00313E1E" w:rsidRPr="003453F2" w:rsidRDefault="00E15F01" w:rsidP="00611497">
      <w:pPr>
        <w:pStyle w:val="Normlndobloku"/>
      </w:pPr>
      <w:r w:rsidRPr="003453F2">
        <w:t>Z</w:t>
      </w:r>
      <w:r w:rsidR="00313E1E" w:rsidRPr="003453F2">
        <w:t>výšené riziko hypokaliémie.</w:t>
      </w:r>
    </w:p>
    <w:p w:rsidR="00497469" w:rsidRDefault="00497469" w:rsidP="005D39E2">
      <w:pPr>
        <w:pStyle w:val="Styl3"/>
        <w:spacing w:before="0" w:after="0"/>
        <w:rPr>
          <w:lang w:val="sk-SK"/>
        </w:rPr>
      </w:pPr>
    </w:p>
    <w:p w:rsidR="00E15F01" w:rsidRPr="00611497" w:rsidRDefault="00313E1E" w:rsidP="00611497">
      <w:pPr>
        <w:pStyle w:val="Styl3"/>
        <w:spacing w:before="0" w:after="0"/>
        <w:jc w:val="both"/>
        <w:rPr>
          <w:bCs w:val="0"/>
          <w:i/>
          <w:iCs/>
          <w:u w:val="none"/>
          <w:lang w:val="sk-SK"/>
        </w:rPr>
      </w:pPr>
      <w:r w:rsidRPr="00611497">
        <w:rPr>
          <w:bCs w:val="0"/>
          <w:i/>
          <w:iCs/>
          <w:u w:val="none"/>
          <w:lang w:val="sk-SK"/>
        </w:rPr>
        <w:t>Digitalisové prípravky, liečivá, ktoré predlžujú QT interval a antiarytmiká</w:t>
      </w:r>
    </w:p>
    <w:p w:rsidR="00313E1E" w:rsidRPr="003453F2" w:rsidRDefault="00E15F01" w:rsidP="00611497">
      <w:pPr>
        <w:pStyle w:val="Normlndobloku"/>
      </w:pPr>
      <w:r w:rsidRPr="003453F2">
        <w:t>P</w:t>
      </w:r>
      <w:r w:rsidR="00313E1E" w:rsidRPr="003453F2">
        <w:t>ri poruchách elektrolytov (napr. hypokaliémia, hypomagneziémia)</w:t>
      </w:r>
      <w:r w:rsidR="00D97698" w:rsidRPr="003453F2">
        <w:t xml:space="preserve"> </w:t>
      </w:r>
      <w:r w:rsidR="00313E1E" w:rsidRPr="003453F2">
        <w:t>môže byť zvýšená ich proarytmická toxicita alebo znížené antiarytmické účinky.</w:t>
      </w:r>
    </w:p>
    <w:p w:rsidR="00497469" w:rsidRDefault="00497469" w:rsidP="005D39E2">
      <w:pPr>
        <w:pStyle w:val="Styl3"/>
        <w:spacing w:before="0" w:after="0"/>
        <w:rPr>
          <w:lang w:val="sk-SK"/>
        </w:rPr>
      </w:pPr>
    </w:p>
    <w:p w:rsidR="000E7C2A" w:rsidRPr="00611497" w:rsidRDefault="00313E1E" w:rsidP="00611497">
      <w:pPr>
        <w:pStyle w:val="Styl3"/>
        <w:spacing w:before="0" w:after="0"/>
        <w:jc w:val="both"/>
        <w:rPr>
          <w:bCs w:val="0"/>
          <w:i/>
          <w:iCs/>
          <w:u w:val="none"/>
          <w:lang w:val="sk-SK"/>
        </w:rPr>
      </w:pPr>
      <w:r w:rsidRPr="00611497">
        <w:rPr>
          <w:bCs w:val="0"/>
          <w:i/>
          <w:iCs/>
          <w:u w:val="none"/>
          <w:lang w:val="sk-SK"/>
        </w:rPr>
        <w:t>Metyldopa</w:t>
      </w:r>
    </w:p>
    <w:p w:rsidR="00313E1E" w:rsidRDefault="000E7C2A" w:rsidP="00611497">
      <w:pPr>
        <w:pStyle w:val="Normlndobloku"/>
      </w:pPr>
      <w:r w:rsidRPr="003453F2">
        <w:t>M</w:t>
      </w:r>
      <w:r w:rsidR="00313E1E" w:rsidRPr="003453F2">
        <w:t>ožná hemolýza.</w:t>
      </w:r>
    </w:p>
    <w:p w:rsidR="00497469" w:rsidRPr="003453F2" w:rsidRDefault="00497469" w:rsidP="00611497">
      <w:pPr>
        <w:pStyle w:val="Normlndobloku"/>
      </w:pPr>
    </w:p>
    <w:p w:rsidR="000E7C2A" w:rsidRPr="00611497" w:rsidRDefault="00313E1E" w:rsidP="00611497">
      <w:pPr>
        <w:pStyle w:val="Styl3"/>
        <w:spacing w:before="0" w:after="0"/>
        <w:jc w:val="both"/>
        <w:rPr>
          <w:bCs w:val="0"/>
          <w:i/>
          <w:iCs/>
          <w:u w:val="none"/>
          <w:lang w:val="sk-SK"/>
        </w:rPr>
      </w:pPr>
      <w:r w:rsidRPr="00611497">
        <w:rPr>
          <w:bCs w:val="0"/>
          <w:i/>
          <w:iCs/>
          <w:u w:val="none"/>
          <w:lang w:val="sk-SK"/>
        </w:rPr>
        <w:t>Kolestyramín a iné enterálne iónové meniče</w:t>
      </w:r>
    </w:p>
    <w:p w:rsidR="00313E1E" w:rsidRDefault="00313E1E" w:rsidP="00611497">
      <w:pPr>
        <w:pStyle w:val="Normlndobloku"/>
      </w:pPr>
      <w:r w:rsidRPr="003453F2">
        <w:t>Znížené vstrebávanie hydrochlorotiazidu. Sulfónamidové diuretiká sa majú užívať minimálne jednu hodinu pred týmito liekmi alebo štyri až šesť hodín po.</w:t>
      </w:r>
    </w:p>
    <w:p w:rsidR="00497469" w:rsidRPr="003453F2" w:rsidRDefault="00497469" w:rsidP="00611497">
      <w:pPr>
        <w:pStyle w:val="Normlndobloku"/>
      </w:pPr>
    </w:p>
    <w:p w:rsidR="000E7C2A" w:rsidRPr="00611497" w:rsidRDefault="00313E1E" w:rsidP="00611497">
      <w:pPr>
        <w:pStyle w:val="Styl3"/>
        <w:spacing w:before="0" w:after="0"/>
        <w:jc w:val="both"/>
        <w:rPr>
          <w:bCs w:val="0"/>
          <w:i/>
          <w:iCs/>
          <w:u w:val="none"/>
          <w:lang w:val="sk-SK"/>
        </w:rPr>
      </w:pPr>
      <w:r w:rsidRPr="00611497">
        <w:rPr>
          <w:bCs w:val="0"/>
          <w:i/>
          <w:iCs/>
          <w:u w:val="none"/>
          <w:lang w:val="sk-SK"/>
        </w:rPr>
        <w:t>Svalové relaxanty typu kurare</w:t>
      </w:r>
    </w:p>
    <w:p w:rsidR="00313E1E" w:rsidRDefault="000E7C2A" w:rsidP="00611497">
      <w:pPr>
        <w:pStyle w:val="Normlndobloku"/>
      </w:pPr>
      <w:r w:rsidRPr="003453F2">
        <w:t>M</w:t>
      </w:r>
      <w:r w:rsidR="00313E1E" w:rsidRPr="003453F2">
        <w:t>ožné zosilnenie a predĺženie myorelaxačného účinku.</w:t>
      </w:r>
    </w:p>
    <w:p w:rsidR="00497469" w:rsidRPr="003453F2" w:rsidRDefault="00497469" w:rsidP="00611497">
      <w:pPr>
        <w:pStyle w:val="Normlndobloku"/>
      </w:pPr>
    </w:p>
    <w:p w:rsidR="00F54343" w:rsidRPr="00611497" w:rsidRDefault="00313E1E" w:rsidP="00611497">
      <w:pPr>
        <w:pStyle w:val="Styl3"/>
        <w:spacing w:before="0" w:after="0"/>
        <w:jc w:val="both"/>
        <w:rPr>
          <w:bCs w:val="0"/>
          <w:i/>
          <w:iCs/>
          <w:u w:val="none"/>
          <w:lang w:val="sk-SK"/>
        </w:rPr>
      </w:pPr>
      <w:r w:rsidRPr="00611497">
        <w:rPr>
          <w:bCs w:val="0"/>
          <w:i/>
          <w:iCs/>
          <w:u w:val="none"/>
          <w:lang w:val="sk-SK"/>
        </w:rPr>
        <w:t>Kalciové soli a lieky zvyšujúce plazmatickú hladinu kalcia</w:t>
      </w:r>
    </w:p>
    <w:p w:rsidR="00313E1E" w:rsidRPr="003453F2" w:rsidRDefault="00F54343" w:rsidP="00611497">
      <w:pPr>
        <w:pStyle w:val="Normlndobloku"/>
      </w:pPr>
      <w:r w:rsidRPr="003453F2">
        <w:t>V</w:t>
      </w:r>
      <w:r w:rsidR="00313E1E" w:rsidRPr="003453F2">
        <w:t xml:space="preserve"> prípade súbežného podávania hydrochlorotiazidu je možné očakávať zvýšenie sérovej hladiny kalcia; preto sa vyžaduje pozorné sledovanie koncentrácie kalcia v sére.</w:t>
      </w:r>
    </w:p>
    <w:p w:rsidR="00497469" w:rsidRDefault="00497469" w:rsidP="005D39E2">
      <w:pPr>
        <w:pStyle w:val="Styl3"/>
        <w:spacing w:before="0" w:after="0"/>
        <w:rPr>
          <w:lang w:val="sk-SK"/>
        </w:rPr>
      </w:pPr>
    </w:p>
    <w:p w:rsidR="00F54343" w:rsidRPr="00611497" w:rsidRDefault="00313E1E" w:rsidP="00611497">
      <w:pPr>
        <w:pStyle w:val="Styl3"/>
        <w:spacing w:before="0" w:after="0"/>
        <w:jc w:val="both"/>
        <w:rPr>
          <w:bCs w:val="0"/>
          <w:i/>
          <w:iCs/>
          <w:u w:val="none"/>
          <w:lang w:val="sk-SK"/>
        </w:rPr>
      </w:pPr>
      <w:r w:rsidRPr="00611497">
        <w:rPr>
          <w:bCs w:val="0"/>
          <w:i/>
          <w:iCs/>
          <w:u w:val="none"/>
          <w:lang w:val="sk-SK"/>
        </w:rPr>
        <w:t>Karbamazepín</w:t>
      </w:r>
    </w:p>
    <w:p w:rsidR="00313E1E" w:rsidRDefault="00F54343" w:rsidP="00611497">
      <w:pPr>
        <w:pStyle w:val="Normlndobloku"/>
      </w:pPr>
      <w:r w:rsidRPr="003453F2">
        <w:t>R</w:t>
      </w:r>
      <w:r w:rsidR="00313E1E" w:rsidRPr="003453F2">
        <w:t>iziko hyponatr</w:t>
      </w:r>
      <w:r w:rsidR="00886EEF">
        <w:t>i</w:t>
      </w:r>
      <w:r w:rsidR="00313E1E" w:rsidRPr="00886EEF">
        <w:t>émie vzhľadom na aditívny účinok s hydrochlorotiazidom.</w:t>
      </w:r>
    </w:p>
    <w:p w:rsidR="00497469" w:rsidRPr="00886EEF" w:rsidRDefault="00497469" w:rsidP="00611497">
      <w:pPr>
        <w:pStyle w:val="Normlndobloku"/>
      </w:pPr>
    </w:p>
    <w:p w:rsidR="00F54343" w:rsidRPr="00611497" w:rsidRDefault="00313E1E" w:rsidP="00611497">
      <w:pPr>
        <w:pStyle w:val="Styl3"/>
        <w:spacing w:before="0" w:after="0"/>
        <w:jc w:val="both"/>
        <w:rPr>
          <w:bCs w:val="0"/>
          <w:i/>
          <w:iCs/>
          <w:u w:val="none"/>
          <w:lang w:val="sk-SK"/>
        </w:rPr>
      </w:pPr>
      <w:r w:rsidRPr="00611497">
        <w:rPr>
          <w:bCs w:val="0"/>
          <w:i/>
          <w:iCs/>
          <w:u w:val="none"/>
          <w:lang w:val="sk-SK"/>
        </w:rPr>
        <w:t>Jód obsahujúc</w:t>
      </w:r>
      <w:r w:rsidR="0004435B" w:rsidRPr="00611497">
        <w:rPr>
          <w:bCs w:val="0"/>
          <w:i/>
          <w:iCs/>
          <w:u w:val="none"/>
          <w:lang w:val="sk-SK"/>
        </w:rPr>
        <w:t>e</w:t>
      </w:r>
      <w:r w:rsidRPr="00611497">
        <w:rPr>
          <w:bCs w:val="0"/>
          <w:i/>
          <w:iCs/>
          <w:u w:val="none"/>
          <w:lang w:val="sk-SK"/>
        </w:rPr>
        <w:t xml:space="preserve"> kontrastné médiá</w:t>
      </w:r>
    </w:p>
    <w:p w:rsidR="00313E1E" w:rsidRDefault="00F54343" w:rsidP="00611497">
      <w:pPr>
        <w:pStyle w:val="Normlndobloku"/>
      </w:pPr>
      <w:r w:rsidRPr="003453F2">
        <w:t>V</w:t>
      </w:r>
      <w:r w:rsidR="00313E1E" w:rsidRPr="003453F2">
        <w:t xml:space="preserve"> prípade dehydratácie, ktorá je zapríčinená užívaním diuretík, vrátane hydrochlorotiazidu, existuje zvýšené riziko akútnej poruchy obličiek, predovšetkým pri užívaní vysokých dávok jódu obsahujúceho kontrastné médiá.</w:t>
      </w:r>
    </w:p>
    <w:p w:rsidR="00497469" w:rsidRPr="003453F2" w:rsidRDefault="00497469" w:rsidP="00611497">
      <w:pPr>
        <w:pStyle w:val="Normlndobloku"/>
      </w:pPr>
    </w:p>
    <w:p w:rsidR="0004435B" w:rsidRPr="00611497" w:rsidRDefault="00313E1E" w:rsidP="00611497">
      <w:pPr>
        <w:pStyle w:val="Styl3"/>
        <w:spacing w:before="0" w:after="0"/>
        <w:jc w:val="both"/>
        <w:rPr>
          <w:bCs w:val="0"/>
          <w:i/>
          <w:iCs/>
          <w:u w:val="none"/>
          <w:lang w:val="sk-SK"/>
        </w:rPr>
      </w:pPr>
      <w:r w:rsidRPr="00611497">
        <w:rPr>
          <w:bCs w:val="0"/>
          <w:i/>
          <w:iCs/>
          <w:u w:val="none"/>
          <w:lang w:val="sk-SK"/>
        </w:rPr>
        <w:t>Penicilín</w:t>
      </w:r>
    </w:p>
    <w:p w:rsidR="00313E1E" w:rsidRDefault="0004435B" w:rsidP="00611497">
      <w:pPr>
        <w:pStyle w:val="Normlndobloku"/>
      </w:pPr>
      <w:r w:rsidRPr="003453F2">
        <w:t>H</w:t>
      </w:r>
      <w:r w:rsidR="00313E1E" w:rsidRPr="003453F2">
        <w:t>ydrochlorotiazid sa vylučuje v distálnom tubule a redukuje vylučovanie penicilínu.</w:t>
      </w:r>
    </w:p>
    <w:p w:rsidR="00497469" w:rsidRPr="003453F2" w:rsidRDefault="00497469" w:rsidP="00611497">
      <w:pPr>
        <w:pStyle w:val="Normlndobloku"/>
      </w:pPr>
    </w:p>
    <w:p w:rsidR="0004435B" w:rsidRPr="00611497" w:rsidRDefault="00313E1E" w:rsidP="00611497">
      <w:pPr>
        <w:pStyle w:val="Styl3"/>
        <w:spacing w:before="0" w:after="0"/>
        <w:jc w:val="both"/>
        <w:rPr>
          <w:bCs w:val="0"/>
          <w:i/>
          <w:iCs/>
          <w:u w:val="none"/>
          <w:lang w:val="sk-SK"/>
        </w:rPr>
      </w:pPr>
      <w:r w:rsidRPr="00611497">
        <w:rPr>
          <w:bCs w:val="0"/>
          <w:i/>
          <w:iCs/>
          <w:u w:val="none"/>
          <w:lang w:val="sk-SK"/>
        </w:rPr>
        <w:t>Chinín</w:t>
      </w:r>
    </w:p>
    <w:p w:rsidR="00497469" w:rsidRDefault="0004435B" w:rsidP="00611497">
      <w:pPr>
        <w:pStyle w:val="Normlndobloku"/>
      </w:pPr>
      <w:r w:rsidRPr="003453F2">
        <w:t>H</w:t>
      </w:r>
      <w:r w:rsidR="00313E1E" w:rsidRPr="003453F2">
        <w:t>ydrochlorotiazid znižuje vylučovanie chinínu.</w:t>
      </w:r>
    </w:p>
    <w:p w:rsidR="00313E1E" w:rsidRPr="003453F2" w:rsidRDefault="00313E1E" w:rsidP="00611497">
      <w:pPr>
        <w:pStyle w:val="Normlndobloku"/>
      </w:pPr>
    </w:p>
    <w:p w:rsidR="00986534" w:rsidRPr="00AD335A" w:rsidRDefault="00986534" w:rsidP="00611497">
      <w:pPr>
        <w:pStyle w:val="Styl3"/>
        <w:spacing w:before="0" w:after="0"/>
        <w:jc w:val="both"/>
        <w:rPr>
          <w:bCs w:val="0"/>
          <w:i/>
          <w:iCs/>
          <w:u w:val="none"/>
          <w:lang w:val="sk-SK"/>
        </w:rPr>
      </w:pPr>
      <w:r w:rsidRPr="003A17BF">
        <w:rPr>
          <w:bCs w:val="0"/>
          <w:i/>
          <w:iCs/>
          <w:u w:val="none"/>
          <w:lang w:val="sk-SK"/>
        </w:rPr>
        <w:t>Heparín</w:t>
      </w:r>
    </w:p>
    <w:p w:rsidR="00986534" w:rsidRPr="00AD335A" w:rsidRDefault="00986534" w:rsidP="00611497">
      <w:pPr>
        <w:pStyle w:val="Normlndobloku"/>
      </w:pPr>
      <w:r w:rsidRPr="00AD335A">
        <w:t>Môže zvýšiť koncentráciu draslík</w:t>
      </w:r>
      <w:r w:rsidR="00BB6588" w:rsidRPr="00AD335A">
        <w:t>a</w:t>
      </w:r>
      <w:r w:rsidRPr="00AD335A">
        <w:t xml:space="preserve"> v séru.</w:t>
      </w:r>
    </w:p>
    <w:p w:rsidR="00497469" w:rsidRPr="00AD335A" w:rsidRDefault="00497469" w:rsidP="005D39E2">
      <w:pPr>
        <w:pStyle w:val="Styl3"/>
        <w:spacing w:before="0" w:after="0"/>
        <w:rPr>
          <w:u w:val="none"/>
          <w:lang w:val="sk-SK"/>
        </w:rPr>
      </w:pPr>
    </w:p>
    <w:p w:rsidR="003269E9" w:rsidRPr="00AD335A" w:rsidRDefault="003269E9" w:rsidP="00727EB5">
      <w:pPr>
        <w:pStyle w:val="Styl3"/>
        <w:spacing w:before="0" w:after="0"/>
        <w:jc w:val="both"/>
        <w:rPr>
          <w:i/>
          <w:iCs/>
        </w:rPr>
      </w:pPr>
      <w:proofErr w:type="spellStart"/>
      <w:r w:rsidRPr="00AD335A">
        <w:rPr>
          <w:bCs w:val="0"/>
          <w:i/>
          <w:iCs/>
          <w:u w:val="none"/>
          <w:lang w:val="sk-SK"/>
        </w:rPr>
        <w:t>mTOR</w:t>
      </w:r>
      <w:proofErr w:type="spellEnd"/>
      <w:r w:rsidRPr="00AD335A">
        <w:rPr>
          <w:bCs w:val="0"/>
          <w:i/>
          <w:iCs/>
          <w:u w:val="none"/>
          <w:lang w:val="sk-SK"/>
        </w:rPr>
        <w:t xml:space="preserve"> inhibítory (napr. sirolimus, everolimus, temsirolimus) alebo DPP-IV inhibítor vildagliptín</w:t>
      </w:r>
    </w:p>
    <w:p w:rsidR="003269E9" w:rsidRPr="003A17BF" w:rsidRDefault="003269E9" w:rsidP="003269E9">
      <w:pPr>
        <w:pStyle w:val="Normlndobloku"/>
        <w:rPr>
          <w:szCs w:val="22"/>
        </w:rPr>
      </w:pPr>
      <w:r w:rsidRPr="00AD335A">
        <w:rPr>
          <w:szCs w:val="22"/>
        </w:rPr>
        <w:t>Pacientom na súbežnej liečbe mTOR inhibítormi alebo vildagliptínom môže hroziť vyššie riziko angioedému (pozri časť 4.4).</w:t>
      </w:r>
    </w:p>
    <w:p w:rsidR="00497469" w:rsidRPr="00AD335A" w:rsidRDefault="00497469" w:rsidP="00611497">
      <w:pPr>
        <w:pStyle w:val="Normlndobloku"/>
      </w:pPr>
    </w:p>
    <w:p w:rsidR="00BC6D05" w:rsidRPr="00AD335A" w:rsidRDefault="00986534" w:rsidP="005D39E2">
      <w:pPr>
        <w:pStyle w:val="Styl2"/>
        <w:spacing w:before="0" w:after="0"/>
        <w:rPr>
          <w:lang w:val="sk-SK"/>
        </w:rPr>
      </w:pPr>
      <w:r w:rsidRPr="00AD335A">
        <w:rPr>
          <w:lang w:val="sk-SK"/>
        </w:rPr>
        <w:t>Fertilita, g</w:t>
      </w:r>
      <w:r w:rsidR="00C87061" w:rsidRPr="00AD335A">
        <w:rPr>
          <w:lang w:val="sk-SK"/>
        </w:rPr>
        <w:t>ravidita a</w:t>
      </w:r>
      <w:r w:rsidR="00497469" w:rsidRPr="00AD335A">
        <w:rPr>
          <w:lang w:val="sk-SK"/>
        </w:rPr>
        <w:t> </w:t>
      </w:r>
      <w:r w:rsidR="00C87061" w:rsidRPr="00AD335A">
        <w:rPr>
          <w:lang w:val="sk-SK"/>
        </w:rPr>
        <w:t>laktácia</w:t>
      </w:r>
    </w:p>
    <w:p w:rsidR="00497469" w:rsidRPr="00AD335A" w:rsidRDefault="00497469" w:rsidP="005D39E2">
      <w:pPr>
        <w:pStyle w:val="Styl2"/>
        <w:numPr>
          <w:ilvl w:val="0"/>
          <w:numId w:val="0"/>
        </w:numPr>
        <w:spacing w:before="0" w:after="0"/>
        <w:rPr>
          <w:lang w:val="sk-SK"/>
        </w:rPr>
      </w:pPr>
    </w:p>
    <w:p w:rsidR="00BC6D05" w:rsidRDefault="007014E3" w:rsidP="005D39E2">
      <w:pPr>
        <w:pStyle w:val="Styl3"/>
        <w:spacing w:before="0" w:after="0"/>
        <w:rPr>
          <w:lang w:val="sk-SK"/>
        </w:rPr>
      </w:pPr>
      <w:r w:rsidRPr="00AD335A">
        <w:rPr>
          <w:lang w:val="sk-SK"/>
        </w:rPr>
        <w:t>Gravidita</w:t>
      </w:r>
    </w:p>
    <w:p w:rsidR="00497469" w:rsidRPr="006A7B07" w:rsidRDefault="00497469" w:rsidP="005D39E2">
      <w:pPr>
        <w:pStyle w:val="Styl3"/>
        <w:spacing w:before="0" w:after="0"/>
        <w:rPr>
          <w:lang w:val="sk-SK"/>
        </w:rPr>
      </w:pPr>
    </w:p>
    <w:p w:rsidR="00313E1E" w:rsidRPr="003453F2" w:rsidRDefault="00313E1E" w:rsidP="00611497">
      <w:pPr>
        <w:pStyle w:val="Normlndobloku"/>
      </w:pPr>
      <w:r w:rsidRPr="003453F2">
        <w:t xml:space="preserve">Užívanie </w:t>
      </w:r>
      <w:r w:rsidR="000F3526" w:rsidRPr="003453F2">
        <w:t>RAMIMEDU HCT</w:t>
      </w:r>
      <w:r w:rsidRPr="003453F2">
        <w:t xml:space="preserve"> sa neodporúča počas prvého trimestra gravidity (pozri časť 4.4) a je kontraindikované počas druhého a tretieho trimestra gravidity (pozri časť 4.3).</w:t>
      </w:r>
    </w:p>
    <w:p w:rsidR="00BB6588" w:rsidRDefault="00BB6588" w:rsidP="00611497">
      <w:pPr>
        <w:pStyle w:val="Normlndobloku"/>
      </w:pPr>
    </w:p>
    <w:p w:rsidR="00313E1E" w:rsidRPr="003453F2" w:rsidRDefault="00313E1E" w:rsidP="00236263">
      <w:pPr>
        <w:pStyle w:val="Normlndobloku"/>
      </w:pPr>
      <w:r w:rsidRPr="003453F2">
        <w:t xml:space="preserve">Epidemiologický dôkaz vzhľadom na riziko </w:t>
      </w:r>
      <w:proofErr w:type="spellStart"/>
      <w:r w:rsidRPr="003453F2">
        <w:t>teratogenity</w:t>
      </w:r>
      <w:proofErr w:type="spellEnd"/>
      <w:r w:rsidRPr="003453F2">
        <w:t xml:space="preserve"> po expozícii ACE </w:t>
      </w:r>
      <w:r w:rsidR="00796E32" w:rsidRPr="003453F2">
        <w:t>inhibítor</w:t>
      </w:r>
      <w:r w:rsidR="00A40A63" w:rsidRPr="003453F2">
        <w:t xml:space="preserve">om </w:t>
      </w:r>
      <w:r w:rsidRPr="003453F2">
        <w:t>počas prvého trimestra gravidity nie je presvedčivý, hoci malý nárast rizika nemožno vylúčiť. Ak sa pokračovanie liečby ACE inhibítormi nepovažuje vyslovene za esenciálne, musí sa liečba pacientok plánujúcich graviditu zmeniť na alternatívnu antihypertenzn</w:t>
      </w:r>
      <w:r w:rsidR="006A7B07">
        <w:t>ú</w:t>
      </w:r>
      <w:r w:rsidRPr="006A7B07">
        <w:t xml:space="preserve"> liečbu, ktorá má preukázaný bezpečnostný profil pre používanie počas gravidity. Ak sa zistí gravidita, liečba ACE inhibítormi sa musí okamžite ukončiť a ak je to vhodné, m</w:t>
      </w:r>
      <w:r w:rsidRPr="003453F2">
        <w:t>usí sa začať alternatívna liečba.</w:t>
      </w:r>
    </w:p>
    <w:p w:rsidR="00313E1E" w:rsidRPr="003453F2" w:rsidRDefault="00313E1E" w:rsidP="00BC3F91">
      <w:pPr>
        <w:pStyle w:val="Normlndobloku"/>
      </w:pPr>
      <w:r w:rsidRPr="003453F2">
        <w:t xml:space="preserve">Je známe, že expozícia </w:t>
      </w:r>
      <w:r w:rsidR="00AD6D33" w:rsidRPr="003453F2">
        <w:t xml:space="preserve">liečbe </w:t>
      </w:r>
      <w:r w:rsidRPr="003453F2">
        <w:t xml:space="preserve">ACE inhibítorom/antagonistom receptoru angiotenzín II (AIIRA) počas druhého a tretieho trimestra spôsobuje u ľudí fetotoxicitu (znížená renálna funkcia, oligohydramnion, retardácia osifikácie lebky) a neonatálnu toxicitu (zlyhanie obličiek, hypotenzia, hyperkaliémia). (Pozri tiež časť 5.3). Ak sa vyskytne expozícia ACE </w:t>
      </w:r>
      <w:r w:rsidR="00AD6D33" w:rsidRPr="003453F2">
        <w:t xml:space="preserve">inhibítoru </w:t>
      </w:r>
      <w:r w:rsidRPr="003453F2">
        <w:t xml:space="preserve">od druhého trimestra, odporúča sa kontrola funkcie obličiek a lebky ultrazvukom. Novorodenci, ktorých matky užívali ACE inhibítory, musia byť dôkladne sledovaní pre možnú hypotenziu, oligúriu alebo hyperkaliémiu (pozri tiež časti </w:t>
      </w:r>
      <w:smartTag w:uri="urn:schemas-microsoft-com:office:smarttags" w:element="metricconverter">
        <w:smartTagPr>
          <w:attr w:name="ProductID" w:val="4.3 a"/>
        </w:smartTagPr>
        <w:r w:rsidRPr="003453F2">
          <w:t>4.3 a</w:t>
        </w:r>
      </w:smartTag>
      <w:r w:rsidRPr="003453F2">
        <w:t xml:space="preserve"> 4.4).</w:t>
      </w:r>
    </w:p>
    <w:p w:rsidR="00BC6D05" w:rsidRPr="005D39E2" w:rsidRDefault="00BC6D05" w:rsidP="00042B7E">
      <w:pPr>
        <w:pStyle w:val="Normlndobloku"/>
      </w:pPr>
      <w:r w:rsidRPr="005D39E2">
        <w:t>V prípade dlhodobej expozície v treťom </w:t>
      </w:r>
      <w:proofErr w:type="spellStart"/>
      <w:r w:rsidRPr="005D39E2">
        <w:t>trimestri</w:t>
      </w:r>
      <w:proofErr w:type="spellEnd"/>
      <w:r w:rsidRPr="005D39E2">
        <w:t> </w:t>
      </w:r>
      <w:r w:rsidR="00EA17E2">
        <w:t>gravidity</w:t>
      </w:r>
      <w:r w:rsidRPr="005D39E2">
        <w:t xml:space="preserve">, môže </w:t>
      </w:r>
      <w:proofErr w:type="spellStart"/>
      <w:r w:rsidRPr="005D39E2">
        <w:t>hydrochlorotiazid</w:t>
      </w:r>
      <w:proofErr w:type="spellEnd"/>
      <w:r w:rsidR="00342F28" w:rsidRPr="005D39E2">
        <w:t xml:space="preserve"> </w:t>
      </w:r>
      <w:r w:rsidR="007014E3" w:rsidRPr="005D39E2">
        <w:t xml:space="preserve">spôsobiť </w:t>
      </w:r>
      <w:proofErr w:type="spellStart"/>
      <w:r w:rsidR="007014E3" w:rsidRPr="005D39E2">
        <w:t>f</w:t>
      </w:r>
      <w:r w:rsidR="00DD59C5" w:rsidRPr="005D39E2">
        <w:t>e</w:t>
      </w:r>
      <w:r w:rsidR="007014E3" w:rsidRPr="005D39E2">
        <w:t>toplacentárnu</w:t>
      </w:r>
      <w:proofErr w:type="spellEnd"/>
      <w:r w:rsidR="007014E3" w:rsidRPr="005D39E2">
        <w:t xml:space="preserve"> ischémiu a spomalenia rastu. Okrem toho v prípade expozície tesne pred pôrodom boli </w:t>
      </w:r>
      <w:r w:rsidR="007014E3" w:rsidRPr="005D39E2">
        <w:lastRenderedPageBreak/>
        <w:t xml:space="preserve">u novorodencov hlásené zriedkavé prípady </w:t>
      </w:r>
      <w:r w:rsidRPr="005D39E2">
        <w:t>hypoglykémie a trombocytopénie Hydrochlorotiazid môže znížiť objem plazmy, rovnako ako uteroplacentárny prietok krvi.</w:t>
      </w:r>
    </w:p>
    <w:p w:rsidR="00D97698" w:rsidRPr="003453F2" w:rsidRDefault="00DD36F5" w:rsidP="00042B7E">
      <w:pPr>
        <w:pStyle w:val="Normlndobloku"/>
      </w:pPr>
      <w:r w:rsidRPr="006A7B07">
        <w:t>Hydroc</w:t>
      </w:r>
      <w:r w:rsidR="00445B76" w:rsidRPr="006A7B07">
        <w:t>h</w:t>
      </w:r>
      <w:r w:rsidRPr="006A7B07">
        <w:t xml:space="preserve">lorotiazid </w:t>
      </w:r>
      <w:r w:rsidR="007B235B" w:rsidRPr="006A7B07">
        <w:t>sa nemá používať</w:t>
      </w:r>
      <w:r w:rsidRPr="006A7B07">
        <w:t xml:space="preserve"> </w:t>
      </w:r>
      <w:r w:rsidR="00E97A6C" w:rsidRPr="006A7B07">
        <w:t>na tehotenský edém, gest</w:t>
      </w:r>
      <w:r w:rsidRPr="006A7B07">
        <w:t>ačnú hypertenziu alebo preekla</w:t>
      </w:r>
      <w:r w:rsidR="00D7210E" w:rsidRPr="006A7B07">
        <w:t>m</w:t>
      </w:r>
      <w:r w:rsidRPr="006A7B07">
        <w:t>psiu vzhľadom</w:t>
      </w:r>
      <w:r w:rsidR="00D97698" w:rsidRPr="003453F2">
        <w:t xml:space="preserve"> </w:t>
      </w:r>
      <w:r w:rsidRPr="003453F2">
        <w:t>na riziko poklesu objemu plazmy a hypoperfúzie placenty bez priaznivých vplyvov na priebeh choroby.</w:t>
      </w:r>
    </w:p>
    <w:p w:rsidR="00D97698" w:rsidRPr="003453F2" w:rsidRDefault="00DD36F5" w:rsidP="00042B7E">
      <w:pPr>
        <w:pStyle w:val="Normlndobloku"/>
      </w:pPr>
      <w:r w:rsidRPr="003453F2">
        <w:t>Hydrochlorotiazid sa nemá používať u </w:t>
      </w:r>
      <w:r w:rsidR="00E97A6C" w:rsidRPr="003453F2">
        <w:t>e</w:t>
      </w:r>
      <w:r w:rsidRPr="003453F2">
        <w:t>senciálnej hypertenzie u tehotných žien s výnimkou zriedkavých prípadov, kde nemožno použiť inú liečbu.</w:t>
      </w:r>
    </w:p>
    <w:p w:rsidR="00497469" w:rsidRDefault="00497469" w:rsidP="005D39E2">
      <w:pPr>
        <w:pStyle w:val="Styl3"/>
        <w:spacing w:before="0" w:after="0"/>
        <w:rPr>
          <w:lang w:val="sk-SK"/>
        </w:rPr>
      </w:pPr>
    </w:p>
    <w:p w:rsidR="005A5C23" w:rsidRDefault="00EA17E2" w:rsidP="005D39E2">
      <w:pPr>
        <w:pStyle w:val="Styl3"/>
        <w:spacing w:before="0" w:after="0"/>
        <w:rPr>
          <w:lang w:val="sk-SK"/>
        </w:rPr>
      </w:pPr>
      <w:r>
        <w:rPr>
          <w:lang w:val="sk-SK"/>
        </w:rPr>
        <w:t>Dojčenie</w:t>
      </w:r>
    </w:p>
    <w:p w:rsidR="00497469" w:rsidRPr="005D39E2" w:rsidRDefault="00497469" w:rsidP="005D39E2">
      <w:pPr>
        <w:pStyle w:val="Styl3"/>
        <w:spacing w:before="0" w:after="0"/>
        <w:rPr>
          <w:lang w:val="sk-SK"/>
        </w:rPr>
      </w:pPr>
    </w:p>
    <w:p w:rsidR="00313E1E" w:rsidRPr="00E82E3A" w:rsidRDefault="000F3526" w:rsidP="00611497">
      <w:pPr>
        <w:pStyle w:val="Normlndobloku"/>
      </w:pPr>
      <w:r w:rsidRPr="00E82E3A">
        <w:t>RAMIMED HCT</w:t>
      </w:r>
      <w:r w:rsidR="00313E1E" w:rsidRPr="00E82E3A">
        <w:t xml:space="preserve"> je počas dojčenia kontraindikovaný.</w:t>
      </w:r>
    </w:p>
    <w:p w:rsidR="00313E1E" w:rsidRDefault="00313E1E" w:rsidP="00611497">
      <w:pPr>
        <w:pStyle w:val="Normlndobloku"/>
      </w:pPr>
      <w:r w:rsidRPr="00E82E3A">
        <w:t>Ramipril a hydrochlorotiazi</w:t>
      </w:r>
      <w:r w:rsidRPr="00886EEF">
        <w:t>d sa vylučujú do materského mlieka v takej miere, že účinky u dojčených detí sú porovnateľné, keď sa terapeutická dávka ramiprilu a hydrochlorotiazidu podáva dojčiacim ženám. Pre nedostatok informácií o používaní ramiprilu počas dojčenia sa ramipril neodporúča a</w:t>
      </w:r>
      <w:r w:rsidR="00EF198F" w:rsidRPr="006A7B07">
        <w:t> </w:t>
      </w:r>
      <w:r w:rsidRPr="006A7B07">
        <w:t>uprednostňuje sa alternatívna liečba s lepšie preukázaným bezpečnostným profilom počas dojčenia a</w:t>
      </w:r>
      <w:r w:rsidR="00EF198F" w:rsidRPr="006A7B07">
        <w:t> </w:t>
      </w:r>
      <w:r w:rsidRPr="006A7B07">
        <w:t>to najmä v prípade novorodenca alebo predčasne narodeného dieťaťa. Hydrochlorotiazid je vylučovaný do materského mlieka. Tiazidy môžu u dojčiacich ži</w:t>
      </w:r>
      <w:r w:rsidRPr="003453F2">
        <w:t>en spôsobiť pokles až potlačenie tvorby mlieka. Môžu sa vyskytnúť prípady precitlivenosti na sulfónamidové deriváty, hypokaliémia a</w:t>
      </w:r>
      <w:r w:rsidR="00EF198F" w:rsidRPr="003453F2">
        <w:t> </w:t>
      </w:r>
      <w:r w:rsidRPr="003453F2">
        <w:t>nukleárny ikterus. Vzhľadom na možnosť výskytu závažných nežiaducich účinkov z obidvoch látok u dojčených detí, je nutné sa rozhodnúť, či bude prerušená laktácia alebo liečba, pričom sa berie do úvahy dôležitosť liečby pre matku.</w:t>
      </w:r>
    </w:p>
    <w:p w:rsidR="00497469" w:rsidRPr="003453F2" w:rsidRDefault="00497469" w:rsidP="00236263">
      <w:pPr>
        <w:pStyle w:val="Normlndobloku"/>
      </w:pPr>
    </w:p>
    <w:p w:rsidR="00CD1BB9" w:rsidRDefault="00CD1BB9" w:rsidP="005D39E2">
      <w:pPr>
        <w:pStyle w:val="Styl2"/>
        <w:spacing w:before="0" w:after="0"/>
        <w:rPr>
          <w:lang w:val="sk-SK"/>
        </w:rPr>
      </w:pPr>
      <w:r w:rsidRPr="003453F2">
        <w:rPr>
          <w:lang w:val="sk-SK"/>
        </w:rPr>
        <w:t>Ovplyvnenie schopnosti viesť vozidlá a obsluhovať stroje</w:t>
      </w:r>
    </w:p>
    <w:p w:rsidR="00497469" w:rsidRPr="003453F2" w:rsidRDefault="00497469" w:rsidP="005D39E2">
      <w:pPr>
        <w:pStyle w:val="Styl2"/>
        <w:numPr>
          <w:ilvl w:val="0"/>
          <w:numId w:val="0"/>
        </w:numPr>
        <w:spacing w:before="0" w:after="0"/>
        <w:rPr>
          <w:lang w:val="sk-SK"/>
        </w:rPr>
      </w:pPr>
    </w:p>
    <w:p w:rsidR="00F5119F" w:rsidRDefault="00F5119F" w:rsidP="00611497">
      <w:pPr>
        <w:pStyle w:val="Normlndobloku"/>
      </w:pPr>
      <w:r w:rsidRPr="003453F2">
        <w:t>Niektoré nežiaduce účinky (napr. príznaky zníženého krvného tlaku ako je závrat) môžu zhoršiť schopnosť pacienta sústrediť sa a reagovať a preto predstavujú riziko v situáciách, kedy sú tieto schopnosti obzvlášť dôležité (napr. vedenie vozidla alebo obsluha strojov). Môže sa to stať najmä na začiatku liečby alebo ak sa prechádza z iných liekov. Po užití prvej dávky alebo po prvom užití zvýšenej dávky sa odporúča niekoľko hodín neviesť vozidlo ani neobsluhovať stroje.</w:t>
      </w:r>
    </w:p>
    <w:p w:rsidR="00497469" w:rsidRPr="003453F2" w:rsidRDefault="00497469" w:rsidP="00611497">
      <w:pPr>
        <w:pStyle w:val="Normlndobloku"/>
      </w:pPr>
    </w:p>
    <w:p w:rsidR="00CD1BB9" w:rsidRDefault="00CD1BB9" w:rsidP="005D39E2">
      <w:pPr>
        <w:pStyle w:val="Styl2"/>
        <w:spacing w:before="0" w:after="0"/>
        <w:rPr>
          <w:lang w:val="sk-SK"/>
        </w:rPr>
      </w:pPr>
      <w:r w:rsidRPr="003453F2">
        <w:rPr>
          <w:lang w:val="sk-SK"/>
        </w:rPr>
        <w:t>Nežiaduce účinky</w:t>
      </w:r>
    </w:p>
    <w:p w:rsidR="00497469" w:rsidRPr="003453F2" w:rsidRDefault="00497469" w:rsidP="005D39E2">
      <w:pPr>
        <w:pStyle w:val="Styl2"/>
        <w:numPr>
          <w:ilvl w:val="0"/>
          <w:numId w:val="0"/>
        </w:numPr>
        <w:spacing w:before="0" w:after="0"/>
        <w:rPr>
          <w:lang w:val="sk-SK"/>
        </w:rPr>
      </w:pPr>
    </w:p>
    <w:p w:rsidR="00D97698" w:rsidRDefault="00DC5B10" w:rsidP="00611497">
      <w:pPr>
        <w:pStyle w:val="Normlndobloku"/>
      </w:pPr>
      <w:r w:rsidRPr="003453F2">
        <w:t xml:space="preserve">Bezpečnostný profil </w:t>
      </w:r>
      <w:proofErr w:type="spellStart"/>
      <w:r w:rsidRPr="003453F2">
        <w:t>ramipril</w:t>
      </w:r>
      <w:r w:rsidRPr="006D3E44">
        <w:t>u</w:t>
      </w:r>
      <w:proofErr w:type="spellEnd"/>
      <w:r w:rsidRPr="006D3E44">
        <w:t xml:space="preserve"> </w:t>
      </w:r>
      <w:r w:rsidR="00EA64D8" w:rsidRPr="003A17BF">
        <w:t>a</w:t>
      </w:r>
      <w:r w:rsidR="00EA64D8" w:rsidRPr="003453F2">
        <w:t xml:space="preserve"> </w:t>
      </w:r>
      <w:proofErr w:type="spellStart"/>
      <w:r w:rsidRPr="003453F2">
        <w:t>hydrochlorotiazidu</w:t>
      </w:r>
      <w:proofErr w:type="spellEnd"/>
      <w:r w:rsidRPr="003453F2">
        <w:t xml:space="preserve"> zahŕňa </w:t>
      </w:r>
      <w:r w:rsidR="002B37DB">
        <w:t>nežiaduce</w:t>
      </w:r>
      <w:r w:rsidR="002B37DB" w:rsidRPr="003453F2">
        <w:t xml:space="preserve"> </w:t>
      </w:r>
      <w:r w:rsidRPr="003453F2">
        <w:t>reakcie, ktoré sa vyskytujú v</w:t>
      </w:r>
      <w:r w:rsidR="00EF198F" w:rsidRPr="003453F2">
        <w:t> </w:t>
      </w:r>
      <w:r w:rsidRPr="003453F2">
        <w:t>spojení s hypotenziou a/alebo odvodnením kvôli zvýšenej diuréze. Liečivo ramipril môže vyvolať pretrvávajúci suchý kašeľ, zatiaľ čo liečivo hydrochlorotiazid môže zhoršiť metabolizmus glukózy, lipidov a kyseliny močovej. Obe liečivá majú inverzné účinky na draslík v plazme. Medzi vážne nežiaduce účinky patria angioedém alebo anafylaktické reakcie, poruchy obličiek alebo pečene, pankreatitída, vážne kožné reakcie a neutropénia/agranulocytóza.</w:t>
      </w:r>
    </w:p>
    <w:p w:rsidR="00497469" w:rsidRPr="003453F2" w:rsidRDefault="00497469" w:rsidP="00611497">
      <w:pPr>
        <w:pStyle w:val="Normlndobloku"/>
      </w:pPr>
    </w:p>
    <w:p w:rsidR="00DC5B10" w:rsidRPr="003453F2" w:rsidRDefault="00DC5B10" w:rsidP="00236263">
      <w:pPr>
        <w:pStyle w:val="Normlndobloku"/>
      </w:pPr>
      <w:r w:rsidRPr="003453F2">
        <w:t>Frekvencia nežiaducich účinkov je definovaná na základe týchto pravidiel:</w:t>
      </w:r>
    </w:p>
    <w:p w:rsidR="00DC5B10" w:rsidRPr="003453F2" w:rsidRDefault="00DC5B10" w:rsidP="00236263">
      <w:pPr>
        <w:pStyle w:val="Normlndobloku"/>
      </w:pPr>
      <w:r w:rsidRPr="003453F2">
        <w:t>Veľmi časté (≥ 1/10); časté (≥ 1/100 až &lt; 1/10); menej časté (≥ 1/1000 až &lt; 1/100); zriedkavé (≥ 1/10</w:t>
      </w:r>
      <w:r w:rsidR="001A4E5B" w:rsidRPr="003453F2">
        <w:t> </w:t>
      </w:r>
      <w:r w:rsidRPr="003453F2">
        <w:t>000 až &lt; 1/1000); veľmi zriedkavé (&lt; 1/10</w:t>
      </w:r>
      <w:r w:rsidR="002B37DB">
        <w:t> </w:t>
      </w:r>
      <w:r w:rsidRPr="003453F2">
        <w:t>000), neznáme (z dostupných údajov).</w:t>
      </w:r>
    </w:p>
    <w:p w:rsidR="00DC5B10" w:rsidRDefault="00DC5B10" w:rsidP="00BC3F91">
      <w:pPr>
        <w:pStyle w:val="Normlndobloku"/>
      </w:pPr>
      <w:r w:rsidRPr="003453F2">
        <w:t>V rámci jednotlivých skupín frekvencií sú nežiaduce účinky usporiadané v poradí klesajúcej závažnosti:</w:t>
      </w:r>
    </w:p>
    <w:p w:rsidR="00497469" w:rsidRPr="003453F2" w:rsidRDefault="00497469" w:rsidP="00042B7E">
      <w:pPr>
        <w:pStyle w:val="Normlndobloku"/>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022"/>
        <w:gridCol w:w="2181"/>
        <w:gridCol w:w="1296"/>
        <w:gridCol w:w="2181"/>
      </w:tblGrid>
      <w:tr w:rsidR="00DC5B10" w:rsidRPr="003453F2" w:rsidTr="00611497">
        <w:trPr>
          <w:tblHeader/>
        </w:trPr>
        <w:tc>
          <w:tcPr>
            <w:tcW w:w="2235" w:type="dxa"/>
          </w:tcPr>
          <w:p w:rsidR="00DC5B10" w:rsidRPr="00611497" w:rsidRDefault="00DC5B10" w:rsidP="00611497">
            <w:pPr>
              <w:pStyle w:val="Normlndobloku"/>
              <w:rPr>
                <w:b/>
              </w:rPr>
            </w:pPr>
          </w:p>
        </w:tc>
        <w:tc>
          <w:tcPr>
            <w:tcW w:w="2022" w:type="dxa"/>
          </w:tcPr>
          <w:p w:rsidR="00DC5B10" w:rsidRPr="00611497" w:rsidRDefault="00DC5B10" w:rsidP="00611497">
            <w:pPr>
              <w:pStyle w:val="Normlndobloku"/>
              <w:rPr>
                <w:b/>
              </w:rPr>
            </w:pPr>
            <w:r w:rsidRPr="00611497">
              <w:rPr>
                <w:b/>
              </w:rPr>
              <w:t>Časté</w:t>
            </w:r>
          </w:p>
        </w:tc>
        <w:tc>
          <w:tcPr>
            <w:tcW w:w="2181" w:type="dxa"/>
          </w:tcPr>
          <w:p w:rsidR="00DC5B10" w:rsidRPr="00611497" w:rsidRDefault="00DC5B10" w:rsidP="00611497">
            <w:pPr>
              <w:pStyle w:val="Normlndobloku"/>
              <w:rPr>
                <w:b/>
              </w:rPr>
            </w:pPr>
            <w:r w:rsidRPr="00611497">
              <w:rPr>
                <w:b/>
              </w:rPr>
              <w:t>Menej časté</w:t>
            </w:r>
          </w:p>
        </w:tc>
        <w:tc>
          <w:tcPr>
            <w:tcW w:w="1296" w:type="dxa"/>
          </w:tcPr>
          <w:p w:rsidR="00DC5B10" w:rsidRPr="00611497" w:rsidRDefault="00DC5B10" w:rsidP="00611497">
            <w:pPr>
              <w:pStyle w:val="Normlndobloku"/>
              <w:rPr>
                <w:b/>
              </w:rPr>
            </w:pPr>
            <w:r w:rsidRPr="00611497">
              <w:rPr>
                <w:b/>
              </w:rPr>
              <w:t>Veľmi zriedkavé</w:t>
            </w:r>
          </w:p>
        </w:tc>
        <w:tc>
          <w:tcPr>
            <w:tcW w:w="2181" w:type="dxa"/>
          </w:tcPr>
          <w:p w:rsidR="00DC5B10" w:rsidRPr="00611497" w:rsidRDefault="00DC5B10" w:rsidP="00611497">
            <w:pPr>
              <w:pStyle w:val="Normlndobloku"/>
              <w:rPr>
                <w:b/>
              </w:rPr>
            </w:pPr>
            <w:r w:rsidRPr="00611497">
              <w:rPr>
                <w:b/>
              </w:rPr>
              <w:t>Neznáme</w:t>
            </w:r>
          </w:p>
        </w:tc>
      </w:tr>
      <w:tr w:rsidR="00DC5B10" w:rsidRPr="003453F2" w:rsidTr="00611497">
        <w:tc>
          <w:tcPr>
            <w:tcW w:w="2235" w:type="dxa"/>
          </w:tcPr>
          <w:p w:rsidR="00DC5B10" w:rsidRPr="00611497" w:rsidRDefault="00DC5B10" w:rsidP="00611497">
            <w:pPr>
              <w:pStyle w:val="Normlndobloku"/>
              <w:rPr>
                <w:b/>
              </w:rPr>
            </w:pPr>
            <w:r w:rsidRPr="00611497">
              <w:rPr>
                <w:b/>
              </w:rPr>
              <w:t>Poruchy krvi a</w:t>
            </w:r>
            <w:r w:rsidR="001A4E5B" w:rsidRPr="00611497">
              <w:rPr>
                <w:b/>
              </w:rPr>
              <w:t> </w:t>
            </w:r>
            <w:r w:rsidRPr="00611497">
              <w:rPr>
                <w:b/>
              </w:rPr>
              <w:t>lymfatického systému</w:t>
            </w:r>
          </w:p>
        </w:tc>
        <w:tc>
          <w:tcPr>
            <w:tcW w:w="2022" w:type="dxa"/>
          </w:tcPr>
          <w:p w:rsidR="00DC5B10" w:rsidRPr="00E82E3A" w:rsidRDefault="00DC5B10" w:rsidP="00611497">
            <w:pPr>
              <w:pStyle w:val="Normlndobloku"/>
            </w:pPr>
          </w:p>
        </w:tc>
        <w:tc>
          <w:tcPr>
            <w:tcW w:w="2181" w:type="dxa"/>
          </w:tcPr>
          <w:p w:rsidR="00DC5B10" w:rsidRPr="006A7B07" w:rsidRDefault="00DC5B10" w:rsidP="00611497">
            <w:pPr>
              <w:pStyle w:val="Normlndobloku"/>
            </w:pPr>
            <w:r w:rsidRPr="00E82E3A">
              <w:t>Znížený</w:t>
            </w:r>
            <w:r w:rsidRPr="00886EEF">
              <w:t xml:space="preserve"> počet bielych krviniek, znížený počet červených krviniek, hemolytická anémia, pokles hemoglobínu, znížený počet krvných doštičiek</w:t>
            </w:r>
          </w:p>
        </w:tc>
        <w:tc>
          <w:tcPr>
            <w:tcW w:w="1296" w:type="dxa"/>
          </w:tcPr>
          <w:p w:rsidR="00DC5B10" w:rsidRPr="003453F2" w:rsidRDefault="00DC5B10" w:rsidP="00236263">
            <w:pPr>
              <w:pStyle w:val="Normlndobloku"/>
            </w:pPr>
          </w:p>
        </w:tc>
        <w:tc>
          <w:tcPr>
            <w:tcW w:w="2181" w:type="dxa"/>
          </w:tcPr>
          <w:p w:rsidR="00DC5B10" w:rsidRPr="003453F2" w:rsidRDefault="00DC5B10" w:rsidP="00BC3F91">
            <w:pPr>
              <w:pStyle w:val="Normlndobloku"/>
            </w:pPr>
            <w:r w:rsidRPr="003453F2">
              <w:t>Zlyhanie kostnej drene, neutropénia vrátane agranulocytózy, pancytopénie, eozinofílie, hemokoncentrácia v</w:t>
            </w:r>
            <w:r w:rsidR="00EF198F" w:rsidRPr="003453F2">
              <w:t> </w:t>
            </w:r>
            <w:r w:rsidRPr="003453F2">
              <w:t xml:space="preserve">dôsledku straty </w:t>
            </w:r>
            <w:r w:rsidRPr="003453F2">
              <w:lastRenderedPageBreak/>
              <w:t>tekutín</w:t>
            </w:r>
          </w:p>
        </w:tc>
      </w:tr>
      <w:tr w:rsidR="00986534" w:rsidRPr="003453F2" w:rsidTr="00611497">
        <w:tc>
          <w:tcPr>
            <w:tcW w:w="2235" w:type="dxa"/>
          </w:tcPr>
          <w:p w:rsidR="00986534" w:rsidRPr="00611497" w:rsidRDefault="008B14DA" w:rsidP="00611497">
            <w:pPr>
              <w:pStyle w:val="Normlndobloku"/>
              <w:rPr>
                <w:b/>
              </w:rPr>
            </w:pPr>
            <w:r w:rsidRPr="00611497">
              <w:rPr>
                <w:b/>
              </w:rPr>
              <w:lastRenderedPageBreak/>
              <w:t>Poruchy imunitného systému</w:t>
            </w:r>
          </w:p>
        </w:tc>
        <w:tc>
          <w:tcPr>
            <w:tcW w:w="2022" w:type="dxa"/>
          </w:tcPr>
          <w:p w:rsidR="00986534" w:rsidRPr="00E82E3A" w:rsidRDefault="00986534" w:rsidP="00611497">
            <w:pPr>
              <w:pStyle w:val="Normlndobloku"/>
            </w:pPr>
          </w:p>
        </w:tc>
        <w:tc>
          <w:tcPr>
            <w:tcW w:w="2181" w:type="dxa"/>
          </w:tcPr>
          <w:p w:rsidR="00986534" w:rsidRPr="003453F2" w:rsidRDefault="00986534" w:rsidP="00611497">
            <w:pPr>
              <w:pStyle w:val="Normlndobloku"/>
            </w:pPr>
          </w:p>
        </w:tc>
        <w:tc>
          <w:tcPr>
            <w:tcW w:w="1296" w:type="dxa"/>
          </w:tcPr>
          <w:p w:rsidR="00986534" w:rsidRPr="003453F2" w:rsidRDefault="00986534" w:rsidP="00611497">
            <w:pPr>
              <w:pStyle w:val="Normlndobloku"/>
            </w:pPr>
          </w:p>
        </w:tc>
        <w:tc>
          <w:tcPr>
            <w:tcW w:w="2181" w:type="dxa"/>
          </w:tcPr>
          <w:p w:rsidR="00986534" w:rsidRPr="003453F2" w:rsidRDefault="00300D0D" w:rsidP="00611497">
            <w:pPr>
              <w:pStyle w:val="Normlndobloku"/>
            </w:pPr>
            <w:r w:rsidRPr="003453F2">
              <w:t>Anafylaktické alebo anafylaktoidné reakcie na ramipril alebo anafylaktické rakcie na hydrochlorotiazid, zvýšené antinukleárne protilátky</w:t>
            </w:r>
          </w:p>
        </w:tc>
      </w:tr>
      <w:tr w:rsidR="00300D0D" w:rsidRPr="003453F2" w:rsidTr="00611497">
        <w:tc>
          <w:tcPr>
            <w:tcW w:w="2235" w:type="dxa"/>
          </w:tcPr>
          <w:p w:rsidR="00300D0D" w:rsidRPr="00611497" w:rsidRDefault="00300D0D" w:rsidP="00611497">
            <w:pPr>
              <w:pStyle w:val="Normlndobloku"/>
              <w:rPr>
                <w:b/>
              </w:rPr>
            </w:pPr>
            <w:r w:rsidRPr="00611497">
              <w:rPr>
                <w:b/>
              </w:rPr>
              <w:t>Poruchy metabolizmu a</w:t>
            </w:r>
            <w:r w:rsidR="001A4E5B" w:rsidRPr="003453F2">
              <w:t> </w:t>
            </w:r>
            <w:r w:rsidRPr="00611497">
              <w:rPr>
                <w:b/>
              </w:rPr>
              <w:t>výživy</w:t>
            </w:r>
          </w:p>
        </w:tc>
        <w:tc>
          <w:tcPr>
            <w:tcW w:w="2022" w:type="dxa"/>
          </w:tcPr>
          <w:p w:rsidR="00300D0D" w:rsidRPr="003453F2" w:rsidRDefault="00300D0D" w:rsidP="00611497">
            <w:pPr>
              <w:pStyle w:val="Normlndobloku"/>
            </w:pPr>
            <w:r w:rsidRPr="00E82E3A">
              <w:t>Nedostatočne kontrolovaný diabetes mellitus, zho</w:t>
            </w:r>
            <w:r w:rsidRPr="003453F2">
              <w:t>ršená znášanlivosť glukózy, zvýšená hladina glukózy v</w:t>
            </w:r>
            <w:r w:rsidR="001A4E5B" w:rsidRPr="003453F2">
              <w:t> </w:t>
            </w:r>
            <w:r w:rsidRPr="003453F2">
              <w:t>krvi, zvýšená kyselina močová v</w:t>
            </w:r>
            <w:r w:rsidR="001A4E5B" w:rsidRPr="003453F2">
              <w:t> </w:t>
            </w:r>
            <w:r w:rsidRPr="003453F2">
              <w:t>krvi, zhoršenie dny, zvýšen</w:t>
            </w:r>
            <w:r w:rsidR="0038555B">
              <w:t>ie</w:t>
            </w:r>
            <w:r w:rsidRPr="003453F2">
              <w:t xml:space="preserve"> hladiny cholesterolu a/alebo triglyceridov v krvi spôsobené hydrochlorotiazidom</w:t>
            </w:r>
          </w:p>
        </w:tc>
        <w:tc>
          <w:tcPr>
            <w:tcW w:w="2181" w:type="dxa"/>
          </w:tcPr>
          <w:p w:rsidR="00300D0D" w:rsidRPr="003453F2" w:rsidRDefault="00300D0D" w:rsidP="00611497">
            <w:pPr>
              <w:pStyle w:val="Normlndobloku"/>
            </w:pPr>
            <w:r w:rsidRPr="003453F2">
              <w:t>Anorexia, znížená chuť do jedla</w:t>
            </w:r>
          </w:p>
          <w:p w:rsidR="00300D0D" w:rsidRPr="003453F2" w:rsidRDefault="00300D0D" w:rsidP="00236263">
            <w:pPr>
              <w:pStyle w:val="Normlndobloku"/>
            </w:pPr>
            <w:r w:rsidRPr="003453F2">
              <w:t>Znížená hladina draslíka v krvi, smäd spôsobený hydrochlorotiazidom</w:t>
            </w:r>
          </w:p>
        </w:tc>
        <w:tc>
          <w:tcPr>
            <w:tcW w:w="1296" w:type="dxa"/>
          </w:tcPr>
          <w:p w:rsidR="00300D0D" w:rsidRPr="003453F2" w:rsidRDefault="00300D0D" w:rsidP="00BC3F91">
            <w:pPr>
              <w:pStyle w:val="Normlndobloku"/>
            </w:pPr>
            <w:r w:rsidRPr="003453F2">
              <w:t>Zvýšená hladina draslíku v krvi spôsobená ramiprilom</w:t>
            </w:r>
          </w:p>
        </w:tc>
        <w:tc>
          <w:tcPr>
            <w:tcW w:w="2181" w:type="dxa"/>
          </w:tcPr>
          <w:p w:rsidR="00300D0D" w:rsidRPr="003453F2" w:rsidRDefault="00300D0D" w:rsidP="00042B7E">
            <w:pPr>
              <w:pStyle w:val="Normlndobloku"/>
            </w:pPr>
            <w:r w:rsidRPr="003453F2">
              <w:t>Znížená hladina sodíku v krvi</w:t>
            </w:r>
          </w:p>
          <w:p w:rsidR="00300D0D" w:rsidRPr="003453F2" w:rsidRDefault="00300D0D" w:rsidP="006B05F0">
            <w:pPr>
              <w:pStyle w:val="Normlndobloku"/>
            </w:pPr>
            <w:proofErr w:type="spellStart"/>
            <w:r w:rsidRPr="003453F2">
              <w:t>Glyko</w:t>
            </w:r>
            <w:r w:rsidR="009E29F3">
              <w:t>zú</w:t>
            </w:r>
            <w:r w:rsidRPr="003453F2">
              <w:t>ria</w:t>
            </w:r>
            <w:proofErr w:type="spellEnd"/>
            <w:r w:rsidRPr="003453F2">
              <w:t xml:space="preserve">, metabolická </w:t>
            </w:r>
            <w:proofErr w:type="spellStart"/>
            <w:r w:rsidRPr="003453F2">
              <w:t>alkalóza</w:t>
            </w:r>
            <w:proofErr w:type="spellEnd"/>
            <w:r w:rsidRPr="003453F2">
              <w:t xml:space="preserve">, </w:t>
            </w:r>
            <w:proofErr w:type="spellStart"/>
            <w:r w:rsidRPr="003453F2">
              <w:t>hypochlorémia</w:t>
            </w:r>
            <w:proofErr w:type="spellEnd"/>
            <w:r w:rsidRPr="003453F2">
              <w:t>, hypomagnez</w:t>
            </w:r>
            <w:r w:rsidR="009E29F3">
              <w:t>i</w:t>
            </w:r>
            <w:r w:rsidRPr="003453F2">
              <w:t>émia, hyperkalc</w:t>
            </w:r>
            <w:r w:rsidR="006A7B07">
              <w:t>i</w:t>
            </w:r>
            <w:r w:rsidRPr="006A7B07">
              <w:t>émia, dehydrat</w:t>
            </w:r>
            <w:r w:rsidRPr="003453F2">
              <w:t>ácia spôsobená hydrochlorotiazidom</w:t>
            </w:r>
          </w:p>
        </w:tc>
      </w:tr>
      <w:tr w:rsidR="00E21E6C" w:rsidRPr="003453F2" w:rsidTr="00611497">
        <w:tc>
          <w:tcPr>
            <w:tcW w:w="2235" w:type="dxa"/>
          </w:tcPr>
          <w:p w:rsidR="00E21E6C" w:rsidRPr="00611497" w:rsidRDefault="00E21E6C" w:rsidP="00611497">
            <w:pPr>
              <w:pStyle w:val="Normlndobloku"/>
              <w:rPr>
                <w:b/>
              </w:rPr>
            </w:pPr>
            <w:r w:rsidRPr="00611497">
              <w:rPr>
                <w:b/>
              </w:rPr>
              <w:t>Psychické poruchy</w:t>
            </w:r>
          </w:p>
        </w:tc>
        <w:tc>
          <w:tcPr>
            <w:tcW w:w="2022" w:type="dxa"/>
          </w:tcPr>
          <w:p w:rsidR="00E21E6C" w:rsidRPr="00E82E3A" w:rsidRDefault="00E21E6C" w:rsidP="00611497">
            <w:pPr>
              <w:pStyle w:val="Normlndobloku"/>
            </w:pPr>
          </w:p>
        </w:tc>
        <w:tc>
          <w:tcPr>
            <w:tcW w:w="2181" w:type="dxa"/>
          </w:tcPr>
          <w:p w:rsidR="00E21E6C" w:rsidRPr="003453F2" w:rsidRDefault="00E21E6C" w:rsidP="00611497">
            <w:pPr>
              <w:pStyle w:val="Normlndobloku"/>
            </w:pPr>
            <w:r w:rsidRPr="003453F2">
              <w:t>Zhoršená nálada, apatia, úzkosť, nervozita, poruchy spánku vrátane somnolencie</w:t>
            </w:r>
          </w:p>
        </w:tc>
        <w:tc>
          <w:tcPr>
            <w:tcW w:w="1296" w:type="dxa"/>
          </w:tcPr>
          <w:p w:rsidR="00E21E6C" w:rsidRPr="0021753A" w:rsidRDefault="00E21E6C" w:rsidP="00611497">
            <w:pPr>
              <w:pStyle w:val="Normlndobloku"/>
              <w:rPr>
                <w:highlight w:val="yellow"/>
              </w:rPr>
            </w:pPr>
          </w:p>
        </w:tc>
        <w:tc>
          <w:tcPr>
            <w:tcW w:w="2181" w:type="dxa"/>
          </w:tcPr>
          <w:p w:rsidR="00E21E6C" w:rsidRPr="0021753A" w:rsidRDefault="003B03D7" w:rsidP="00611497">
            <w:pPr>
              <w:pStyle w:val="Normlndobloku"/>
              <w:rPr>
                <w:highlight w:val="yellow"/>
              </w:rPr>
            </w:pPr>
            <w:r w:rsidRPr="00E82E3A">
              <w:t>Stav zmätenosti, nepokoj, poruchy pozornosti</w:t>
            </w:r>
          </w:p>
        </w:tc>
      </w:tr>
      <w:tr w:rsidR="00DC5B10" w:rsidRPr="003453F2" w:rsidTr="00611497">
        <w:tc>
          <w:tcPr>
            <w:tcW w:w="2235" w:type="dxa"/>
          </w:tcPr>
          <w:p w:rsidR="00DC5B10" w:rsidRPr="00611497" w:rsidRDefault="00DC5B10" w:rsidP="00611497">
            <w:pPr>
              <w:pStyle w:val="Normlndobloku"/>
              <w:rPr>
                <w:b/>
              </w:rPr>
            </w:pPr>
            <w:r w:rsidRPr="00611497">
              <w:rPr>
                <w:b/>
              </w:rPr>
              <w:t>Poruchy nervového systému</w:t>
            </w:r>
          </w:p>
        </w:tc>
        <w:tc>
          <w:tcPr>
            <w:tcW w:w="2022" w:type="dxa"/>
          </w:tcPr>
          <w:p w:rsidR="00DC5B10" w:rsidRPr="00E82E3A" w:rsidRDefault="00DC5B10" w:rsidP="00611497">
            <w:pPr>
              <w:pStyle w:val="Normlndobloku"/>
            </w:pPr>
            <w:r w:rsidRPr="00E82E3A">
              <w:t>Bolesť hlavy, závrat</w:t>
            </w:r>
          </w:p>
        </w:tc>
        <w:tc>
          <w:tcPr>
            <w:tcW w:w="2181" w:type="dxa"/>
          </w:tcPr>
          <w:p w:rsidR="00DC5B10" w:rsidRPr="003453F2" w:rsidRDefault="00DC5B10" w:rsidP="00611497">
            <w:pPr>
              <w:pStyle w:val="Normlndobloku"/>
            </w:pPr>
            <w:r w:rsidRPr="00E82E3A">
              <w:t>Vertigo, parestézia, tremor, poruchy rovnováhy, pocit pálenia, dysgeúz</w:t>
            </w:r>
            <w:r w:rsidRPr="003453F2">
              <w:t>ia, ageúzia</w:t>
            </w:r>
          </w:p>
        </w:tc>
        <w:tc>
          <w:tcPr>
            <w:tcW w:w="1296" w:type="dxa"/>
          </w:tcPr>
          <w:p w:rsidR="00DC5B10" w:rsidRPr="003453F2" w:rsidRDefault="00DC5B10" w:rsidP="00611497">
            <w:pPr>
              <w:pStyle w:val="Normlndobloku"/>
            </w:pPr>
          </w:p>
        </w:tc>
        <w:tc>
          <w:tcPr>
            <w:tcW w:w="2181" w:type="dxa"/>
          </w:tcPr>
          <w:p w:rsidR="00DC5B10" w:rsidRPr="003453F2" w:rsidRDefault="00DC5B10" w:rsidP="00611497">
            <w:pPr>
              <w:pStyle w:val="Normlndobloku"/>
            </w:pPr>
            <w:r w:rsidRPr="003453F2">
              <w:t>Mozgová ischémia vrátane mozgovej porážky a</w:t>
            </w:r>
            <w:r w:rsidR="00EF198F" w:rsidRPr="003453F2">
              <w:t> </w:t>
            </w:r>
            <w:r w:rsidRPr="003453F2">
              <w:t>tranzitórneho ischemického záchvatu, zhoršené psychomotorické schopnosti, parosmia</w:t>
            </w:r>
          </w:p>
        </w:tc>
      </w:tr>
      <w:tr w:rsidR="00DC5B10" w:rsidRPr="003453F2" w:rsidTr="00611497">
        <w:tc>
          <w:tcPr>
            <w:tcW w:w="2235" w:type="dxa"/>
          </w:tcPr>
          <w:p w:rsidR="00DC5B10" w:rsidRPr="00611497" w:rsidRDefault="00DC5B10" w:rsidP="00611497">
            <w:pPr>
              <w:pStyle w:val="Normlndobloku"/>
              <w:rPr>
                <w:b/>
              </w:rPr>
            </w:pPr>
            <w:r w:rsidRPr="00611497">
              <w:rPr>
                <w:b/>
              </w:rPr>
              <w:t>Poruchy oka</w:t>
            </w:r>
          </w:p>
        </w:tc>
        <w:tc>
          <w:tcPr>
            <w:tcW w:w="2022" w:type="dxa"/>
          </w:tcPr>
          <w:p w:rsidR="00DC5B10" w:rsidRPr="00E82E3A" w:rsidRDefault="00DC5B10" w:rsidP="00611497">
            <w:pPr>
              <w:pStyle w:val="Normlndobloku"/>
            </w:pPr>
          </w:p>
        </w:tc>
        <w:tc>
          <w:tcPr>
            <w:tcW w:w="2181" w:type="dxa"/>
          </w:tcPr>
          <w:p w:rsidR="00DC5B10" w:rsidRPr="003453F2" w:rsidRDefault="00DC5B10" w:rsidP="00611497">
            <w:pPr>
              <w:pStyle w:val="Normlndobloku"/>
            </w:pPr>
            <w:r w:rsidRPr="003453F2">
              <w:t>Poruchy videnia vrátane zahmleného videnia, konjunktivitída</w:t>
            </w:r>
          </w:p>
        </w:tc>
        <w:tc>
          <w:tcPr>
            <w:tcW w:w="1296" w:type="dxa"/>
          </w:tcPr>
          <w:p w:rsidR="00DC5B10" w:rsidRPr="003453F2" w:rsidRDefault="00DC5B10" w:rsidP="00611497">
            <w:pPr>
              <w:pStyle w:val="Normlndobloku"/>
            </w:pPr>
          </w:p>
        </w:tc>
        <w:tc>
          <w:tcPr>
            <w:tcW w:w="2181" w:type="dxa"/>
          </w:tcPr>
          <w:p w:rsidR="00DC5B10" w:rsidRPr="003453F2" w:rsidRDefault="00DC5B10" w:rsidP="00611497">
            <w:pPr>
              <w:pStyle w:val="Normlndobloku"/>
            </w:pPr>
            <w:r w:rsidRPr="003453F2">
              <w:t xml:space="preserve">Xantopsia, </w:t>
            </w:r>
            <w:r w:rsidR="00D628FF" w:rsidRPr="003453F2">
              <w:t>znížené</w:t>
            </w:r>
            <w:r w:rsidR="00300D0D" w:rsidRPr="003453F2">
              <w:t xml:space="preserve"> slzenie spôsobené hydrochlorotiazidom, akútny glauk</w:t>
            </w:r>
            <w:r w:rsidR="0021753A">
              <w:t>ó</w:t>
            </w:r>
            <w:r w:rsidR="00300D0D" w:rsidRPr="003453F2">
              <w:t xml:space="preserve">m z uzávreným uhlom spôsobený </w:t>
            </w:r>
            <w:r w:rsidRPr="003453F2">
              <w:t>hydrochlorotiazidom</w:t>
            </w:r>
          </w:p>
        </w:tc>
      </w:tr>
      <w:tr w:rsidR="00DC5B10" w:rsidRPr="003453F2" w:rsidTr="00611497">
        <w:tc>
          <w:tcPr>
            <w:tcW w:w="2235" w:type="dxa"/>
          </w:tcPr>
          <w:p w:rsidR="00DC5B10" w:rsidRPr="00611497" w:rsidRDefault="00DC5B10" w:rsidP="00611497">
            <w:pPr>
              <w:pStyle w:val="Normlndobloku"/>
              <w:rPr>
                <w:b/>
              </w:rPr>
            </w:pPr>
            <w:r w:rsidRPr="00611497">
              <w:rPr>
                <w:b/>
              </w:rPr>
              <w:t>Poruchy ucha a</w:t>
            </w:r>
            <w:r w:rsidR="008C0C87" w:rsidRPr="00611497">
              <w:rPr>
                <w:b/>
              </w:rPr>
              <w:t> </w:t>
            </w:r>
            <w:r w:rsidRPr="00611497">
              <w:rPr>
                <w:b/>
              </w:rPr>
              <w:t>labyrintu</w:t>
            </w:r>
          </w:p>
        </w:tc>
        <w:tc>
          <w:tcPr>
            <w:tcW w:w="2022" w:type="dxa"/>
          </w:tcPr>
          <w:p w:rsidR="00DC5B10" w:rsidRPr="00E82E3A" w:rsidRDefault="00DC5B10" w:rsidP="00611497">
            <w:pPr>
              <w:pStyle w:val="Normlndobloku"/>
            </w:pPr>
          </w:p>
        </w:tc>
        <w:tc>
          <w:tcPr>
            <w:tcW w:w="2181" w:type="dxa"/>
          </w:tcPr>
          <w:p w:rsidR="00DC5B10" w:rsidRPr="003453F2" w:rsidRDefault="00DC5B10" w:rsidP="00611497">
            <w:pPr>
              <w:pStyle w:val="Normlndobloku"/>
            </w:pPr>
            <w:r w:rsidRPr="003453F2">
              <w:t>Tinnitus</w:t>
            </w:r>
          </w:p>
        </w:tc>
        <w:tc>
          <w:tcPr>
            <w:tcW w:w="1296" w:type="dxa"/>
          </w:tcPr>
          <w:p w:rsidR="00DC5B10" w:rsidRPr="003453F2" w:rsidRDefault="00DC5B10" w:rsidP="00236263">
            <w:pPr>
              <w:pStyle w:val="Normlndobloku"/>
            </w:pPr>
          </w:p>
        </w:tc>
        <w:tc>
          <w:tcPr>
            <w:tcW w:w="2181" w:type="dxa"/>
          </w:tcPr>
          <w:p w:rsidR="00DC5B10" w:rsidRPr="003453F2" w:rsidRDefault="00DC5B10" w:rsidP="00BC3F91">
            <w:pPr>
              <w:pStyle w:val="Normlndobloku"/>
            </w:pPr>
            <w:r w:rsidRPr="003453F2">
              <w:t>Poruchy sluchu</w:t>
            </w:r>
          </w:p>
        </w:tc>
      </w:tr>
      <w:tr w:rsidR="00E21E6C" w:rsidRPr="003453F2" w:rsidTr="00611497">
        <w:tc>
          <w:tcPr>
            <w:tcW w:w="2235" w:type="dxa"/>
          </w:tcPr>
          <w:p w:rsidR="00E21E6C" w:rsidRPr="00611497" w:rsidRDefault="00E21E6C" w:rsidP="00611497">
            <w:pPr>
              <w:pStyle w:val="Normlndobloku"/>
              <w:rPr>
                <w:b/>
              </w:rPr>
            </w:pPr>
            <w:r w:rsidRPr="00611497">
              <w:rPr>
                <w:b/>
              </w:rPr>
              <w:t>Poruchy srdca a</w:t>
            </w:r>
            <w:r w:rsidR="008C0C87" w:rsidRPr="00611497">
              <w:rPr>
                <w:b/>
              </w:rPr>
              <w:t> </w:t>
            </w:r>
            <w:r w:rsidRPr="00611497">
              <w:rPr>
                <w:b/>
              </w:rPr>
              <w:t>srdcovej činnosti</w:t>
            </w:r>
          </w:p>
        </w:tc>
        <w:tc>
          <w:tcPr>
            <w:tcW w:w="2022" w:type="dxa"/>
          </w:tcPr>
          <w:p w:rsidR="00E21E6C" w:rsidRPr="00E82E3A" w:rsidRDefault="00E21E6C" w:rsidP="00611497">
            <w:pPr>
              <w:pStyle w:val="Normlndobloku"/>
            </w:pPr>
          </w:p>
        </w:tc>
        <w:tc>
          <w:tcPr>
            <w:tcW w:w="2181" w:type="dxa"/>
          </w:tcPr>
          <w:p w:rsidR="00E21E6C" w:rsidRPr="003453F2" w:rsidRDefault="00E21E6C" w:rsidP="00611497">
            <w:pPr>
              <w:pStyle w:val="Normlndobloku"/>
            </w:pPr>
            <w:r w:rsidRPr="003453F2">
              <w:t>Ischémia myokardu vrátane angíny pektoris, tachykardi</w:t>
            </w:r>
            <w:r w:rsidR="00C34D61">
              <w:t>e</w:t>
            </w:r>
            <w:r w:rsidRPr="003453F2">
              <w:t>, arytmi</w:t>
            </w:r>
            <w:r w:rsidR="00C34D61">
              <w:t>e</w:t>
            </w:r>
            <w:r w:rsidRPr="003453F2">
              <w:t>, palpitáci</w:t>
            </w:r>
            <w:r w:rsidR="00C34D61">
              <w:t>í</w:t>
            </w:r>
            <w:r w:rsidRPr="003453F2">
              <w:t xml:space="preserve">, </w:t>
            </w:r>
            <w:r w:rsidRPr="003453F2">
              <w:lastRenderedPageBreak/>
              <w:t>periférn</w:t>
            </w:r>
            <w:r w:rsidR="00C34D61">
              <w:t>eho</w:t>
            </w:r>
            <w:r w:rsidRPr="003453F2">
              <w:t xml:space="preserve"> edém</w:t>
            </w:r>
            <w:r w:rsidR="00C34D61">
              <w:t>u</w:t>
            </w:r>
          </w:p>
        </w:tc>
        <w:tc>
          <w:tcPr>
            <w:tcW w:w="1296" w:type="dxa"/>
          </w:tcPr>
          <w:p w:rsidR="00E21E6C" w:rsidRPr="003453F2" w:rsidRDefault="00E21E6C" w:rsidP="00236263">
            <w:pPr>
              <w:pStyle w:val="Normlndobloku"/>
            </w:pPr>
          </w:p>
        </w:tc>
        <w:tc>
          <w:tcPr>
            <w:tcW w:w="2181" w:type="dxa"/>
          </w:tcPr>
          <w:p w:rsidR="00E21E6C" w:rsidRPr="003453F2" w:rsidRDefault="00E21E6C" w:rsidP="00BC3F91">
            <w:pPr>
              <w:pStyle w:val="Normlndobloku"/>
            </w:pPr>
            <w:r w:rsidRPr="003453F2">
              <w:t>Infarkt myokardu</w:t>
            </w:r>
          </w:p>
        </w:tc>
      </w:tr>
      <w:tr w:rsidR="00E21E6C" w:rsidRPr="003453F2" w:rsidTr="00611497">
        <w:tc>
          <w:tcPr>
            <w:tcW w:w="2235" w:type="dxa"/>
          </w:tcPr>
          <w:p w:rsidR="00E21E6C" w:rsidRPr="00611497" w:rsidRDefault="00E21E6C" w:rsidP="00611497">
            <w:pPr>
              <w:pStyle w:val="Normlndobloku"/>
              <w:rPr>
                <w:b/>
              </w:rPr>
            </w:pPr>
            <w:r w:rsidRPr="00611497">
              <w:rPr>
                <w:b/>
              </w:rPr>
              <w:lastRenderedPageBreak/>
              <w:t>Poruchy ciev</w:t>
            </w:r>
          </w:p>
        </w:tc>
        <w:tc>
          <w:tcPr>
            <w:tcW w:w="2022" w:type="dxa"/>
          </w:tcPr>
          <w:p w:rsidR="00E21E6C" w:rsidRPr="00E82E3A" w:rsidRDefault="00E21E6C" w:rsidP="00611497">
            <w:pPr>
              <w:pStyle w:val="Normlndobloku"/>
            </w:pPr>
          </w:p>
        </w:tc>
        <w:tc>
          <w:tcPr>
            <w:tcW w:w="2181" w:type="dxa"/>
          </w:tcPr>
          <w:p w:rsidR="00E21E6C" w:rsidRPr="003453F2" w:rsidRDefault="00E21E6C" w:rsidP="00611497">
            <w:pPr>
              <w:pStyle w:val="Normlndobloku"/>
            </w:pPr>
            <w:r w:rsidRPr="003453F2">
              <w:t>Hypotenzia, znížený ortostatický krvný tlak, synkopa, sčervenanie</w:t>
            </w:r>
          </w:p>
        </w:tc>
        <w:tc>
          <w:tcPr>
            <w:tcW w:w="1296" w:type="dxa"/>
          </w:tcPr>
          <w:p w:rsidR="00E21E6C" w:rsidRPr="003453F2" w:rsidRDefault="00E21E6C" w:rsidP="00611497">
            <w:pPr>
              <w:pStyle w:val="Normlndobloku"/>
            </w:pPr>
          </w:p>
        </w:tc>
        <w:tc>
          <w:tcPr>
            <w:tcW w:w="2181" w:type="dxa"/>
          </w:tcPr>
          <w:p w:rsidR="00E21E6C" w:rsidRPr="003453F2" w:rsidRDefault="00E21E6C" w:rsidP="00611497">
            <w:pPr>
              <w:pStyle w:val="Normlndobloku"/>
            </w:pPr>
            <w:r w:rsidRPr="003453F2">
              <w:t>Trombóza spôsobená závažným odvodnením, vaskulárna stenóza, hypoperfúzia, Raynaudov fenomén, vaskulitída</w:t>
            </w:r>
          </w:p>
        </w:tc>
      </w:tr>
      <w:tr w:rsidR="00DC5B10" w:rsidRPr="003453F2" w:rsidTr="00611497">
        <w:tc>
          <w:tcPr>
            <w:tcW w:w="2235" w:type="dxa"/>
          </w:tcPr>
          <w:p w:rsidR="00DC5B10" w:rsidRPr="00611497" w:rsidRDefault="00DC5B10" w:rsidP="00611497">
            <w:pPr>
              <w:pStyle w:val="Normlndobloku"/>
              <w:rPr>
                <w:b/>
              </w:rPr>
            </w:pPr>
            <w:r w:rsidRPr="00611497">
              <w:rPr>
                <w:b/>
              </w:rPr>
              <w:t>Poruchy dýchacej sústavy, hrudníka a</w:t>
            </w:r>
            <w:r w:rsidR="008C0C87" w:rsidRPr="00611497">
              <w:rPr>
                <w:b/>
              </w:rPr>
              <w:t> </w:t>
            </w:r>
            <w:r w:rsidRPr="00611497">
              <w:rPr>
                <w:b/>
              </w:rPr>
              <w:t>mediastína</w:t>
            </w:r>
          </w:p>
        </w:tc>
        <w:tc>
          <w:tcPr>
            <w:tcW w:w="2022" w:type="dxa"/>
          </w:tcPr>
          <w:p w:rsidR="00DC5B10" w:rsidRPr="00E82E3A" w:rsidRDefault="00DC5B10" w:rsidP="00611497">
            <w:pPr>
              <w:pStyle w:val="Normlndobloku"/>
            </w:pPr>
            <w:r w:rsidRPr="00E82E3A">
              <w:t>Neproduktívny dráždivý kašeľ, bronchitída</w:t>
            </w:r>
          </w:p>
        </w:tc>
        <w:tc>
          <w:tcPr>
            <w:tcW w:w="2181" w:type="dxa"/>
          </w:tcPr>
          <w:p w:rsidR="00DC5B10" w:rsidRPr="00E82E3A" w:rsidRDefault="00DC5B10" w:rsidP="00611497">
            <w:pPr>
              <w:pStyle w:val="Normlndobloku"/>
            </w:pPr>
            <w:r w:rsidRPr="00E82E3A">
              <w:t>Sinusitída, dyspnoe, upchatý nos</w:t>
            </w:r>
          </w:p>
        </w:tc>
        <w:tc>
          <w:tcPr>
            <w:tcW w:w="1296" w:type="dxa"/>
          </w:tcPr>
          <w:p w:rsidR="00DC5B10" w:rsidRPr="003453F2" w:rsidRDefault="00DC5B10" w:rsidP="00236263">
            <w:pPr>
              <w:pStyle w:val="Normlndobloku"/>
            </w:pPr>
          </w:p>
        </w:tc>
        <w:tc>
          <w:tcPr>
            <w:tcW w:w="2181" w:type="dxa"/>
          </w:tcPr>
          <w:p w:rsidR="00DC5B10" w:rsidRPr="00E82E3A" w:rsidRDefault="00DC5B10" w:rsidP="00BC3F91">
            <w:pPr>
              <w:pStyle w:val="Normlndobloku"/>
            </w:pPr>
            <w:r w:rsidRPr="003453F2">
              <w:t xml:space="preserve">Bronchospazmus, vrátane zhoršenia astmy, </w:t>
            </w:r>
            <w:r w:rsidR="00D628FF" w:rsidRPr="003453F2">
              <w:t>alergická alveolitída, non kardiogénny pľúcny edém spôsobené hydrochlorotiazidom</w:t>
            </w:r>
          </w:p>
        </w:tc>
      </w:tr>
      <w:tr w:rsidR="00DC5B10" w:rsidRPr="003453F2" w:rsidTr="00611497">
        <w:tc>
          <w:tcPr>
            <w:tcW w:w="2235" w:type="dxa"/>
          </w:tcPr>
          <w:p w:rsidR="00DC5B10" w:rsidRPr="00611497" w:rsidRDefault="00DC5B10" w:rsidP="00611497">
            <w:pPr>
              <w:pStyle w:val="Normlndobloku"/>
              <w:rPr>
                <w:b/>
              </w:rPr>
            </w:pPr>
            <w:r w:rsidRPr="00611497">
              <w:rPr>
                <w:b/>
              </w:rPr>
              <w:t>Poruchy gastrointestinálneho traktu</w:t>
            </w:r>
          </w:p>
        </w:tc>
        <w:tc>
          <w:tcPr>
            <w:tcW w:w="2022" w:type="dxa"/>
          </w:tcPr>
          <w:p w:rsidR="00DC5B10" w:rsidRPr="00E82E3A" w:rsidRDefault="00DC5B10" w:rsidP="00611497">
            <w:pPr>
              <w:pStyle w:val="Normlndobloku"/>
            </w:pPr>
          </w:p>
        </w:tc>
        <w:tc>
          <w:tcPr>
            <w:tcW w:w="2181" w:type="dxa"/>
          </w:tcPr>
          <w:p w:rsidR="00FF0B17" w:rsidRPr="00E82E3A" w:rsidRDefault="00DC5B10" w:rsidP="00611497">
            <w:pPr>
              <w:pStyle w:val="Normlndobloku"/>
            </w:pPr>
            <w:r w:rsidRPr="00E82E3A">
              <w:t>Zápal gastrointestinálneho traktu, poruchy chuti, abdominálna nepohoda, dyspepsia, gastritída, nauzea, zápcha</w:t>
            </w:r>
          </w:p>
          <w:p w:rsidR="00DC5B10" w:rsidRPr="003453F2" w:rsidRDefault="00DC5B10" w:rsidP="00611497">
            <w:pPr>
              <w:pStyle w:val="Normlndobloku"/>
            </w:pPr>
            <w:r w:rsidRPr="003453F2">
              <w:t>Gingivitída spôsobená hydrochlorotiazidom</w:t>
            </w:r>
          </w:p>
        </w:tc>
        <w:tc>
          <w:tcPr>
            <w:tcW w:w="1296" w:type="dxa"/>
          </w:tcPr>
          <w:p w:rsidR="00DC5B10" w:rsidRPr="003453F2" w:rsidRDefault="00DC5B10" w:rsidP="00611497">
            <w:pPr>
              <w:pStyle w:val="Normlndobloku"/>
            </w:pPr>
            <w:r w:rsidRPr="003453F2">
              <w:t>Vracanie, aftózna stomatitída, zápal jazyka, hnačka, bolesť v</w:t>
            </w:r>
            <w:r w:rsidR="001A4E5B" w:rsidRPr="003453F2">
              <w:t> </w:t>
            </w:r>
            <w:r w:rsidRPr="003453F2">
              <w:t>hornej časti brucha, sucho v</w:t>
            </w:r>
            <w:r w:rsidR="001A4E5B" w:rsidRPr="003453F2">
              <w:t> </w:t>
            </w:r>
            <w:r w:rsidRPr="003453F2">
              <w:t>ústach</w:t>
            </w:r>
          </w:p>
        </w:tc>
        <w:tc>
          <w:tcPr>
            <w:tcW w:w="2181" w:type="dxa"/>
          </w:tcPr>
          <w:p w:rsidR="00D97698" w:rsidRPr="003453F2" w:rsidRDefault="00DC5B10" w:rsidP="00236263">
            <w:pPr>
              <w:pStyle w:val="Normlndobloku"/>
            </w:pPr>
            <w:r w:rsidRPr="003453F2">
              <w:t>Pankreatitída (pri ACE inhibítoroch boli veľmi výnimočne hlásené prípady fatálneho konca), zvýšené pankreatické enzýmy, angioedém tenkého čreva</w:t>
            </w:r>
          </w:p>
          <w:p w:rsidR="00DC5B10" w:rsidRPr="003453F2" w:rsidRDefault="00DC5B10" w:rsidP="00BC3F91">
            <w:pPr>
              <w:pStyle w:val="Normlndobloku"/>
            </w:pPr>
            <w:r w:rsidRPr="003453F2">
              <w:t>Sialoadenitída spôsobená hydrochlorotiazidom</w:t>
            </w:r>
          </w:p>
        </w:tc>
      </w:tr>
      <w:tr w:rsidR="008D10B1" w:rsidRPr="003453F2" w:rsidTr="00611497">
        <w:tc>
          <w:tcPr>
            <w:tcW w:w="2235" w:type="dxa"/>
          </w:tcPr>
          <w:p w:rsidR="008D10B1" w:rsidRPr="00611497" w:rsidRDefault="008D10B1" w:rsidP="00611497">
            <w:pPr>
              <w:pStyle w:val="Normlndobloku"/>
              <w:rPr>
                <w:b/>
              </w:rPr>
            </w:pPr>
            <w:r w:rsidRPr="00611497">
              <w:rPr>
                <w:b/>
              </w:rPr>
              <w:t>Poruchy pečene a</w:t>
            </w:r>
            <w:r w:rsidR="008C0C87" w:rsidRPr="00611497">
              <w:rPr>
                <w:b/>
              </w:rPr>
              <w:t> </w:t>
            </w:r>
            <w:r w:rsidRPr="00611497">
              <w:rPr>
                <w:b/>
              </w:rPr>
              <w:t>žlčových ciest</w:t>
            </w:r>
          </w:p>
        </w:tc>
        <w:tc>
          <w:tcPr>
            <w:tcW w:w="2022" w:type="dxa"/>
          </w:tcPr>
          <w:p w:rsidR="008D10B1" w:rsidRPr="00E82E3A" w:rsidRDefault="008D10B1" w:rsidP="00611497">
            <w:pPr>
              <w:pStyle w:val="Normlndobloku"/>
            </w:pPr>
          </w:p>
        </w:tc>
        <w:tc>
          <w:tcPr>
            <w:tcW w:w="2181" w:type="dxa"/>
          </w:tcPr>
          <w:p w:rsidR="008D10B1" w:rsidRPr="003453F2" w:rsidRDefault="008D10B1" w:rsidP="00611497">
            <w:pPr>
              <w:pStyle w:val="Normlndobloku"/>
            </w:pPr>
            <w:r w:rsidRPr="003453F2">
              <w:t>Cholestatická alebo cytolytická hepatitída (veľmi výnimočne s</w:t>
            </w:r>
            <w:r w:rsidR="001A4E5B" w:rsidRPr="003453F2">
              <w:t> </w:t>
            </w:r>
            <w:r w:rsidRPr="003453F2">
              <w:t>fatálnym koncom), zvýšené hladiny pečeňových enzýmov a/alebo konjugovaného bilirubínu</w:t>
            </w:r>
          </w:p>
          <w:p w:rsidR="008D10B1" w:rsidRPr="003453F2" w:rsidRDefault="008D10B1" w:rsidP="00611497">
            <w:pPr>
              <w:pStyle w:val="Normlndobloku"/>
            </w:pPr>
            <w:r w:rsidRPr="003453F2">
              <w:t>Kalkulózna cholecystitída spôsobená hydrochlorotiazidom</w:t>
            </w:r>
          </w:p>
        </w:tc>
        <w:tc>
          <w:tcPr>
            <w:tcW w:w="1296" w:type="dxa"/>
          </w:tcPr>
          <w:p w:rsidR="008D10B1" w:rsidRPr="003453F2" w:rsidRDefault="008D10B1" w:rsidP="00236263">
            <w:pPr>
              <w:pStyle w:val="Normlndobloku"/>
            </w:pPr>
          </w:p>
        </w:tc>
        <w:tc>
          <w:tcPr>
            <w:tcW w:w="2181" w:type="dxa"/>
          </w:tcPr>
          <w:p w:rsidR="008D10B1" w:rsidRPr="003453F2" w:rsidRDefault="008D10B1" w:rsidP="00BC3F91">
            <w:pPr>
              <w:pStyle w:val="Normlndobloku"/>
            </w:pPr>
            <w:r w:rsidRPr="003453F2">
              <w:t>Akútne zlyhanie pečene, cholestatická žltačka, hepatocelulárne poškodenie</w:t>
            </w:r>
          </w:p>
        </w:tc>
      </w:tr>
      <w:tr w:rsidR="00DC5B10" w:rsidRPr="003453F2" w:rsidTr="00611497">
        <w:tc>
          <w:tcPr>
            <w:tcW w:w="2235" w:type="dxa"/>
          </w:tcPr>
          <w:p w:rsidR="00DC5B10" w:rsidRPr="00611497" w:rsidRDefault="00DC5B10" w:rsidP="00611497">
            <w:pPr>
              <w:pStyle w:val="Normlndobloku"/>
              <w:rPr>
                <w:b/>
              </w:rPr>
            </w:pPr>
            <w:r w:rsidRPr="00611497">
              <w:rPr>
                <w:b/>
              </w:rPr>
              <w:t>Poruchy kože a</w:t>
            </w:r>
            <w:r w:rsidR="008C0C87" w:rsidRPr="00611497">
              <w:rPr>
                <w:b/>
              </w:rPr>
              <w:t> </w:t>
            </w:r>
            <w:r w:rsidRPr="00611497">
              <w:rPr>
                <w:b/>
              </w:rPr>
              <w:t>podkožného tkaniva</w:t>
            </w:r>
          </w:p>
        </w:tc>
        <w:tc>
          <w:tcPr>
            <w:tcW w:w="2022" w:type="dxa"/>
          </w:tcPr>
          <w:p w:rsidR="00DC5B10" w:rsidRPr="00E82E3A" w:rsidRDefault="00DC5B10" w:rsidP="00611497">
            <w:pPr>
              <w:pStyle w:val="Normlndobloku"/>
            </w:pPr>
          </w:p>
        </w:tc>
        <w:tc>
          <w:tcPr>
            <w:tcW w:w="2181" w:type="dxa"/>
          </w:tcPr>
          <w:p w:rsidR="00DC5B10" w:rsidRPr="003453F2" w:rsidRDefault="00DC5B10" w:rsidP="00611497">
            <w:pPr>
              <w:pStyle w:val="Normlndobloku"/>
            </w:pPr>
            <w:r w:rsidRPr="003453F2">
              <w:t>Angioedém: veľmi výnimočne môže byť obštrukcia dýchacích ciest následkom angioedému fatálna; psoriatiformná dermatitída, hyperhidróza, vyrážka, zvyčajne makulopapulárna, pruritus, alopécia</w:t>
            </w:r>
          </w:p>
        </w:tc>
        <w:tc>
          <w:tcPr>
            <w:tcW w:w="1296" w:type="dxa"/>
          </w:tcPr>
          <w:p w:rsidR="00DC5B10" w:rsidRPr="003453F2" w:rsidRDefault="00DC5B10" w:rsidP="00236263">
            <w:pPr>
              <w:pStyle w:val="Normlndobloku"/>
            </w:pPr>
          </w:p>
        </w:tc>
        <w:tc>
          <w:tcPr>
            <w:tcW w:w="2181" w:type="dxa"/>
          </w:tcPr>
          <w:p w:rsidR="00DC5B10" w:rsidRPr="003453F2" w:rsidRDefault="00DC5B10" w:rsidP="00BC3F91">
            <w:pPr>
              <w:pStyle w:val="Normlndobloku"/>
            </w:pPr>
            <w:r w:rsidRPr="003453F2">
              <w:t>Toxická epidermálna nekrolýza, Stevensov-Johnsonov syndróm, multiformný erytém, pemfigus, zhoršená psoriáza, exfoliatívna dermatitída, fotosenzitívne reakcie, onycholýza, pemfigoidný alebo lichenoidný exantém</w:t>
            </w:r>
            <w:r w:rsidR="00AF125B" w:rsidRPr="003453F2">
              <w:t xml:space="preserve"> alebo enantém</w:t>
            </w:r>
            <w:r w:rsidRPr="003453F2">
              <w:t xml:space="preserve">, </w:t>
            </w:r>
            <w:r w:rsidR="008D10B1" w:rsidRPr="003453F2">
              <w:t>žihľavka</w:t>
            </w:r>
          </w:p>
          <w:p w:rsidR="00DC5B10" w:rsidRPr="003453F2" w:rsidRDefault="00DC5B10" w:rsidP="00042B7E">
            <w:pPr>
              <w:pStyle w:val="Normlndobloku"/>
            </w:pPr>
            <w:r w:rsidRPr="003453F2">
              <w:lastRenderedPageBreak/>
              <w:t>Systémový lupus erythematosus spôsobený hydrochlorotiazidom</w:t>
            </w:r>
          </w:p>
        </w:tc>
      </w:tr>
      <w:tr w:rsidR="00DC5B10" w:rsidRPr="003453F2" w:rsidTr="00611497">
        <w:tc>
          <w:tcPr>
            <w:tcW w:w="2235" w:type="dxa"/>
          </w:tcPr>
          <w:p w:rsidR="00DC5B10" w:rsidRPr="00611497" w:rsidRDefault="00DC5B10" w:rsidP="00611497">
            <w:pPr>
              <w:pStyle w:val="Normlndobloku"/>
              <w:rPr>
                <w:b/>
              </w:rPr>
            </w:pPr>
            <w:r w:rsidRPr="00611497">
              <w:rPr>
                <w:b/>
              </w:rPr>
              <w:lastRenderedPageBreak/>
              <w:t>Poruchy kostrovej a</w:t>
            </w:r>
            <w:r w:rsidR="008C0C87" w:rsidRPr="00611497">
              <w:rPr>
                <w:b/>
              </w:rPr>
              <w:t> </w:t>
            </w:r>
            <w:r w:rsidRPr="00611497">
              <w:rPr>
                <w:b/>
              </w:rPr>
              <w:t>svalovej sústavy a</w:t>
            </w:r>
            <w:r w:rsidR="008C0C87" w:rsidRPr="00611497">
              <w:rPr>
                <w:b/>
              </w:rPr>
              <w:t> </w:t>
            </w:r>
            <w:r w:rsidRPr="00611497">
              <w:rPr>
                <w:b/>
              </w:rPr>
              <w:t>spojivového tkaniva</w:t>
            </w:r>
          </w:p>
        </w:tc>
        <w:tc>
          <w:tcPr>
            <w:tcW w:w="2022" w:type="dxa"/>
          </w:tcPr>
          <w:p w:rsidR="00DC5B10" w:rsidRPr="00E82E3A" w:rsidRDefault="00DC5B10" w:rsidP="00611497">
            <w:pPr>
              <w:pStyle w:val="Normlndobloku"/>
            </w:pPr>
          </w:p>
        </w:tc>
        <w:tc>
          <w:tcPr>
            <w:tcW w:w="2181" w:type="dxa"/>
          </w:tcPr>
          <w:p w:rsidR="00DC5B10" w:rsidRPr="006A7B07" w:rsidRDefault="00DC5B10" w:rsidP="00611497">
            <w:pPr>
              <w:pStyle w:val="Normlndobloku"/>
            </w:pPr>
            <w:r w:rsidRPr="00886EEF">
              <w:t>Myalgia</w:t>
            </w:r>
          </w:p>
        </w:tc>
        <w:tc>
          <w:tcPr>
            <w:tcW w:w="1296" w:type="dxa"/>
          </w:tcPr>
          <w:p w:rsidR="00DC5B10" w:rsidRPr="003453F2" w:rsidRDefault="00DC5B10" w:rsidP="00236263">
            <w:pPr>
              <w:pStyle w:val="Normlndobloku"/>
            </w:pPr>
          </w:p>
        </w:tc>
        <w:tc>
          <w:tcPr>
            <w:tcW w:w="2181" w:type="dxa"/>
          </w:tcPr>
          <w:p w:rsidR="00DC5B10" w:rsidRPr="003453F2" w:rsidRDefault="00DC5B10" w:rsidP="00BC3F91">
            <w:pPr>
              <w:pStyle w:val="Normlndobloku"/>
            </w:pPr>
            <w:r w:rsidRPr="003453F2">
              <w:t>Artralgia, svalový spazmus</w:t>
            </w:r>
          </w:p>
          <w:p w:rsidR="00DC5B10" w:rsidRPr="003453F2" w:rsidRDefault="00DC5B10" w:rsidP="00042B7E">
            <w:pPr>
              <w:pStyle w:val="Normlndobloku"/>
            </w:pPr>
            <w:r w:rsidRPr="003453F2">
              <w:t>Svalová slabosť, muskuloskeletálna stuhnutosť, tetania spôsobené hydrochlorotiazidom</w:t>
            </w:r>
          </w:p>
        </w:tc>
      </w:tr>
      <w:tr w:rsidR="008D10B1" w:rsidRPr="003453F2" w:rsidTr="00611497">
        <w:tc>
          <w:tcPr>
            <w:tcW w:w="2235" w:type="dxa"/>
          </w:tcPr>
          <w:p w:rsidR="008D10B1" w:rsidRPr="00611497" w:rsidRDefault="008D10B1" w:rsidP="00611497">
            <w:pPr>
              <w:pStyle w:val="Normlndobloku"/>
              <w:rPr>
                <w:b/>
              </w:rPr>
            </w:pPr>
            <w:r w:rsidRPr="00611497">
              <w:rPr>
                <w:b/>
              </w:rPr>
              <w:t>Poruchy obličiek a</w:t>
            </w:r>
            <w:r w:rsidR="008C0C87" w:rsidRPr="00611497">
              <w:rPr>
                <w:b/>
              </w:rPr>
              <w:t> </w:t>
            </w:r>
            <w:r w:rsidRPr="00611497">
              <w:rPr>
                <w:b/>
              </w:rPr>
              <w:t>močových ciest</w:t>
            </w:r>
          </w:p>
        </w:tc>
        <w:tc>
          <w:tcPr>
            <w:tcW w:w="2022" w:type="dxa"/>
          </w:tcPr>
          <w:p w:rsidR="008D10B1" w:rsidRPr="00E82E3A" w:rsidRDefault="008D10B1" w:rsidP="00611497">
            <w:pPr>
              <w:pStyle w:val="Normlndobloku"/>
            </w:pPr>
          </w:p>
        </w:tc>
        <w:tc>
          <w:tcPr>
            <w:tcW w:w="2181" w:type="dxa"/>
          </w:tcPr>
          <w:p w:rsidR="008D10B1" w:rsidRPr="003453F2" w:rsidRDefault="008D10B1" w:rsidP="00894ADC">
            <w:pPr>
              <w:pStyle w:val="Normlndobloku"/>
            </w:pPr>
            <w:r w:rsidRPr="003453F2">
              <w:t>Zhoršenie funkcie obličiek vrátane akútneho zlyhania obličiek, zvýšené vylučovanie moču, zvýšená hladina močoviny v krvi, zvýšená hladina kreatinínu v krvi</w:t>
            </w:r>
          </w:p>
        </w:tc>
        <w:tc>
          <w:tcPr>
            <w:tcW w:w="1296" w:type="dxa"/>
          </w:tcPr>
          <w:p w:rsidR="008D10B1" w:rsidRPr="003453F2" w:rsidRDefault="008D10B1" w:rsidP="00236263">
            <w:pPr>
              <w:pStyle w:val="Normlndobloku"/>
            </w:pPr>
          </w:p>
        </w:tc>
        <w:tc>
          <w:tcPr>
            <w:tcW w:w="2181" w:type="dxa"/>
          </w:tcPr>
          <w:p w:rsidR="008D10B1" w:rsidRPr="003453F2" w:rsidRDefault="008D10B1" w:rsidP="00BC3F91">
            <w:pPr>
              <w:pStyle w:val="Normlndobloku"/>
            </w:pPr>
            <w:r w:rsidRPr="003453F2">
              <w:t>Zhoršenie preexistujúcej proteinúrie</w:t>
            </w:r>
          </w:p>
          <w:p w:rsidR="008D10B1" w:rsidRPr="003453F2" w:rsidRDefault="008D10B1" w:rsidP="00042B7E">
            <w:pPr>
              <w:pStyle w:val="Normlndobloku"/>
            </w:pPr>
            <w:r w:rsidRPr="003453F2">
              <w:t>Intersticiálna nefritída spôsobená hydrochlorotiazidom</w:t>
            </w:r>
          </w:p>
        </w:tc>
      </w:tr>
      <w:tr w:rsidR="008D10B1" w:rsidRPr="003453F2" w:rsidTr="00611497">
        <w:tc>
          <w:tcPr>
            <w:tcW w:w="2235" w:type="dxa"/>
          </w:tcPr>
          <w:p w:rsidR="008D10B1" w:rsidRPr="00611497" w:rsidDel="008D10B1" w:rsidRDefault="008D10B1" w:rsidP="00611497">
            <w:pPr>
              <w:pStyle w:val="Normlndobloku"/>
              <w:rPr>
                <w:b/>
              </w:rPr>
            </w:pPr>
            <w:r w:rsidRPr="00611497">
              <w:rPr>
                <w:b/>
              </w:rPr>
              <w:t>Poruchy reprodukčného systému a prsníkov</w:t>
            </w:r>
          </w:p>
        </w:tc>
        <w:tc>
          <w:tcPr>
            <w:tcW w:w="2022" w:type="dxa"/>
          </w:tcPr>
          <w:p w:rsidR="008D10B1" w:rsidRPr="00E82E3A" w:rsidDel="008D10B1" w:rsidRDefault="008D10B1" w:rsidP="00611497">
            <w:pPr>
              <w:pStyle w:val="Normlndobloku"/>
            </w:pPr>
          </w:p>
        </w:tc>
        <w:tc>
          <w:tcPr>
            <w:tcW w:w="2181" w:type="dxa"/>
          </w:tcPr>
          <w:p w:rsidR="008D10B1" w:rsidRPr="003453F2" w:rsidDel="008D10B1" w:rsidRDefault="008D10B1" w:rsidP="00611497">
            <w:pPr>
              <w:pStyle w:val="Normlndobloku"/>
            </w:pPr>
            <w:r w:rsidRPr="003453F2">
              <w:t>Prechodná erektilná impotencia</w:t>
            </w:r>
          </w:p>
        </w:tc>
        <w:tc>
          <w:tcPr>
            <w:tcW w:w="1296" w:type="dxa"/>
          </w:tcPr>
          <w:p w:rsidR="008D10B1" w:rsidRPr="003453F2" w:rsidDel="008D10B1" w:rsidRDefault="008D10B1" w:rsidP="00611497">
            <w:pPr>
              <w:pStyle w:val="Normlndobloku"/>
            </w:pPr>
          </w:p>
        </w:tc>
        <w:tc>
          <w:tcPr>
            <w:tcW w:w="2181" w:type="dxa"/>
          </w:tcPr>
          <w:p w:rsidR="008D10B1" w:rsidRPr="003453F2" w:rsidDel="008D10B1" w:rsidRDefault="008D10B1" w:rsidP="00611497">
            <w:pPr>
              <w:pStyle w:val="Normlndobloku"/>
            </w:pPr>
            <w:r w:rsidRPr="003453F2">
              <w:t>Znížené libido, gynekomastia</w:t>
            </w:r>
          </w:p>
        </w:tc>
      </w:tr>
      <w:tr w:rsidR="008D10B1" w:rsidRPr="003453F2" w:rsidTr="00611497">
        <w:tc>
          <w:tcPr>
            <w:tcW w:w="2235" w:type="dxa"/>
            <w:tcBorders>
              <w:right w:val="single" w:sz="4" w:space="0" w:color="auto"/>
            </w:tcBorders>
          </w:tcPr>
          <w:p w:rsidR="008D10B1" w:rsidRPr="00611497" w:rsidRDefault="008D10B1" w:rsidP="00611497">
            <w:pPr>
              <w:pStyle w:val="Normlndobloku"/>
              <w:rPr>
                <w:b/>
              </w:rPr>
            </w:pPr>
            <w:r w:rsidRPr="00611497">
              <w:rPr>
                <w:b/>
              </w:rPr>
              <w:t>Celkové poruchy a reakcie v mieste podania</w:t>
            </w:r>
          </w:p>
        </w:tc>
        <w:tc>
          <w:tcPr>
            <w:tcW w:w="2022" w:type="dxa"/>
            <w:tcBorders>
              <w:left w:val="single" w:sz="4" w:space="0" w:color="auto"/>
              <w:right w:val="single" w:sz="4" w:space="0" w:color="auto"/>
            </w:tcBorders>
          </w:tcPr>
          <w:p w:rsidR="008D10B1" w:rsidRPr="00E82E3A" w:rsidRDefault="008D10B1" w:rsidP="00611497">
            <w:pPr>
              <w:pStyle w:val="Normlndobloku"/>
            </w:pPr>
            <w:r w:rsidRPr="00E82E3A">
              <w:t>Únava, asténia</w:t>
            </w:r>
          </w:p>
        </w:tc>
        <w:tc>
          <w:tcPr>
            <w:tcW w:w="2181" w:type="dxa"/>
            <w:tcBorders>
              <w:left w:val="single" w:sz="4" w:space="0" w:color="auto"/>
            </w:tcBorders>
          </w:tcPr>
          <w:p w:rsidR="008D10B1" w:rsidRPr="003453F2" w:rsidRDefault="008D10B1" w:rsidP="00611497">
            <w:pPr>
              <w:pStyle w:val="Normlndobloku"/>
            </w:pPr>
            <w:r w:rsidRPr="003453F2">
              <w:t>Bolesť na hrudníku, pyrexia</w:t>
            </w:r>
          </w:p>
        </w:tc>
        <w:tc>
          <w:tcPr>
            <w:tcW w:w="1296" w:type="dxa"/>
          </w:tcPr>
          <w:p w:rsidR="008D10B1" w:rsidRPr="003453F2" w:rsidRDefault="008D10B1" w:rsidP="00611497">
            <w:pPr>
              <w:pStyle w:val="Normlndobloku"/>
            </w:pPr>
          </w:p>
        </w:tc>
        <w:tc>
          <w:tcPr>
            <w:tcW w:w="2181" w:type="dxa"/>
          </w:tcPr>
          <w:p w:rsidR="008D10B1" w:rsidRPr="003453F2" w:rsidRDefault="008D10B1" w:rsidP="00611497">
            <w:pPr>
              <w:pStyle w:val="Normlndobloku"/>
            </w:pPr>
          </w:p>
        </w:tc>
      </w:tr>
    </w:tbl>
    <w:p w:rsidR="00497469" w:rsidRDefault="00497469" w:rsidP="00C34D61">
      <w:pPr>
        <w:pStyle w:val="Styl3"/>
        <w:spacing w:before="0" w:after="0"/>
        <w:rPr>
          <w:lang w:val="sk-SK"/>
        </w:rPr>
      </w:pPr>
    </w:p>
    <w:p w:rsidR="001F5F8F" w:rsidRPr="00C34D61" w:rsidRDefault="001F5F8F" w:rsidP="00C34D61">
      <w:pPr>
        <w:pStyle w:val="Styl3"/>
        <w:spacing w:before="0" w:after="0"/>
        <w:rPr>
          <w:lang w:val="sk-SK"/>
        </w:rPr>
      </w:pPr>
      <w:r w:rsidRPr="00C34D61">
        <w:rPr>
          <w:lang w:val="sk-SK"/>
        </w:rPr>
        <w:t>Hlásenie podozrení na nežiaduce reakcie</w:t>
      </w:r>
    </w:p>
    <w:p w:rsidR="001F5F8F" w:rsidRDefault="001F5F8F" w:rsidP="00611497">
      <w:pPr>
        <w:pStyle w:val="Normlndobloku"/>
        <w:rPr>
          <w:rStyle w:val="Hypertextovprepojenie"/>
          <w:szCs w:val="22"/>
        </w:rPr>
      </w:pPr>
      <w:r w:rsidRPr="00C34D61">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C34D61">
        <w:rPr>
          <w:highlight w:val="lightGray"/>
        </w:rPr>
        <w:t>národného systému hlásenia uvedeného v </w:t>
      </w:r>
      <w:hyperlink r:id="rId9" w:history="1">
        <w:r w:rsidRPr="00C34D61">
          <w:rPr>
            <w:rStyle w:val="Hypertextovprepojenie"/>
            <w:szCs w:val="22"/>
            <w:highlight w:val="lightGray"/>
          </w:rPr>
          <w:t>Prílohe V</w:t>
        </w:r>
      </w:hyperlink>
      <w:r w:rsidRPr="00C34D61">
        <w:rPr>
          <w:rStyle w:val="Hypertextovprepojenie"/>
          <w:szCs w:val="22"/>
          <w:highlight w:val="lightGray"/>
        </w:rPr>
        <w:t>.</w:t>
      </w:r>
    </w:p>
    <w:p w:rsidR="00497469" w:rsidRPr="00E82E3A" w:rsidRDefault="00497469" w:rsidP="00611497">
      <w:pPr>
        <w:pStyle w:val="Normlndobloku"/>
      </w:pPr>
    </w:p>
    <w:p w:rsidR="00CD1BB9" w:rsidRDefault="00CD1BB9" w:rsidP="005D39E2">
      <w:pPr>
        <w:pStyle w:val="Styl2"/>
        <w:spacing w:before="0" w:after="0"/>
        <w:rPr>
          <w:lang w:val="sk-SK"/>
        </w:rPr>
      </w:pPr>
      <w:r w:rsidRPr="00E82E3A">
        <w:rPr>
          <w:lang w:val="sk-SK"/>
        </w:rPr>
        <w:t>Predávkovanie</w:t>
      </w:r>
    </w:p>
    <w:p w:rsidR="00497469" w:rsidRPr="00E82E3A" w:rsidRDefault="00497469" w:rsidP="005D39E2">
      <w:pPr>
        <w:pStyle w:val="Styl2"/>
        <w:numPr>
          <w:ilvl w:val="0"/>
          <w:numId w:val="0"/>
        </w:numPr>
        <w:spacing w:before="0" w:after="0"/>
        <w:rPr>
          <w:lang w:val="sk-SK"/>
        </w:rPr>
      </w:pPr>
    </w:p>
    <w:p w:rsidR="00EA64D8" w:rsidRPr="003A17BF" w:rsidRDefault="00A25871" w:rsidP="00727EB5">
      <w:pPr>
        <w:pStyle w:val="Styl3"/>
        <w:spacing w:before="0" w:after="0"/>
      </w:pPr>
      <w:r w:rsidRPr="00AD335A">
        <w:rPr>
          <w:lang w:val="sk-SK"/>
        </w:rPr>
        <w:t>Príznaky</w:t>
      </w:r>
    </w:p>
    <w:p w:rsidR="00D97698" w:rsidRPr="00AD335A" w:rsidRDefault="00DC5B10" w:rsidP="00611497">
      <w:pPr>
        <w:pStyle w:val="Normlndobloku"/>
      </w:pPr>
      <w:r w:rsidRPr="00AD335A">
        <w:t>K príznakom spojeným s predávkovaním ACE inhibítormi môže patriť výrazná periférna vazodilatácia (s výraznou hypotenziou, šokom), bradykardia, poruchy elektrolytov, zlyhanie obličiek, srdcová arytmia, poruchy vedomia vrátane kómy, cerebrálne kŕče, paréza a paralytický ileus.</w:t>
      </w:r>
    </w:p>
    <w:p w:rsidR="00D97698" w:rsidRPr="00AD335A" w:rsidRDefault="00DC5B10" w:rsidP="00611497">
      <w:pPr>
        <w:pStyle w:val="Normlndobloku"/>
      </w:pPr>
      <w:r w:rsidRPr="00AD335A">
        <w:t>U pacientov s predispozíciou (napr. s prostatickou hyperpláziou) môže predávkovanie hydrochlorotiazidom vyvolať akútne zadržiavanie moču.</w:t>
      </w:r>
    </w:p>
    <w:p w:rsidR="00EA64D8" w:rsidRPr="003A17BF" w:rsidRDefault="00EA64D8" w:rsidP="00727EB5">
      <w:pPr>
        <w:pStyle w:val="Styl3"/>
        <w:spacing w:before="0" w:after="0"/>
      </w:pPr>
      <w:r w:rsidRPr="00AD335A">
        <w:rPr>
          <w:lang w:val="sk-SK"/>
        </w:rPr>
        <w:t>L</w:t>
      </w:r>
      <w:r w:rsidR="00A25871" w:rsidRPr="00AD335A">
        <w:rPr>
          <w:lang w:val="sk-SK"/>
        </w:rPr>
        <w:t>ie</w:t>
      </w:r>
      <w:r w:rsidRPr="00AD335A">
        <w:rPr>
          <w:lang w:val="sk-SK"/>
        </w:rPr>
        <w:t>čba</w:t>
      </w:r>
    </w:p>
    <w:p w:rsidR="00CD1BB9" w:rsidRDefault="00DC5B10" w:rsidP="00236263">
      <w:pPr>
        <w:pStyle w:val="Normlndobloku"/>
      </w:pPr>
      <w:r w:rsidRPr="00AD335A">
        <w:t>Pacient musí byť dôkladne monitorovaný a liečba musí byť symptomatická a podporná. Navrhnuté opatrenia zahŕňajú primárnu detoxifikáciu (výplach žalúdka, podanie adsorbentov) a opatrenia na obnovenie hemodynamickej stability, vrátane podania alfa-1 adrenergných agonistov alebo podania</w:t>
      </w:r>
      <w:r w:rsidRPr="003453F2">
        <w:t xml:space="preserve"> angiotenzínu II (angiotenzínamid). Ramiprilát, aktívny metabolit ramiprilu, sa hemodialýzou z</w:t>
      </w:r>
      <w:r w:rsidR="00EF198F" w:rsidRPr="003453F2">
        <w:t> </w:t>
      </w:r>
      <w:r w:rsidR="006278A3" w:rsidRPr="003453F2">
        <w:t>krvného</w:t>
      </w:r>
      <w:r w:rsidRPr="003453F2">
        <w:t xml:space="preserve"> obehu odstraňuje zle</w:t>
      </w:r>
      <w:r w:rsidR="006278A3" w:rsidRPr="003453F2">
        <w:t>.</w:t>
      </w:r>
    </w:p>
    <w:p w:rsidR="00497469" w:rsidRDefault="00497469" w:rsidP="00BC3F91">
      <w:pPr>
        <w:pStyle w:val="Normlndobloku"/>
      </w:pPr>
    </w:p>
    <w:p w:rsidR="00497469" w:rsidRPr="003453F2" w:rsidRDefault="00497469" w:rsidP="00042B7E">
      <w:pPr>
        <w:pStyle w:val="Normlndobloku"/>
      </w:pPr>
    </w:p>
    <w:p w:rsidR="00CD1BB9" w:rsidRDefault="00CD1BB9" w:rsidP="005D39E2">
      <w:pPr>
        <w:pStyle w:val="Styl1"/>
        <w:spacing w:before="0" w:after="0"/>
        <w:rPr>
          <w:lang w:val="sk-SK"/>
        </w:rPr>
      </w:pPr>
      <w:r w:rsidRPr="003453F2">
        <w:rPr>
          <w:lang w:val="sk-SK"/>
        </w:rPr>
        <w:lastRenderedPageBreak/>
        <w:t>FARMAKOLOGICKÉ VLASTNOSTI</w:t>
      </w:r>
    </w:p>
    <w:p w:rsidR="00497469" w:rsidRPr="003453F2" w:rsidRDefault="00497469" w:rsidP="005D39E2">
      <w:pPr>
        <w:pStyle w:val="Styl1"/>
        <w:numPr>
          <w:ilvl w:val="0"/>
          <w:numId w:val="0"/>
        </w:numPr>
        <w:spacing w:before="0" w:after="0"/>
        <w:ind w:left="357"/>
        <w:rPr>
          <w:lang w:val="sk-SK"/>
        </w:rPr>
      </w:pPr>
    </w:p>
    <w:p w:rsidR="00CD1BB9" w:rsidRDefault="00CD1BB9" w:rsidP="005D39E2">
      <w:pPr>
        <w:pStyle w:val="Styl2"/>
        <w:spacing w:before="0" w:after="0"/>
        <w:rPr>
          <w:lang w:val="sk-SK"/>
        </w:rPr>
      </w:pPr>
      <w:r w:rsidRPr="003453F2">
        <w:rPr>
          <w:lang w:val="sk-SK"/>
        </w:rPr>
        <w:t>Farmakodynamické vlastnosti</w:t>
      </w:r>
    </w:p>
    <w:p w:rsidR="00497469" w:rsidRPr="003453F2" w:rsidRDefault="00497469" w:rsidP="005D39E2">
      <w:pPr>
        <w:pStyle w:val="Styl2"/>
        <w:numPr>
          <w:ilvl w:val="0"/>
          <w:numId w:val="0"/>
        </w:numPr>
        <w:spacing w:before="0" w:after="0"/>
        <w:rPr>
          <w:lang w:val="sk-SK"/>
        </w:rPr>
      </w:pPr>
    </w:p>
    <w:p w:rsidR="00022151" w:rsidRPr="003453F2" w:rsidRDefault="00022151" w:rsidP="00611497">
      <w:pPr>
        <w:pStyle w:val="Normlndobloku"/>
      </w:pPr>
      <w:r w:rsidRPr="003453F2">
        <w:t>Farmakoterapeutická skupina: ramipril a diuretiká, ATC kód C09BA05.</w:t>
      </w:r>
    </w:p>
    <w:p w:rsidR="00497469" w:rsidRDefault="00497469" w:rsidP="005D39E2">
      <w:pPr>
        <w:pStyle w:val="Styl3"/>
        <w:spacing w:before="0" w:after="0"/>
        <w:rPr>
          <w:lang w:val="sk-SK"/>
        </w:rPr>
      </w:pPr>
    </w:p>
    <w:p w:rsidR="00022151" w:rsidRPr="003453F2" w:rsidRDefault="00022151" w:rsidP="005D39E2">
      <w:pPr>
        <w:pStyle w:val="Styl3"/>
        <w:spacing w:before="0" w:after="0"/>
        <w:rPr>
          <w:lang w:val="sk-SK"/>
        </w:rPr>
      </w:pPr>
      <w:r w:rsidRPr="003453F2">
        <w:rPr>
          <w:lang w:val="sk-SK"/>
        </w:rPr>
        <w:t>Spôsob účinku</w:t>
      </w:r>
    </w:p>
    <w:p w:rsidR="00497469" w:rsidRDefault="00497469" w:rsidP="005D39E2">
      <w:pPr>
        <w:pStyle w:val="Styl3"/>
        <w:spacing w:before="0" w:after="0"/>
        <w:rPr>
          <w:lang w:val="sk-SK"/>
        </w:rPr>
      </w:pPr>
    </w:p>
    <w:p w:rsidR="00DC5B10" w:rsidRPr="003453F2" w:rsidRDefault="00DC5B10" w:rsidP="005D39E2">
      <w:pPr>
        <w:pStyle w:val="Styl3"/>
        <w:spacing w:before="0" w:after="0"/>
        <w:rPr>
          <w:lang w:val="sk-SK"/>
        </w:rPr>
      </w:pPr>
      <w:r w:rsidRPr="003453F2">
        <w:rPr>
          <w:lang w:val="sk-SK"/>
        </w:rPr>
        <w:t>Ramipril</w:t>
      </w:r>
    </w:p>
    <w:p w:rsidR="00DC5B10" w:rsidRPr="003453F2" w:rsidRDefault="00DC5B10" w:rsidP="00611497">
      <w:pPr>
        <w:pStyle w:val="Normlndobloku"/>
      </w:pPr>
      <w:r w:rsidRPr="003453F2">
        <w:t>Ramiprilát, účinný metabolit neaktívnej formy tzv. ,,prodrug” ramiprilu, inhibuje enzým dipeptidylkarboxypeptidázu I (synonymá: enzým konvertujúci angiotenzín; kinináza II). V plazme a</w:t>
      </w:r>
      <w:r w:rsidR="00EF198F" w:rsidRPr="003453F2">
        <w:t> </w:t>
      </w:r>
      <w:r w:rsidRPr="003453F2">
        <w:t>v</w:t>
      </w:r>
      <w:r w:rsidR="00EF198F" w:rsidRPr="003453F2">
        <w:t> </w:t>
      </w:r>
      <w:r w:rsidRPr="003453F2">
        <w:t>tkanive tento enzým katalyzuje konverziu angiotenzínu I na aktívnu vazokonštrikčnú látku angiotenzín II a taktiež odbúravanie aktívneho vazodilatátora bradykinínu. Znížená tvorba angiotenzínu II a inhibícia odbúravania bradykinínu spôsobuje vazodilatáciu.</w:t>
      </w:r>
    </w:p>
    <w:p w:rsidR="00497469" w:rsidRDefault="00497469" w:rsidP="00611497">
      <w:pPr>
        <w:pStyle w:val="Normlndobloku"/>
      </w:pPr>
    </w:p>
    <w:p w:rsidR="00DC5B10" w:rsidRPr="003453F2" w:rsidRDefault="00DC5B10" w:rsidP="00236263">
      <w:pPr>
        <w:pStyle w:val="Normlndobloku"/>
      </w:pPr>
      <w:r w:rsidRPr="003453F2">
        <w:t>Nakoľko angiotenzín II stimuluje aj uvoľňovanie aldosterónu, ramiprilát spôsobuje redukciu sekrécie aldosterónu. Priemerná odpoveď na monoterapiu ACE inhibítorom bola nižšia u pacientov čiernej pleti (afro-karibská populácia) s hypertenziou (obvykle ide o populáciu s nízko-renínovou hypertenziou) ako u pacientov inej farby pleti.</w:t>
      </w:r>
    </w:p>
    <w:p w:rsidR="00497469" w:rsidRDefault="00497469" w:rsidP="005D39E2">
      <w:pPr>
        <w:pStyle w:val="Styl3"/>
        <w:spacing w:before="0" w:after="0"/>
        <w:rPr>
          <w:lang w:val="sk-SK"/>
        </w:rPr>
      </w:pPr>
    </w:p>
    <w:p w:rsidR="00DC5B10" w:rsidRPr="003453F2" w:rsidRDefault="00DC5B10" w:rsidP="005D39E2">
      <w:pPr>
        <w:pStyle w:val="Styl3"/>
        <w:spacing w:before="0" w:after="0"/>
        <w:rPr>
          <w:lang w:val="sk-SK"/>
        </w:rPr>
      </w:pPr>
      <w:r w:rsidRPr="003453F2">
        <w:rPr>
          <w:lang w:val="sk-SK"/>
        </w:rPr>
        <w:t>Hydrochlorotiazid</w:t>
      </w:r>
    </w:p>
    <w:p w:rsidR="00D97698" w:rsidRPr="003453F2" w:rsidRDefault="00DC5B10" w:rsidP="00611497">
      <w:pPr>
        <w:pStyle w:val="Normlndobloku"/>
      </w:pPr>
      <w:r w:rsidRPr="003453F2">
        <w:t>Hydrochlorotiazid je tiazidové diuretikum. Mechanizmus antihypertenzného účinku tiazidových diuretík nie je celkom známy. Inhibuje reabsorpciu sodíka a chloridu v distálnom tubule. Zvýšené renálne vylučovanie týchto iónov sprevádza zvýšený odtok moču (zapríčinený osmotickým viazaním vody). Zvyšuje sa exkrécia draslíka a horčíka, poklesne vylučovanie kyseliny močovej.</w:t>
      </w:r>
    </w:p>
    <w:p w:rsidR="00DC5B10" w:rsidRPr="003453F2" w:rsidRDefault="00DC5B10" w:rsidP="00611497">
      <w:pPr>
        <w:pStyle w:val="Normlndobloku"/>
      </w:pPr>
      <w:r w:rsidRPr="003453F2">
        <w:t>Možný mechanizmus antihypertenzn</w:t>
      </w:r>
      <w:r w:rsidR="00886EEF">
        <w:t>é</w:t>
      </w:r>
      <w:r w:rsidRPr="00886EEF">
        <w:t>ho účinku hydrochlorotiazidu</w:t>
      </w:r>
      <w:r w:rsidRPr="006A7B07">
        <w:t>: modifikovaná rovnováha sodíka, redukcia extracelulárnej vody a objemu plazmy, zmena renálno-vaskulárnej rezistencie, ako aj znížená odozva</w:t>
      </w:r>
      <w:r w:rsidRPr="003453F2">
        <w:t xml:space="preserve"> na noradrenalín a angiotenzín II.</w:t>
      </w:r>
    </w:p>
    <w:p w:rsidR="00497469" w:rsidRDefault="00497469" w:rsidP="005D39E2">
      <w:pPr>
        <w:pStyle w:val="Styl3"/>
        <w:spacing w:before="0" w:after="0"/>
        <w:rPr>
          <w:lang w:val="sk-SK"/>
        </w:rPr>
      </w:pPr>
    </w:p>
    <w:p w:rsidR="00D97698" w:rsidRPr="003453F2" w:rsidRDefault="00DC5B10" w:rsidP="005D39E2">
      <w:pPr>
        <w:pStyle w:val="Styl3"/>
        <w:spacing w:before="0" w:after="0"/>
        <w:rPr>
          <w:lang w:val="sk-SK"/>
        </w:rPr>
      </w:pPr>
      <w:r w:rsidRPr="003453F2">
        <w:rPr>
          <w:lang w:val="sk-SK"/>
        </w:rPr>
        <w:t>Farmakodynamické účinky</w:t>
      </w:r>
    </w:p>
    <w:p w:rsidR="00DC5B10" w:rsidRPr="003453F2" w:rsidRDefault="00DC5B10" w:rsidP="005D39E2">
      <w:pPr>
        <w:pStyle w:val="Styl3"/>
        <w:spacing w:before="0" w:after="0"/>
        <w:rPr>
          <w:lang w:val="sk-SK"/>
        </w:rPr>
      </w:pPr>
      <w:r w:rsidRPr="003453F2">
        <w:rPr>
          <w:lang w:val="sk-SK"/>
        </w:rPr>
        <w:t>Ramipril</w:t>
      </w:r>
    </w:p>
    <w:p w:rsidR="00DC5B10" w:rsidRPr="006A7B07" w:rsidRDefault="00DC5B10" w:rsidP="00611497">
      <w:pPr>
        <w:pStyle w:val="Normlndobloku"/>
      </w:pPr>
      <w:r w:rsidRPr="003453F2">
        <w:t>Užívanie ramiprilu spôsobuje výraznú redukciu periférnej arteriálnej rezistencie. Veľké zmeny prietoku plazmy obličkami a rýchlosti glomerulárnej filtrácie obvykle nenastávajú. Podávanie ramiprilu hypertenzn</w:t>
      </w:r>
      <w:r w:rsidR="006A7B07">
        <w:t>ý</w:t>
      </w:r>
      <w:r w:rsidRPr="006A7B07">
        <w:t>m pacientom vedie k zníženiu krvného tlaku v horizontálnej polohe a v stoji bez kompenzačného zrýchlenia tepu.</w:t>
      </w:r>
    </w:p>
    <w:p w:rsidR="00DC5B10" w:rsidRPr="006A7B07" w:rsidRDefault="00DC5B10" w:rsidP="00611497">
      <w:pPr>
        <w:pStyle w:val="Normlndobloku"/>
      </w:pPr>
      <w:r w:rsidRPr="006A7B07">
        <w:t>U väčšiny pacientov sa prejaví začiatok antihypertenzn</w:t>
      </w:r>
      <w:r w:rsidR="006A7B07">
        <w:t>é</w:t>
      </w:r>
      <w:r w:rsidRPr="006A7B07">
        <w:t>ho účinku jednotlivej dávky v rozpätí jednej až dvoch hodín po perorálnom užití. Vrchol účinku jednotlivej dávky sa obvykle dosahuje za 3 až 6</w:t>
      </w:r>
      <w:r w:rsidR="00EF198F" w:rsidRPr="006A7B07">
        <w:t> </w:t>
      </w:r>
      <w:r w:rsidRPr="006A7B07">
        <w:t>hodín po perorálnom užití. Antihypertenzn</w:t>
      </w:r>
      <w:r w:rsidR="006A7B07">
        <w:t>ý</w:t>
      </w:r>
      <w:r w:rsidRPr="006A7B07">
        <w:t xml:space="preserve"> účinok jednotlivej dávky trvá obvykle 24 hodín.</w:t>
      </w:r>
    </w:p>
    <w:p w:rsidR="00DC5B10" w:rsidRPr="00886EEF" w:rsidRDefault="00DC5B10" w:rsidP="00611497">
      <w:pPr>
        <w:pStyle w:val="Normlndobloku"/>
      </w:pPr>
      <w:r w:rsidRPr="006A7B07">
        <w:t>Maximálny antihypertenzn</w:t>
      </w:r>
      <w:r w:rsidR="00886EEF">
        <w:t>ý</w:t>
      </w:r>
      <w:r w:rsidRPr="00886EEF">
        <w:t xml:space="preserve"> účinok pokračujúcej liečby ramiprilom sa obvykle prejaví po 3 až 4</w:t>
      </w:r>
      <w:r w:rsidR="00EF198F" w:rsidRPr="00886EEF">
        <w:t> </w:t>
      </w:r>
      <w:r w:rsidRPr="00886EEF">
        <w:t>týždňoch. Ukázalo sa, že antihypertenzn</w:t>
      </w:r>
      <w:r w:rsidR="00886EEF">
        <w:t>ý</w:t>
      </w:r>
      <w:r w:rsidRPr="00886EEF">
        <w:t xml:space="preserve"> účinok sa udržiava počas dlhodobej liečby trvajúcej 2</w:t>
      </w:r>
      <w:r w:rsidR="00EF198F" w:rsidRPr="00886EEF">
        <w:t> </w:t>
      </w:r>
      <w:r w:rsidRPr="00886EEF">
        <w:t>roky.</w:t>
      </w:r>
    </w:p>
    <w:p w:rsidR="00D97698" w:rsidRPr="003453F2" w:rsidRDefault="00DC5B10" w:rsidP="00236263">
      <w:pPr>
        <w:pStyle w:val="Normlndobloku"/>
      </w:pPr>
      <w:r w:rsidRPr="003453F2">
        <w:t>Náhle vysadenie ramiprilu nemá za následok rýchle a výrazné opätovné zvýšenie krvného tlaku.</w:t>
      </w:r>
    </w:p>
    <w:p w:rsidR="00497469" w:rsidRDefault="00497469" w:rsidP="005D39E2">
      <w:pPr>
        <w:pStyle w:val="Styl3"/>
        <w:spacing w:before="0" w:after="0"/>
        <w:rPr>
          <w:lang w:val="sk-SK"/>
        </w:rPr>
      </w:pPr>
    </w:p>
    <w:p w:rsidR="00DC5B10" w:rsidRPr="003453F2" w:rsidRDefault="00DC5B10" w:rsidP="005D39E2">
      <w:pPr>
        <w:pStyle w:val="Styl3"/>
        <w:spacing w:before="0" w:after="0"/>
        <w:rPr>
          <w:lang w:val="sk-SK"/>
        </w:rPr>
      </w:pPr>
      <w:r w:rsidRPr="003453F2">
        <w:rPr>
          <w:lang w:val="sk-SK"/>
        </w:rPr>
        <w:t>Hydrochlorotiazid</w:t>
      </w:r>
    </w:p>
    <w:p w:rsidR="00DC5B10" w:rsidRPr="003453F2" w:rsidRDefault="00DC5B10" w:rsidP="00611497">
      <w:pPr>
        <w:pStyle w:val="Normlndobloku"/>
      </w:pPr>
      <w:r w:rsidRPr="003453F2">
        <w:t>Vylučovanie vody a elektrolytov začína približne 2 hodiny po užití, dosahuje maximum za 4 hodiny a</w:t>
      </w:r>
      <w:r w:rsidR="00EF198F" w:rsidRPr="003453F2">
        <w:t> </w:t>
      </w:r>
      <w:r w:rsidRPr="003453F2">
        <w:t>trvá 6 až 12 hodín.</w:t>
      </w:r>
    </w:p>
    <w:p w:rsidR="00DC5B10" w:rsidRPr="00886EEF" w:rsidRDefault="00DC5B10" w:rsidP="00611497">
      <w:pPr>
        <w:pStyle w:val="Normlndobloku"/>
      </w:pPr>
      <w:r w:rsidRPr="003453F2">
        <w:t>Nástup antihypertenzn</w:t>
      </w:r>
      <w:r w:rsidR="00886EEF">
        <w:t>é</w:t>
      </w:r>
      <w:r w:rsidRPr="00886EEF">
        <w:t>ho účinku sa dostaví za 3 až 4 dni a môže trvať ešte jeden týždeň po prerušení liečby.</w:t>
      </w:r>
    </w:p>
    <w:p w:rsidR="00DC5B10" w:rsidRDefault="00DC5B10" w:rsidP="00236263">
      <w:pPr>
        <w:pStyle w:val="Normlndobloku"/>
      </w:pPr>
      <w:r w:rsidRPr="003453F2">
        <w:t>Zníženie krvného tlaku sprevádza mierny vzostup filtračnej frakcie, renálno-vaskulárnej rezistencie a plazmovej renínovej aktivity.</w:t>
      </w:r>
    </w:p>
    <w:p w:rsidR="00497469" w:rsidRPr="003453F2" w:rsidRDefault="00497469" w:rsidP="00BC3F91">
      <w:pPr>
        <w:pStyle w:val="Normlndobloku"/>
      </w:pPr>
    </w:p>
    <w:p w:rsidR="00D97698" w:rsidRPr="003453F2" w:rsidRDefault="00DC5B10" w:rsidP="005D39E2">
      <w:pPr>
        <w:pStyle w:val="Styl3"/>
        <w:spacing w:before="0" w:after="0"/>
        <w:rPr>
          <w:lang w:val="sk-SK"/>
        </w:rPr>
      </w:pPr>
      <w:r w:rsidRPr="003453F2">
        <w:rPr>
          <w:lang w:val="sk-SK"/>
        </w:rPr>
        <w:t>Súčasné užívanie ramiprilu a hydrochlorotiazidu</w:t>
      </w:r>
    </w:p>
    <w:p w:rsidR="00D97698" w:rsidRPr="00AD335A" w:rsidRDefault="00DC5B10" w:rsidP="00611497">
      <w:pPr>
        <w:pStyle w:val="Normlndobloku"/>
      </w:pPr>
      <w:r w:rsidRPr="003453F2">
        <w:t>V klinických štúdiách viedla táto kombinácia k väčšiemu zníženiu krvného tlaku ako v prípadoch, keď boli dané liečivá podávané samostatne. Súčasné užívanie ramiprilu a hydrochlorotiazidu má sklon k</w:t>
      </w:r>
      <w:r w:rsidR="00EF198F" w:rsidRPr="003453F2">
        <w:t> </w:t>
      </w:r>
      <w:r w:rsidRPr="003453F2">
        <w:t>reverzii strát draslíka, ktoré sú spojené s diuretikami a to pravdepodobne blokádou systému renín-</w:t>
      </w:r>
      <w:r w:rsidRPr="003453F2">
        <w:lastRenderedPageBreak/>
        <w:t xml:space="preserve">angiotenzín-aldosterón. Kombinácia ACE inhibítora s tiazidovým diuretikom vytvára synergický efekt </w:t>
      </w:r>
      <w:r w:rsidRPr="003A17BF">
        <w:t>a tiež znižuje riziko hypokal</w:t>
      </w:r>
      <w:r w:rsidR="00497469" w:rsidRPr="00AD335A">
        <w:t>i</w:t>
      </w:r>
      <w:r w:rsidRPr="00AD335A">
        <w:t>émie, ktoré spôsobuje samostatne podávané diuretikum.</w:t>
      </w:r>
    </w:p>
    <w:p w:rsidR="006B501E" w:rsidRPr="00AD335A" w:rsidRDefault="00EA64D8" w:rsidP="00EA64D8">
      <w:pPr>
        <w:pStyle w:val="Normlndobloku"/>
      </w:pPr>
      <w:r w:rsidRPr="00AD335A">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6B501E" w:rsidRPr="00AD335A" w:rsidRDefault="00EA64D8" w:rsidP="00EA64D8">
      <w:pPr>
        <w:pStyle w:val="Normlndobloku"/>
      </w:pPr>
      <w:r w:rsidRPr="00AD335A">
        <w:t>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rsidR="006B501E" w:rsidRPr="00AD335A" w:rsidRDefault="00EA64D8" w:rsidP="00EA64D8">
      <w:pPr>
        <w:pStyle w:val="Normlndobloku"/>
      </w:pPr>
      <w:r w:rsidRPr="00AD335A">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rsidR="006B501E" w:rsidRPr="00AD335A" w:rsidRDefault="00EA64D8" w:rsidP="00EA64D8">
      <w:pPr>
        <w:pStyle w:val="Normlndobloku"/>
      </w:pPr>
      <w:r w:rsidRPr="00AD335A">
        <w:t>Inhibítory ACE a blokátory receptorov angiotenzínu II sa preto nemajú používať súbežne u pacientov s diabetickou nefropatiou.</w:t>
      </w:r>
    </w:p>
    <w:p w:rsidR="00EA64D8" w:rsidRPr="003A17BF" w:rsidRDefault="00EA64D8" w:rsidP="00EA64D8">
      <w:pPr>
        <w:pStyle w:val="Normlndobloku"/>
      </w:pPr>
      <w:r w:rsidRPr="00AD335A">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w:t>
      </w:r>
      <w:r w:rsidR="00566F61" w:rsidRPr="00AD335A">
        <w:t> </w:t>
      </w:r>
      <w:r w:rsidRPr="00AD335A">
        <w:t>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r w:rsidR="00624A15" w:rsidRPr="00AD335A">
        <w:t>.</w:t>
      </w:r>
    </w:p>
    <w:p w:rsidR="00497469" w:rsidRPr="00AD335A" w:rsidRDefault="00497469" w:rsidP="00611497">
      <w:pPr>
        <w:pStyle w:val="Normlndobloku"/>
      </w:pPr>
    </w:p>
    <w:p w:rsidR="00CD1BB9" w:rsidRPr="00AD335A" w:rsidRDefault="00CD1BB9" w:rsidP="005D39E2">
      <w:pPr>
        <w:pStyle w:val="Styl2"/>
        <w:spacing w:before="0" w:after="0"/>
        <w:rPr>
          <w:lang w:val="sk-SK"/>
        </w:rPr>
      </w:pPr>
      <w:r w:rsidRPr="00AD335A">
        <w:rPr>
          <w:lang w:val="sk-SK"/>
        </w:rPr>
        <w:t>Farmakokinetické vlastnosti</w:t>
      </w:r>
    </w:p>
    <w:p w:rsidR="00497469" w:rsidRPr="00AD335A" w:rsidRDefault="00497469" w:rsidP="005D39E2">
      <w:pPr>
        <w:pStyle w:val="Styl2"/>
        <w:numPr>
          <w:ilvl w:val="0"/>
          <w:numId w:val="0"/>
        </w:numPr>
        <w:spacing w:before="0" w:after="0"/>
        <w:rPr>
          <w:lang w:val="sk-SK"/>
        </w:rPr>
      </w:pPr>
    </w:p>
    <w:p w:rsidR="00022151" w:rsidRPr="00AD335A" w:rsidRDefault="00022151" w:rsidP="005D39E2">
      <w:pPr>
        <w:pStyle w:val="Styl3"/>
        <w:spacing w:before="0" w:after="0"/>
        <w:rPr>
          <w:rFonts w:eastAsia="MS Mincho"/>
          <w:lang w:val="sk-SK"/>
        </w:rPr>
      </w:pPr>
      <w:r w:rsidRPr="00AD335A">
        <w:rPr>
          <w:rFonts w:eastAsia="MS Mincho"/>
          <w:lang w:val="sk-SK"/>
        </w:rPr>
        <w:t xml:space="preserve">Farmakokinetika a </w:t>
      </w:r>
      <w:r w:rsidR="00504CF8" w:rsidRPr="00AD335A">
        <w:rPr>
          <w:rFonts w:eastAsia="MS Mincho"/>
          <w:lang w:val="sk-SK"/>
        </w:rPr>
        <w:t>biotransformácia</w:t>
      </w:r>
    </w:p>
    <w:p w:rsidR="00497469" w:rsidRPr="00AD335A" w:rsidRDefault="00497469" w:rsidP="005D39E2">
      <w:pPr>
        <w:pStyle w:val="Styl3"/>
        <w:spacing w:before="0" w:after="0"/>
        <w:rPr>
          <w:rFonts w:eastAsia="MS Mincho"/>
          <w:lang w:val="sk-SK"/>
        </w:rPr>
      </w:pPr>
    </w:p>
    <w:p w:rsidR="00022151" w:rsidRPr="00AD335A" w:rsidRDefault="00022151" w:rsidP="005D39E2">
      <w:pPr>
        <w:pStyle w:val="Styl3"/>
        <w:spacing w:before="0" w:after="0"/>
        <w:rPr>
          <w:rFonts w:eastAsia="MS Mincho"/>
          <w:lang w:val="sk-SK"/>
        </w:rPr>
      </w:pPr>
      <w:r w:rsidRPr="00AD335A">
        <w:rPr>
          <w:rFonts w:eastAsia="MS Mincho"/>
          <w:lang w:val="sk-SK"/>
        </w:rPr>
        <w:t>Ramipril</w:t>
      </w:r>
    </w:p>
    <w:p w:rsidR="00497469" w:rsidRPr="00AD335A" w:rsidRDefault="00497469" w:rsidP="005D39E2">
      <w:pPr>
        <w:pStyle w:val="Styl3"/>
        <w:spacing w:before="0" w:after="0"/>
        <w:rPr>
          <w:rFonts w:eastAsia="MS Mincho"/>
          <w:lang w:val="sk-SK"/>
        </w:rPr>
      </w:pPr>
    </w:p>
    <w:p w:rsidR="00022151" w:rsidRPr="00AD335A" w:rsidRDefault="00022151" w:rsidP="005D39E2">
      <w:pPr>
        <w:pStyle w:val="Styl3"/>
        <w:spacing w:before="0" w:after="0"/>
        <w:rPr>
          <w:rFonts w:eastAsia="MS Mincho"/>
          <w:lang w:val="sk-SK"/>
        </w:rPr>
      </w:pPr>
      <w:r w:rsidRPr="00AD335A">
        <w:rPr>
          <w:rFonts w:eastAsia="MS Mincho"/>
          <w:lang w:val="sk-SK"/>
        </w:rPr>
        <w:t>Absorpcia</w:t>
      </w:r>
    </w:p>
    <w:p w:rsidR="00022151" w:rsidRPr="00AD335A" w:rsidRDefault="00022151" w:rsidP="00611497">
      <w:pPr>
        <w:pStyle w:val="Normlndobloku"/>
        <w:rPr>
          <w:rFonts w:eastAsia="MS Mincho"/>
        </w:rPr>
      </w:pPr>
      <w:r w:rsidRPr="00AD335A">
        <w:rPr>
          <w:rFonts w:eastAsia="MS Mincho"/>
        </w:rPr>
        <w:t>Ramipril sa po perorálnom podaní rýchlo vstrebáva z gastrointestinálneho traktu: maximálna plazmatická koncentrácia ramiprilu sa dosahuje v priebehu jednej hodiny. Z dôvodu urinárnej regenerácie je rozsah absorpcie najmenej 56 % a absorpcia nie je významne ovplyvnená prítomnosťou potravy v gastrointestinálnom trakte. Biologická dostupnosť aktívneho metabolitu ramiprilátu je po perorálnom podaní 2,5 mg a 5 mg ramiprilu 45 %. Maximálna plazmatická koncentrácia ramiprilátu, jediného aktívneho metabolitu ramiprilu, sa dosahuje 2</w:t>
      </w:r>
      <w:r w:rsidR="00ED620F" w:rsidRPr="00AD335A">
        <w:rPr>
          <w:rFonts w:ascii="Calibri" w:hAnsi="Calibri"/>
        </w:rPr>
        <w:t> </w:t>
      </w:r>
      <w:r w:rsidR="00ED620F" w:rsidRPr="00AD335A">
        <w:t>–</w:t>
      </w:r>
      <w:r w:rsidR="00ED620F" w:rsidRPr="00AD335A">
        <w:rPr>
          <w:rFonts w:ascii="Calibri" w:hAnsi="Calibri"/>
        </w:rPr>
        <w:t> </w:t>
      </w:r>
      <w:r w:rsidRPr="00AD335A">
        <w:rPr>
          <w:rFonts w:eastAsia="MS Mincho"/>
        </w:rPr>
        <w:t>4 hodiny po užití ramiprilu. Rovnovážny stav plazmatickej koncentrácie ramiprilátu po užití obvyklých dávok ramiprilu raz denne sa dosahuje približne na štvrtý deň liečby.</w:t>
      </w:r>
    </w:p>
    <w:p w:rsidR="00497469" w:rsidRPr="00AD335A" w:rsidRDefault="00497469" w:rsidP="005D39E2">
      <w:pPr>
        <w:pStyle w:val="Styl3"/>
        <w:spacing w:before="0" w:after="0"/>
        <w:rPr>
          <w:rFonts w:eastAsia="MS Mincho"/>
          <w:lang w:val="sk-SK"/>
        </w:rPr>
      </w:pPr>
    </w:p>
    <w:p w:rsidR="00022151" w:rsidRPr="00AD335A" w:rsidRDefault="00022151" w:rsidP="005D39E2">
      <w:pPr>
        <w:pStyle w:val="Styl3"/>
        <w:spacing w:before="0" w:after="0"/>
        <w:rPr>
          <w:rFonts w:eastAsia="MS Mincho"/>
          <w:lang w:val="sk-SK"/>
        </w:rPr>
      </w:pPr>
      <w:r w:rsidRPr="00AD335A">
        <w:rPr>
          <w:rFonts w:eastAsia="MS Mincho"/>
          <w:lang w:val="sk-SK"/>
        </w:rPr>
        <w:t>Distribúcia</w:t>
      </w:r>
    </w:p>
    <w:p w:rsidR="00D97698" w:rsidRPr="00AD335A" w:rsidRDefault="00022151" w:rsidP="00611497">
      <w:pPr>
        <w:pStyle w:val="Normlndobloku"/>
        <w:rPr>
          <w:rFonts w:eastAsia="MS Mincho"/>
        </w:rPr>
      </w:pPr>
      <w:r w:rsidRPr="00AD335A">
        <w:rPr>
          <w:rFonts w:eastAsia="MS Mincho"/>
        </w:rPr>
        <w:t>Väzbovosť ramiprilu na bielkoviny v sére je približne 73 % a v prípade ramiprilátu je to približne 56 %.</w:t>
      </w:r>
    </w:p>
    <w:p w:rsidR="00497469" w:rsidRPr="00AD335A" w:rsidRDefault="00497469" w:rsidP="005D39E2">
      <w:pPr>
        <w:pStyle w:val="Styl3"/>
        <w:spacing w:before="0" w:after="0"/>
        <w:rPr>
          <w:rFonts w:eastAsia="MS Mincho"/>
          <w:lang w:val="sk-SK"/>
        </w:rPr>
      </w:pPr>
    </w:p>
    <w:p w:rsidR="00022151" w:rsidRPr="00AD335A" w:rsidRDefault="00504CF8" w:rsidP="005D39E2">
      <w:pPr>
        <w:pStyle w:val="Styl3"/>
        <w:spacing w:before="0" w:after="0"/>
        <w:rPr>
          <w:rFonts w:eastAsia="MS Mincho"/>
          <w:lang w:val="sk-SK"/>
        </w:rPr>
      </w:pPr>
      <w:r w:rsidRPr="00AD335A">
        <w:rPr>
          <w:rFonts w:eastAsia="MS Mincho"/>
          <w:lang w:val="sk-SK"/>
        </w:rPr>
        <w:t>Biotransformácia</w:t>
      </w:r>
    </w:p>
    <w:p w:rsidR="00022151" w:rsidRPr="00AD335A" w:rsidRDefault="00022151" w:rsidP="00611497">
      <w:pPr>
        <w:pStyle w:val="Normlndobloku"/>
        <w:rPr>
          <w:rFonts w:eastAsia="MS Mincho"/>
        </w:rPr>
      </w:pPr>
      <w:r w:rsidRPr="00AD335A">
        <w:rPr>
          <w:rFonts w:eastAsia="MS Mincho"/>
        </w:rPr>
        <w:t>Ramipril sa takmer úplne metabolizuje na ramiprilát a ester diketopiperazínu, kyselinu diketopiperazínovú a glukuronidy ramiprilu a ramiprilátu.</w:t>
      </w:r>
    </w:p>
    <w:p w:rsidR="00497469" w:rsidRPr="00AD335A" w:rsidRDefault="00497469" w:rsidP="005D39E2">
      <w:pPr>
        <w:pStyle w:val="Styl3"/>
        <w:spacing w:before="0" w:after="0"/>
        <w:rPr>
          <w:rFonts w:eastAsia="MS Mincho"/>
          <w:lang w:val="sk-SK"/>
        </w:rPr>
      </w:pPr>
    </w:p>
    <w:p w:rsidR="00022151" w:rsidRPr="00AD335A" w:rsidRDefault="00022151" w:rsidP="005D39E2">
      <w:pPr>
        <w:pStyle w:val="Styl3"/>
        <w:spacing w:before="0" w:after="0"/>
        <w:rPr>
          <w:rFonts w:eastAsia="MS Mincho"/>
          <w:lang w:val="sk-SK"/>
        </w:rPr>
      </w:pPr>
      <w:r w:rsidRPr="00AD335A">
        <w:rPr>
          <w:rFonts w:eastAsia="MS Mincho"/>
          <w:lang w:val="sk-SK"/>
        </w:rPr>
        <w:t>Eliminácia</w:t>
      </w:r>
    </w:p>
    <w:p w:rsidR="00022151" w:rsidRDefault="00022151" w:rsidP="00611497">
      <w:pPr>
        <w:pStyle w:val="Normlndobloku"/>
      </w:pPr>
      <w:r w:rsidRPr="00AD335A">
        <w:rPr>
          <w:rFonts w:eastAsia="MS Mincho"/>
        </w:rPr>
        <w:t>Metabolity sa primárne vylučujú obličkami. Pokles plazmatickej koncentrácie ramiprilátu je viacfázový. Pre svoj silný účinok, nasýtiteľnú väzbu na ACE a slabú disociáciu z enzýmu má ramiprilát predĺženú terminálnu eliminačnú fázu s veľmi nízkou plazmatickou koncentráciou. Po</w:t>
      </w:r>
      <w:r w:rsidRPr="003453F2">
        <w:rPr>
          <w:rFonts w:eastAsia="MS Mincho"/>
        </w:rPr>
        <w:t xml:space="preserve"> viacnásobných dávkach ramiprilu podávaných raz za deň bol účinný polčas koncentrácie ramiprilátu </w:t>
      </w:r>
      <w:r w:rsidRPr="003453F2">
        <w:rPr>
          <w:rFonts w:eastAsia="MS Mincho"/>
        </w:rPr>
        <w:lastRenderedPageBreak/>
        <w:t>13</w:t>
      </w:r>
      <w:r w:rsidR="00ED620F" w:rsidRPr="003453F2">
        <w:rPr>
          <w:rFonts w:ascii="Calibri" w:hAnsi="Calibri"/>
        </w:rPr>
        <w:t> </w:t>
      </w:r>
      <w:r w:rsidR="00ED620F" w:rsidRPr="005D39E2">
        <w:t>–</w:t>
      </w:r>
      <w:r w:rsidR="00ED620F" w:rsidRPr="00E82E3A">
        <w:rPr>
          <w:rFonts w:ascii="Calibri" w:hAnsi="Calibri"/>
        </w:rPr>
        <w:t> </w:t>
      </w:r>
      <w:r w:rsidRPr="00E82E3A">
        <w:rPr>
          <w:rFonts w:eastAsia="MS Mincho"/>
        </w:rPr>
        <w:t>17 hodín po dávkach 5</w:t>
      </w:r>
      <w:r w:rsidR="00ED620F" w:rsidRPr="00E82E3A">
        <w:rPr>
          <w:rFonts w:ascii="Calibri" w:hAnsi="Calibri"/>
        </w:rPr>
        <w:t> </w:t>
      </w:r>
      <w:r w:rsidR="00ED620F" w:rsidRPr="005D39E2">
        <w:t>–</w:t>
      </w:r>
      <w:r w:rsidR="00ED620F" w:rsidRPr="00E82E3A">
        <w:rPr>
          <w:rFonts w:ascii="Calibri" w:hAnsi="Calibri"/>
        </w:rPr>
        <w:t> </w:t>
      </w:r>
      <w:r w:rsidRPr="00E82E3A">
        <w:rPr>
          <w:rFonts w:eastAsia="MS Mincho"/>
        </w:rPr>
        <w:t>10 mg</w:t>
      </w:r>
      <w:r w:rsidRPr="00E82E3A">
        <w:t xml:space="preserve"> a dlhší po nižších dávkach 1,25</w:t>
      </w:r>
      <w:r w:rsidR="00ED620F" w:rsidRPr="00E82E3A">
        <w:rPr>
          <w:rFonts w:ascii="Calibri" w:hAnsi="Calibri"/>
        </w:rPr>
        <w:t> </w:t>
      </w:r>
      <w:r w:rsidR="00ED620F" w:rsidRPr="005D39E2">
        <w:t>–</w:t>
      </w:r>
      <w:r w:rsidR="00ED620F" w:rsidRPr="00E82E3A">
        <w:rPr>
          <w:rFonts w:ascii="Calibri" w:hAnsi="Calibri"/>
        </w:rPr>
        <w:t> </w:t>
      </w:r>
      <w:r w:rsidRPr="00E82E3A">
        <w:t>2,5 mg. Tento rozdiel súvisí so saturovateľnou kapacitou enzýmu viazať ramiprilát. Jednorazová perorálna dávka ramiprilu má za následok, že v materskom mlieku je takmer nemerateľná hladina ramiprilu a jeho metabolitu. Avšak účinok viacerých dávok nie je známy.</w:t>
      </w:r>
    </w:p>
    <w:p w:rsidR="00497469" w:rsidRPr="00E82E3A" w:rsidRDefault="00497469" w:rsidP="00611497">
      <w:pPr>
        <w:pStyle w:val="Normlndobloku"/>
      </w:pPr>
    </w:p>
    <w:p w:rsidR="00022151" w:rsidRPr="00886EEF" w:rsidRDefault="00022151" w:rsidP="00611497">
      <w:pPr>
        <w:pStyle w:val="Normlndoblokusodrkami"/>
      </w:pPr>
      <w:r w:rsidRPr="00886EEF">
        <w:t>Pacienti s po</w:t>
      </w:r>
      <w:r w:rsidR="00886EEF">
        <w:t>ruchou</w:t>
      </w:r>
      <w:r w:rsidRPr="00886EEF">
        <w:t xml:space="preserve"> funkcie obličiek (pozri časť 4.2)</w:t>
      </w:r>
    </w:p>
    <w:p w:rsidR="00022151" w:rsidRDefault="00022151" w:rsidP="00236263">
      <w:pPr>
        <w:pStyle w:val="Normlndobloku"/>
      </w:pPr>
      <w:r w:rsidRPr="006A7B07">
        <w:t>U pacientov s po</w:t>
      </w:r>
      <w:r w:rsidR="006A7B07">
        <w:t>ruchou</w:t>
      </w:r>
      <w:r w:rsidRPr="006A7B07">
        <w:t xml:space="preserve"> funkcie obličiek je renálna exkrécia ramiprilátu znížená a renálny klírens ramiprilátu proporčne súvisí s klírensom kreatinínu. Toto má za následok zvýšenú plazmatickú koncentráciu ramiprilátu, ktorá klesá pomalšie ako u pacientov s normálnou funkciou obličiek.</w:t>
      </w:r>
    </w:p>
    <w:p w:rsidR="00497469" w:rsidRPr="006A7B07" w:rsidRDefault="00497469" w:rsidP="00BC3F91">
      <w:pPr>
        <w:pStyle w:val="Normlndobloku"/>
      </w:pPr>
    </w:p>
    <w:p w:rsidR="00022151" w:rsidRPr="00886EEF" w:rsidRDefault="00022151" w:rsidP="00042B7E">
      <w:pPr>
        <w:pStyle w:val="Normlndoblokusodrkami"/>
      </w:pPr>
      <w:r w:rsidRPr="006A7B07">
        <w:t>Pacienti s po</w:t>
      </w:r>
      <w:r w:rsidR="00886EEF">
        <w:t>ruchou</w:t>
      </w:r>
      <w:r w:rsidRPr="00886EEF">
        <w:t xml:space="preserve"> funkcie pečene (pozri časť 4.2)</w:t>
      </w:r>
    </w:p>
    <w:p w:rsidR="00022151" w:rsidRDefault="00022151" w:rsidP="00042B7E">
      <w:pPr>
        <w:pStyle w:val="Normlndobloku"/>
        <w:rPr>
          <w:rFonts w:eastAsia="MS Mincho"/>
        </w:rPr>
      </w:pPr>
      <w:r w:rsidRPr="006A7B07">
        <w:rPr>
          <w:rFonts w:eastAsia="MS Mincho"/>
        </w:rPr>
        <w:t xml:space="preserve">U pacientov </w:t>
      </w:r>
      <w:r w:rsidRPr="006A7B07">
        <w:t>s po</w:t>
      </w:r>
      <w:r w:rsidR="006A7B07">
        <w:t>ruchou</w:t>
      </w:r>
      <w:r w:rsidRPr="006A7B07">
        <w:t xml:space="preserve"> funkcie </w:t>
      </w:r>
      <w:r w:rsidRPr="006A7B07">
        <w:rPr>
          <w:rFonts w:eastAsia="MS Mincho"/>
        </w:rPr>
        <w:t>pečene je metabolizovanie ramiprilu na ramiprilát oneskorené kvôli zníženej aktivite pečeňových esteráz a plazmatická hladina ramiprilu u týchto pacientov je zvýšená. Maximálna koncentrácia ramiprilátu u týchto pacientov však nie je odlišná v porovnaní s pacientmi s</w:t>
      </w:r>
      <w:r w:rsidR="00EF198F" w:rsidRPr="006A7B07">
        <w:t> </w:t>
      </w:r>
      <w:r w:rsidRPr="006A7B07">
        <w:rPr>
          <w:rFonts w:eastAsia="MS Mincho"/>
        </w:rPr>
        <w:t>normálnou funkciou pečene.</w:t>
      </w:r>
    </w:p>
    <w:p w:rsidR="00497469" w:rsidRPr="006A7B07" w:rsidRDefault="00497469" w:rsidP="00042B7E">
      <w:pPr>
        <w:pStyle w:val="Normlndobloku"/>
        <w:rPr>
          <w:rFonts w:eastAsia="MS Mincho"/>
        </w:rPr>
      </w:pPr>
    </w:p>
    <w:p w:rsidR="00022151" w:rsidRPr="003453F2" w:rsidRDefault="00022151" w:rsidP="005D39E2">
      <w:pPr>
        <w:pStyle w:val="Styl3"/>
        <w:spacing w:before="0" w:after="0"/>
        <w:rPr>
          <w:rFonts w:eastAsia="MS Mincho"/>
          <w:lang w:val="sk-SK"/>
        </w:rPr>
      </w:pPr>
      <w:r w:rsidRPr="003453F2">
        <w:rPr>
          <w:rFonts w:eastAsia="MS Mincho"/>
          <w:lang w:val="sk-SK"/>
        </w:rPr>
        <w:t>Hydrochlorotiazid</w:t>
      </w:r>
    </w:p>
    <w:p w:rsidR="00497469" w:rsidRDefault="00497469" w:rsidP="005D39E2">
      <w:pPr>
        <w:pStyle w:val="Styl3"/>
        <w:spacing w:before="0" w:after="0"/>
        <w:rPr>
          <w:rFonts w:eastAsia="MS Mincho"/>
          <w:lang w:val="sk-SK"/>
        </w:rPr>
      </w:pPr>
    </w:p>
    <w:p w:rsidR="00022151" w:rsidRPr="003453F2" w:rsidRDefault="00022151" w:rsidP="005D39E2">
      <w:pPr>
        <w:pStyle w:val="Styl3"/>
        <w:spacing w:before="0" w:after="0"/>
        <w:rPr>
          <w:rFonts w:eastAsia="MS Mincho"/>
          <w:lang w:val="sk-SK"/>
        </w:rPr>
      </w:pPr>
      <w:r w:rsidRPr="003453F2">
        <w:rPr>
          <w:rFonts w:eastAsia="MS Mincho"/>
          <w:lang w:val="sk-SK"/>
        </w:rPr>
        <w:t>Absorpcia</w:t>
      </w:r>
    </w:p>
    <w:p w:rsidR="00022151" w:rsidRPr="003453F2" w:rsidRDefault="00022151" w:rsidP="00611497">
      <w:pPr>
        <w:pStyle w:val="Normlndobloku"/>
        <w:rPr>
          <w:rFonts w:eastAsia="MS Mincho"/>
        </w:rPr>
      </w:pPr>
      <w:r w:rsidRPr="003453F2">
        <w:rPr>
          <w:rFonts w:eastAsia="MS Mincho"/>
        </w:rPr>
        <w:t>Po perorálnom podaní sa z gastrointestinálneho traktu absorbuje približne 70 % hydrochlorotiazidu. Maximálna koncentrácia hydrochlorotiazidu sa dosiahne 1,5 až 5 hodín.</w:t>
      </w:r>
    </w:p>
    <w:p w:rsidR="00497469" w:rsidRDefault="00497469" w:rsidP="005D39E2">
      <w:pPr>
        <w:pStyle w:val="Styl3"/>
        <w:spacing w:before="0" w:after="0"/>
        <w:rPr>
          <w:rFonts w:eastAsia="MS Mincho"/>
          <w:lang w:val="sk-SK"/>
        </w:rPr>
      </w:pPr>
    </w:p>
    <w:p w:rsidR="00022151" w:rsidRPr="003453F2" w:rsidRDefault="00022151" w:rsidP="005D39E2">
      <w:pPr>
        <w:pStyle w:val="Styl3"/>
        <w:spacing w:before="0" w:after="0"/>
        <w:rPr>
          <w:rFonts w:eastAsia="MS Mincho"/>
          <w:lang w:val="sk-SK"/>
        </w:rPr>
      </w:pPr>
      <w:r w:rsidRPr="003453F2">
        <w:rPr>
          <w:rFonts w:eastAsia="MS Mincho"/>
          <w:lang w:val="sk-SK"/>
        </w:rPr>
        <w:t>Distribúcia</w:t>
      </w:r>
    </w:p>
    <w:p w:rsidR="00022151" w:rsidRPr="003453F2" w:rsidRDefault="00022151" w:rsidP="00611497">
      <w:pPr>
        <w:pStyle w:val="Normlndobloku"/>
      </w:pPr>
      <w:r w:rsidRPr="003453F2">
        <w:t>Približne 40</w:t>
      </w:r>
      <w:r w:rsidR="00075EFF" w:rsidRPr="003453F2">
        <w:t xml:space="preserve"> </w:t>
      </w:r>
      <w:r w:rsidRPr="003453F2">
        <w:t>% hydrochlorotiazidu sa viaže na plazmové proteíny.</w:t>
      </w:r>
    </w:p>
    <w:p w:rsidR="00497469" w:rsidRDefault="00497469" w:rsidP="005D39E2">
      <w:pPr>
        <w:pStyle w:val="Styl3"/>
        <w:spacing w:before="0" w:after="0"/>
        <w:rPr>
          <w:rFonts w:eastAsia="MS Mincho"/>
          <w:lang w:val="sk-SK"/>
        </w:rPr>
      </w:pPr>
    </w:p>
    <w:p w:rsidR="0046045D" w:rsidRDefault="00504CF8" w:rsidP="005D39E2">
      <w:pPr>
        <w:pStyle w:val="Styl3"/>
        <w:spacing w:before="0" w:after="0"/>
        <w:rPr>
          <w:rFonts w:eastAsia="MS Mincho"/>
          <w:lang w:val="sk-SK"/>
        </w:rPr>
      </w:pPr>
      <w:r w:rsidRPr="003453F2">
        <w:rPr>
          <w:rFonts w:eastAsia="MS Mincho"/>
          <w:lang w:val="sk-SK"/>
        </w:rPr>
        <w:t>Biotransformácia</w:t>
      </w:r>
    </w:p>
    <w:p w:rsidR="00022151" w:rsidRPr="00E82E3A" w:rsidRDefault="00022151" w:rsidP="00611497">
      <w:pPr>
        <w:pStyle w:val="Normlndobloku"/>
        <w:rPr>
          <w:rFonts w:eastAsia="MS Mincho"/>
        </w:rPr>
      </w:pPr>
      <w:r w:rsidRPr="00E82E3A">
        <w:rPr>
          <w:rFonts w:eastAsia="MS Mincho"/>
        </w:rPr>
        <w:t>Hydrochlorotiazid je v pečeni metabolizovaný v zanedbateľnej miere.</w:t>
      </w:r>
    </w:p>
    <w:p w:rsidR="00497469" w:rsidRDefault="00497469" w:rsidP="005D39E2">
      <w:pPr>
        <w:pStyle w:val="Styl3"/>
        <w:spacing w:before="0" w:after="0"/>
        <w:rPr>
          <w:rFonts w:eastAsia="MS Mincho"/>
          <w:lang w:val="sk-SK"/>
        </w:rPr>
      </w:pPr>
    </w:p>
    <w:p w:rsidR="00D97698" w:rsidRPr="00E82E3A" w:rsidRDefault="00022151" w:rsidP="005D39E2">
      <w:pPr>
        <w:pStyle w:val="Styl3"/>
        <w:spacing w:before="0" w:after="0"/>
        <w:rPr>
          <w:rFonts w:eastAsia="MS Mincho"/>
          <w:lang w:val="sk-SK"/>
        </w:rPr>
      </w:pPr>
      <w:r w:rsidRPr="00E82E3A">
        <w:rPr>
          <w:rFonts w:eastAsia="MS Mincho"/>
          <w:lang w:val="sk-SK"/>
        </w:rPr>
        <w:t>Eliminácia</w:t>
      </w:r>
    </w:p>
    <w:p w:rsidR="00D97698" w:rsidRDefault="00022151" w:rsidP="00611497">
      <w:pPr>
        <w:pStyle w:val="Normlndobloku"/>
      </w:pPr>
      <w:r w:rsidRPr="003453F2">
        <w:t>Hydrochlorotiazid sa vylučuje takmer úplne (viac než 95 %) renálnou cestou v nezmenenej podobe. Po perorálnom podaní jednotlivej dávky sa 50 až 70 % vylúči do 24 hodín. Polčas eliminácie je 5 až 6</w:t>
      </w:r>
      <w:r w:rsidR="00EF198F" w:rsidRPr="003453F2">
        <w:t> </w:t>
      </w:r>
      <w:r w:rsidRPr="003453F2">
        <w:t>hodín.</w:t>
      </w:r>
    </w:p>
    <w:p w:rsidR="00497469" w:rsidRPr="003453F2" w:rsidRDefault="00497469" w:rsidP="00611497">
      <w:pPr>
        <w:pStyle w:val="Normlndobloku"/>
      </w:pPr>
    </w:p>
    <w:p w:rsidR="00022151" w:rsidRPr="00E82E3A" w:rsidRDefault="00022151" w:rsidP="00236263">
      <w:pPr>
        <w:pStyle w:val="Normlndoblokusodrkami"/>
      </w:pPr>
      <w:r w:rsidRPr="003453F2">
        <w:t>Pacienti s po</w:t>
      </w:r>
      <w:r w:rsidR="00E82E3A">
        <w:t>ruchou</w:t>
      </w:r>
      <w:r w:rsidRPr="00E82E3A">
        <w:t xml:space="preserve"> funkcie obličiek (pozri časť 4.2)</w:t>
      </w:r>
    </w:p>
    <w:p w:rsidR="00022151" w:rsidRDefault="00022151" w:rsidP="00BC3F91">
      <w:pPr>
        <w:pStyle w:val="Normlndobloku"/>
        <w:rPr>
          <w:rFonts w:eastAsia="MS Mincho"/>
        </w:rPr>
      </w:pPr>
      <w:r w:rsidRPr="00E82E3A">
        <w:rPr>
          <w:rFonts w:eastAsia="MS Mincho"/>
        </w:rPr>
        <w:t>Renálne vylučovanie hydrochlorotiazidu je u pacientov so zhoršenou funkciou obličiek znížené a</w:t>
      </w:r>
      <w:r w:rsidR="00EF198F" w:rsidRPr="00E82E3A">
        <w:t> </w:t>
      </w:r>
      <w:r w:rsidRPr="00E82E3A">
        <w:rPr>
          <w:rFonts w:eastAsia="MS Mincho"/>
        </w:rPr>
        <w:t>renálny klírens hydrochlorotiazidu proporčne súvisí s klírensom kreatinínu. Tento fakt spôsobuje vysokú koncentráciu hydrochlorotiazidu v sére, ktorá klesá pomalšie ako u pacientov s normálnou funkciou obličiek.</w:t>
      </w:r>
    </w:p>
    <w:p w:rsidR="00497469" w:rsidRPr="00E82E3A" w:rsidRDefault="00497469" w:rsidP="00042B7E">
      <w:pPr>
        <w:pStyle w:val="Normlndobloku"/>
        <w:rPr>
          <w:rFonts w:eastAsia="MS Mincho"/>
        </w:rPr>
      </w:pPr>
    </w:p>
    <w:p w:rsidR="00022151" w:rsidRPr="00E82E3A" w:rsidRDefault="00022151" w:rsidP="00042B7E">
      <w:pPr>
        <w:pStyle w:val="Normlndoblokusodrkami"/>
      </w:pPr>
      <w:r w:rsidRPr="00E82E3A">
        <w:t>Pacienti s po</w:t>
      </w:r>
      <w:r w:rsidR="00E82E3A">
        <w:t>ruchou</w:t>
      </w:r>
      <w:r w:rsidRPr="00E82E3A">
        <w:t xml:space="preserve"> funkcie pečene</w:t>
      </w:r>
      <w:r w:rsidRPr="00E82E3A" w:rsidDel="007E579D">
        <w:t xml:space="preserve"> </w:t>
      </w:r>
      <w:r w:rsidRPr="00E82E3A">
        <w:t>(pozri časť 4.2)</w:t>
      </w:r>
    </w:p>
    <w:p w:rsidR="00022151" w:rsidRPr="003453F2" w:rsidRDefault="00022151" w:rsidP="00042B7E">
      <w:pPr>
        <w:pStyle w:val="Normlndobloku"/>
      </w:pPr>
      <w:r w:rsidRPr="003453F2">
        <w:t>Pri cirhóze pečene sa nezaznamenali žiadne relevantné zmeny vo farmakokinetike hydrochlorotiazidu. Farmakokinetické štúdie u pacientov so zlyhaním srdca nie sú k dispozícii.</w:t>
      </w:r>
    </w:p>
    <w:p w:rsidR="00497469" w:rsidRDefault="00497469" w:rsidP="005D39E2">
      <w:pPr>
        <w:pStyle w:val="Styl3"/>
        <w:spacing w:before="0" w:after="0"/>
        <w:rPr>
          <w:rFonts w:eastAsia="MS Mincho"/>
          <w:lang w:val="sk-SK"/>
        </w:rPr>
      </w:pPr>
    </w:p>
    <w:p w:rsidR="00022151" w:rsidRPr="003453F2" w:rsidRDefault="00022151" w:rsidP="005D39E2">
      <w:pPr>
        <w:pStyle w:val="Styl3"/>
        <w:spacing w:before="0" w:after="0"/>
        <w:rPr>
          <w:rFonts w:eastAsia="MS Mincho"/>
          <w:lang w:val="sk-SK"/>
        </w:rPr>
      </w:pPr>
      <w:r w:rsidRPr="003453F2">
        <w:rPr>
          <w:rFonts w:eastAsia="MS Mincho"/>
          <w:lang w:val="sk-SK"/>
        </w:rPr>
        <w:t>Ramipril a hydrochlorotiazid</w:t>
      </w:r>
    </w:p>
    <w:p w:rsidR="00022151" w:rsidRDefault="00022151" w:rsidP="00611497">
      <w:pPr>
        <w:pStyle w:val="Normlndobloku"/>
      </w:pPr>
      <w:r w:rsidRPr="003453F2">
        <w:t>Súbežné podávanie ramiprilu a hydrochlorotiazidu nemá žiadny vplyv na biologickú dostupnosť jednotlivých zložiek. Kombinovaná tableta sa môže považovať za bioekvivalentnú s liekmi obsahujúcimi každú zložku samotnú.</w:t>
      </w:r>
    </w:p>
    <w:p w:rsidR="00497469" w:rsidRPr="003453F2" w:rsidRDefault="00497469" w:rsidP="00611497">
      <w:pPr>
        <w:pStyle w:val="Normlndobloku"/>
      </w:pPr>
    </w:p>
    <w:p w:rsidR="00CD1BB9" w:rsidRDefault="00CD1BB9" w:rsidP="005D39E2">
      <w:pPr>
        <w:pStyle w:val="Styl2"/>
        <w:spacing w:before="0" w:after="0"/>
        <w:rPr>
          <w:lang w:val="sk-SK"/>
        </w:rPr>
      </w:pPr>
      <w:r w:rsidRPr="003453F2">
        <w:rPr>
          <w:lang w:val="sk-SK"/>
        </w:rPr>
        <w:t>Predklinické údaje o</w:t>
      </w:r>
      <w:r w:rsidR="00497469">
        <w:rPr>
          <w:lang w:val="sk-SK"/>
        </w:rPr>
        <w:t> </w:t>
      </w:r>
      <w:r w:rsidRPr="003453F2">
        <w:rPr>
          <w:lang w:val="sk-SK"/>
        </w:rPr>
        <w:t>bezpečnosti</w:t>
      </w:r>
    </w:p>
    <w:p w:rsidR="00497469" w:rsidRPr="003453F2" w:rsidRDefault="00497469" w:rsidP="005D39E2">
      <w:pPr>
        <w:pStyle w:val="Styl2"/>
        <w:numPr>
          <w:ilvl w:val="0"/>
          <w:numId w:val="0"/>
        </w:numPr>
        <w:spacing w:before="0" w:after="0"/>
        <w:rPr>
          <w:lang w:val="sk-SK"/>
        </w:rPr>
      </w:pPr>
    </w:p>
    <w:p w:rsidR="00022151" w:rsidRPr="003453F2" w:rsidRDefault="00022151" w:rsidP="00611497">
      <w:pPr>
        <w:pStyle w:val="Normlndobloku"/>
        <w:rPr>
          <w:rFonts w:eastAsia="MS Mincho"/>
        </w:rPr>
      </w:pPr>
      <w:r w:rsidRPr="003453F2">
        <w:rPr>
          <w:rFonts w:eastAsia="MS Mincho"/>
        </w:rPr>
        <w:t>U potkanov a myší nepreukazuje podávanie kombinácie ramiprilu a hydrochlorotiazidu žiadnu akútnu toxickú aktivitu až do dávky 10 000 mg/kg. Opakovanými štúdiami na potkanoch a opiciach boli zistené iba zmeny hodnôt plazmatických elektrolytov.</w:t>
      </w:r>
    </w:p>
    <w:p w:rsidR="00D97698" w:rsidRPr="003453F2" w:rsidRDefault="00022151" w:rsidP="00611497">
      <w:pPr>
        <w:pStyle w:val="Normlndobloku"/>
        <w:rPr>
          <w:rFonts w:eastAsia="MS Mincho"/>
        </w:rPr>
      </w:pPr>
      <w:r w:rsidRPr="003453F2">
        <w:rPr>
          <w:rFonts w:eastAsia="MS Mincho"/>
        </w:rPr>
        <w:t>Neboli vykonané žiadne štúdie s kombináciou liečiv na mutagenicitu a karcinogenicitu, nakoľko samostatne podávané látky nevykazujú žiadne riziko.</w:t>
      </w:r>
    </w:p>
    <w:p w:rsidR="00022151" w:rsidRDefault="00022151" w:rsidP="00611497">
      <w:pPr>
        <w:pStyle w:val="Normlndobloku"/>
        <w:rPr>
          <w:rFonts w:eastAsia="MS Mincho"/>
        </w:rPr>
      </w:pPr>
      <w:r w:rsidRPr="003453F2">
        <w:rPr>
          <w:rFonts w:eastAsia="MS Mincho"/>
        </w:rPr>
        <w:lastRenderedPageBreak/>
        <w:t>Reprodukčné štúdie na potkanoch a zajacoch odhalili, že kombinácia liečiv je o trošku viac toxická ako samostatne podávané látky, no žiadna zo štúdií nepreukázala teratogénny účinok použitej kombinácie liečiv.</w:t>
      </w:r>
    </w:p>
    <w:p w:rsidR="00497469" w:rsidRDefault="00497469" w:rsidP="00236263">
      <w:pPr>
        <w:pStyle w:val="Normlndobloku"/>
        <w:rPr>
          <w:rFonts w:eastAsia="MS Mincho"/>
        </w:rPr>
      </w:pPr>
    </w:p>
    <w:p w:rsidR="00497469" w:rsidRPr="003453F2" w:rsidRDefault="00497469" w:rsidP="00BC3F91">
      <w:pPr>
        <w:pStyle w:val="Normlndobloku"/>
        <w:rPr>
          <w:rFonts w:eastAsia="MS Mincho"/>
        </w:rPr>
      </w:pPr>
    </w:p>
    <w:p w:rsidR="00CD1BB9" w:rsidRDefault="00CD1BB9" w:rsidP="005D39E2">
      <w:pPr>
        <w:pStyle w:val="Styl1"/>
        <w:spacing w:before="0" w:after="0"/>
        <w:rPr>
          <w:lang w:val="sk-SK"/>
        </w:rPr>
      </w:pPr>
      <w:r w:rsidRPr="003453F2">
        <w:rPr>
          <w:lang w:val="sk-SK"/>
        </w:rPr>
        <w:t>FARMACEUTICKÉ INFORMÁCIE</w:t>
      </w:r>
    </w:p>
    <w:p w:rsidR="00497469" w:rsidRPr="003453F2" w:rsidRDefault="00497469" w:rsidP="005D39E2">
      <w:pPr>
        <w:pStyle w:val="Styl1"/>
        <w:numPr>
          <w:ilvl w:val="0"/>
          <w:numId w:val="0"/>
        </w:numPr>
        <w:spacing w:before="0" w:after="0"/>
        <w:ind w:left="357"/>
        <w:rPr>
          <w:lang w:val="sk-SK"/>
        </w:rPr>
      </w:pPr>
    </w:p>
    <w:p w:rsidR="00CD1BB9" w:rsidRDefault="00CD1BB9" w:rsidP="005D39E2">
      <w:pPr>
        <w:pStyle w:val="Styl2"/>
        <w:spacing w:before="0" w:after="0"/>
        <w:rPr>
          <w:lang w:val="sk-SK"/>
        </w:rPr>
      </w:pPr>
      <w:r w:rsidRPr="003453F2">
        <w:rPr>
          <w:lang w:val="sk-SK"/>
        </w:rPr>
        <w:t>Zoznam pomocných látok</w:t>
      </w:r>
    </w:p>
    <w:p w:rsidR="00497469" w:rsidRPr="003453F2" w:rsidRDefault="00497469" w:rsidP="005D39E2">
      <w:pPr>
        <w:pStyle w:val="Styl2"/>
        <w:numPr>
          <w:ilvl w:val="0"/>
          <w:numId w:val="0"/>
        </w:numPr>
        <w:spacing w:before="0" w:after="0"/>
        <w:rPr>
          <w:lang w:val="sk-SK"/>
        </w:rPr>
      </w:pPr>
    </w:p>
    <w:p w:rsidR="00CD1BB9" w:rsidRPr="003453F2" w:rsidRDefault="00646DDA" w:rsidP="00611497">
      <w:pPr>
        <w:pStyle w:val="Normlndobloku"/>
      </w:pPr>
      <w:proofErr w:type="spellStart"/>
      <w:r w:rsidRPr="003453F2">
        <w:t>p</w:t>
      </w:r>
      <w:r w:rsidR="00CD1BB9" w:rsidRPr="003453F2">
        <w:t>re</w:t>
      </w:r>
      <w:r w:rsidRPr="003453F2">
        <w:t>dželat</w:t>
      </w:r>
      <w:r w:rsidR="006B05F0">
        <w:t>í</w:t>
      </w:r>
      <w:r w:rsidRPr="003453F2">
        <w:t>novaný</w:t>
      </w:r>
      <w:proofErr w:type="spellEnd"/>
      <w:r w:rsidRPr="003453F2">
        <w:t xml:space="preserve"> kukuričný </w:t>
      </w:r>
      <w:r w:rsidR="00CD1BB9" w:rsidRPr="003453F2">
        <w:t>škrob</w:t>
      </w:r>
    </w:p>
    <w:p w:rsidR="00CD1BB9" w:rsidRPr="003453F2" w:rsidRDefault="00CD1BB9" w:rsidP="00611497">
      <w:pPr>
        <w:pStyle w:val="Normlndobloku"/>
      </w:pPr>
      <w:proofErr w:type="spellStart"/>
      <w:r w:rsidRPr="003453F2">
        <w:t>nátriumstearylfumarát</w:t>
      </w:r>
      <w:proofErr w:type="spellEnd"/>
    </w:p>
    <w:p w:rsidR="00CD1BB9" w:rsidRPr="003453F2" w:rsidRDefault="00CD1BB9" w:rsidP="00236263">
      <w:pPr>
        <w:pStyle w:val="Normlndobloku"/>
      </w:pPr>
      <w:r w:rsidRPr="003453F2">
        <w:t>hydrogenuhličitan sodný</w:t>
      </w:r>
    </w:p>
    <w:p w:rsidR="00CD1BB9" w:rsidRPr="003453F2" w:rsidRDefault="00CD1BB9" w:rsidP="00BC3F91">
      <w:pPr>
        <w:pStyle w:val="Normlndobloku"/>
      </w:pPr>
      <w:r w:rsidRPr="003453F2">
        <w:t>monohydrát laktózy</w:t>
      </w:r>
    </w:p>
    <w:p w:rsidR="00CD1BB9" w:rsidRDefault="00DB32E7" w:rsidP="00042B7E">
      <w:pPr>
        <w:pStyle w:val="Normlndobloku"/>
      </w:pPr>
      <w:r w:rsidRPr="003453F2">
        <w:t>sodná soľ kroskarmelózy</w:t>
      </w:r>
    </w:p>
    <w:p w:rsidR="00497469" w:rsidRPr="003453F2" w:rsidRDefault="00497469" w:rsidP="00042B7E">
      <w:pPr>
        <w:pStyle w:val="Normlndobloku"/>
      </w:pPr>
    </w:p>
    <w:p w:rsidR="00CD1BB9" w:rsidRDefault="00CD1BB9" w:rsidP="005D39E2">
      <w:pPr>
        <w:pStyle w:val="Styl2"/>
        <w:spacing w:before="0" w:after="0"/>
        <w:rPr>
          <w:lang w:val="sk-SK"/>
        </w:rPr>
      </w:pPr>
      <w:r w:rsidRPr="003453F2">
        <w:rPr>
          <w:lang w:val="sk-SK"/>
        </w:rPr>
        <w:t>Inkompatibility</w:t>
      </w:r>
    </w:p>
    <w:p w:rsidR="00497469" w:rsidRPr="003453F2" w:rsidRDefault="00497469" w:rsidP="005D39E2">
      <w:pPr>
        <w:pStyle w:val="Styl2"/>
        <w:numPr>
          <w:ilvl w:val="0"/>
          <w:numId w:val="0"/>
        </w:numPr>
        <w:spacing w:before="0" w:after="0"/>
        <w:rPr>
          <w:lang w:val="sk-SK"/>
        </w:rPr>
      </w:pPr>
    </w:p>
    <w:p w:rsidR="00CD1BB9" w:rsidRDefault="00CD1BB9" w:rsidP="00611497">
      <w:pPr>
        <w:pStyle w:val="Normlndobloku"/>
      </w:pPr>
      <w:r w:rsidRPr="003453F2">
        <w:t>Neaplikovateľné.</w:t>
      </w:r>
    </w:p>
    <w:p w:rsidR="00497469" w:rsidRPr="003453F2" w:rsidRDefault="00497469" w:rsidP="00611497">
      <w:pPr>
        <w:pStyle w:val="Normlndobloku"/>
      </w:pPr>
    </w:p>
    <w:p w:rsidR="00CD1BB9" w:rsidRDefault="00CD1BB9" w:rsidP="005D39E2">
      <w:pPr>
        <w:pStyle w:val="Styl2"/>
        <w:spacing w:before="0" w:after="0"/>
        <w:rPr>
          <w:lang w:val="sk-SK"/>
        </w:rPr>
      </w:pPr>
      <w:r w:rsidRPr="00E82E3A">
        <w:rPr>
          <w:lang w:val="sk-SK"/>
        </w:rPr>
        <w:t>Čas použiteľnosti</w:t>
      </w:r>
    </w:p>
    <w:p w:rsidR="00497469" w:rsidRPr="00E82E3A" w:rsidRDefault="00497469" w:rsidP="005D39E2">
      <w:pPr>
        <w:pStyle w:val="Styl2"/>
        <w:numPr>
          <w:ilvl w:val="0"/>
          <w:numId w:val="0"/>
        </w:numPr>
        <w:spacing w:before="0" w:after="0"/>
        <w:rPr>
          <w:lang w:val="sk-SK"/>
        </w:rPr>
      </w:pPr>
    </w:p>
    <w:p w:rsidR="00CD1BB9" w:rsidRDefault="00022151" w:rsidP="00611497">
      <w:pPr>
        <w:pStyle w:val="Normlndobloku"/>
      </w:pPr>
      <w:r w:rsidRPr="00E82E3A">
        <w:t>2</w:t>
      </w:r>
      <w:r w:rsidR="00E82E3A">
        <w:t xml:space="preserve"> </w:t>
      </w:r>
      <w:r w:rsidR="00504CF8" w:rsidRPr="00E82E3A">
        <w:t>roky</w:t>
      </w:r>
    </w:p>
    <w:p w:rsidR="00497469" w:rsidRPr="00E82E3A" w:rsidRDefault="00497469" w:rsidP="00611497">
      <w:pPr>
        <w:pStyle w:val="Normlndobloku"/>
      </w:pPr>
    </w:p>
    <w:p w:rsidR="00CD1BB9" w:rsidRDefault="00CD1BB9" w:rsidP="005D39E2">
      <w:pPr>
        <w:pStyle w:val="Styl2"/>
        <w:spacing w:before="0" w:after="0"/>
        <w:rPr>
          <w:lang w:val="sk-SK"/>
        </w:rPr>
      </w:pPr>
      <w:r w:rsidRPr="00E82E3A">
        <w:rPr>
          <w:lang w:val="sk-SK"/>
        </w:rPr>
        <w:t>Špeciálne upozornenia na uchovávanie</w:t>
      </w:r>
    </w:p>
    <w:p w:rsidR="00497469" w:rsidRPr="00E82E3A" w:rsidRDefault="00497469" w:rsidP="005D39E2">
      <w:pPr>
        <w:pStyle w:val="Styl2"/>
        <w:numPr>
          <w:ilvl w:val="0"/>
          <w:numId w:val="0"/>
        </w:numPr>
        <w:spacing w:before="0" w:after="0"/>
        <w:rPr>
          <w:lang w:val="sk-SK"/>
        </w:rPr>
      </w:pPr>
    </w:p>
    <w:p w:rsidR="00CD1BB9" w:rsidRDefault="00CD1BB9" w:rsidP="00611497">
      <w:pPr>
        <w:pStyle w:val="Normlndobloku"/>
      </w:pPr>
      <w:r w:rsidRPr="00E82E3A">
        <w:t xml:space="preserve">Uchovávajte pri teplote </w:t>
      </w:r>
      <w:r w:rsidR="00504CF8" w:rsidRPr="00E82E3A">
        <w:t>do</w:t>
      </w:r>
      <w:r w:rsidR="00504CF8" w:rsidRPr="003453F2">
        <w:t xml:space="preserve"> </w:t>
      </w:r>
      <w:r w:rsidRPr="003453F2">
        <w:t>30</w:t>
      </w:r>
      <w:r w:rsidR="000A72E5">
        <w:t> </w:t>
      </w:r>
      <w:r w:rsidRPr="00E82E3A">
        <w:sym w:font="Symbol" w:char="F0B0"/>
      </w:r>
      <w:r w:rsidRPr="00E82E3A">
        <w:t>C.</w:t>
      </w:r>
    </w:p>
    <w:p w:rsidR="00497469" w:rsidRPr="00E82E3A" w:rsidRDefault="00497469" w:rsidP="00611497">
      <w:pPr>
        <w:pStyle w:val="Normlndobloku"/>
      </w:pPr>
    </w:p>
    <w:p w:rsidR="00CD1BB9" w:rsidRDefault="00CD1BB9" w:rsidP="005D39E2">
      <w:pPr>
        <w:pStyle w:val="Styl2"/>
        <w:spacing w:before="0" w:after="0"/>
        <w:rPr>
          <w:lang w:val="sk-SK"/>
        </w:rPr>
      </w:pPr>
      <w:r w:rsidRPr="00E82E3A">
        <w:rPr>
          <w:lang w:val="sk-SK"/>
        </w:rPr>
        <w:t>Druh obalu a obsah balenia</w:t>
      </w:r>
    </w:p>
    <w:p w:rsidR="00497469" w:rsidRPr="00E82E3A" w:rsidRDefault="00497469" w:rsidP="005D39E2">
      <w:pPr>
        <w:pStyle w:val="Styl2"/>
        <w:numPr>
          <w:ilvl w:val="0"/>
          <w:numId w:val="0"/>
        </w:numPr>
        <w:spacing w:before="0" w:after="0"/>
        <w:rPr>
          <w:lang w:val="sk-SK"/>
        </w:rPr>
      </w:pPr>
    </w:p>
    <w:p w:rsidR="00DB32E7" w:rsidRPr="003453F2" w:rsidRDefault="00DB32E7" w:rsidP="00611497">
      <w:pPr>
        <w:pStyle w:val="Normlndobloku"/>
      </w:pPr>
      <w:r w:rsidRPr="003453F2">
        <w:t>OPA-Al-PVC/Al</w:t>
      </w:r>
      <w:r w:rsidR="00CD1BB9" w:rsidRPr="003453F2">
        <w:t xml:space="preserve"> </w:t>
      </w:r>
      <w:r w:rsidRPr="003453F2">
        <w:t>blister s 10, 14, 20, 28, 30, 42, 50, 98 a 100 tabletami.</w:t>
      </w:r>
    </w:p>
    <w:p w:rsidR="00CD1BB9" w:rsidRDefault="00CD1BB9" w:rsidP="00611497">
      <w:pPr>
        <w:pStyle w:val="Normlndobloku"/>
      </w:pPr>
      <w:r w:rsidRPr="003453F2">
        <w:t>PP nádoba s vysušovadlom a PE krytom</w:t>
      </w:r>
      <w:r w:rsidR="00DB32E7" w:rsidRPr="003453F2">
        <w:t xml:space="preserve"> s 10, 14, 20, 28, 30, 42, 50, 98 a 100 tabletami</w:t>
      </w:r>
      <w:r w:rsidRPr="003453F2">
        <w:t>.</w:t>
      </w:r>
    </w:p>
    <w:p w:rsidR="00497469" w:rsidRPr="003453F2" w:rsidRDefault="00497469" w:rsidP="00236263">
      <w:pPr>
        <w:pStyle w:val="Normlndobloku"/>
      </w:pPr>
    </w:p>
    <w:p w:rsidR="00CD1BB9" w:rsidRDefault="00504CF8" w:rsidP="00BC3F91">
      <w:pPr>
        <w:pStyle w:val="Normlndobloku"/>
      </w:pPr>
      <w:r w:rsidRPr="003453F2">
        <w:t>Na trh nemusia byť uvedené</w:t>
      </w:r>
      <w:r w:rsidR="00CD1BB9" w:rsidRPr="003453F2">
        <w:t xml:space="preserve"> všetky veľkosti balenia</w:t>
      </w:r>
      <w:r w:rsidR="00765736" w:rsidRPr="003453F2">
        <w:t>.</w:t>
      </w:r>
    </w:p>
    <w:p w:rsidR="00497469" w:rsidRPr="003453F2" w:rsidRDefault="00497469" w:rsidP="00042B7E">
      <w:pPr>
        <w:pStyle w:val="Normlndobloku"/>
      </w:pPr>
    </w:p>
    <w:p w:rsidR="00CD1BB9" w:rsidRDefault="00CD1BB9" w:rsidP="005D39E2">
      <w:pPr>
        <w:pStyle w:val="Styl2"/>
        <w:spacing w:before="0" w:after="0"/>
        <w:rPr>
          <w:lang w:val="sk-SK"/>
        </w:rPr>
      </w:pPr>
      <w:r w:rsidRPr="003453F2">
        <w:rPr>
          <w:lang w:val="sk-SK"/>
        </w:rPr>
        <w:t>Špeciálne opatrenia na likvidáciu</w:t>
      </w:r>
    </w:p>
    <w:p w:rsidR="00497469" w:rsidRPr="003453F2" w:rsidRDefault="00497469" w:rsidP="005D39E2">
      <w:pPr>
        <w:pStyle w:val="Styl2"/>
        <w:numPr>
          <w:ilvl w:val="0"/>
          <w:numId w:val="0"/>
        </w:numPr>
        <w:spacing w:before="0" w:after="0"/>
        <w:rPr>
          <w:lang w:val="sk-SK"/>
        </w:rPr>
      </w:pPr>
    </w:p>
    <w:p w:rsidR="00CD1BB9" w:rsidRDefault="00CD1BB9" w:rsidP="00611497">
      <w:pPr>
        <w:pStyle w:val="Normlndobloku"/>
      </w:pPr>
      <w:r w:rsidRPr="003453F2">
        <w:t>Žiadne zvláštne požiadavky.</w:t>
      </w:r>
    </w:p>
    <w:p w:rsidR="00497469" w:rsidRDefault="00497469" w:rsidP="00611497">
      <w:pPr>
        <w:pStyle w:val="Normlndobloku"/>
      </w:pPr>
    </w:p>
    <w:p w:rsidR="00497469" w:rsidRPr="003453F2" w:rsidRDefault="00497469" w:rsidP="00236263">
      <w:pPr>
        <w:pStyle w:val="Normlndobloku"/>
      </w:pPr>
    </w:p>
    <w:p w:rsidR="00CD1BB9" w:rsidRDefault="00CD1BB9" w:rsidP="005D39E2">
      <w:pPr>
        <w:pStyle w:val="Styl1"/>
        <w:spacing w:before="0" w:after="0"/>
        <w:rPr>
          <w:lang w:val="sk-SK"/>
        </w:rPr>
      </w:pPr>
      <w:r w:rsidRPr="003453F2">
        <w:rPr>
          <w:lang w:val="sk-SK"/>
        </w:rPr>
        <w:t>DRŽITEĽ ROZHODNUTIA O</w:t>
      </w:r>
      <w:r w:rsidR="00497469">
        <w:rPr>
          <w:lang w:val="sk-SK"/>
        </w:rPr>
        <w:t> </w:t>
      </w:r>
      <w:r w:rsidRPr="003453F2">
        <w:rPr>
          <w:lang w:val="sk-SK"/>
        </w:rPr>
        <w:t>REGISTRÁCII</w:t>
      </w:r>
    </w:p>
    <w:p w:rsidR="00497469" w:rsidRPr="003453F2" w:rsidRDefault="00497469" w:rsidP="005D39E2">
      <w:pPr>
        <w:pStyle w:val="Styl1"/>
        <w:numPr>
          <w:ilvl w:val="0"/>
          <w:numId w:val="0"/>
        </w:numPr>
        <w:spacing w:before="0" w:after="0"/>
        <w:ind w:left="357"/>
        <w:rPr>
          <w:lang w:val="sk-SK"/>
        </w:rPr>
      </w:pPr>
    </w:p>
    <w:p w:rsidR="006B05F0" w:rsidRDefault="00CD1BB9" w:rsidP="00611497">
      <w:pPr>
        <w:pStyle w:val="Normlndobloku"/>
      </w:pPr>
      <w:r w:rsidRPr="003453F2">
        <w:t>M</w:t>
      </w:r>
      <w:r w:rsidR="006D3E44">
        <w:t>EDOCHEMIE</w:t>
      </w:r>
      <w:r w:rsidRPr="003453F2">
        <w:t xml:space="preserve"> </w:t>
      </w:r>
      <w:proofErr w:type="spellStart"/>
      <w:r w:rsidRPr="003453F2">
        <w:t>Ltd</w:t>
      </w:r>
      <w:proofErr w:type="spellEnd"/>
      <w:r w:rsidRPr="003453F2">
        <w:t>.</w:t>
      </w:r>
    </w:p>
    <w:p w:rsidR="006B05F0" w:rsidRDefault="00E82E3A" w:rsidP="00611497">
      <w:pPr>
        <w:pStyle w:val="Normlndobloku"/>
      </w:pPr>
      <w:r>
        <w:t xml:space="preserve">1-10 </w:t>
      </w:r>
      <w:proofErr w:type="spellStart"/>
      <w:r>
        <w:t>Constantinoupoleos</w:t>
      </w:r>
      <w:proofErr w:type="spellEnd"/>
      <w:r>
        <w:t xml:space="preserve"> </w:t>
      </w:r>
      <w:proofErr w:type="spellStart"/>
      <w:r>
        <w:t>Str</w:t>
      </w:r>
      <w:r w:rsidR="00F5391F">
        <w:t>eet</w:t>
      </w:r>
      <w:proofErr w:type="spellEnd"/>
    </w:p>
    <w:p w:rsidR="006B05F0" w:rsidRDefault="00E82E3A" w:rsidP="00611497">
      <w:pPr>
        <w:pStyle w:val="Normlndobloku"/>
      </w:pPr>
      <w:r>
        <w:t>3011</w:t>
      </w:r>
      <w:r w:rsidR="00765736" w:rsidRPr="00E82E3A">
        <w:t xml:space="preserve"> </w:t>
      </w:r>
      <w:proofErr w:type="spellStart"/>
      <w:r w:rsidR="00CD1BB9" w:rsidRPr="00E82E3A">
        <w:t>Limassol</w:t>
      </w:r>
      <w:proofErr w:type="spellEnd"/>
    </w:p>
    <w:p w:rsidR="00CD1BB9" w:rsidRDefault="00CD1BB9" w:rsidP="00611497">
      <w:pPr>
        <w:pStyle w:val="Normlndobloku"/>
      </w:pPr>
      <w:r w:rsidRPr="00E82E3A">
        <w:t>Cyprus</w:t>
      </w:r>
    </w:p>
    <w:p w:rsidR="00497469" w:rsidRDefault="00497469" w:rsidP="00611497">
      <w:pPr>
        <w:pStyle w:val="Normlndobloku"/>
      </w:pPr>
    </w:p>
    <w:p w:rsidR="00497469" w:rsidRPr="00E82E3A" w:rsidRDefault="00497469" w:rsidP="00236263">
      <w:pPr>
        <w:pStyle w:val="Normlndobloku"/>
      </w:pPr>
    </w:p>
    <w:p w:rsidR="00CD1BB9" w:rsidRDefault="00CD1BB9" w:rsidP="005D39E2">
      <w:pPr>
        <w:pStyle w:val="Styl1"/>
        <w:spacing w:before="0" w:after="0"/>
        <w:rPr>
          <w:lang w:val="sk-SK"/>
        </w:rPr>
      </w:pPr>
      <w:r w:rsidRPr="00E82E3A">
        <w:rPr>
          <w:lang w:val="sk-SK"/>
        </w:rPr>
        <w:t>REGISTRAČNÉ ČÍSLA</w:t>
      </w:r>
    </w:p>
    <w:p w:rsidR="00497469" w:rsidRPr="00E82E3A" w:rsidRDefault="00497469" w:rsidP="005D39E2">
      <w:pPr>
        <w:pStyle w:val="Styl1"/>
        <w:numPr>
          <w:ilvl w:val="0"/>
          <w:numId w:val="0"/>
        </w:numPr>
        <w:spacing w:before="0" w:after="0"/>
        <w:ind w:left="357"/>
        <w:rPr>
          <w:lang w:val="sk-SK"/>
        </w:rPr>
      </w:pPr>
    </w:p>
    <w:p w:rsidR="00CD1BB9" w:rsidRPr="003453F2" w:rsidRDefault="000F3526" w:rsidP="00611497">
      <w:pPr>
        <w:pStyle w:val="Normlndobloku"/>
      </w:pPr>
      <w:r w:rsidRPr="003453F2">
        <w:t>RAMIMED HCT</w:t>
      </w:r>
      <w:r w:rsidR="00CD1BB9" w:rsidRPr="003453F2">
        <w:t xml:space="preserve"> 2,5/12,5:</w:t>
      </w:r>
      <w:r w:rsidR="00D97698" w:rsidRPr="003453F2">
        <w:t xml:space="preserve"> </w:t>
      </w:r>
      <w:r w:rsidR="00036038" w:rsidRPr="003453F2">
        <w:t>58/0441/07-S</w:t>
      </w:r>
    </w:p>
    <w:p w:rsidR="00CD1BB9" w:rsidRDefault="000F3526" w:rsidP="00611497">
      <w:pPr>
        <w:pStyle w:val="Normlndobloku"/>
      </w:pPr>
      <w:r w:rsidRPr="003453F2">
        <w:t>RAMIMED HCT</w:t>
      </w:r>
      <w:r w:rsidR="00CD1BB9" w:rsidRPr="003453F2">
        <w:t xml:space="preserve"> 5/25: </w:t>
      </w:r>
      <w:r w:rsidR="00036038" w:rsidRPr="003453F2">
        <w:t>58/0442/07-S</w:t>
      </w:r>
    </w:p>
    <w:p w:rsidR="00497469" w:rsidRDefault="00497469" w:rsidP="00236263">
      <w:pPr>
        <w:pStyle w:val="Normlndobloku"/>
      </w:pPr>
    </w:p>
    <w:p w:rsidR="00497469" w:rsidRPr="003453F2" w:rsidRDefault="00497469" w:rsidP="00BC3F91">
      <w:pPr>
        <w:pStyle w:val="Normlndobloku"/>
      </w:pPr>
    </w:p>
    <w:p w:rsidR="00CD1BB9" w:rsidRDefault="00CD1BB9" w:rsidP="005D39E2">
      <w:pPr>
        <w:pStyle w:val="Styl1"/>
        <w:spacing w:before="0" w:after="0"/>
        <w:rPr>
          <w:lang w:val="sk-SK"/>
        </w:rPr>
      </w:pPr>
      <w:r w:rsidRPr="003453F2">
        <w:rPr>
          <w:lang w:val="sk-SK"/>
        </w:rPr>
        <w:lastRenderedPageBreak/>
        <w:t>DÁTUM PRVEJ REGISTRÁCIE</w:t>
      </w:r>
      <w:r w:rsidR="00D97698" w:rsidRPr="003453F2">
        <w:rPr>
          <w:lang w:val="sk-SK"/>
        </w:rPr>
        <w:t xml:space="preserve"> </w:t>
      </w:r>
      <w:r w:rsidRPr="003453F2">
        <w:rPr>
          <w:lang w:val="sk-SK"/>
        </w:rPr>
        <w:t>/</w:t>
      </w:r>
      <w:r w:rsidR="00D97698" w:rsidRPr="003453F2">
        <w:rPr>
          <w:lang w:val="sk-SK"/>
        </w:rPr>
        <w:t xml:space="preserve"> </w:t>
      </w:r>
      <w:r w:rsidRPr="003453F2">
        <w:rPr>
          <w:lang w:val="sk-SK"/>
        </w:rPr>
        <w:t>PREDĹŽENIA REGISTRÁCIE</w:t>
      </w:r>
    </w:p>
    <w:p w:rsidR="00497469" w:rsidRPr="003453F2" w:rsidRDefault="00497469" w:rsidP="005D39E2">
      <w:pPr>
        <w:pStyle w:val="Styl1"/>
        <w:numPr>
          <w:ilvl w:val="0"/>
          <w:numId w:val="0"/>
        </w:numPr>
        <w:spacing w:before="0" w:after="0"/>
        <w:ind w:left="357"/>
        <w:rPr>
          <w:lang w:val="sk-SK"/>
        </w:rPr>
      </w:pPr>
    </w:p>
    <w:p w:rsidR="00ED620F" w:rsidRPr="003453F2" w:rsidRDefault="00504CF8" w:rsidP="00611497">
      <w:pPr>
        <w:pStyle w:val="Normlndobloku"/>
      </w:pPr>
      <w:r w:rsidRPr="003453F2">
        <w:t xml:space="preserve">Dátum prvej registrácie: </w:t>
      </w:r>
      <w:r w:rsidR="006B3AC2">
        <w:t>14</w:t>
      </w:r>
      <w:r w:rsidR="00040E4F" w:rsidRPr="003453F2">
        <w:t>.</w:t>
      </w:r>
      <w:r w:rsidR="006B3AC2">
        <w:t>novembra</w:t>
      </w:r>
      <w:r w:rsidRPr="003453F2">
        <w:t xml:space="preserve"> </w:t>
      </w:r>
      <w:r w:rsidR="00040E4F" w:rsidRPr="003453F2">
        <w:t>2007</w:t>
      </w:r>
    </w:p>
    <w:p w:rsidR="00497469" w:rsidRDefault="00504CF8" w:rsidP="00611497">
      <w:pPr>
        <w:pStyle w:val="Normlndobloku"/>
      </w:pPr>
      <w:r w:rsidRPr="003453F2">
        <w:t>Dátum posledného predĺženia registrácie: 29. decembra 2009</w:t>
      </w:r>
    </w:p>
    <w:p w:rsidR="00497469" w:rsidRDefault="00497469" w:rsidP="00236263">
      <w:pPr>
        <w:pStyle w:val="Normlndobloku"/>
      </w:pPr>
    </w:p>
    <w:p w:rsidR="00D97698" w:rsidRPr="003453F2" w:rsidRDefault="00D97698" w:rsidP="00236263">
      <w:pPr>
        <w:pStyle w:val="Normlndobloku"/>
      </w:pPr>
    </w:p>
    <w:p w:rsidR="00497469" w:rsidRDefault="00CD1BB9" w:rsidP="005D39E2">
      <w:pPr>
        <w:pStyle w:val="Styl1"/>
        <w:spacing w:before="0" w:after="0"/>
        <w:rPr>
          <w:lang w:val="sk-SK"/>
        </w:rPr>
      </w:pPr>
      <w:r w:rsidRPr="003453F2">
        <w:rPr>
          <w:lang w:val="sk-SK"/>
        </w:rPr>
        <w:t>DÁTUM REVÍZIE TEXTU</w:t>
      </w:r>
    </w:p>
    <w:p w:rsidR="00D97698" w:rsidRPr="003453F2" w:rsidRDefault="00D97698" w:rsidP="005D39E2">
      <w:pPr>
        <w:pStyle w:val="Styl1"/>
        <w:numPr>
          <w:ilvl w:val="0"/>
          <w:numId w:val="0"/>
        </w:numPr>
        <w:spacing w:before="0" w:after="0"/>
        <w:ind w:left="357"/>
        <w:rPr>
          <w:lang w:val="sk-SK"/>
        </w:rPr>
      </w:pPr>
    </w:p>
    <w:p w:rsidR="00CD1BB9" w:rsidRPr="00E82E3A" w:rsidRDefault="006B05F0" w:rsidP="00611497">
      <w:pPr>
        <w:pStyle w:val="Normlndobloku"/>
      </w:pPr>
      <w:r>
        <w:t>11/2018</w:t>
      </w:r>
    </w:p>
    <w:p w:rsidR="001F5F8F" w:rsidRPr="00E82E3A" w:rsidRDefault="001F5F8F" w:rsidP="00611497">
      <w:pPr>
        <w:pStyle w:val="Normlndobloku"/>
      </w:pPr>
    </w:p>
    <w:sectPr w:rsidR="001F5F8F" w:rsidRPr="00E82E3A" w:rsidSect="00894ADC">
      <w:headerReference w:type="default"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36" w:rsidRDefault="002D6636">
      <w:r>
        <w:separator/>
      </w:r>
    </w:p>
  </w:endnote>
  <w:endnote w:type="continuationSeparator" w:id="0">
    <w:p w:rsidR="002D6636" w:rsidRDefault="002D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TC Garamond Bk AT">
    <w:altName w:val="Courier New"/>
    <w:charset w:val="00"/>
    <w:family w:val="auto"/>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46" w:rsidRPr="001E09A8" w:rsidRDefault="00175246" w:rsidP="001E09A8">
    <w:pPr>
      <w:pStyle w:val="Pta"/>
      <w:tabs>
        <w:tab w:val="right" w:pos="8931"/>
      </w:tabs>
      <w:ind w:right="96"/>
      <w:jc w:val="center"/>
    </w:pPr>
    <w:r w:rsidRPr="00B40D4A">
      <w:rPr>
        <w:sz w:val="20"/>
        <w:szCs w:val="20"/>
      </w:rPr>
      <w:fldChar w:fldCharType="begin"/>
    </w:r>
    <w:r w:rsidRPr="00B40D4A">
      <w:rPr>
        <w:sz w:val="20"/>
        <w:szCs w:val="20"/>
      </w:rPr>
      <w:instrText xml:space="preserve"> PAGE </w:instrText>
    </w:r>
    <w:r w:rsidRPr="00B40D4A">
      <w:rPr>
        <w:sz w:val="20"/>
        <w:szCs w:val="20"/>
      </w:rPr>
      <w:fldChar w:fldCharType="separate"/>
    </w:r>
    <w:r w:rsidR="007A4324">
      <w:rPr>
        <w:noProof/>
        <w:sz w:val="20"/>
        <w:szCs w:val="20"/>
      </w:rPr>
      <w:t>17</w:t>
    </w:r>
    <w:r w:rsidRPr="00B40D4A">
      <w:rPr>
        <w:sz w:val="20"/>
        <w:szCs w:val="20"/>
      </w:rPr>
      <w:fldChar w:fldCharType="end"/>
    </w:r>
    <w:r w:rsidRPr="00B40D4A">
      <w:rPr>
        <w:sz w:val="20"/>
        <w:szCs w:val="20"/>
      </w:rPr>
      <w:t>/</w:t>
    </w:r>
    <w:r w:rsidRPr="00B40D4A">
      <w:rPr>
        <w:sz w:val="20"/>
        <w:szCs w:val="20"/>
      </w:rPr>
      <w:fldChar w:fldCharType="begin"/>
    </w:r>
    <w:r w:rsidRPr="00B40D4A">
      <w:rPr>
        <w:sz w:val="20"/>
        <w:szCs w:val="20"/>
      </w:rPr>
      <w:instrText xml:space="preserve"> NUMPAGES </w:instrText>
    </w:r>
    <w:r w:rsidRPr="00B40D4A">
      <w:rPr>
        <w:sz w:val="20"/>
        <w:szCs w:val="20"/>
      </w:rPr>
      <w:fldChar w:fldCharType="separate"/>
    </w:r>
    <w:r w:rsidR="007A4324">
      <w:rPr>
        <w:noProof/>
        <w:sz w:val="20"/>
        <w:szCs w:val="20"/>
      </w:rPr>
      <w:t>17</w:t>
    </w:r>
    <w:r w:rsidRPr="00B40D4A">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46" w:rsidRDefault="00175246" w:rsidP="009A5A1D">
    <w:pPr>
      <w:pStyle w:val="Pta"/>
      <w:tabs>
        <w:tab w:val="right" w:pos="8931"/>
      </w:tabs>
      <w:ind w:right="96"/>
      <w:jc w:val="center"/>
    </w:pPr>
    <w:r w:rsidRPr="00B40D4A">
      <w:rPr>
        <w:sz w:val="20"/>
        <w:szCs w:val="20"/>
      </w:rPr>
      <w:fldChar w:fldCharType="begin"/>
    </w:r>
    <w:r w:rsidRPr="00B40D4A">
      <w:rPr>
        <w:sz w:val="20"/>
        <w:szCs w:val="20"/>
      </w:rPr>
      <w:instrText xml:space="preserve"> PAGE </w:instrText>
    </w:r>
    <w:r w:rsidRPr="00B40D4A">
      <w:rPr>
        <w:sz w:val="20"/>
        <w:szCs w:val="20"/>
      </w:rPr>
      <w:fldChar w:fldCharType="separate"/>
    </w:r>
    <w:r>
      <w:rPr>
        <w:noProof/>
        <w:sz w:val="20"/>
        <w:szCs w:val="20"/>
      </w:rPr>
      <w:t>1</w:t>
    </w:r>
    <w:r w:rsidRPr="00B40D4A">
      <w:rPr>
        <w:sz w:val="20"/>
        <w:szCs w:val="20"/>
      </w:rPr>
      <w:fldChar w:fldCharType="end"/>
    </w:r>
    <w:r w:rsidRPr="00B40D4A">
      <w:rPr>
        <w:sz w:val="20"/>
        <w:szCs w:val="20"/>
      </w:rPr>
      <w:t>/</w:t>
    </w:r>
    <w:r w:rsidRPr="00B40D4A">
      <w:rPr>
        <w:sz w:val="20"/>
        <w:szCs w:val="20"/>
      </w:rPr>
      <w:fldChar w:fldCharType="begin"/>
    </w:r>
    <w:r w:rsidRPr="00B40D4A">
      <w:rPr>
        <w:sz w:val="20"/>
        <w:szCs w:val="20"/>
      </w:rPr>
      <w:instrText xml:space="preserve"> NUMPAGES </w:instrText>
    </w:r>
    <w:r w:rsidRPr="00B40D4A">
      <w:rPr>
        <w:sz w:val="20"/>
        <w:szCs w:val="20"/>
      </w:rPr>
      <w:fldChar w:fldCharType="separate"/>
    </w:r>
    <w:r w:rsidR="007A4324">
      <w:rPr>
        <w:noProof/>
        <w:sz w:val="20"/>
        <w:szCs w:val="20"/>
      </w:rPr>
      <w:t>17</w:t>
    </w:r>
    <w:r w:rsidRPr="00B40D4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36" w:rsidRDefault="002D6636">
      <w:r>
        <w:separator/>
      </w:r>
    </w:p>
  </w:footnote>
  <w:footnote w:type="continuationSeparator" w:id="0">
    <w:p w:rsidR="002D6636" w:rsidRDefault="002D6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46" w:rsidRPr="00C7016D" w:rsidRDefault="00175246" w:rsidP="00894ADC">
    <w:pPr>
      <w:pStyle w:val="Hlavika"/>
      <w:rPr>
        <w:lang w:val="sk-SK"/>
      </w:rPr>
    </w:pPr>
    <w:r w:rsidRPr="003A17BF">
      <w:rPr>
        <w:sz w:val="18"/>
        <w:szCs w:val="18"/>
        <w:lang w:val="sk-SK"/>
      </w:rPr>
      <w:t xml:space="preserve">Príloha č. 1 k notifikácii o zmene, ev. č.: </w:t>
    </w:r>
    <w:r w:rsidRPr="00AD335A">
      <w:rPr>
        <w:sz w:val="18"/>
        <w:szCs w:val="18"/>
        <w:lang w:val="sk-SK"/>
      </w:rPr>
      <w:t>2014/05753</w:t>
    </w:r>
    <w:r w:rsidRPr="003A17BF">
      <w:rPr>
        <w:sz w:val="18"/>
        <w:szCs w:val="18"/>
        <w:lang w:val="sk-SK"/>
      </w:rPr>
      <w:t xml:space="preserve">-Z1B, </w:t>
    </w:r>
    <w:r w:rsidRPr="00AD335A">
      <w:rPr>
        <w:sz w:val="18"/>
        <w:szCs w:val="18"/>
        <w:lang w:val="sk-SK"/>
      </w:rPr>
      <w:t>2017/04025</w:t>
    </w:r>
    <w:r w:rsidRPr="003A17BF">
      <w:rPr>
        <w:sz w:val="18"/>
        <w:szCs w:val="18"/>
        <w:lang w:val="sk-SK"/>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46" w:rsidRPr="00042B7E" w:rsidRDefault="00175246" w:rsidP="009A2A4B">
    <w:pPr>
      <w:pStyle w:val="Normlndobloku"/>
      <w:rPr>
        <w:sz w:val="18"/>
        <w:szCs w:val="18"/>
      </w:rPr>
    </w:pPr>
    <w:r w:rsidRPr="00042B7E">
      <w:rPr>
        <w:sz w:val="18"/>
        <w:szCs w:val="18"/>
      </w:rPr>
      <w:t>Príloha č.1 k notifikácii o zmene, ev.č.: 2012/03346-ZIB</w:t>
    </w:r>
  </w:p>
  <w:p w:rsidR="00175246" w:rsidRPr="00042B7E" w:rsidRDefault="00175246" w:rsidP="009A2A4B">
    <w:pPr>
      <w:pStyle w:val="Normlndobloku"/>
      <w:rPr>
        <w:sz w:val="18"/>
        <w:szCs w:val="18"/>
      </w:rPr>
    </w:pPr>
    <w:r w:rsidRPr="00042B7E">
      <w:rPr>
        <w:sz w:val="18"/>
        <w:szCs w:val="18"/>
      </w:rPr>
      <w:t>Príloha č.1 k notifikácii o zmene, ev.č.: 2013/07055-ZIB</w:t>
    </w:r>
  </w:p>
  <w:p w:rsidR="00175246" w:rsidRPr="00042B7E" w:rsidRDefault="00175246" w:rsidP="009A2A4B">
    <w:pPr>
      <w:pStyle w:val="Normlndobloku"/>
      <w:rPr>
        <w:sz w:val="18"/>
        <w:szCs w:val="18"/>
      </w:rPr>
    </w:pPr>
    <w:r w:rsidRPr="00042B7E">
      <w:rPr>
        <w:sz w:val="18"/>
        <w:szCs w:val="18"/>
      </w:rPr>
      <w:t>Príloha č.1 k notifikácii o zmene, ev.č.:</w:t>
    </w:r>
    <w:r>
      <w:rPr>
        <w:sz w:val="18"/>
        <w:szCs w:val="18"/>
      </w:rPr>
      <w:t xml:space="preserve"> </w:t>
    </w:r>
    <w:r w:rsidRPr="00627D61">
      <w:rPr>
        <w:sz w:val="18"/>
        <w:szCs w:val="18"/>
        <w:highlight w:val="yellow"/>
      </w:rPr>
      <w:t>2014/05753</w:t>
    </w:r>
    <w:r>
      <w:rPr>
        <w:sz w:val="18"/>
        <w:szCs w:val="18"/>
      </w:rPr>
      <w:t xml:space="preserve">, </w:t>
    </w:r>
    <w:r w:rsidRPr="00627D61">
      <w:rPr>
        <w:sz w:val="18"/>
        <w:szCs w:val="18"/>
        <w:highlight w:val="green"/>
      </w:rPr>
      <w:t>2017/04025</w:t>
    </w:r>
    <w:r w:rsidRPr="00042B7E">
      <w:rPr>
        <w:sz w:val="18"/>
        <w:szCs w:val="18"/>
      </w:rPr>
      <w:t xml:space="preserve">2108/1244-ZB, 2108/12443-ZB </w:t>
    </w:r>
  </w:p>
  <w:p w:rsidR="00175246" w:rsidRPr="005D39E2" w:rsidRDefault="00175246" w:rsidP="009A2A4B">
    <w:pPr>
      <w:pStyle w:val="Normlndobloku"/>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82D94A"/>
    <w:lvl w:ilvl="0">
      <w:start w:val="1"/>
      <w:numFmt w:val="decimal"/>
      <w:lvlText w:val="%1."/>
      <w:lvlJc w:val="left"/>
      <w:pPr>
        <w:tabs>
          <w:tab w:val="num" w:pos="1492"/>
        </w:tabs>
        <w:ind w:left="1492" w:hanging="360"/>
      </w:pPr>
    </w:lvl>
  </w:abstractNum>
  <w:abstractNum w:abstractNumId="1">
    <w:nsid w:val="FFFFFF7D"/>
    <w:multiLevelType w:val="singleLevel"/>
    <w:tmpl w:val="A9DA9464"/>
    <w:lvl w:ilvl="0">
      <w:start w:val="1"/>
      <w:numFmt w:val="decimal"/>
      <w:lvlText w:val="%1."/>
      <w:lvlJc w:val="left"/>
      <w:pPr>
        <w:tabs>
          <w:tab w:val="num" w:pos="1209"/>
        </w:tabs>
        <w:ind w:left="1209" w:hanging="360"/>
      </w:pPr>
    </w:lvl>
  </w:abstractNum>
  <w:abstractNum w:abstractNumId="2">
    <w:nsid w:val="FFFFFF7E"/>
    <w:multiLevelType w:val="singleLevel"/>
    <w:tmpl w:val="14C88E86"/>
    <w:lvl w:ilvl="0">
      <w:start w:val="1"/>
      <w:numFmt w:val="decimal"/>
      <w:lvlText w:val="%1."/>
      <w:lvlJc w:val="left"/>
      <w:pPr>
        <w:tabs>
          <w:tab w:val="num" w:pos="926"/>
        </w:tabs>
        <w:ind w:left="926" w:hanging="360"/>
      </w:pPr>
    </w:lvl>
  </w:abstractNum>
  <w:abstractNum w:abstractNumId="3">
    <w:nsid w:val="FFFFFF7F"/>
    <w:multiLevelType w:val="singleLevel"/>
    <w:tmpl w:val="58263A46"/>
    <w:lvl w:ilvl="0">
      <w:start w:val="1"/>
      <w:numFmt w:val="decimal"/>
      <w:lvlText w:val="%1."/>
      <w:lvlJc w:val="left"/>
      <w:pPr>
        <w:tabs>
          <w:tab w:val="num" w:pos="643"/>
        </w:tabs>
        <w:ind w:left="643" w:hanging="360"/>
      </w:pPr>
    </w:lvl>
  </w:abstractNum>
  <w:abstractNum w:abstractNumId="4">
    <w:nsid w:val="FFFFFF80"/>
    <w:multiLevelType w:val="singleLevel"/>
    <w:tmpl w:val="BF7C8A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34F2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B6C7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24C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06B0AA"/>
    <w:lvl w:ilvl="0">
      <w:start w:val="1"/>
      <w:numFmt w:val="decimal"/>
      <w:lvlText w:val="%1."/>
      <w:lvlJc w:val="left"/>
      <w:pPr>
        <w:tabs>
          <w:tab w:val="num" w:pos="360"/>
        </w:tabs>
        <w:ind w:left="360" w:hanging="360"/>
      </w:pPr>
    </w:lvl>
  </w:abstractNum>
  <w:abstractNum w:abstractNumId="9">
    <w:nsid w:val="FFFFFF89"/>
    <w:multiLevelType w:val="singleLevel"/>
    <w:tmpl w:val="458EB36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8B05D4"/>
    <w:multiLevelType w:val="hybridMultilevel"/>
    <w:tmpl w:val="76226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CBE778D"/>
    <w:multiLevelType w:val="hybridMultilevel"/>
    <w:tmpl w:val="5A3650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74C7DB5"/>
    <w:multiLevelType w:val="hybridMultilevel"/>
    <w:tmpl w:val="84122C84"/>
    <w:lvl w:ilvl="0" w:tplc="4CCC98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80F3647"/>
    <w:multiLevelType w:val="hybridMultilevel"/>
    <w:tmpl w:val="19C851F4"/>
    <w:lvl w:ilvl="0" w:tplc="74E87F5C">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nsid w:val="2CB8386E"/>
    <w:multiLevelType w:val="hybridMultilevel"/>
    <w:tmpl w:val="CCA8F07C"/>
    <w:lvl w:ilvl="0" w:tplc="8E0A82C4">
      <w:numFmt w:val="bullet"/>
      <w:pStyle w:val="Normlndoblokusodrkami"/>
      <w:lvlText w:val="-"/>
      <w:lvlJc w:val="left"/>
      <w:pPr>
        <w:ind w:left="720" w:hanging="360"/>
      </w:pPr>
      <w:rPr>
        <w:rFonts w:ascii="TimesNewRoman" w:eastAsia="Calibri" w:hAnsi="TimesNewRoman"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16B048A"/>
    <w:multiLevelType w:val="hybridMultilevel"/>
    <w:tmpl w:val="A8AEB1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6AAD4AA7"/>
    <w:multiLevelType w:val="multilevel"/>
    <w:tmpl w:val="96DE4DA4"/>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C1D6699"/>
    <w:multiLevelType w:val="hybridMultilevel"/>
    <w:tmpl w:val="8C1214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4C613D9"/>
    <w:multiLevelType w:val="hybridMultilevel"/>
    <w:tmpl w:val="538CAAC4"/>
    <w:lvl w:ilvl="0" w:tplc="60BEF1CA">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791314A2"/>
    <w:multiLevelType w:val="multilevel"/>
    <w:tmpl w:val="041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9743A7A"/>
    <w:multiLevelType w:val="multilevel"/>
    <w:tmpl w:val="041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21"/>
  </w:num>
  <w:num w:numId="5">
    <w:abstractNumId w:val="15"/>
  </w:num>
  <w:num w:numId="6">
    <w:abstractNumId w:val="18"/>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3"/>
  </w:num>
  <w:num w:numId="18">
    <w:abstractNumId w:val="19"/>
  </w:num>
  <w:num w:numId="19">
    <w:abstractNumId w:val="19"/>
  </w:num>
  <w:num w:numId="20">
    <w:abstractNumId w:val="22"/>
  </w:num>
  <w:num w:numId="21">
    <w:abstractNumId w:val="23"/>
  </w:num>
  <w:num w:numId="22">
    <w:abstractNumId w:val="20"/>
  </w:num>
  <w:num w:numId="23">
    <w:abstractNumId w:val="16"/>
  </w:num>
  <w:num w:numId="24">
    <w:abstractNumId w:val="17"/>
  </w:num>
  <w:num w:numId="25">
    <w:abstractNumId w:val="12"/>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3B"/>
    <w:rsid w:val="0000362F"/>
    <w:rsid w:val="000076A7"/>
    <w:rsid w:val="00011ACB"/>
    <w:rsid w:val="00012F18"/>
    <w:rsid w:val="0001325F"/>
    <w:rsid w:val="00022151"/>
    <w:rsid w:val="00035357"/>
    <w:rsid w:val="00036038"/>
    <w:rsid w:val="0003709D"/>
    <w:rsid w:val="00040E4F"/>
    <w:rsid w:val="00042B7E"/>
    <w:rsid w:val="0004435B"/>
    <w:rsid w:val="00054E65"/>
    <w:rsid w:val="0006001C"/>
    <w:rsid w:val="00065722"/>
    <w:rsid w:val="000701BA"/>
    <w:rsid w:val="00074EF7"/>
    <w:rsid w:val="00075EFF"/>
    <w:rsid w:val="0007631F"/>
    <w:rsid w:val="000857C1"/>
    <w:rsid w:val="000972E5"/>
    <w:rsid w:val="000A72E5"/>
    <w:rsid w:val="000E7C2A"/>
    <w:rsid w:val="000F3526"/>
    <w:rsid w:val="001321AA"/>
    <w:rsid w:val="00132B57"/>
    <w:rsid w:val="00140A80"/>
    <w:rsid w:val="001520C5"/>
    <w:rsid w:val="00175246"/>
    <w:rsid w:val="00190E44"/>
    <w:rsid w:val="001A4E5B"/>
    <w:rsid w:val="001B0889"/>
    <w:rsid w:val="001D0E59"/>
    <w:rsid w:val="001D6435"/>
    <w:rsid w:val="001E09A8"/>
    <w:rsid w:val="001E642E"/>
    <w:rsid w:val="001F3985"/>
    <w:rsid w:val="001F57D9"/>
    <w:rsid w:val="001F5F8F"/>
    <w:rsid w:val="00215A7F"/>
    <w:rsid w:val="0021742C"/>
    <w:rsid w:val="0021753A"/>
    <w:rsid w:val="00231E66"/>
    <w:rsid w:val="00236263"/>
    <w:rsid w:val="00282ED8"/>
    <w:rsid w:val="002A515F"/>
    <w:rsid w:val="002B37DB"/>
    <w:rsid w:val="002C3F3E"/>
    <w:rsid w:val="002D6636"/>
    <w:rsid w:val="002D78D4"/>
    <w:rsid w:val="002E1558"/>
    <w:rsid w:val="002E2B05"/>
    <w:rsid w:val="002E467F"/>
    <w:rsid w:val="002E7D9D"/>
    <w:rsid w:val="002F1C6E"/>
    <w:rsid w:val="002F6665"/>
    <w:rsid w:val="00300D0D"/>
    <w:rsid w:val="003040A1"/>
    <w:rsid w:val="00313E1E"/>
    <w:rsid w:val="00314A0D"/>
    <w:rsid w:val="0031668F"/>
    <w:rsid w:val="003269E9"/>
    <w:rsid w:val="00336194"/>
    <w:rsid w:val="00336D86"/>
    <w:rsid w:val="00341F18"/>
    <w:rsid w:val="00342F28"/>
    <w:rsid w:val="00343B07"/>
    <w:rsid w:val="003453DD"/>
    <w:rsid w:val="003453F2"/>
    <w:rsid w:val="00355284"/>
    <w:rsid w:val="00356307"/>
    <w:rsid w:val="0038555B"/>
    <w:rsid w:val="003968E0"/>
    <w:rsid w:val="003A17BF"/>
    <w:rsid w:val="003A6C1F"/>
    <w:rsid w:val="003B03D7"/>
    <w:rsid w:val="003B1247"/>
    <w:rsid w:val="003D64B9"/>
    <w:rsid w:val="003D7A9F"/>
    <w:rsid w:val="003F5667"/>
    <w:rsid w:val="003F746E"/>
    <w:rsid w:val="00424792"/>
    <w:rsid w:val="00445B76"/>
    <w:rsid w:val="0046045D"/>
    <w:rsid w:val="004830FD"/>
    <w:rsid w:val="00483517"/>
    <w:rsid w:val="00490248"/>
    <w:rsid w:val="00494925"/>
    <w:rsid w:val="00497469"/>
    <w:rsid w:val="004A592C"/>
    <w:rsid w:val="004B6243"/>
    <w:rsid w:val="004C27A2"/>
    <w:rsid w:val="004D3FF9"/>
    <w:rsid w:val="004E321B"/>
    <w:rsid w:val="004F007E"/>
    <w:rsid w:val="004F248E"/>
    <w:rsid w:val="00500398"/>
    <w:rsid w:val="00504CF8"/>
    <w:rsid w:val="00512D4B"/>
    <w:rsid w:val="0051330F"/>
    <w:rsid w:val="00513425"/>
    <w:rsid w:val="005208A3"/>
    <w:rsid w:val="00542CC1"/>
    <w:rsid w:val="00546CB0"/>
    <w:rsid w:val="00566F61"/>
    <w:rsid w:val="005A5C23"/>
    <w:rsid w:val="005B4CCA"/>
    <w:rsid w:val="005C72E8"/>
    <w:rsid w:val="005D39E2"/>
    <w:rsid w:val="005E7FC4"/>
    <w:rsid w:val="005F4AC6"/>
    <w:rsid w:val="00611497"/>
    <w:rsid w:val="00613863"/>
    <w:rsid w:val="00620497"/>
    <w:rsid w:val="00624A15"/>
    <w:rsid w:val="006278A3"/>
    <w:rsid w:val="00627D61"/>
    <w:rsid w:val="006316AF"/>
    <w:rsid w:val="006333AB"/>
    <w:rsid w:val="00642CE7"/>
    <w:rsid w:val="00646DDA"/>
    <w:rsid w:val="006542A1"/>
    <w:rsid w:val="00677D64"/>
    <w:rsid w:val="006814AC"/>
    <w:rsid w:val="00683254"/>
    <w:rsid w:val="00691445"/>
    <w:rsid w:val="006A2C64"/>
    <w:rsid w:val="006A7B07"/>
    <w:rsid w:val="006B05F0"/>
    <w:rsid w:val="006B3AC2"/>
    <w:rsid w:val="006B501E"/>
    <w:rsid w:val="006D3E44"/>
    <w:rsid w:val="006D6E3F"/>
    <w:rsid w:val="006E040E"/>
    <w:rsid w:val="006E1E67"/>
    <w:rsid w:val="006E3057"/>
    <w:rsid w:val="007014E3"/>
    <w:rsid w:val="0070726E"/>
    <w:rsid w:val="00716DB9"/>
    <w:rsid w:val="007179E5"/>
    <w:rsid w:val="00727EB5"/>
    <w:rsid w:val="007457EB"/>
    <w:rsid w:val="0075305B"/>
    <w:rsid w:val="0076024D"/>
    <w:rsid w:val="00765736"/>
    <w:rsid w:val="0077239F"/>
    <w:rsid w:val="00796E32"/>
    <w:rsid w:val="007A4324"/>
    <w:rsid w:val="007B13AD"/>
    <w:rsid w:val="007B235B"/>
    <w:rsid w:val="007B43A1"/>
    <w:rsid w:val="007D5900"/>
    <w:rsid w:val="007F1A9D"/>
    <w:rsid w:val="00822CC1"/>
    <w:rsid w:val="00844CDA"/>
    <w:rsid w:val="008621CB"/>
    <w:rsid w:val="0086492E"/>
    <w:rsid w:val="00886EEF"/>
    <w:rsid w:val="00894ADC"/>
    <w:rsid w:val="00897ADD"/>
    <w:rsid w:val="008B14DA"/>
    <w:rsid w:val="008B2180"/>
    <w:rsid w:val="008B5AAD"/>
    <w:rsid w:val="008B7A95"/>
    <w:rsid w:val="008C0C87"/>
    <w:rsid w:val="008C4A63"/>
    <w:rsid w:val="008C5841"/>
    <w:rsid w:val="008D10B1"/>
    <w:rsid w:val="008D53DF"/>
    <w:rsid w:val="008E0146"/>
    <w:rsid w:val="008E17F1"/>
    <w:rsid w:val="008F1A28"/>
    <w:rsid w:val="008F2BC3"/>
    <w:rsid w:val="008F3C68"/>
    <w:rsid w:val="008F60CB"/>
    <w:rsid w:val="008F6DCF"/>
    <w:rsid w:val="009002B2"/>
    <w:rsid w:val="0090313F"/>
    <w:rsid w:val="0092725B"/>
    <w:rsid w:val="00940107"/>
    <w:rsid w:val="00940131"/>
    <w:rsid w:val="00942CE2"/>
    <w:rsid w:val="00986534"/>
    <w:rsid w:val="00993958"/>
    <w:rsid w:val="0099724E"/>
    <w:rsid w:val="009A2A4B"/>
    <w:rsid w:val="009A5A1D"/>
    <w:rsid w:val="009B6C72"/>
    <w:rsid w:val="009C20E7"/>
    <w:rsid w:val="009C2D4B"/>
    <w:rsid w:val="009D53A2"/>
    <w:rsid w:val="009D65B8"/>
    <w:rsid w:val="009E29F3"/>
    <w:rsid w:val="009E7DE0"/>
    <w:rsid w:val="009F067B"/>
    <w:rsid w:val="009F1695"/>
    <w:rsid w:val="009F753B"/>
    <w:rsid w:val="00A056A2"/>
    <w:rsid w:val="00A113E6"/>
    <w:rsid w:val="00A24AEF"/>
    <w:rsid w:val="00A25871"/>
    <w:rsid w:val="00A314FA"/>
    <w:rsid w:val="00A35C12"/>
    <w:rsid w:val="00A37F0C"/>
    <w:rsid w:val="00A40A63"/>
    <w:rsid w:val="00A545D6"/>
    <w:rsid w:val="00A57081"/>
    <w:rsid w:val="00A677AE"/>
    <w:rsid w:val="00A71643"/>
    <w:rsid w:val="00A763C1"/>
    <w:rsid w:val="00A829F9"/>
    <w:rsid w:val="00A84DDA"/>
    <w:rsid w:val="00A876CA"/>
    <w:rsid w:val="00A90563"/>
    <w:rsid w:val="00A97F7C"/>
    <w:rsid w:val="00AA1C9C"/>
    <w:rsid w:val="00AA3D2D"/>
    <w:rsid w:val="00AA5C1A"/>
    <w:rsid w:val="00AC3986"/>
    <w:rsid w:val="00AD00E2"/>
    <w:rsid w:val="00AD10FC"/>
    <w:rsid w:val="00AD335A"/>
    <w:rsid w:val="00AD537C"/>
    <w:rsid w:val="00AD6D33"/>
    <w:rsid w:val="00AE795F"/>
    <w:rsid w:val="00AF125B"/>
    <w:rsid w:val="00AF1E4C"/>
    <w:rsid w:val="00B00CB7"/>
    <w:rsid w:val="00B11825"/>
    <w:rsid w:val="00B37FE8"/>
    <w:rsid w:val="00B62206"/>
    <w:rsid w:val="00B96315"/>
    <w:rsid w:val="00BA7BE2"/>
    <w:rsid w:val="00BB6588"/>
    <w:rsid w:val="00BC3F91"/>
    <w:rsid w:val="00BC6D05"/>
    <w:rsid w:val="00C21E21"/>
    <w:rsid w:val="00C30C0A"/>
    <w:rsid w:val="00C334BA"/>
    <w:rsid w:val="00C34D61"/>
    <w:rsid w:val="00C539CF"/>
    <w:rsid w:val="00C556B7"/>
    <w:rsid w:val="00C569C1"/>
    <w:rsid w:val="00C605A7"/>
    <w:rsid w:val="00C7016D"/>
    <w:rsid w:val="00C77049"/>
    <w:rsid w:val="00C87061"/>
    <w:rsid w:val="00C90CB2"/>
    <w:rsid w:val="00CC4F4A"/>
    <w:rsid w:val="00CD1BB9"/>
    <w:rsid w:val="00D02C9F"/>
    <w:rsid w:val="00D07DB9"/>
    <w:rsid w:val="00D30600"/>
    <w:rsid w:val="00D4630E"/>
    <w:rsid w:val="00D53158"/>
    <w:rsid w:val="00D628FF"/>
    <w:rsid w:val="00D65A5E"/>
    <w:rsid w:val="00D7210E"/>
    <w:rsid w:val="00D8048A"/>
    <w:rsid w:val="00D946FA"/>
    <w:rsid w:val="00D97698"/>
    <w:rsid w:val="00DA060A"/>
    <w:rsid w:val="00DA18ED"/>
    <w:rsid w:val="00DA2B4C"/>
    <w:rsid w:val="00DB1340"/>
    <w:rsid w:val="00DB32E7"/>
    <w:rsid w:val="00DB5638"/>
    <w:rsid w:val="00DC0EC4"/>
    <w:rsid w:val="00DC1BD9"/>
    <w:rsid w:val="00DC5B10"/>
    <w:rsid w:val="00DD36F5"/>
    <w:rsid w:val="00DD59C5"/>
    <w:rsid w:val="00DE7CBE"/>
    <w:rsid w:val="00DF2DE2"/>
    <w:rsid w:val="00DF5F42"/>
    <w:rsid w:val="00E15F01"/>
    <w:rsid w:val="00E21E6C"/>
    <w:rsid w:val="00E42768"/>
    <w:rsid w:val="00E500F2"/>
    <w:rsid w:val="00E52AB8"/>
    <w:rsid w:val="00E57C93"/>
    <w:rsid w:val="00E70D28"/>
    <w:rsid w:val="00E77E21"/>
    <w:rsid w:val="00E80FF8"/>
    <w:rsid w:val="00E82E3A"/>
    <w:rsid w:val="00E848A4"/>
    <w:rsid w:val="00E97A6C"/>
    <w:rsid w:val="00EA17E2"/>
    <w:rsid w:val="00EA64D8"/>
    <w:rsid w:val="00EB3F6D"/>
    <w:rsid w:val="00EB5FC3"/>
    <w:rsid w:val="00EB6DD9"/>
    <w:rsid w:val="00EC472D"/>
    <w:rsid w:val="00ED620F"/>
    <w:rsid w:val="00ED6221"/>
    <w:rsid w:val="00EF198F"/>
    <w:rsid w:val="00EF4308"/>
    <w:rsid w:val="00F010F4"/>
    <w:rsid w:val="00F01D86"/>
    <w:rsid w:val="00F05C40"/>
    <w:rsid w:val="00F128C4"/>
    <w:rsid w:val="00F13F3C"/>
    <w:rsid w:val="00F14971"/>
    <w:rsid w:val="00F16235"/>
    <w:rsid w:val="00F2677B"/>
    <w:rsid w:val="00F43B52"/>
    <w:rsid w:val="00F5119F"/>
    <w:rsid w:val="00F5391F"/>
    <w:rsid w:val="00F54343"/>
    <w:rsid w:val="00F57BD1"/>
    <w:rsid w:val="00F60082"/>
    <w:rsid w:val="00F61D92"/>
    <w:rsid w:val="00F62C86"/>
    <w:rsid w:val="00F64367"/>
    <w:rsid w:val="00F8199B"/>
    <w:rsid w:val="00FA08FB"/>
    <w:rsid w:val="00FA6F3B"/>
    <w:rsid w:val="00FC137B"/>
    <w:rsid w:val="00FE2D24"/>
    <w:rsid w:val="00FE3A40"/>
    <w:rsid w:val="00FE58BA"/>
    <w:rsid w:val="00FF0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7698"/>
    <w:pPr>
      <w:ind w:left="567" w:hanging="567"/>
    </w:pPr>
    <w:rPr>
      <w:sz w:val="22"/>
      <w:szCs w:val="24"/>
      <w:lang w:val="sk-SK" w:eastAsia="sk-SK"/>
    </w:rPr>
  </w:style>
  <w:style w:type="paragraph" w:styleId="Nadpis1">
    <w:name w:val="heading 1"/>
    <w:basedOn w:val="Normlny"/>
    <w:next w:val="Normlny"/>
    <w:qFormat/>
    <w:pPr>
      <w:keepNext/>
      <w:ind w:left="0" w:right="-109" w:hanging="27"/>
      <w:outlineLvl w:val="0"/>
    </w:pPr>
    <w:rPr>
      <w:b/>
      <w:noProof/>
      <w:szCs w:val="22"/>
    </w:rPr>
  </w:style>
  <w:style w:type="paragraph" w:styleId="Nadpis2">
    <w:name w:val="heading 2"/>
    <w:basedOn w:val="Normlny"/>
    <w:next w:val="Normlny"/>
    <w:qFormat/>
    <w:pPr>
      <w:keepNext/>
      <w:outlineLvl w:val="1"/>
    </w:pPr>
    <w:rPr>
      <w:i/>
      <w:iCs/>
      <w:noProof/>
      <w:szCs w:val="22"/>
      <w:u w:val="single"/>
    </w:rPr>
  </w:style>
  <w:style w:type="paragraph" w:styleId="Nadpis3">
    <w:name w:val="heading 3"/>
    <w:basedOn w:val="Normlny"/>
    <w:next w:val="Normlny"/>
    <w:qFormat/>
    <w:pPr>
      <w:keepNext/>
      <w:outlineLvl w:val="2"/>
    </w:pPr>
    <w:rPr>
      <w:i/>
      <w:iCs/>
      <w:noProof/>
      <w:szCs w:val="22"/>
    </w:rPr>
  </w:style>
  <w:style w:type="paragraph" w:styleId="Nadpis4">
    <w:name w:val="heading 4"/>
    <w:basedOn w:val="Normlny"/>
    <w:next w:val="Normlny"/>
    <w:qFormat/>
    <w:pPr>
      <w:keepNext/>
      <w:ind w:left="0" w:firstLine="0"/>
      <w:outlineLvl w:val="3"/>
    </w:pPr>
    <w:rPr>
      <w:i/>
      <w:iCs/>
      <w:noProof/>
      <w:szCs w:val="22"/>
    </w:rPr>
  </w:style>
  <w:style w:type="paragraph" w:styleId="Nadpis5">
    <w:name w:val="heading 5"/>
    <w:basedOn w:val="Normlny"/>
    <w:next w:val="Normlny"/>
    <w:qFormat/>
    <w:pPr>
      <w:keepNext/>
      <w:ind w:left="0" w:firstLine="0"/>
      <w:outlineLvl w:val="4"/>
    </w:pPr>
    <w:rPr>
      <w:i/>
      <w:iCs/>
      <w:noProof/>
      <w:color w:val="FF0000"/>
      <w:szCs w:val="22"/>
    </w:rPr>
  </w:style>
  <w:style w:type="paragraph" w:styleId="Nadpis6">
    <w:name w:val="heading 6"/>
    <w:basedOn w:val="Normlny"/>
    <w:next w:val="Normlny"/>
    <w:qFormat/>
    <w:pPr>
      <w:keepNext/>
      <w:ind w:left="0" w:firstLine="0"/>
      <w:outlineLvl w:val="5"/>
    </w:pPr>
    <w:rPr>
      <w:noProof/>
      <w:szCs w:val="22"/>
      <w:u w:val="singl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outlineLvl w:val="7"/>
    </w:pPr>
    <w:rPr>
      <w:b/>
      <w:bCs/>
      <w:noProof/>
      <w:szCs w:val="22"/>
    </w:rPr>
  </w:style>
  <w:style w:type="paragraph" w:styleId="Nadpis9">
    <w:name w:val="heading 9"/>
    <w:basedOn w:val="Normlny"/>
    <w:next w:val="Normlny"/>
    <w:qFormat/>
    <w:pPr>
      <w:keepNext/>
      <w:tabs>
        <w:tab w:val="left" w:pos="0"/>
      </w:tabs>
      <w:ind w:left="0" w:firstLine="0"/>
      <w:outlineLvl w:val="8"/>
    </w:pPr>
    <w:rPr>
      <w:b/>
      <w:bCs/>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semiHidden/>
    <w:pPr>
      <w:spacing w:before="120" w:after="120"/>
      <w:ind w:left="0" w:firstLine="0"/>
      <w:jc w:val="both"/>
    </w:pPr>
    <w:rPr>
      <w:szCs w:val="20"/>
      <w:lang w:val="en-US" w:eastAsia="en-US"/>
    </w:rPr>
  </w:style>
  <w:style w:type="paragraph" w:styleId="Zkladntext">
    <w:name w:val="Body Text"/>
    <w:basedOn w:val="Normlny"/>
    <w:link w:val="ZkladntextChar"/>
    <w:semiHidden/>
    <w:pPr>
      <w:ind w:left="0" w:firstLine="0"/>
    </w:pPr>
  </w:style>
  <w:style w:type="paragraph" w:styleId="Nzov">
    <w:name w:val="Title"/>
    <w:basedOn w:val="Normlny"/>
    <w:qFormat/>
    <w:pPr>
      <w:ind w:left="0" w:firstLine="0"/>
      <w:jc w:val="center"/>
    </w:pPr>
    <w:rPr>
      <w:b/>
      <w:szCs w:val="20"/>
      <w:lang w:val="en-GB" w:eastAsia="en-US"/>
    </w:rPr>
  </w:style>
  <w:style w:type="paragraph" w:styleId="Hlavika">
    <w:name w:val="header"/>
    <w:basedOn w:val="Normlny"/>
    <w:semiHidden/>
    <w:pPr>
      <w:widowControl w:val="0"/>
      <w:tabs>
        <w:tab w:val="center" w:pos="4153"/>
        <w:tab w:val="right" w:pos="8306"/>
      </w:tabs>
      <w:ind w:left="0" w:firstLine="0"/>
    </w:pPr>
    <w:rPr>
      <w:szCs w:val="20"/>
      <w:lang w:val="en-US" w:eastAsia="en-US"/>
    </w:rPr>
  </w:style>
  <w:style w:type="paragraph" w:styleId="Textvysvetlivky">
    <w:name w:val="endnote text"/>
    <w:basedOn w:val="Normlny"/>
    <w:semiHidden/>
    <w:pPr>
      <w:tabs>
        <w:tab w:val="left" w:pos="567"/>
      </w:tabs>
      <w:ind w:left="0" w:firstLine="0"/>
    </w:pPr>
    <w:rPr>
      <w:szCs w:val="20"/>
      <w:lang w:val="en-GB" w:eastAsia="en-US"/>
    </w:rPr>
  </w:style>
  <w:style w:type="paragraph" w:styleId="Pta">
    <w:name w:val="footer"/>
    <w:basedOn w:val="Normlny"/>
    <w:link w:val="PtaChar"/>
    <w:pPr>
      <w:tabs>
        <w:tab w:val="center" w:pos="4536"/>
        <w:tab w:val="right" w:pos="9072"/>
      </w:tabs>
    </w:pPr>
  </w:style>
  <w:style w:type="character" w:styleId="PouitHypertextovPrepojenie">
    <w:name w:val="FollowedHyperlink"/>
    <w:semiHidden/>
    <w:rPr>
      <w:color w:val="800080"/>
      <w:u w:val="single"/>
    </w:rPr>
  </w:style>
  <w:style w:type="character" w:customStyle="1" w:styleId="PtaChar">
    <w:name w:val="Päta Char"/>
    <w:link w:val="Pta"/>
    <w:uiPriority w:val="99"/>
    <w:rsid w:val="00DA060A"/>
    <w:rPr>
      <w:sz w:val="22"/>
      <w:szCs w:val="24"/>
    </w:rPr>
  </w:style>
  <w:style w:type="paragraph" w:customStyle="1" w:styleId="Normlndobloku">
    <w:name w:val="Normální do bloku"/>
    <w:basedOn w:val="Normlny"/>
    <w:link w:val="NormlndoblokuChar"/>
    <w:autoRedefine/>
    <w:rsid w:val="009A2A4B"/>
    <w:pPr>
      <w:tabs>
        <w:tab w:val="left" w:pos="6946"/>
      </w:tabs>
      <w:ind w:left="0" w:firstLine="0"/>
      <w:jc w:val="both"/>
    </w:pPr>
    <w:rPr>
      <w:lang w:eastAsia="cs-CZ"/>
    </w:rPr>
  </w:style>
  <w:style w:type="character" w:customStyle="1" w:styleId="NormlndoblokuChar">
    <w:name w:val="Normální do bloku Char"/>
    <w:link w:val="Normlndobloku"/>
    <w:rsid w:val="009A2A4B"/>
    <w:rPr>
      <w:sz w:val="22"/>
      <w:szCs w:val="24"/>
      <w:lang w:eastAsia="cs-CZ"/>
    </w:rPr>
  </w:style>
  <w:style w:type="paragraph" w:customStyle="1" w:styleId="TblTextCenter">
    <w:name w:val="Tbl Text Center"/>
    <w:basedOn w:val="Normlny"/>
    <w:semiHidden/>
    <w:rsid w:val="00313E1E"/>
    <w:pPr>
      <w:spacing w:before="60" w:after="60"/>
      <w:ind w:left="0" w:firstLine="0"/>
      <w:jc w:val="center"/>
    </w:pPr>
    <w:rPr>
      <w:rFonts w:ascii="Arial Narrow" w:hAnsi="Arial Narrow"/>
      <w:sz w:val="20"/>
      <w:szCs w:val="20"/>
      <w:lang w:val="en-US" w:eastAsia="en-US"/>
    </w:rPr>
  </w:style>
  <w:style w:type="paragraph" w:customStyle="1" w:styleId="Hoechst">
    <w:name w:val="Hoechst"/>
    <w:semiHidden/>
    <w:rsid w:val="00DC5B10"/>
    <w:rPr>
      <w:rFonts w:ascii="ITC Garamond Bk AT" w:hAnsi="ITC Garamond Bk AT"/>
      <w:noProof/>
      <w:sz w:val="24"/>
      <w:lang w:val="en-US" w:eastAsia="en-US"/>
    </w:rPr>
  </w:style>
  <w:style w:type="paragraph" w:customStyle="1" w:styleId="Styl3">
    <w:name w:val="Styl3"/>
    <w:basedOn w:val="Styl2"/>
    <w:link w:val="Styl3Char"/>
    <w:rsid w:val="007179E5"/>
    <w:pPr>
      <w:numPr>
        <w:ilvl w:val="0"/>
        <w:numId w:val="0"/>
      </w:numPr>
    </w:pPr>
    <w:rPr>
      <w:b w:val="0"/>
      <w:u w:val="single"/>
    </w:rPr>
  </w:style>
  <w:style w:type="paragraph" w:customStyle="1" w:styleId="Normlndoblokusodrkami">
    <w:name w:val="Normální do bloku s odrážkami"/>
    <w:basedOn w:val="Normlndobloku"/>
    <w:next w:val="Normlndobloku"/>
    <w:autoRedefine/>
    <w:qFormat/>
    <w:rsid w:val="00DA18ED"/>
    <w:pPr>
      <w:numPr>
        <w:numId w:val="23"/>
      </w:numPr>
      <w:tabs>
        <w:tab w:val="clear" w:pos="6946"/>
      </w:tabs>
      <w:suppressAutoHyphens/>
      <w:ind w:left="426" w:hanging="426"/>
      <w:jc w:val="left"/>
    </w:pPr>
    <w:rPr>
      <w:rFonts w:ascii="TimesNewRoman" w:eastAsia="Calibri" w:hAnsi="TimesNewRoman" w:cs="TimesNewRoman"/>
      <w:noProof/>
      <w:lang w:eastAsia="en-US"/>
    </w:rPr>
  </w:style>
  <w:style w:type="paragraph" w:customStyle="1" w:styleId="SPCnadpis">
    <w:name w:val="SPC nadpis"/>
    <w:basedOn w:val="Nadpis1"/>
    <w:rsid w:val="002E2B05"/>
    <w:pPr>
      <w:keepNext w:val="0"/>
      <w:spacing w:before="240" w:after="120"/>
      <w:ind w:left="357" w:right="0" w:hanging="357"/>
      <w:jc w:val="center"/>
    </w:pPr>
    <w:rPr>
      <w:bCs/>
      <w:noProof w:val="0"/>
      <w:szCs w:val="20"/>
      <w:lang w:val="en-US" w:eastAsia="cs-CZ"/>
    </w:rPr>
  </w:style>
  <w:style w:type="paragraph" w:customStyle="1" w:styleId="Styl1">
    <w:name w:val="Styl1"/>
    <w:basedOn w:val="Normlny"/>
    <w:autoRedefine/>
    <w:rsid w:val="00F01D86"/>
    <w:pPr>
      <w:keepNext/>
      <w:numPr>
        <w:numId w:val="19"/>
      </w:numPr>
      <w:spacing w:before="480" w:after="120"/>
      <w:ind w:left="357" w:hanging="357"/>
    </w:pPr>
    <w:rPr>
      <w:b/>
      <w:bCs/>
      <w:caps/>
      <w:lang w:val="cs-CZ" w:eastAsia="en-US"/>
    </w:rPr>
  </w:style>
  <w:style w:type="paragraph" w:customStyle="1" w:styleId="Styl2">
    <w:name w:val="Styl2"/>
    <w:basedOn w:val="Normlny"/>
    <w:link w:val="Styl2Char"/>
    <w:autoRedefine/>
    <w:rsid w:val="0007631F"/>
    <w:pPr>
      <w:keepNext/>
      <w:numPr>
        <w:ilvl w:val="1"/>
        <w:numId w:val="19"/>
      </w:numPr>
      <w:spacing w:before="360" w:after="120"/>
      <w:ind w:left="0" w:firstLine="0"/>
    </w:pPr>
    <w:rPr>
      <w:b/>
      <w:bCs/>
      <w:szCs w:val="22"/>
      <w:lang w:val="cs-CZ" w:eastAsia="en-US"/>
    </w:rPr>
  </w:style>
  <w:style w:type="character" w:customStyle="1" w:styleId="Styl2Char">
    <w:name w:val="Styl2 Char"/>
    <w:link w:val="Styl2"/>
    <w:rsid w:val="0007631F"/>
    <w:rPr>
      <w:b/>
      <w:bCs/>
      <w:sz w:val="22"/>
      <w:szCs w:val="22"/>
      <w:lang w:eastAsia="en-US"/>
    </w:rPr>
  </w:style>
  <w:style w:type="character" w:customStyle="1" w:styleId="Styl3Char">
    <w:name w:val="Styl3 Char"/>
    <w:link w:val="Styl3"/>
    <w:rsid w:val="003453DD"/>
    <w:rPr>
      <w:b/>
      <w:bCs/>
      <w:sz w:val="22"/>
      <w:szCs w:val="22"/>
      <w:u w:val="single"/>
      <w:lang w:eastAsia="en-US"/>
    </w:rPr>
  </w:style>
  <w:style w:type="character" w:styleId="Zvraznenie">
    <w:name w:val="Emphasis"/>
    <w:uiPriority w:val="20"/>
    <w:qFormat/>
    <w:rsid w:val="00EC472D"/>
    <w:rPr>
      <w:b/>
      <w:bCs/>
      <w:i w:val="0"/>
      <w:iCs w:val="0"/>
    </w:rPr>
  </w:style>
  <w:style w:type="paragraph" w:styleId="Odsekzoznamu">
    <w:name w:val="List Paragraph"/>
    <w:basedOn w:val="Normlny"/>
    <w:uiPriority w:val="34"/>
    <w:qFormat/>
    <w:rsid w:val="00040E4F"/>
    <w:pPr>
      <w:ind w:left="708"/>
    </w:pPr>
  </w:style>
  <w:style w:type="character" w:customStyle="1" w:styleId="hps">
    <w:name w:val="hps"/>
    <w:basedOn w:val="Predvolenpsmoodseku"/>
    <w:rsid w:val="00BC6D05"/>
  </w:style>
  <w:style w:type="character" w:customStyle="1" w:styleId="apple-converted-space">
    <w:name w:val="apple-converted-space"/>
    <w:basedOn w:val="Predvolenpsmoodseku"/>
    <w:rsid w:val="00BC6D05"/>
  </w:style>
  <w:style w:type="character" w:customStyle="1" w:styleId="atn">
    <w:name w:val="atn"/>
    <w:basedOn w:val="Predvolenpsmoodseku"/>
    <w:rsid w:val="00BC6D05"/>
  </w:style>
  <w:style w:type="character" w:customStyle="1" w:styleId="ZkladntextChar">
    <w:name w:val="Základný text Char"/>
    <w:link w:val="Zkladntext"/>
    <w:semiHidden/>
    <w:rsid w:val="001F5F8F"/>
    <w:rPr>
      <w:sz w:val="22"/>
      <w:szCs w:val="24"/>
    </w:rPr>
  </w:style>
  <w:style w:type="character" w:customStyle="1" w:styleId="shorttext">
    <w:name w:val="short_text"/>
    <w:rsid w:val="008B5AAD"/>
  </w:style>
  <w:style w:type="paragraph" w:styleId="Revzia">
    <w:name w:val="Revision"/>
    <w:hidden/>
    <w:uiPriority w:val="99"/>
    <w:semiHidden/>
    <w:rsid w:val="003453F2"/>
    <w:rPr>
      <w:sz w:val="22"/>
      <w:szCs w:val="24"/>
      <w:lang w:val="sk-SK" w:eastAsia="sk-SK"/>
    </w:rPr>
  </w:style>
  <w:style w:type="paragraph" w:customStyle="1" w:styleId="Default">
    <w:name w:val="Default"/>
    <w:rsid w:val="007457EB"/>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7698"/>
    <w:pPr>
      <w:ind w:left="567" w:hanging="567"/>
    </w:pPr>
    <w:rPr>
      <w:sz w:val="22"/>
      <w:szCs w:val="24"/>
      <w:lang w:val="sk-SK" w:eastAsia="sk-SK"/>
    </w:rPr>
  </w:style>
  <w:style w:type="paragraph" w:styleId="Nadpis1">
    <w:name w:val="heading 1"/>
    <w:basedOn w:val="Normlny"/>
    <w:next w:val="Normlny"/>
    <w:qFormat/>
    <w:pPr>
      <w:keepNext/>
      <w:ind w:left="0" w:right="-109" w:hanging="27"/>
      <w:outlineLvl w:val="0"/>
    </w:pPr>
    <w:rPr>
      <w:b/>
      <w:noProof/>
      <w:szCs w:val="22"/>
    </w:rPr>
  </w:style>
  <w:style w:type="paragraph" w:styleId="Nadpis2">
    <w:name w:val="heading 2"/>
    <w:basedOn w:val="Normlny"/>
    <w:next w:val="Normlny"/>
    <w:qFormat/>
    <w:pPr>
      <w:keepNext/>
      <w:outlineLvl w:val="1"/>
    </w:pPr>
    <w:rPr>
      <w:i/>
      <w:iCs/>
      <w:noProof/>
      <w:szCs w:val="22"/>
      <w:u w:val="single"/>
    </w:rPr>
  </w:style>
  <w:style w:type="paragraph" w:styleId="Nadpis3">
    <w:name w:val="heading 3"/>
    <w:basedOn w:val="Normlny"/>
    <w:next w:val="Normlny"/>
    <w:qFormat/>
    <w:pPr>
      <w:keepNext/>
      <w:outlineLvl w:val="2"/>
    </w:pPr>
    <w:rPr>
      <w:i/>
      <w:iCs/>
      <w:noProof/>
      <w:szCs w:val="22"/>
    </w:rPr>
  </w:style>
  <w:style w:type="paragraph" w:styleId="Nadpis4">
    <w:name w:val="heading 4"/>
    <w:basedOn w:val="Normlny"/>
    <w:next w:val="Normlny"/>
    <w:qFormat/>
    <w:pPr>
      <w:keepNext/>
      <w:ind w:left="0" w:firstLine="0"/>
      <w:outlineLvl w:val="3"/>
    </w:pPr>
    <w:rPr>
      <w:i/>
      <w:iCs/>
      <w:noProof/>
      <w:szCs w:val="22"/>
    </w:rPr>
  </w:style>
  <w:style w:type="paragraph" w:styleId="Nadpis5">
    <w:name w:val="heading 5"/>
    <w:basedOn w:val="Normlny"/>
    <w:next w:val="Normlny"/>
    <w:qFormat/>
    <w:pPr>
      <w:keepNext/>
      <w:ind w:left="0" w:firstLine="0"/>
      <w:outlineLvl w:val="4"/>
    </w:pPr>
    <w:rPr>
      <w:i/>
      <w:iCs/>
      <w:noProof/>
      <w:color w:val="FF0000"/>
      <w:szCs w:val="22"/>
    </w:rPr>
  </w:style>
  <w:style w:type="paragraph" w:styleId="Nadpis6">
    <w:name w:val="heading 6"/>
    <w:basedOn w:val="Normlny"/>
    <w:next w:val="Normlny"/>
    <w:qFormat/>
    <w:pPr>
      <w:keepNext/>
      <w:ind w:left="0" w:firstLine="0"/>
      <w:outlineLvl w:val="5"/>
    </w:pPr>
    <w:rPr>
      <w:noProof/>
      <w:szCs w:val="22"/>
      <w:u w:val="singl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outlineLvl w:val="7"/>
    </w:pPr>
    <w:rPr>
      <w:b/>
      <w:bCs/>
      <w:noProof/>
      <w:szCs w:val="22"/>
    </w:rPr>
  </w:style>
  <w:style w:type="paragraph" w:styleId="Nadpis9">
    <w:name w:val="heading 9"/>
    <w:basedOn w:val="Normlny"/>
    <w:next w:val="Normlny"/>
    <w:qFormat/>
    <w:pPr>
      <w:keepNext/>
      <w:tabs>
        <w:tab w:val="left" w:pos="0"/>
      </w:tabs>
      <w:ind w:left="0" w:firstLine="0"/>
      <w:outlineLvl w:val="8"/>
    </w:pPr>
    <w:rPr>
      <w:b/>
      <w:bCs/>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semiHidden/>
    <w:pPr>
      <w:spacing w:before="120" w:after="120"/>
      <w:ind w:left="0" w:firstLine="0"/>
      <w:jc w:val="both"/>
    </w:pPr>
    <w:rPr>
      <w:szCs w:val="20"/>
      <w:lang w:val="en-US" w:eastAsia="en-US"/>
    </w:rPr>
  </w:style>
  <w:style w:type="paragraph" w:styleId="Zkladntext">
    <w:name w:val="Body Text"/>
    <w:basedOn w:val="Normlny"/>
    <w:link w:val="ZkladntextChar"/>
    <w:semiHidden/>
    <w:pPr>
      <w:ind w:left="0" w:firstLine="0"/>
    </w:pPr>
  </w:style>
  <w:style w:type="paragraph" w:styleId="Nzov">
    <w:name w:val="Title"/>
    <w:basedOn w:val="Normlny"/>
    <w:qFormat/>
    <w:pPr>
      <w:ind w:left="0" w:firstLine="0"/>
      <w:jc w:val="center"/>
    </w:pPr>
    <w:rPr>
      <w:b/>
      <w:szCs w:val="20"/>
      <w:lang w:val="en-GB" w:eastAsia="en-US"/>
    </w:rPr>
  </w:style>
  <w:style w:type="paragraph" w:styleId="Hlavika">
    <w:name w:val="header"/>
    <w:basedOn w:val="Normlny"/>
    <w:semiHidden/>
    <w:pPr>
      <w:widowControl w:val="0"/>
      <w:tabs>
        <w:tab w:val="center" w:pos="4153"/>
        <w:tab w:val="right" w:pos="8306"/>
      </w:tabs>
      <w:ind w:left="0" w:firstLine="0"/>
    </w:pPr>
    <w:rPr>
      <w:szCs w:val="20"/>
      <w:lang w:val="en-US" w:eastAsia="en-US"/>
    </w:rPr>
  </w:style>
  <w:style w:type="paragraph" w:styleId="Textvysvetlivky">
    <w:name w:val="endnote text"/>
    <w:basedOn w:val="Normlny"/>
    <w:semiHidden/>
    <w:pPr>
      <w:tabs>
        <w:tab w:val="left" w:pos="567"/>
      </w:tabs>
      <w:ind w:left="0" w:firstLine="0"/>
    </w:pPr>
    <w:rPr>
      <w:szCs w:val="20"/>
      <w:lang w:val="en-GB" w:eastAsia="en-US"/>
    </w:rPr>
  </w:style>
  <w:style w:type="paragraph" w:styleId="Pta">
    <w:name w:val="footer"/>
    <w:basedOn w:val="Normlny"/>
    <w:link w:val="PtaChar"/>
    <w:pPr>
      <w:tabs>
        <w:tab w:val="center" w:pos="4536"/>
        <w:tab w:val="right" w:pos="9072"/>
      </w:tabs>
    </w:pPr>
  </w:style>
  <w:style w:type="character" w:styleId="PouitHypertextovPrepojenie">
    <w:name w:val="FollowedHyperlink"/>
    <w:semiHidden/>
    <w:rPr>
      <w:color w:val="800080"/>
      <w:u w:val="single"/>
    </w:rPr>
  </w:style>
  <w:style w:type="character" w:customStyle="1" w:styleId="PtaChar">
    <w:name w:val="Päta Char"/>
    <w:link w:val="Pta"/>
    <w:uiPriority w:val="99"/>
    <w:rsid w:val="00DA060A"/>
    <w:rPr>
      <w:sz w:val="22"/>
      <w:szCs w:val="24"/>
    </w:rPr>
  </w:style>
  <w:style w:type="paragraph" w:customStyle="1" w:styleId="Normlndobloku">
    <w:name w:val="Normální do bloku"/>
    <w:basedOn w:val="Normlny"/>
    <w:link w:val="NormlndoblokuChar"/>
    <w:autoRedefine/>
    <w:rsid w:val="009A2A4B"/>
    <w:pPr>
      <w:tabs>
        <w:tab w:val="left" w:pos="6946"/>
      </w:tabs>
      <w:ind w:left="0" w:firstLine="0"/>
      <w:jc w:val="both"/>
    </w:pPr>
    <w:rPr>
      <w:lang w:eastAsia="cs-CZ"/>
    </w:rPr>
  </w:style>
  <w:style w:type="character" w:customStyle="1" w:styleId="NormlndoblokuChar">
    <w:name w:val="Normální do bloku Char"/>
    <w:link w:val="Normlndobloku"/>
    <w:rsid w:val="009A2A4B"/>
    <w:rPr>
      <w:sz w:val="22"/>
      <w:szCs w:val="24"/>
      <w:lang w:eastAsia="cs-CZ"/>
    </w:rPr>
  </w:style>
  <w:style w:type="paragraph" w:customStyle="1" w:styleId="TblTextCenter">
    <w:name w:val="Tbl Text Center"/>
    <w:basedOn w:val="Normlny"/>
    <w:semiHidden/>
    <w:rsid w:val="00313E1E"/>
    <w:pPr>
      <w:spacing w:before="60" w:after="60"/>
      <w:ind w:left="0" w:firstLine="0"/>
      <w:jc w:val="center"/>
    </w:pPr>
    <w:rPr>
      <w:rFonts w:ascii="Arial Narrow" w:hAnsi="Arial Narrow"/>
      <w:sz w:val="20"/>
      <w:szCs w:val="20"/>
      <w:lang w:val="en-US" w:eastAsia="en-US"/>
    </w:rPr>
  </w:style>
  <w:style w:type="paragraph" w:customStyle="1" w:styleId="Hoechst">
    <w:name w:val="Hoechst"/>
    <w:semiHidden/>
    <w:rsid w:val="00DC5B10"/>
    <w:rPr>
      <w:rFonts w:ascii="ITC Garamond Bk AT" w:hAnsi="ITC Garamond Bk AT"/>
      <w:noProof/>
      <w:sz w:val="24"/>
      <w:lang w:val="en-US" w:eastAsia="en-US"/>
    </w:rPr>
  </w:style>
  <w:style w:type="paragraph" w:customStyle="1" w:styleId="Styl3">
    <w:name w:val="Styl3"/>
    <w:basedOn w:val="Styl2"/>
    <w:link w:val="Styl3Char"/>
    <w:rsid w:val="007179E5"/>
    <w:pPr>
      <w:numPr>
        <w:ilvl w:val="0"/>
        <w:numId w:val="0"/>
      </w:numPr>
    </w:pPr>
    <w:rPr>
      <w:b w:val="0"/>
      <w:u w:val="single"/>
    </w:rPr>
  </w:style>
  <w:style w:type="paragraph" w:customStyle="1" w:styleId="Normlndoblokusodrkami">
    <w:name w:val="Normální do bloku s odrážkami"/>
    <w:basedOn w:val="Normlndobloku"/>
    <w:next w:val="Normlndobloku"/>
    <w:autoRedefine/>
    <w:qFormat/>
    <w:rsid w:val="00DA18ED"/>
    <w:pPr>
      <w:numPr>
        <w:numId w:val="23"/>
      </w:numPr>
      <w:tabs>
        <w:tab w:val="clear" w:pos="6946"/>
      </w:tabs>
      <w:suppressAutoHyphens/>
      <w:ind w:left="426" w:hanging="426"/>
      <w:jc w:val="left"/>
    </w:pPr>
    <w:rPr>
      <w:rFonts w:ascii="TimesNewRoman" w:eastAsia="Calibri" w:hAnsi="TimesNewRoman" w:cs="TimesNewRoman"/>
      <w:noProof/>
      <w:lang w:eastAsia="en-US"/>
    </w:rPr>
  </w:style>
  <w:style w:type="paragraph" w:customStyle="1" w:styleId="SPCnadpis">
    <w:name w:val="SPC nadpis"/>
    <w:basedOn w:val="Nadpis1"/>
    <w:rsid w:val="002E2B05"/>
    <w:pPr>
      <w:keepNext w:val="0"/>
      <w:spacing w:before="240" w:after="120"/>
      <w:ind w:left="357" w:right="0" w:hanging="357"/>
      <w:jc w:val="center"/>
    </w:pPr>
    <w:rPr>
      <w:bCs/>
      <w:noProof w:val="0"/>
      <w:szCs w:val="20"/>
      <w:lang w:val="en-US" w:eastAsia="cs-CZ"/>
    </w:rPr>
  </w:style>
  <w:style w:type="paragraph" w:customStyle="1" w:styleId="Styl1">
    <w:name w:val="Styl1"/>
    <w:basedOn w:val="Normlny"/>
    <w:autoRedefine/>
    <w:rsid w:val="00F01D86"/>
    <w:pPr>
      <w:keepNext/>
      <w:numPr>
        <w:numId w:val="19"/>
      </w:numPr>
      <w:spacing w:before="480" w:after="120"/>
      <w:ind w:left="357" w:hanging="357"/>
    </w:pPr>
    <w:rPr>
      <w:b/>
      <w:bCs/>
      <w:caps/>
      <w:lang w:val="cs-CZ" w:eastAsia="en-US"/>
    </w:rPr>
  </w:style>
  <w:style w:type="paragraph" w:customStyle="1" w:styleId="Styl2">
    <w:name w:val="Styl2"/>
    <w:basedOn w:val="Normlny"/>
    <w:link w:val="Styl2Char"/>
    <w:autoRedefine/>
    <w:rsid w:val="0007631F"/>
    <w:pPr>
      <w:keepNext/>
      <w:numPr>
        <w:ilvl w:val="1"/>
        <w:numId w:val="19"/>
      </w:numPr>
      <w:spacing w:before="360" w:after="120"/>
      <w:ind w:left="0" w:firstLine="0"/>
    </w:pPr>
    <w:rPr>
      <w:b/>
      <w:bCs/>
      <w:szCs w:val="22"/>
      <w:lang w:val="cs-CZ" w:eastAsia="en-US"/>
    </w:rPr>
  </w:style>
  <w:style w:type="character" w:customStyle="1" w:styleId="Styl2Char">
    <w:name w:val="Styl2 Char"/>
    <w:link w:val="Styl2"/>
    <w:rsid w:val="0007631F"/>
    <w:rPr>
      <w:b/>
      <w:bCs/>
      <w:sz w:val="22"/>
      <w:szCs w:val="22"/>
      <w:lang w:eastAsia="en-US"/>
    </w:rPr>
  </w:style>
  <w:style w:type="character" w:customStyle="1" w:styleId="Styl3Char">
    <w:name w:val="Styl3 Char"/>
    <w:link w:val="Styl3"/>
    <w:rsid w:val="003453DD"/>
    <w:rPr>
      <w:b/>
      <w:bCs/>
      <w:sz w:val="22"/>
      <w:szCs w:val="22"/>
      <w:u w:val="single"/>
      <w:lang w:eastAsia="en-US"/>
    </w:rPr>
  </w:style>
  <w:style w:type="character" w:styleId="Zvraznenie">
    <w:name w:val="Emphasis"/>
    <w:uiPriority w:val="20"/>
    <w:qFormat/>
    <w:rsid w:val="00EC472D"/>
    <w:rPr>
      <w:b/>
      <w:bCs/>
      <w:i w:val="0"/>
      <w:iCs w:val="0"/>
    </w:rPr>
  </w:style>
  <w:style w:type="paragraph" w:styleId="Odsekzoznamu">
    <w:name w:val="List Paragraph"/>
    <w:basedOn w:val="Normlny"/>
    <w:uiPriority w:val="34"/>
    <w:qFormat/>
    <w:rsid w:val="00040E4F"/>
    <w:pPr>
      <w:ind w:left="708"/>
    </w:pPr>
  </w:style>
  <w:style w:type="character" w:customStyle="1" w:styleId="hps">
    <w:name w:val="hps"/>
    <w:basedOn w:val="Predvolenpsmoodseku"/>
    <w:rsid w:val="00BC6D05"/>
  </w:style>
  <w:style w:type="character" w:customStyle="1" w:styleId="apple-converted-space">
    <w:name w:val="apple-converted-space"/>
    <w:basedOn w:val="Predvolenpsmoodseku"/>
    <w:rsid w:val="00BC6D05"/>
  </w:style>
  <w:style w:type="character" w:customStyle="1" w:styleId="atn">
    <w:name w:val="atn"/>
    <w:basedOn w:val="Predvolenpsmoodseku"/>
    <w:rsid w:val="00BC6D05"/>
  </w:style>
  <w:style w:type="character" w:customStyle="1" w:styleId="ZkladntextChar">
    <w:name w:val="Základný text Char"/>
    <w:link w:val="Zkladntext"/>
    <w:semiHidden/>
    <w:rsid w:val="001F5F8F"/>
    <w:rPr>
      <w:sz w:val="22"/>
      <w:szCs w:val="24"/>
    </w:rPr>
  </w:style>
  <w:style w:type="character" w:customStyle="1" w:styleId="shorttext">
    <w:name w:val="short_text"/>
    <w:rsid w:val="008B5AAD"/>
  </w:style>
  <w:style w:type="paragraph" w:styleId="Revzia">
    <w:name w:val="Revision"/>
    <w:hidden/>
    <w:uiPriority w:val="99"/>
    <w:semiHidden/>
    <w:rsid w:val="003453F2"/>
    <w:rPr>
      <w:sz w:val="22"/>
      <w:szCs w:val="24"/>
      <w:lang w:val="sk-SK" w:eastAsia="sk-SK"/>
    </w:rPr>
  </w:style>
  <w:style w:type="paragraph" w:customStyle="1" w:styleId="Default">
    <w:name w:val="Default"/>
    <w:rsid w:val="007457E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109822">
      <w:bodyDiv w:val="1"/>
      <w:marLeft w:val="0"/>
      <w:marRight w:val="0"/>
      <w:marTop w:val="0"/>
      <w:marBottom w:val="0"/>
      <w:divBdr>
        <w:top w:val="none" w:sz="0" w:space="0" w:color="auto"/>
        <w:left w:val="none" w:sz="0" w:space="0" w:color="auto"/>
        <w:bottom w:val="none" w:sz="0" w:space="0" w:color="auto"/>
        <w:right w:val="none" w:sz="0" w:space="0" w:color="auto"/>
      </w:divBdr>
      <w:divsChild>
        <w:div w:id="67306373">
          <w:marLeft w:val="0"/>
          <w:marRight w:val="0"/>
          <w:marTop w:val="0"/>
          <w:marBottom w:val="0"/>
          <w:divBdr>
            <w:top w:val="single" w:sz="4" w:space="0" w:color="F5F5F5"/>
            <w:left w:val="single" w:sz="4" w:space="0" w:color="F5F5F5"/>
            <w:bottom w:val="single" w:sz="4" w:space="0" w:color="F5F5F5"/>
            <w:right w:val="single" w:sz="4" w:space="0" w:color="F5F5F5"/>
          </w:divBdr>
          <w:divsChild>
            <w:div w:id="2079592679">
              <w:marLeft w:val="0"/>
              <w:marRight w:val="0"/>
              <w:marTop w:val="0"/>
              <w:marBottom w:val="0"/>
              <w:divBdr>
                <w:top w:val="none" w:sz="0" w:space="0" w:color="auto"/>
                <w:left w:val="none" w:sz="0" w:space="0" w:color="auto"/>
                <w:bottom w:val="none" w:sz="0" w:space="0" w:color="auto"/>
                <w:right w:val="none" w:sz="0" w:space="0" w:color="auto"/>
              </w:divBdr>
              <w:divsChild>
                <w:div w:id="196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CBCF6-23D1-441D-8B15-13B12227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17</Pages>
  <Words>6322</Words>
  <Characters>36040</Characters>
  <Application>Microsoft Office Word</Application>
  <DocSecurity>0</DocSecurity>
  <Lines>300</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Version 7</vt:lpstr>
      <vt:lpstr>Version 7</vt:lpstr>
    </vt:vector>
  </TitlesOfParts>
  <Company>Štátny ústav pre kontrolu liečiv</Company>
  <LinksUpToDate>false</LinksUpToDate>
  <CharactersWithSpaces>42278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katarinaj</dc:creator>
  <cp:keywords/>
  <cp:lastModifiedBy>Grančaiová, Zuzana</cp:lastModifiedBy>
  <cp:revision>26</cp:revision>
  <cp:lastPrinted>2018-11-19T08:47:00Z</cp:lastPrinted>
  <dcterms:created xsi:type="dcterms:W3CDTF">2018-10-15T11:53:00Z</dcterms:created>
  <dcterms:modified xsi:type="dcterms:W3CDTF">2018-11-19T08:48:00Z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