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490" w:rsidRPr="00C7387E" w:rsidRDefault="00C7387E" w:rsidP="001C5EB6">
      <w:pPr>
        <w:pStyle w:val="Nadpis1"/>
        <w:rPr>
          <w:lang w:val="sk-SK"/>
        </w:rPr>
      </w:pPr>
      <w:r w:rsidRPr="00C7387E">
        <w:rPr>
          <w:lang w:val="sk-SK"/>
        </w:rPr>
        <w:t>SÚHRN CHARAKTERISTICKÝCH VLASTNOSTÍ LIEKU</w:t>
      </w:r>
    </w:p>
    <w:p w:rsidR="00792BC3" w:rsidRPr="00C7387E" w:rsidRDefault="00106490" w:rsidP="00990566">
      <w:pPr>
        <w:pStyle w:val="Nadpis2"/>
        <w:rPr>
          <w:lang w:val="sk-SK"/>
        </w:rPr>
      </w:pPr>
      <w:r w:rsidRPr="00C7387E">
        <w:rPr>
          <w:lang w:val="sk-SK"/>
        </w:rPr>
        <w:t>1.</w:t>
      </w:r>
      <w:r w:rsidRPr="00C7387E">
        <w:rPr>
          <w:lang w:val="sk-SK"/>
        </w:rPr>
        <w:tab/>
      </w:r>
      <w:r w:rsidR="00C7387E" w:rsidRPr="00C7387E">
        <w:rPr>
          <w:lang w:val="sk-SK"/>
        </w:rPr>
        <w:t>NÁZOV LIEKU</w:t>
      </w:r>
    </w:p>
    <w:sdt>
      <w:sdtPr>
        <w:rPr>
          <w:iCs/>
          <w:kern w:val="28"/>
          <w:szCs w:val="22"/>
          <w:lang w:val="sk-SK" w:eastAsia="de-DE"/>
        </w:rPr>
        <w:id w:val="-754523186"/>
        <w:placeholder>
          <w:docPart w:val="DefaultPlaceholder_1082065158"/>
        </w:placeholder>
      </w:sdtPr>
      <w:sdtEndPr>
        <w:rPr>
          <w:kern w:val="0"/>
          <w:lang w:eastAsia="en-US"/>
        </w:rPr>
      </w:sdtEndPr>
      <w:sdtContent>
        <w:p w:rsidR="0011301F" w:rsidRPr="00C7387E" w:rsidRDefault="00413BDA" w:rsidP="00413BDA">
          <w:pPr>
            <w:rPr>
              <w:iCs/>
              <w:lang w:val="sk-SK"/>
            </w:rPr>
          </w:pPr>
          <w:sdt>
            <w:sdtPr>
              <w:rPr>
                <w:iCs/>
                <w:kern w:val="28"/>
                <w:szCs w:val="22"/>
                <w:lang w:val="sk-SK" w:eastAsia="de-DE"/>
              </w:rPr>
              <w:alias w:val="Trade Name"/>
              <w:tag w:val="Trade Name"/>
              <w:id w:val="523907007"/>
              <w:placeholder>
                <w:docPart w:val="68F6566F90DF413DADCB5BDC155EB4E5"/>
              </w:placeholder>
              <w:dataBinding w:prefixMappings="xmlns:ns0='http://schemas.microsoft.com/office/2006/coverPageProps' " w:xpath="/ns0:CoverPageProperties[1]/ns0:Abstract[1]" w:storeItemID="{55AF091B-3C7A-41E3-B477-F2FDAA23CFDA}"/>
              <w:text/>
            </w:sdtPr>
            <w:sdtEndPr/>
            <w:sdtContent>
              <w:r w:rsidR="00C7387E" w:rsidRPr="00F54974">
                <w:rPr>
                  <w:iCs/>
                  <w:kern w:val="28"/>
                  <w:szCs w:val="22"/>
                  <w:lang w:val="sk-SK" w:eastAsia="de-DE"/>
                </w:rPr>
                <w:t>Sio</w:t>
              </w:r>
              <w:r w:rsidR="00D53694" w:rsidRPr="00F54974">
                <w:rPr>
                  <w:iCs/>
                  <w:kern w:val="28"/>
                  <w:szCs w:val="22"/>
                  <w:lang w:val="sk-SK" w:eastAsia="de-DE"/>
                </w:rPr>
                <w:t>for</w:t>
              </w:r>
              <w:r w:rsidR="00A95F79" w:rsidRPr="00F54974">
                <w:rPr>
                  <w:iCs/>
                  <w:kern w:val="28"/>
                  <w:szCs w:val="22"/>
                  <w:lang w:val="sk-SK" w:eastAsia="de-DE"/>
                </w:rPr>
                <w:t xml:space="preserve"> </w:t>
              </w:r>
              <w:r w:rsidR="0008535F" w:rsidRPr="00F54974">
                <w:rPr>
                  <w:iCs/>
                  <w:kern w:val="28"/>
                  <w:szCs w:val="22"/>
                  <w:lang w:val="sk-SK" w:eastAsia="de-DE"/>
                </w:rPr>
                <w:t>SR</w:t>
              </w:r>
            </w:sdtContent>
          </w:sdt>
          <w:r w:rsidR="00E278FA" w:rsidRPr="00F54974">
            <w:rPr>
              <w:iCs/>
              <w:kern w:val="28"/>
              <w:szCs w:val="22"/>
              <w:lang w:val="sk-SK" w:eastAsia="de-DE"/>
            </w:rPr>
            <w:t xml:space="preserve"> </w:t>
          </w:r>
          <w:r w:rsidR="00945A39" w:rsidRPr="00F54974">
            <w:rPr>
              <w:iCs/>
              <w:szCs w:val="22"/>
              <w:lang w:val="sk-SK"/>
            </w:rPr>
            <w:t>750</w:t>
          </w:r>
          <w:r w:rsidR="00B115C8" w:rsidRPr="00F54974">
            <w:rPr>
              <w:iCs/>
              <w:szCs w:val="22"/>
              <w:lang w:val="sk-SK"/>
            </w:rPr>
            <w:t> mg</w:t>
          </w:r>
          <w:r w:rsidR="0011301F" w:rsidRPr="00F54974">
            <w:rPr>
              <w:iCs/>
              <w:szCs w:val="22"/>
              <w:lang w:val="sk-SK"/>
            </w:rPr>
            <w:t xml:space="preserve"> </w:t>
          </w:r>
          <w:r w:rsidR="00C7387E" w:rsidRPr="00F54974">
            <w:rPr>
              <w:iCs/>
              <w:szCs w:val="22"/>
              <w:lang w:val="sk-SK"/>
            </w:rPr>
            <w:t>tablety</w:t>
          </w:r>
          <w:r w:rsidR="00C7387E" w:rsidRPr="00C7387E">
            <w:rPr>
              <w:iCs/>
              <w:szCs w:val="22"/>
              <w:lang w:val="sk-SK"/>
            </w:rPr>
            <w:t xml:space="preserve"> s predĺženým uvoľňovaním</w:t>
          </w:r>
        </w:p>
      </w:sdtContent>
    </w:sdt>
    <w:p w:rsidR="00991172" w:rsidRPr="00C7387E" w:rsidRDefault="00C7387E" w:rsidP="00413BDA">
      <w:pPr>
        <w:pStyle w:val="Nadpis2"/>
        <w:numPr>
          <w:ilvl w:val="0"/>
          <w:numId w:val="20"/>
        </w:numPr>
        <w:ind w:left="0" w:firstLine="0"/>
        <w:jc w:val="left"/>
        <w:rPr>
          <w:lang w:val="sk-SK"/>
        </w:rPr>
      </w:pPr>
      <w:r w:rsidRPr="00C7387E">
        <w:rPr>
          <w:lang w:val="sk-SK"/>
        </w:rPr>
        <w:t>KVALITATÍVNE A KVANTITATÍVNE ZLOŽENIE</w:t>
      </w:r>
    </w:p>
    <w:p w:rsidR="0011301F" w:rsidRPr="00C7387E" w:rsidRDefault="00C7387E" w:rsidP="00413BDA">
      <w:pPr>
        <w:rPr>
          <w:lang w:val="sk-SK"/>
        </w:rPr>
      </w:pPr>
      <w:r w:rsidRPr="00F54974">
        <w:rPr>
          <w:iCs/>
          <w:szCs w:val="22"/>
          <w:lang w:val="sk-SK"/>
        </w:rPr>
        <w:t>Jedna tableta s predĺženým uvoľňovaním</w:t>
      </w:r>
      <w:r w:rsidR="0011301F" w:rsidRPr="00F54974">
        <w:rPr>
          <w:lang w:val="sk-SK"/>
        </w:rPr>
        <w:t xml:space="preserve"> </w:t>
      </w:r>
      <w:r w:rsidRPr="00F54974">
        <w:rPr>
          <w:lang w:val="sk-SK"/>
        </w:rPr>
        <w:t>obsahuje</w:t>
      </w:r>
      <w:r w:rsidR="0011301F" w:rsidRPr="00F54974">
        <w:rPr>
          <w:lang w:val="sk-SK"/>
        </w:rPr>
        <w:t xml:space="preserve"> </w:t>
      </w:r>
      <w:r w:rsidR="00945A39" w:rsidRPr="00F54974">
        <w:rPr>
          <w:lang w:val="sk-SK"/>
        </w:rPr>
        <w:t>750</w:t>
      </w:r>
      <w:r w:rsidR="00B115C8" w:rsidRPr="00F54974">
        <w:rPr>
          <w:lang w:val="sk-SK"/>
        </w:rPr>
        <w:t> mg</w:t>
      </w:r>
      <w:r w:rsidR="0011301F" w:rsidRPr="00F54974">
        <w:rPr>
          <w:lang w:val="sk-SK"/>
        </w:rPr>
        <w:t xml:space="preserve"> </w:t>
      </w:r>
      <w:r w:rsidRPr="00F54974">
        <w:rPr>
          <w:lang w:val="sk-SK"/>
        </w:rPr>
        <w:t>metformíniumchloridu,</w:t>
      </w:r>
      <w:r w:rsidR="0011301F" w:rsidRPr="00F54974">
        <w:rPr>
          <w:lang w:val="sk-SK"/>
        </w:rPr>
        <w:t xml:space="preserve"> </w:t>
      </w:r>
      <w:r w:rsidRPr="00F54974">
        <w:rPr>
          <w:lang w:val="sk-SK"/>
        </w:rPr>
        <w:t>čo zodpovedá</w:t>
      </w:r>
      <w:r w:rsidR="0011301F" w:rsidRPr="00F54974">
        <w:rPr>
          <w:lang w:val="sk-SK"/>
        </w:rPr>
        <w:t xml:space="preserve"> </w:t>
      </w:r>
      <w:r w:rsidR="00945A39" w:rsidRPr="00F54974">
        <w:rPr>
          <w:lang w:val="sk-SK"/>
        </w:rPr>
        <w:t>585</w:t>
      </w:r>
      <w:r w:rsidR="00B115C8" w:rsidRPr="00F54974">
        <w:rPr>
          <w:lang w:val="sk-SK"/>
        </w:rPr>
        <w:t> mg</w:t>
      </w:r>
      <w:r w:rsidR="0011301F" w:rsidRPr="00F54974">
        <w:rPr>
          <w:lang w:val="sk-SK"/>
        </w:rPr>
        <w:t xml:space="preserve"> </w:t>
      </w:r>
      <w:r w:rsidRPr="00F54974">
        <w:rPr>
          <w:lang w:val="sk-SK"/>
        </w:rPr>
        <w:t>metformínu</w:t>
      </w:r>
      <w:r w:rsidR="0011301F" w:rsidRPr="00F54974">
        <w:rPr>
          <w:lang w:val="sk-SK"/>
        </w:rPr>
        <w:t>.</w:t>
      </w:r>
    </w:p>
    <w:p w:rsidR="00BA1541" w:rsidRPr="00C7387E" w:rsidRDefault="00BA1541" w:rsidP="00413BDA">
      <w:pPr>
        <w:rPr>
          <w:lang w:val="sk-SK"/>
        </w:rPr>
      </w:pPr>
    </w:p>
    <w:p w:rsidR="00106490" w:rsidRPr="00C7387E" w:rsidRDefault="00C7387E" w:rsidP="00413BDA">
      <w:pPr>
        <w:rPr>
          <w:lang w:val="sk-SK"/>
        </w:rPr>
      </w:pPr>
      <w:r>
        <w:rPr>
          <w:lang w:val="sk-SK"/>
        </w:rPr>
        <w:t>Úplný zoznam pomocných látok</w:t>
      </w:r>
      <w:r w:rsidR="00207D02" w:rsidRPr="00C7387E">
        <w:rPr>
          <w:lang w:val="sk-SK"/>
        </w:rPr>
        <w:t xml:space="preserve">, </w:t>
      </w:r>
      <w:r>
        <w:rPr>
          <w:lang w:val="sk-SK"/>
        </w:rPr>
        <w:t>pozri časť</w:t>
      </w:r>
      <w:r w:rsidR="00207D02" w:rsidRPr="00C7387E">
        <w:rPr>
          <w:lang w:val="sk-SK"/>
        </w:rPr>
        <w:t xml:space="preserve"> 6.1.</w:t>
      </w:r>
    </w:p>
    <w:p w:rsidR="00106490" w:rsidRPr="00C7387E" w:rsidRDefault="00BC02FD" w:rsidP="00413BDA">
      <w:pPr>
        <w:pStyle w:val="Nadpis2"/>
        <w:jc w:val="left"/>
        <w:rPr>
          <w:lang w:val="sk-SK"/>
        </w:rPr>
      </w:pPr>
      <w:r w:rsidRPr="00C7387E">
        <w:rPr>
          <w:lang w:val="sk-SK"/>
        </w:rPr>
        <w:t>3.</w:t>
      </w:r>
      <w:r w:rsidRPr="00C7387E">
        <w:rPr>
          <w:lang w:val="sk-SK"/>
        </w:rPr>
        <w:tab/>
      </w:r>
      <w:r w:rsidR="00C7387E">
        <w:rPr>
          <w:lang w:val="sk-SK"/>
        </w:rPr>
        <w:t>LIEKOVÁ</w:t>
      </w:r>
      <w:r w:rsidR="00106490" w:rsidRPr="00C7387E">
        <w:rPr>
          <w:lang w:val="sk-SK"/>
        </w:rPr>
        <w:t xml:space="preserve"> FORM</w:t>
      </w:r>
      <w:r w:rsidR="00945A39">
        <w:rPr>
          <w:lang w:val="sk-SK"/>
        </w:rPr>
        <w:t>A</w:t>
      </w:r>
    </w:p>
    <w:p w:rsidR="00792BC3" w:rsidRPr="00C7387E" w:rsidRDefault="00C7387E" w:rsidP="00413BDA">
      <w:pPr>
        <w:rPr>
          <w:lang w:val="sk-SK"/>
        </w:rPr>
      </w:pPr>
      <w:r>
        <w:rPr>
          <w:lang w:val="sk-SK"/>
        </w:rPr>
        <w:t>Tableta s predĺženým uvoľňovaním</w:t>
      </w:r>
      <w:r w:rsidR="00BA1541" w:rsidRPr="00C7387E">
        <w:rPr>
          <w:lang w:val="sk-SK"/>
        </w:rPr>
        <w:t>.</w:t>
      </w:r>
    </w:p>
    <w:p w:rsidR="00CF1DE4" w:rsidRDefault="00CF1DE4" w:rsidP="00413BDA">
      <w:pPr>
        <w:rPr>
          <w:lang w:val="sk-SK"/>
        </w:rPr>
      </w:pPr>
    </w:p>
    <w:p w:rsidR="00682FFD" w:rsidRDefault="00682FFD" w:rsidP="00413BDA">
      <w:pPr>
        <w:rPr>
          <w:lang w:val="sk-SK"/>
        </w:rPr>
      </w:pPr>
      <w:r>
        <w:rPr>
          <w:lang w:val="sk-SK"/>
        </w:rPr>
        <w:t xml:space="preserve">Biele až sivobiele tablety v tvare kapsuly s vyrazeným </w:t>
      </w:r>
      <w:r w:rsidRPr="0000273C">
        <w:rPr>
          <w:lang w:val="sk-SK"/>
        </w:rPr>
        <w:t>„SR </w:t>
      </w:r>
      <w:r>
        <w:rPr>
          <w:lang w:val="sk-SK"/>
        </w:rPr>
        <w:t>750</w:t>
      </w:r>
      <w:r w:rsidRPr="0000273C">
        <w:rPr>
          <w:lang w:val="sk-SK"/>
        </w:rPr>
        <w:t>“</w:t>
      </w:r>
      <w:r>
        <w:rPr>
          <w:lang w:val="sk-SK"/>
        </w:rPr>
        <w:t xml:space="preserve"> na jednej strane a bez označenia na druhej strane.</w:t>
      </w:r>
    </w:p>
    <w:p w:rsidR="00682FFD" w:rsidRDefault="00682FFD" w:rsidP="00413BDA">
      <w:pPr>
        <w:rPr>
          <w:lang w:val="sk-SK"/>
        </w:rPr>
      </w:pPr>
      <w:r>
        <w:rPr>
          <w:lang w:val="sk-SK"/>
        </w:rPr>
        <w:t xml:space="preserve">Rozmery tablety: </w:t>
      </w:r>
      <w:r w:rsidRPr="0000273C">
        <w:rPr>
          <w:lang w:val="sk-SK"/>
        </w:rPr>
        <w:t xml:space="preserve">dĺžka </w:t>
      </w:r>
      <w:r>
        <w:rPr>
          <w:lang w:val="sk-SK"/>
        </w:rPr>
        <w:t>19,6</w:t>
      </w:r>
      <w:r w:rsidRPr="0000273C">
        <w:rPr>
          <w:lang w:val="sk-SK"/>
        </w:rPr>
        <w:t xml:space="preserve">0 mm, šírka </w:t>
      </w:r>
      <w:r>
        <w:rPr>
          <w:lang w:val="sk-SK"/>
        </w:rPr>
        <w:t>9,30</w:t>
      </w:r>
      <w:r w:rsidRPr="0000273C">
        <w:rPr>
          <w:lang w:val="sk-SK"/>
        </w:rPr>
        <w:t xml:space="preserve"> mm, hrúbka </w:t>
      </w:r>
      <w:r>
        <w:rPr>
          <w:lang w:val="sk-SK"/>
        </w:rPr>
        <w:t>6,90</w:t>
      </w:r>
      <w:r w:rsidRPr="0000273C">
        <w:rPr>
          <w:lang w:val="sk-SK"/>
        </w:rPr>
        <w:t xml:space="preserve"> mm</w:t>
      </w:r>
      <w:r>
        <w:rPr>
          <w:lang w:val="sk-SK"/>
        </w:rPr>
        <w:t>.</w:t>
      </w:r>
    </w:p>
    <w:p w:rsidR="00106490" w:rsidRPr="00C7387E" w:rsidRDefault="00BC02FD" w:rsidP="00413BDA">
      <w:pPr>
        <w:pStyle w:val="Nadpis2"/>
        <w:jc w:val="left"/>
        <w:rPr>
          <w:lang w:val="sk-SK"/>
        </w:rPr>
      </w:pPr>
      <w:r w:rsidRPr="00C7387E">
        <w:rPr>
          <w:lang w:val="sk-SK"/>
        </w:rPr>
        <w:t>4.</w:t>
      </w:r>
      <w:r w:rsidRPr="00C7387E">
        <w:rPr>
          <w:lang w:val="sk-SK"/>
        </w:rPr>
        <w:tab/>
      </w:r>
      <w:r w:rsidR="002E5CD1">
        <w:rPr>
          <w:lang w:val="sk-SK"/>
        </w:rPr>
        <w:t>KLINICKÉ ÚDAJE</w:t>
      </w:r>
    </w:p>
    <w:p w:rsidR="00106490" w:rsidRPr="00C7387E" w:rsidRDefault="00BC02FD" w:rsidP="00413BDA">
      <w:pPr>
        <w:pStyle w:val="Nadpis3"/>
        <w:rPr>
          <w:lang w:val="sk-SK"/>
        </w:rPr>
      </w:pPr>
      <w:r w:rsidRPr="00C7387E">
        <w:rPr>
          <w:lang w:val="sk-SK"/>
        </w:rPr>
        <w:t>4.1</w:t>
      </w:r>
      <w:r w:rsidRPr="00C7387E">
        <w:rPr>
          <w:lang w:val="sk-SK"/>
        </w:rPr>
        <w:tab/>
      </w:r>
      <w:r w:rsidRPr="00C7387E">
        <w:rPr>
          <w:lang w:val="sk-SK"/>
        </w:rPr>
        <w:tab/>
      </w:r>
      <w:r w:rsidRPr="00C7387E">
        <w:rPr>
          <w:lang w:val="sk-SK"/>
        </w:rPr>
        <w:tab/>
      </w:r>
      <w:r w:rsidR="002E5CD1">
        <w:rPr>
          <w:lang w:val="sk-SK"/>
        </w:rPr>
        <w:t>Terapeutické indikácie</w:t>
      </w:r>
    </w:p>
    <w:p w:rsidR="006C528F" w:rsidRPr="00C7387E" w:rsidRDefault="002E5CD1" w:rsidP="00413BDA">
      <w:pPr>
        <w:rPr>
          <w:lang w:val="sk-SK"/>
        </w:rPr>
      </w:pPr>
      <w:r w:rsidRPr="002E5CD1">
        <w:rPr>
          <w:lang w:val="sk-SK"/>
        </w:rPr>
        <w:t>Liečba diabetes mellitus typu 2</w:t>
      </w:r>
      <w:r>
        <w:rPr>
          <w:lang w:val="sk-SK"/>
        </w:rPr>
        <w:t xml:space="preserve"> u dospelých</w:t>
      </w:r>
      <w:r w:rsidRPr="002E5CD1">
        <w:rPr>
          <w:lang w:val="sk-SK"/>
        </w:rPr>
        <w:t>, predovšetkým u obéznych pacientov, keď sa predpísanou diétou a cvičením samotným nedosiahne adekvátna kontrola glykémie</w:t>
      </w:r>
      <w:r w:rsidR="00BA1541" w:rsidRPr="00C7387E">
        <w:rPr>
          <w:lang w:val="sk-SK"/>
        </w:rPr>
        <w:t xml:space="preserve">. </w:t>
      </w:r>
      <w:r w:rsidR="00081410" w:rsidRPr="00081410">
        <w:rPr>
          <w:iCs/>
          <w:kern w:val="28"/>
          <w:szCs w:val="22"/>
          <w:lang w:val="sk-SK" w:eastAsia="de-DE"/>
        </w:rPr>
        <w:t>Siofor SR sa môže užívať ako monoterapia alebo v kombinácii s inými perorálnymi antidiabetikami alebo inzulínom.</w:t>
      </w:r>
    </w:p>
    <w:p w:rsidR="00E16749" w:rsidRPr="00C7387E" w:rsidRDefault="00AD79F1" w:rsidP="00413BDA">
      <w:pPr>
        <w:pStyle w:val="Nadpis3"/>
        <w:rPr>
          <w:lang w:val="sk-SK"/>
        </w:rPr>
      </w:pPr>
      <w:r w:rsidRPr="00C7387E">
        <w:rPr>
          <w:lang w:val="sk-SK"/>
        </w:rPr>
        <w:t>4.2</w:t>
      </w:r>
      <w:r w:rsidR="00BC02FD" w:rsidRPr="00C7387E">
        <w:rPr>
          <w:lang w:val="sk-SK"/>
        </w:rPr>
        <w:tab/>
      </w:r>
      <w:r w:rsidR="00BC02FD" w:rsidRPr="00C7387E">
        <w:rPr>
          <w:lang w:val="sk-SK"/>
        </w:rPr>
        <w:tab/>
      </w:r>
      <w:r w:rsidRPr="00C7387E">
        <w:rPr>
          <w:lang w:val="sk-SK"/>
        </w:rPr>
        <w:tab/>
      </w:r>
      <w:r w:rsidR="002E5CD1">
        <w:rPr>
          <w:lang w:val="sk-SK"/>
        </w:rPr>
        <w:t xml:space="preserve">Dávkovanie a spôsob podávania </w:t>
      </w:r>
    </w:p>
    <w:p w:rsidR="00BB10E7" w:rsidRPr="00C7387E" w:rsidRDefault="002E5CD1" w:rsidP="00413BDA">
      <w:pPr>
        <w:pStyle w:val="Nadpis5"/>
        <w:spacing w:after="120"/>
        <w:rPr>
          <w:lang w:val="sk-SK"/>
        </w:rPr>
      </w:pPr>
      <w:r>
        <w:rPr>
          <w:lang w:val="sk-SK"/>
        </w:rPr>
        <w:t xml:space="preserve">Dávkovanie </w:t>
      </w:r>
    </w:p>
    <w:p w:rsidR="00BA1541" w:rsidRPr="00C7387E" w:rsidRDefault="002E5CD1" w:rsidP="00413BDA">
      <w:pPr>
        <w:shd w:val="clear" w:color="auto" w:fill="FFFFFF"/>
        <w:rPr>
          <w:color w:val="000000"/>
          <w:szCs w:val="22"/>
          <w:lang w:val="sk-SK" w:eastAsia="de-DE"/>
        </w:rPr>
      </w:pPr>
      <w:r w:rsidRPr="002E5CD1">
        <w:rPr>
          <w:i/>
          <w:iCs/>
          <w:color w:val="000000"/>
          <w:szCs w:val="22"/>
          <w:lang w:val="sk-SK" w:eastAsia="de-DE"/>
        </w:rPr>
        <w:t>Dospelí s normálnou funkciou obličiek (GFR ≥ 90 ml/min)</w:t>
      </w:r>
    </w:p>
    <w:p w:rsidR="00081410" w:rsidRDefault="00081410" w:rsidP="00413BDA">
      <w:pPr>
        <w:shd w:val="clear" w:color="auto" w:fill="FFFFFF"/>
        <w:ind w:left="426" w:hanging="426"/>
        <w:rPr>
          <w:b/>
          <w:bCs/>
          <w:color w:val="000000"/>
          <w:szCs w:val="22"/>
          <w:lang w:val="sk-SK" w:eastAsia="de-DE"/>
        </w:rPr>
      </w:pPr>
    </w:p>
    <w:p w:rsidR="00081410" w:rsidRDefault="00081410" w:rsidP="00413BDA">
      <w:pPr>
        <w:shd w:val="clear" w:color="auto" w:fill="FFFFFF"/>
        <w:ind w:left="426" w:hanging="426"/>
        <w:rPr>
          <w:b/>
          <w:bCs/>
          <w:color w:val="000000"/>
          <w:szCs w:val="22"/>
          <w:lang w:val="sk-SK" w:eastAsia="de-DE"/>
        </w:rPr>
      </w:pPr>
      <w:r w:rsidRPr="00081410">
        <w:rPr>
          <w:b/>
          <w:bCs/>
          <w:color w:val="000000"/>
          <w:szCs w:val="22"/>
          <w:lang w:val="sk-SK" w:eastAsia="de-DE"/>
        </w:rPr>
        <w:t>Monoterapia diabetes mellitus typu 2 a kombinácia s inými perorálnymi antidiabetikami:</w:t>
      </w:r>
    </w:p>
    <w:p w:rsidR="00081410" w:rsidRDefault="00081410" w:rsidP="00413BDA">
      <w:pPr>
        <w:shd w:val="clear" w:color="auto" w:fill="FFFFFF"/>
        <w:ind w:left="426" w:hanging="426"/>
        <w:rPr>
          <w:b/>
          <w:bCs/>
          <w:color w:val="000000"/>
          <w:szCs w:val="22"/>
          <w:lang w:val="sk-SK" w:eastAsia="de-DE"/>
        </w:rPr>
      </w:pPr>
    </w:p>
    <w:p w:rsidR="00D85080" w:rsidRDefault="00BA1541" w:rsidP="00413BDA">
      <w:pPr>
        <w:shd w:val="clear" w:color="auto" w:fill="FFFFFF"/>
        <w:ind w:left="426" w:hanging="426"/>
        <w:rPr>
          <w:iCs/>
          <w:kern w:val="28"/>
          <w:szCs w:val="22"/>
          <w:lang w:val="sk-SK" w:eastAsia="de-DE"/>
        </w:rPr>
      </w:pPr>
      <w:r w:rsidRPr="00D85080">
        <w:rPr>
          <w:color w:val="000000"/>
          <w:szCs w:val="22"/>
          <w:lang w:val="sk-SK" w:eastAsia="de-DE"/>
        </w:rPr>
        <w:t>•</w:t>
      </w:r>
      <w:r w:rsidR="00BB10E7" w:rsidRPr="00D85080">
        <w:rPr>
          <w:color w:val="000000"/>
          <w:szCs w:val="22"/>
          <w:lang w:val="sk-SK" w:eastAsia="de-DE"/>
        </w:rPr>
        <w:tab/>
      </w:r>
      <w:r w:rsidR="00945A39" w:rsidRPr="00D85080">
        <w:rPr>
          <w:iCs/>
          <w:kern w:val="28"/>
          <w:szCs w:val="22"/>
          <w:lang w:val="sk-SK" w:eastAsia="de-DE"/>
        </w:rPr>
        <w:t>Siofor SR 750</w:t>
      </w:r>
      <w:r w:rsidR="00D85080" w:rsidRPr="00F54974">
        <w:rPr>
          <w:iCs/>
          <w:szCs w:val="22"/>
          <w:lang w:val="sk-SK"/>
        </w:rPr>
        <w:t> </w:t>
      </w:r>
      <w:r w:rsidR="00945A39" w:rsidRPr="00D85080">
        <w:rPr>
          <w:iCs/>
          <w:kern w:val="28"/>
          <w:szCs w:val="22"/>
          <w:lang w:val="sk-SK" w:eastAsia="de-DE"/>
        </w:rPr>
        <w:t xml:space="preserve">mg </w:t>
      </w:r>
      <w:r w:rsidR="00D85080">
        <w:rPr>
          <w:iCs/>
          <w:kern w:val="28"/>
          <w:szCs w:val="22"/>
          <w:lang w:val="sk-SK" w:eastAsia="de-DE"/>
        </w:rPr>
        <w:t>je určený pre pacientov, ktorí sú už liečen</w:t>
      </w:r>
      <w:r w:rsidR="00B60EE2">
        <w:rPr>
          <w:iCs/>
          <w:kern w:val="28"/>
          <w:szCs w:val="22"/>
          <w:lang w:val="sk-SK" w:eastAsia="de-DE"/>
        </w:rPr>
        <w:t>í</w:t>
      </w:r>
      <w:r w:rsidR="00D85080">
        <w:rPr>
          <w:iCs/>
          <w:kern w:val="28"/>
          <w:szCs w:val="22"/>
          <w:lang w:val="sk-SK" w:eastAsia="de-DE"/>
        </w:rPr>
        <w:t xml:space="preserve"> tabletami s obsahom metformínu (s predĺženým alebo okamžitým uvoľňovaním).</w:t>
      </w:r>
    </w:p>
    <w:p w:rsidR="00D85080" w:rsidRDefault="00945A39" w:rsidP="00413BDA">
      <w:pPr>
        <w:shd w:val="clear" w:color="auto" w:fill="FFFFFF"/>
        <w:ind w:left="426" w:hanging="426"/>
        <w:rPr>
          <w:iCs/>
          <w:kern w:val="28"/>
          <w:szCs w:val="22"/>
          <w:lang w:val="sk-SK" w:eastAsia="de-DE"/>
        </w:rPr>
      </w:pPr>
      <w:r w:rsidRPr="00114636">
        <w:rPr>
          <w:iCs/>
          <w:kern w:val="28"/>
          <w:szCs w:val="22"/>
          <w:lang w:val="sk-SK" w:eastAsia="de-DE"/>
        </w:rPr>
        <w:t>•</w:t>
      </w:r>
      <w:r w:rsidRPr="00114636">
        <w:rPr>
          <w:iCs/>
          <w:kern w:val="28"/>
          <w:szCs w:val="22"/>
          <w:lang w:val="sk-SK" w:eastAsia="de-DE"/>
        </w:rPr>
        <w:tab/>
      </w:r>
      <w:r w:rsidR="00D85080" w:rsidRPr="00076189">
        <w:rPr>
          <w:iCs/>
          <w:kern w:val="28"/>
          <w:szCs w:val="22"/>
          <w:lang w:val="sk-SK" w:eastAsia="de-DE"/>
        </w:rPr>
        <w:t>Dávka Sioforu SR 750</w:t>
      </w:r>
      <w:r w:rsidR="00D85080" w:rsidRPr="00076189">
        <w:rPr>
          <w:iCs/>
          <w:szCs w:val="22"/>
          <w:lang w:val="sk-SK"/>
        </w:rPr>
        <w:t> </w:t>
      </w:r>
      <w:r w:rsidR="00D85080" w:rsidRPr="00076189">
        <w:rPr>
          <w:iCs/>
          <w:kern w:val="28"/>
          <w:szCs w:val="22"/>
          <w:lang w:val="sk-SK" w:eastAsia="de-DE"/>
        </w:rPr>
        <w:t>mg má byť ekvivalentn</w:t>
      </w:r>
      <w:r w:rsidR="00114636" w:rsidRPr="00076189">
        <w:rPr>
          <w:iCs/>
          <w:kern w:val="28"/>
          <w:szCs w:val="22"/>
          <w:lang w:val="sk-SK" w:eastAsia="de-DE"/>
        </w:rPr>
        <w:t>á dennej dávke, ktorú</w:t>
      </w:r>
      <w:r w:rsidR="00D85080" w:rsidRPr="00076189">
        <w:rPr>
          <w:iCs/>
          <w:kern w:val="28"/>
          <w:szCs w:val="22"/>
          <w:lang w:val="sk-SK" w:eastAsia="de-DE"/>
        </w:rPr>
        <w:t xml:space="preserve"> užívali vo forme tabliet s obsahom metformínu (s predĺženým alebo okamžitým uvoľňovaním), </w:t>
      </w:r>
      <w:r w:rsidR="00114636" w:rsidRPr="00076189">
        <w:rPr>
          <w:iCs/>
          <w:kern w:val="28"/>
          <w:szCs w:val="22"/>
          <w:lang w:val="sk-SK" w:eastAsia="de-DE"/>
        </w:rPr>
        <w:t>až do maximálnej dávky 1500 mg užívanej s večerným jedlom</w:t>
      </w:r>
      <w:r w:rsidR="008A6598">
        <w:rPr>
          <w:iCs/>
          <w:kern w:val="28"/>
          <w:szCs w:val="22"/>
          <w:lang w:val="sk-SK" w:eastAsia="de-DE"/>
        </w:rPr>
        <w:t>.</w:t>
      </w:r>
    </w:p>
    <w:p w:rsidR="0011301F" w:rsidRDefault="00945A39" w:rsidP="00413BDA">
      <w:pPr>
        <w:shd w:val="clear" w:color="auto" w:fill="FFFFFF"/>
        <w:ind w:left="426" w:hanging="426"/>
        <w:rPr>
          <w:iCs/>
          <w:kern w:val="28"/>
          <w:szCs w:val="22"/>
          <w:lang w:val="sk-SK" w:eastAsia="de-DE"/>
        </w:rPr>
      </w:pPr>
      <w:r w:rsidRPr="00076189">
        <w:rPr>
          <w:iCs/>
          <w:kern w:val="28"/>
          <w:szCs w:val="22"/>
          <w:lang w:val="sk-SK" w:eastAsia="de-DE"/>
        </w:rPr>
        <w:t>•</w:t>
      </w:r>
      <w:r w:rsidRPr="00076189">
        <w:rPr>
          <w:iCs/>
          <w:kern w:val="28"/>
          <w:szCs w:val="22"/>
          <w:lang w:val="sk-SK" w:eastAsia="de-DE"/>
        </w:rPr>
        <w:tab/>
      </w:r>
      <w:r w:rsidR="00C71080" w:rsidRPr="00076189">
        <w:rPr>
          <w:iCs/>
          <w:kern w:val="28"/>
          <w:szCs w:val="22"/>
          <w:lang w:val="sk-SK" w:eastAsia="de-DE"/>
        </w:rPr>
        <w:t xml:space="preserve">Po 10 až 15 dňoch sa odporúča na základe </w:t>
      </w:r>
      <w:r w:rsidR="00076189" w:rsidRPr="00076189">
        <w:rPr>
          <w:iCs/>
          <w:kern w:val="28"/>
          <w:szCs w:val="22"/>
          <w:lang w:val="sk-SK" w:eastAsia="de-DE"/>
        </w:rPr>
        <w:t>stanovenia hodnôt glykémie</w:t>
      </w:r>
      <w:r w:rsidR="00C71080" w:rsidRPr="00076189">
        <w:rPr>
          <w:iCs/>
          <w:kern w:val="28"/>
          <w:szCs w:val="22"/>
          <w:lang w:val="sk-SK" w:eastAsia="de-DE"/>
        </w:rPr>
        <w:t xml:space="preserve"> skontrolovať, či je dávka Sioforu SR 750 mg dos</w:t>
      </w:r>
      <w:r w:rsidR="00076189" w:rsidRPr="00076189">
        <w:rPr>
          <w:iCs/>
          <w:kern w:val="28"/>
          <w:szCs w:val="22"/>
          <w:lang w:val="sk-SK" w:eastAsia="de-DE"/>
        </w:rPr>
        <w:t>tatočná.</w:t>
      </w:r>
    </w:p>
    <w:p w:rsidR="008A6598" w:rsidRPr="00076189" w:rsidRDefault="008A6598" w:rsidP="00413BDA">
      <w:pPr>
        <w:shd w:val="clear" w:color="auto" w:fill="FFFFFF"/>
        <w:ind w:left="426" w:hanging="426"/>
        <w:rPr>
          <w:color w:val="000000"/>
          <w:szCs w:val="22"/>
          <w:lang w:val="sk-SK" w:eastAsia="de-DE"/>
        </w:rPr>
      </w:pPr>
      <w:r w:rsidRPr="00076189">
        <w:rPr>
          <w:iCs/>
          <w:kern w:val="28"/>
          <w:szCs w:val="22"/>
          <w:lang w:val="sk-SK" w:eastAsia="de-DE"/>
        </w:rPr>
        <w:t>•</w:t>
      </w:r>
      <w:r w:rsidRPr="00076189">
        <w:rPr>
          <w:iCs/>
          <w:kern w:val="28"/>
          <w:szCs w:val="22"/>
          <w:lang w:val="sk-SK" w:eastAsia="de-DE"/>
        </w:rPr>
        <w:tab/>
      </w:r>
      <w:r w:rsidRPr="00644F60">
        <w:rPr>
          <w:iCs/>
          <w:kern w:val="28"/>
          <w:szCs w:val="22"/>
          <w:lang w:val="sk-SK" w:eastAsia="de-DE"/>
        </w:rPr>
        <w:t>Pri zmene liečby z iného perorálneho antidiabetika</w:t>
      </w:r>
      <w:r w:rsidR="007200D1">
        <w:rPr>
          <w:iCs/>
          <w:kern w:val="28"/>
          <w:szCs w:val="22"/>
          <w:lang w:val="sk-SK" w:eastAsia="de-DE"/>
        </w:rPr>
        <w:t xml:space="preserve">, </w:t>
      </w:r>
      <w:r w:rsidR="007200D1" w:rsidRPr="00A9705E">
        <w:rPr>
          <w:iCs/>
          <w:kern w:val="28"/>
          <w:szCs w:val="22"/>
          <w:lang w:val="sk-SK" w:eastAsia="de-DE"/>
        </w:rPr>
        <w:t xml:space="preserve">sa má začať titrácia Sioforom SR </w:t>
      </w:r>
      <w:r w:rsidR="007200D1">
        <w:rPr>
          <w:iCs/>
          <w:kern w:val="28"/>
          <w:szCs w:val="22"/>
          <w:lang w:val="sk-SK" w:eastAsia="de-DE"/>
        </w:rPr>
        <w:t>500</w:t>
      </w:r>
      <w:r w:rsidR="007200D1" w:rsidRPr="00A9705E">
        <w:rPr>
          <w:iCs/>
          <w:kern w:val="28"/>
          <w:szCs w:val="22"/>
          <w:lang w:val="sk-SK" w:eastAsia="de-DE"/>
        </w:rPr>
        <w:t> mg</w:t>
      </w:r>
      <w:r w:rsidR="007200D1">
        <w:rPr>
          <w:iCs/>
          <w:kern w:val="28"/>
          <w:szCs w:val="22"/>
          <w:lang w:val="sk-SK" w:eastAsia="de-DE"/>
        </w:rPr>
        <w:t xml:space="preserve"> a až potom prejsť na </w:t>
      </w:r>
      <w:r w:rsidR="007200D1" w:rsidRPr="007200D1">
        <w:rPr>
          <w:iCs/>
          <w:kern w:val="28"/>
          <w:szCs w:val="22"/>
          <w:lang w:val="sk-SK" w:eastAsia="de-DE"/>
        </w:rPr>
        <w:t xml:space="preserve">Siofor SR </w:t>
      </w:r>
      <w:r w:rsidR="007200D1">
        <w:rPr>
          <w:iCs/>
          <w:kern w:val="28"/>
          <w:szCs w:val="22"/>
          <w:lang w:val="sk-SK" w:eastAsia="de-DE"/>
        </w:rPr>
        <w:t>75</w:t>
      </w:r>
      <w:r w:rsidRPr="00644F60">
        <w:rPr>
          <w:iCs/>
          <w:kern w:val="28"/>
          <w:szCs w:val="22"/>
          <w:lang w:val="sk-SK" w:eastAsia="de-DE"/>
        </w:rPr>
        <w:t>0 mg</w:t>
      </w:r>
      <w:r w:rsidR="00130CDE">
        <w:rPr>
          <w:iCs/>
          <w:kern w:val="28"/>
          <w:szCs w:val="22"/>
          <w:lang w:val="sk-SK" w:eastAsia="de-DE"/>
        </w:rPr>
        <w:t>.</w:t>
      </w:r>
    </w:p>
    <w:p w:rsidR="00BA1541" w:rsidRPr="00C7387E" w:rsidRDefault="00D53694" w:rsidP="00413BDA">
      <w:pPr>
        <w:shd w:val="clear" w:color="auto" w:fill="FFFFFF"/>
        <w:spacing w:before="120" w:after="120"/>
        <w:rPr>
          <w:color w:val="000000"/>
          <w:szCs w:val="22"/>
          <w:lang w:val="sk-SK" w:eastAsia="de-DE"/>
        </w:rPr>
      </w:pPr>
      <w:r w:rsidRPr="00076189">
        <w:rPr>
          <w:b/>
          <w:bCs/>
          <w:color w:val="000000"/>
          <w:szCs w:val="22"/>
          <w:lang w:val="sk-SK" w:eastAsia="de-DE"/>
        </w:rPr>
        <w:t>Kombinácia s inzulínom</w:t>
      </w:r>
    </w:p>
    <w:p w:rsidR="00EB35BC" w:rsidRPr="008B36D0" w:rsidRDefault="00EB35BC" w:rsidP="00413BDA">
      <w:pPr>
        <w:shd w:val="clear" w:color="auto" w:fill="FFFFFF"/>
        <w:rPr>
          <w:szCs w:val="22"/>
          <w:lang w:val="sk-SK"/>
        </w:rPr>
      </w:pPr>
      <w:r w:rsidRPr="008B36D0">
        <w:rPr>
          <w:szCs w:val="22"/>
          <w:lang w:val="sk-SK"/>
        </w:rPr>
        <w:t>Metformíniumchlorid a inzulín sa môžu používať v kombinovanej terapii, aby sa dosiahla lepšia kontrola glukózy v krvi.</w:t>
      </w:r>
    </w:p>
    <w:p w:rsidR="00EB35BC" w:rsidRPr="00413BDA" w:rsidRDefault="00EB35BC" w:rsidP="00413BDA">
      <w:pPr>
        <w:shd w:val="clear" w:color="auto" w:fill="FFFFFF"/>
        <w:rPr>
          <w:color w:val="222222"/>
          <w:lang w:val="sk-SK"/>
        </w:rPr>
      </w:pPr>
    </w:p>
    <w:p w:rsidR="00020167" w:rsidRPr="00020167" w:rsidRDefault="00020167" w:rsidP="00413BDA">
      <w:pPr>
        <w:shd w:val="clear" w:color="auto" w:fill="FFFFFF"/>
        <w:rPr>
          <w:szCs w:val="22"/>
          <w:highlight w:val="green"/>
          <w:lang w:val="sk-SK"/>
        </w:rPr>
      </w:pPr>
      <w:r w:rsidRPr="00413BDA">
        <w:rPr>
          <w:color w:val="222222"/>
          <w:lang w:val="sk-SK"/>
        </w:rPr>
        <w:lastRenderedPageBreak/>
        <w:t xml:space="preserve">U pacientov už liečených metformínom a inzulínom v kombinovanej terapii </w:t>
      </w:r>
      <w:r w:rsidR="00A14F3D" w:rsidRPr="00413BDA">
        <w:rPr>
          <w:color w:val="222222"/>
          <w:lang w:val="sk-SK"/>
        </w:rPr>
        <w:t>má byť</w:t>
      </w:r>
      <w:r w:rsidRPr="00413BDA">
        <w:rPr>
          <w:color w:val="222222"/>
          <w:lang w:val="sk-SK"/>
        </w:rPr>
        <w:t xml:space="preserve"> dávka lieku Siofor SR 750 mg ekvivalentná dennej dávke tabliet</w:t>
      </w:r>
      <w:r w:rsidR="00A14F3D" w:rsidRPr="00413BDA">
        <w:rPr>
          <w:color w:val="222222"/>
          <w:lang w:val="sk-SK"/>
        </w:rPr>
        <w:t xml:space="preserve"> s obsahom metformínu,</w:t>
      </w:r>
      <w:r w:rsidRPr="00413BDA">
        <w:rPr>
          <w:color w:val="222222"/>
          <w:lang w:val="sk-SK"/>
        </w:rPr>
        <w:t xml:space="preserve"> až do maximálnej dávky 1500</w:t>
      </w:r>
      <w:r w:rsidR="00A14F3D" w:rsidRPr="00076189">
        <w:rPr>
          <w:iCs/>
          <w:szCs w:val="22"/>
          <w:lang w:val="sk-SK"/>
        </w:rPr>
        <w:t> </w:t>
      </w:r>
      <w:r w:rsidRPr="00413BDA">
        <w:rPr>
          <w:color w:val="222222"/>
          <w:lang w:val="sk-SK"/>
        </w:rPr>
        <w:t xml:space="preserve">mg podávanej s večerným jedlom, zatiaľ čo dávka inzulínu je upravená na základe meraní </w:t>
      </w:r>
      <w:r w:rsidR="00A14F3D" w:rsidRPr="00413BDA">
        <w:rPr>
          <w:color w:val="222222"/>
          <w:lang w:val="sk-SK"/>
        </w:rPr>
        <w:t xml:space="preserve">hodnôt </w:t>
      </w:r>
      <w:r w:rsidRPr="00413BDA">
        <w:rPr>
          <w:color w:val="222222"/>
          <w:lang w:val="sk-SK"/>
        </w:rPr>
        <w:t>glukózy v krvi</w:t>
      </w:r>
      <w:r w:rsidR="00971CA0" w:rsidRPr="00413BDA">
        <w:rPr>
          <w:color w:val="222222"/>
          <w:lang w:val="sk-SK"/>
        </w:rPr>
        <w:t>.</w:t>
      </w:r>
    </w:p>
    <w:p w:rsidR="00BA1541" w:rsidRPr="00C7387E" w:rsidRDefault="00D53694" w:rsidP="00413BDA">
      <w:pPr>
        <w:shd w:val="clear" w:color="auto" w:fill="FFFFFF"/>
        <w:spacing w:before="120" w:after="120"/>
        <w:rPr>
          <w:color w:val="000000"/>
          <w:szCs w:val="22"/>
          <w:lang w:val="sk-SK" w:eastAsia="de-DE"/>
        </w:rPr>
      </w:pPr>
      <w:r>
        <w:rPr>
          <w:i/>
          <w:iCs/>
          <w:color w:val="000000"/>
          <w:szCs w:val="22"/>
          <w:lang w:val="sk-SK" w:eastAsia="de-DE"/>
        </w:rPr>
        <w:t>Starší ľudia</w:t>
      </w:r>
    </w:p>
    <w:p w:rsidR="00BA1541" w:rsidRPr="00C7387E" w:rsidRDefault="00081410" w:rsidP="00413BDA">
      <w:pPr>
        <w:shd w:val="clear" w:color="auto" w:fill="FFFFFF"/>
        <w:rPr>
          <w:color w:val="000000"/>
          <w:szCs w:val="22"/>
          <w:lang w:val="sk-SK" w:eastAsia="de-DE"/>
        </w:rPr>
      </w:pPr>
      <w:r w:rsidRPr="00081410">
        <w:rPr>
          <w:color w:val="000000"/>
          <w:szCs w:val="22"/>
          <w:lang w:val="sk-SK" w:eastAsia="de-DE"/>
        </w:rPr>
        <w:t>U starších jedincov sa má dávkovanie metformínu upraviť na základe funkcie obličiek, kvôli jej možnému zníženiu.</w:t>
      </w:r>
      <w:r>
        <w:rPr>
          <w:color w:val="000000"/>
          <w:szCs w:val="22"/>
          <w:lang w:val="sk-SK" w:eastAsia="de-DE"/>
        </w:rPr>
        <w:t xml:space="preserve"> </w:t>
      </w:r>
      <w:r w:rsidR="00D53694" w:rsidRPr="00D53694">
        <w:rPr>
          <w:color w:val="000000"/>
          <w:szCs w:val="22"/>
          <w:lang w:val="sk-SK" w:eastAsia="de-DE"/>
        </w:rPr>
        <w:t>Potrebná je pravidelná kontrola funkcie obličiek (pozri časť 4.4).</w:t>
      </w:r>
    </w:p>
    <w:p w:rsidR="00BA1541" w:rsidRPr="00C7387E" w:rsidRDefault="00D53694" w:rsidP="00413BDA">
      <w:pPr>
        <w:shd w:val="clear" w:color="auto" w:fill="FFFFFF"/>
        <w:spacing w:before="120" w:after="120"/>
        <w:rPr>
          <w:color w:val="000000"/>
          <w:szCs w:val="22"/>
          <w:lang w:val="sk-SK" w:eastAsia="de-DE"/>
        </w:rPr>
      </w:pPr>
      <w:r>
        <w:rPr>
          <w:i/>
          <w:iCs/>
          <w:color w:val="000000"/>
          <w:szCs w:val="22"/>
          <w:lang w:val="sk-SK" w:eastAsia="de-DE"/>
        </w:rPr>
        <w:t>Porucha funkcie obličiek</w:t>
      </w:r>
    </w:p>
    <w:p w:rsidR="00BA1541" w:rsidRPr="00C7387E" w:rsidRDefault="0043742B" w:rsidP="00413BDA">
      <w:pPr>
        <w:shd w:val="clear" w:color="auto" w:fill="FFFFFF"/>
        <w:rPr>
          <w:color w:val="000000"/>
          <w:szCs w:val="22"/>
          <w:lang w:val="sk-SK" w:eastAsia="de-DE"/>
        </w:rPr>
      </w:pPr>
      <w:r w:rsidRPr="0043742B">
        <w:rPr>
          <w:color w:val="000000"/>
          <w:szCs w:val="22"/>
          <w:lang w:val="sk-SK" w:eastAsia="de-DE"/>
        </w:rPr>
        <w:t xml:space="preserve">Pred začatím liečby metformínom a minimálne raz ročne po jej začatí je potrebné vyhodnotiť GFR. </w:t>
      </w:r>
      <w:r w:rsidR="007F7648">
        <w:rPr>
          <w:color w:val="000000"/>
          <w:szCs w:val="22"/>
          <w:lang w:val="sk-SK" w:eastAsia="de-DE"/>
        </w:rPr>
        <w:t> </w:t>
      </w:r>
      <w:r w:rsidR="007F7648" w:rsidRPr="0043742B">
        <w:rPr>
          <w:color w:val="000000"/>
          <w:szCs w:val="22"/>
          <w:lang w:val="sk-SK" w:eastAsia="de-DE"/>
        </w:rPr>
        <w:t>U</w:t>
      </w:r>
      <w:r w:rsidR="007F7648">
        <w:rPr>
          <w:color w:val="000000"/>
          <w:szCs w:val="22"/>
          <w:lang w:val="sk-SK" w:eastAsia="de-DE"/>
        </w:rPr>
        <w:t> </w:t>
      </w:r>
      <w:r w:rsidRPr="0043742B">
        <w:rPr>
          <w:color w:val="000000"/>
          <w:szCs w:val="22"/>
          <w:lang w:val="sk-SK" w:eastAsia="de-DE"/>
        </w:rPr>
        <w:t>pacientov so zvýšeným rizikom ďalšej progresie poruchy funkcie obličiek a u starších osôb je potrebné funkciu obličiek hodnotiť častejšie, napr. každ</w:t>
      </w:r>
      <w:r w:rsidR="009E0755">
        <w:rPr>
          <w:color w:val="000000"/>
          <w:szCs w:val="22"/>
          <w:lang w:val="sk-SK" w:eastAsia="de-DE"/>
        </w:rPr>
        <w:t>ých</w:t>
      </w:r>
      <w:r w:rsidRPr="0043742B">
        <w:rPr>
          <w:color w:val="000000"/>
          <w:szCs w:val="22"/>
          <w:lang w:val="sk-SK" w:eastAsia="de-DE"/>
        </w:rPr>
        <w:t xml:space="preserve"> 3</w:t>
      </w:r>
      <w:r w:rsidR="007F7648">
        <w:rPr>
          <w:color w:val="000000"/>
          <w:szCs w:val="22"/>
          <w:lang w:val="sk-SK" w:eastAsia="de-DE"/>
        </w:rPr>
        <w:t xml:space="preserve"> </w:t>
      </w:r>
      <w:r w:rsidRPr="0043742B">
        <w:rPr>
          <w:color w:val="000000"/>
          <w:szCs w:val="22"/>
          <w:lang w:val="sk-SK" w:eastAsia="de-DE"/>
        </w:rPr>
        <w:t>-</w:t>
      </w:r>
      <w:r w:rsidR="007F7648">
        <w:rPr>
          <w:color w:val="000000"/>
          <w:szCs w:val="22"/>
          <w:lang w:val="sk-SK" w:eastAsia="de-DE"/>
        </w:rPr>
        <w:t xml:space="preserve"> </w:t>
      </w:r>
      <w:r w:rsidRPr="0043742B">
        <w:rPr>
          <w:color w:val="000000"/>
          <w:szCs w:val="22"/>
          <w:lang w:val="sk-SK" w:eastAsia="de-DE"/>
        </w:rPr>
        <w:t>6 mesiacov.</w:t>
      </w:r>
    </w:p>
    <w:p w:rsidR="00BA1541" w:rsidRPr="00C7387E" w:rsidRDefault="00BA1541" w:rsidP="00990566">
      <w:pPr>
        <w:shd w:val="clear" w:color="auto" w:fill="FFFFFF"/>
        <w:jc w:val="both"/>
        <w:rPr>
          <w:color w:val="000000"/>
          <w:szCs w:val="22"/>
          <w:lang w:val="sk-SK" w:eastAsia="de-DE"/>
        </w:rPr>
      </w:pPr>
    </w:p>
    <w:tbl>
      <w:tblPr>
        <w:tblW w:w="867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452"/>
        <w:gridCol w:w="2690"/>
        <w:gridCol w:w="4535"/>
      </w:tblGrid>
      <w:tr w:rsidR="00BA1541" w:rsidRPr="00C7387E" w:rsidTr="00BA1541">
        <w:tc>
          <w:tcPr>
            <w:tcW w:w="837" w:type="pct"/>
            <w:tcBorders>
              <w:top w:val="outset" w:sz="6" w:space="0" w:color="auto"/>
              <w:left w:val="outset" w:sz="6" w:space="0" w:color="auto"/>
              <w:bottom w:val="outset" w:sz="6" w:space="0" w:color="auto"/>
              <w:right w:val="outset" w:sz="6" w:space="0" w:color="auto"/>
            </w:tcBorders>
            <w:hideMark/>
          </w:tcPr>
          <w:p w:rsidR="00BA1541" w:rsidRPr="00C7387E" w:rsidRDefault="00BA1541" w:rsidP="002F575E">
            <w:pPr>
              <w:keepNext/>
              <w:jc w:val="both"/>
              <w:rPr>
                <w:color w:val="000000"/>
                <w:szCs w:val="22"/>
                <w:lang w:val="sk-SK" w:eastAsia="de-DE"/>
              </w:rPr>
            </w:pPr>
            <w:r w:rsidRPr="00C7387E">
              <w:rPr>
                <w:color w:val="000000"/>
                <w:szCs w:val="22"/>
                <w:lang w:val="sk-SK" w:eastAsia="de-DE"/>
              </w:rPr>
              <w:t>GFR (mL/min)</w:t>
            </w:r>
          </w:p>
        </w:tc>
        <w:tc>
          <w:tcPr>
            <w:tcW w:w="1550" w:type="pct"/>
            <w:tcBorders>
              <w:top w:val="outset" w:sz="6" w:space="0" w:color="auto"/>
              <w:left w:val="outset" w:sz="6" w:space="0" w:color="auto"/>
              <w:bottom w:val="outset" w:sz="6" w:space="0" w:color="auto"/>
              <w:right w:val="outset" w:sz="6" w:space="0" w:color="auto"/>
            </w:tcBorders>
            <w:hideMark/>
          </w:tcPr>
          <w:p w:rsidR="00DB2186" w:rsidRPr="00C7387E" w:rsidRDefault="0043742B" w:rsidP="002F575E">
            <w:pPr>
              <w:keepNext/>
              <w:jc w:val="both"/>
              <w:rPr>
                <w:color w:val="000000"/>
                <w:szCs w:val="22"/>
                <w:lang w:val="sk-SK" w:eastAsia="de-DE"/>
              </w:rPr>
            </w:pPr>
            <w:r w:rsidRPr="0043742B">
              <w:rPr>
                <w:color w:val="000000"/>
                <w:szCs w:val="22"/>
                <w:lang w:val="sk-SK" w:eastAsia="de-DE"/>
              </w:rPr>
              <w:t>Celková maximálna denná dávka</w:t>
            </w:r>
          </w:p>
        </w:tc>
        <w:tc>
          <w:tcPr>
            <w:tcW w:w="2613" w:type="pct"/>
            <w:tcBorders>
              <w:top w:val="outset" w:sz="6" w:space="0" w:color="auto"/>
              <w:left w:val="outset" w:sz="6" w:space="0" w:color="auto"/>
              <w:bottom w:val="outset" w:sz="6" w:space="0" w:color="auto"/>
              <w:right w:val="outset" w:sz="6" w:space="0" w:color="auto"/>
            </w:tcBorders>
            <w:hideMark/>
          </w:tcPr>
          <w:p w:rsidR="00BA1541" w:rsidRPr="00C7387E" w:rsidRDefault="0043742B" w:rsidP="002F575E">
            <w:pPr>
              <w:keepNext/>
              <w:jc w:val="both"/>
              <w:rPr>
                <w:color w:val="000000"/>
                <w:szCs w:val="22"/>
                <w:lang w:val="sk-SK" w:eastAsia="de-DE"/>
              </w:rPr>
            </w:pPr>
            <w:r w:rsidRPr="00D4385F">
              <w:rPr>
                <w:szCs w:val="22"/>
                <w:lang w:val="sk-SK"/>
              </w:rPr>
              <w:t>Ďalšie uváženie</w:t>
            </w:r>
          </w:p>
        </w:tc>
      </w:tr>
      <w:tr w:rsidR="00BA1541" w:rsidRPr="00413BDA" w:rsidTr="00BA1541">
        <w:tc>
          <w:tcPr>
            <w:tcW w:w="837" w:type="pct"/>
            <w:tcBorders>
              <w:top w:val="outset" w:sz="6" w:space="0" w:color="auto"/>
              <w:left w:val="outset" w:sz="6" w:space="0" w:color="auto"/>
              <w:bottom w:val="outset" w:sz="6" w:space="0" w:color="auto"/>
              <w:right w:val="outset" w:sz="6" w:space="0" w:color="auto"/>
            </w:tcBorders>
            <w:hideMark/>
          </w:tcPr>
          <w:p w:rsidR="00BA1541" w:rsidRPr="00C7387E" w:rsidRDefault="00BA1541" w:rsidP="002F575E">
            <w:pPr>
              <w:keepNext/>
              <w:jc w:val="both"/>
              <w:rPr>
                <w:color w:val="000000"/>
                <w:szCs w:val="22"/>
                <w:lang w:val="sk-SK" w:eastAsia="de-DE"/>
              </w:rPr>
            </w:pPr>
            <w:r w:rsidRPr="00C7387E">
              <w:rPr>
                <w:color w:val="000000"/>
                <w:szCs w:val="22"/>
                <w:lang w:val="sk-SK" w:eastAsia="de-DE"/>
              </w:rPr>
              <w:t>60</w:t>
            </w:r>
            <w:r w:rsidR="002832F5" w:rsidRPr="00C7387E">
              <w:rPr>
                <w:lang w:val="sk-SK"/>
              </w:rPr>
              <w:t xml:space="preserve"> – </w:t>
            </w:r>
            <w:r w:rsidRPr="00C7387E">
              <w:rPr>
                <w:color w:val="000000"/>
                <w:szCs w:val="22"/>
                <w:lang w:val="sk-SK" w:eastAsia="de-DE"/>
              </w:rPr>
              <w:t>89</w:t>
            </w:r>
          </w:p>
        </w:tc>
        <w:tc>
          <w:tcPr>
            <w:tcW w:w="1550" w:type="pct"/>
            <w:tcBorders>
              <w:top w:val="outset" w:sz="6" w:space="0" w:color="auto"/>
              <w:left w:val="outset" w:sz="6" w:space="0" w:color="auto"/>
              <w:bottom w:val="outset" w:sz="6" w:space="0" w:color="auto"/>
              <w:right w:val="outset" w:sz="6" w:space="0" w:color="auto"/>
            </w:tcBorders>
            <w:hideMark/>
          </w:tcPr>
          <w:p w:rsidR="00BA1541" w:rsidRPr="00C7387E" w:rsidRDefault="00BA1541" w:rsidP="002F575E">
            <w:pPr>
              <w:keepNext/>
              <w:jc w:val="both"/>
              <w:rPr>
                <w:color w:val="000000"/>
                <w:szCs w:val="22"/>
                <w:lang w:val="sk-SK" w:eastAsia="de-DE"/>
              </w:rPr>
            </w:pPr>
            <w:r w:rsidRPr="00214CC6">
              <w:rPr>
                <w:color w:val="000000"/>
                <w:szCs w:val="22"/>
                <w:lang w:val="sk-SK" w:eastAsia="de-DE"/>
              </w:rPr>
              <w:t>2000</w:t>
            </w:r>
            <w:r w:rsidR="00B115C8" w:rsidRPr="00214CC6">
              <w:rPr>
                <w:color w:val="000000"/>
                <w:szCs w:val="22"/>
                <w:lang w:val="sk-SK" w:eastAsia="de-DE"/>
              </w:rPr>
              <w:t> mg</w:t>
            </w:r>
            <w:r w:rsidR="00214CC6">
              <w:rPr>
                <w:color w:val="000000"/>
                <w:szCs w:val="22"/>
                <w:lang w:val="sk-SK" w:eastAsia="de-DE"/>
              </w:rPr>
              <w:t xml:space="preserve"> </w:t>
            </w:r>
          </w:p>
        </w:tc>
        <w:tc>
          <w:tcPr>
            <w:tcW w:w="2613" w:type="pct"/>
            <w:tcBorders>
              <w:top w:val="outset" w:sz="6" w:space="0" w:color="auto"/>
              <w:left w:val="outset" w:sz="6" w:space="0" w:color="auto"/>
              <w:bottom w:val="outset" w:sz="6" w:space="0" w:color="auto"/>
              <w:right w:val="outset" w:sz="6" w:space="0" w:color="auto"/>
            </w:tcBorders>
            <w:hideMark/>
          </w:tcPr>
          <w:p w:rsidR="00DB2186" w:rsidRPr="00C7387E" w:rsidRDefault="0043742B" w:rsidP="002F575E">
            <w:pPr>
              <w:keepNext/>
              <w:jc w:val="both"/>
              <w:rPr>
                <w:color w:val="000000"/>
                <w:szCs w:val="22"/>
                <w:lang w:val="sk-SK" w:eastAsia="de-DE"/>
              </w:rPr>
            </w:pPr>
            <w:r w:rsidRPr="0043742B">
              <w:rPr>
                <w:color w:val="000000"/>
                <w:szCs w:val="22"/>
                <w:lang w:val="sk-SK" w:eastAsia="de-DE"/>
              </w:rPr>
              <w:t>Je možné zvážiť zníženie dávky vzhľadom na pokles funkcie obličiek.</w:t>
            </w:r>
            <w:r w:rsidR="00DB2186" w:rsidRPr="00C7387E">
              <w:rPr>
                <w:color w:val="000000"/>
                <w:szCs w:val="22"/>
                <w:lang w:val="sk-SK" w:eastAsia="de-DE"/>
              </w:rPr>
              <w:t xml:space="preserve"> </w:t>
            </w:r>
          </w:p>
        </w:tc>
      </w:tr>
      <w:tr w:rsidR="00BA1541" w:rsidRPr="00413BDA" w:rsidTr="00BA1541">
        <w:tc>
          <w:tcPr>
            <w:tcW w:w="837" w:type="pct"/>
            <w:tcBorders>
              <w:top w:val="outset" w:sz="6" w:space="0" w:color="auto"/>
              <w:left w:val="outset" w:sz="6" w:space="0" w:color="auto"/>
              <w:bottom w:val="outset" w:sz="6" w:space="0" w:color="auto"/>
              <w:right w:val="outset" w:sz="6" w:space="0" w:color="auto"/>
            </w:tcBorders>
            <w:hideMark/>
          </w:tcPr>
          <w:p w:rsidR="00BA1541" w:rsidRPr="00C7387E" w:rsidRDefault="00BA1541" w:rsidP="002F575E">
            <w:pPr>
              <w:keepNext/>
              <w:jc w:val="both"/>
              <w:rPr>
                <w:color w:val="000000"/>
                <w:szCs w:val="22"/>
                <w:lang w:val="sk-SK" w:eastAsia="de-DE"/>
              </w:rPr>
            </w:pPr>
            <w:r w:rsidRPr="00C7387E">
              <w:rPr>
                <w:color w:val="000000"/>
                <w:szCs w:val="22"/>
                <w:lang w:val="sk-SK" w:eastAsia="de-DE"/>
              </w:rPr>
              <w:t>45</w:t>
            </w:r>
            <w:r w:rsidR="002832F5" w:rsidRPr="00C7387E">
              <w:rPr>
                <w:lang w:val="sk-SK"/>
              </w:rPr>
              <w:t xml:space="preserve"> – </w:t>
            </w:r>
            <w:r w:rsidRPr="00C7387E">
              <w:rPr>
                <w:color w:val="000000"/>
                <w:szCs w:val="22"/>
                <w:lang w:val="sk-SK" w:eastAsia="de-DE"/>
              </w:rPr>
              <w:t>59</w:t>
            </w:r>
          </w:p>
        </w:tc>
        <w:tc>
          <w:tcPr>
            <w:tcW w:w="1550" w:type="pct"/>
            <w:tcBorders>
              <w:top w:val="outset" w:sz="6" w:space="0" w:color="auto"/>
              <w:left w:val="outset" w:sz="6" w:space="0" w:color="auto"/>
              <w:bottom w:val="outset" w:sz="6" w:space="0" w:color="auto"/>
              <w:right w:val="outset" w:sz="6" w:space="0" w:color="auto"/>
            </w:tcBorders>
            <w:hideMark/>
          </w:tcPr>
          <w:p w:rsidR="00BA1541" w:rsidRPr="00C7387E" w:rsidRDefault="00BA1541" w:rsidP="002F575E">
            <w:pPr>
              <w:keepNext/>
              <w:jc w:val="both"/>
              <w:rPr>
                <w:color w:val="000000"/>
                <w:szCs w:val="22"/>
                <w:lang w:val="sk-SK" w:eastAsia="de-DE"/>
              </w:rPr>
            </w:pPr>
            <w:r w:rsidRPr="00C7387E">
              <w:rPr>
                <w:color w:val="000000"/>
                <w:szCs w:val="22"/>
                <w:lang w:val="sk-SK" w:eastAsia="de-DE"/>
              </w:rPr>
              <w:t>2000</w:t>
            </w:r>
            <w:r w:rsidR="00B115C8" w:rsidRPr="00C7387E">
              <w:rPr>
                <w:color w:val="000000"/>
                <w:szCs w:val="22"/>
                <w:lang w:val="sk-SK" w:eastAsia="de-DE"/>
              </w:rPr>
              <w:t> mg</w:t>
            </w:r>
          </w:p>
        </w:tc>
        <w:tc>
          <w:tcPr>
            <w:tcW w:w="2613" w:type="pct"/>
            <w:vMerge w:val="restart"/>
            <w:tcBorders>
              <w:top w:val="outset" w:sz="6" w:space="0" w:color="auto"/>
              <w:left w:val="outset" w:sz="6" w:space="0" w:color="auto"/>
              <w:bottom w:val="outset" w:sz="6" w:space="0" w:color="auto"/>
              <w:right w:val="outset" w:sz="6" w:space="0" w:color="auto"/>
            </w:tcBorders>
            <w:hideMark/>
          </w:tcPr>
          <w:p w:rsidR="0043742B" w:rsidRPr="00241BFB" w:rsidRDefault="0043742B" w:rsidP="0043742B">
            <w:pPr>
              <w:adjustRightInd w:val="0"/>
              <w:rPr>
                <w:color w:val="000000"/>
                <w:szCs w:val="22"/>
                <w:lang w:val="sk-SK" w:eastAsia="de-DE"/>
              </w:rPr>
            </w:pPr>
            <w:r w:rsidRPr="00241BFB">
              <w:rPr>
                <w:color w:val="000000"/>
                <w:szCs w:val="22"/>
                <w:lang w:val="sk-SK" w:eastAsia="de-DE"/>
              </w:rPr>
              <w:t>Pred zvážením zahájenia liečby metformínom je potrebné posúdiť faktory, ktoré by mohli zvyšovať riziko laktátovej acidózy (pozri časť 4.4).</w:t>
            </w:r>
          </w:p>
          <w:p w:rsidR="00BA1541" w:rsidRPr="00C7387E" w:rsidRDefault="0043742B" w:rsidP="0043742B">
            <w:pPr>
              <w:keepNext/>
              <w:jc w:val="both"/>
              <w:rPr>
                <w:color w:val="000000"/>
                <w:szCs w:val="22"/>
                <w:lang w:val="sk-SK" w:eastAsia="de-DE"/>
              </w:rPr>
            </w:pPr>
            <w:r w:rsidRPr="00241BFB">
              <w:rPr>
                <w:color w:val="000000"/>
                <w:szCs w:val="22"/>
                <w:lang w:val="sk-SK" w:eastAsia="de-DE"/>
              </w:rPr>
              <w:t>Úvodná dávka je nanajvýš polovica z maximálnej dávky.</w:t>
            </w:r>
          </w:p>
        </w:tc>
      </w:tr>
      <w:tr w:rsidR="00BA1541" w:rsidRPr="00C7387E" w:rsidTr="00BA1541">
        <w:tc>
          <w:tcPr>
            <w:tcW w:w="837" w:type="pct"/>
            <w:tcBorders>
              <w:top w:val="outset" w:sz="6" w:space="0" w:color="auto"/>
              <w:left w:val="outset" w:sz="6" w:space="0" w:color="auto"/>
              <w:bottom w:val="outset" w:sz="6" w:space="0" w:color="auto"/>
              <w:right w:val="outset" w:sz="6" w:space="0" w:color="auto"/>
            </w:tcBorders>
            <w:hideMark/>
          </w:tcPr>
          <w:p w:rsidR="00BA1541" w:rsidRPr="00C7387E" w:rsidRDefault="00BA1541" w:rsidP="002F575E">
            <w:pPr>
              <w:keepNext/>
              <w:jc w:val="both"/>
              <w:rPr>
                <w:color w:val="000000"/>
                <w:szCs w:val="22"/>
                <w:lang w:val="sk-SK" w:eastAsia="de-DE"/>
              </w:rPr>
            </w:pPr>
            <w:r w:rsidRPr="00C7387E">
              <w:rPr>
                <w:color w:val="000000"/>
                <w:szCs w:val="22"/>
                <w:lang w:val="sk-SK" w:eastAsia="de-DE"/>
              </w:rPr>
              <w:t>30</w:t>
            </w:r>
            <w:r w:rsidR="002832F5" w:rsidRPr="00C7387E">
              <w:rPr>
                <w:lang w:val="sk-SK"/>
              </w:rPr>
              <w:t xml:space="preserve"> – </w:t>
            </w:r>
            <w:r w:rsidRPr="00C7387E">
              <w:rPr>
                <w:color w:val="000000"/>
                <w:szCs w:val="22"/>
                <w:lang w:val="sk-SK" w:eastAsia="de-DE"/>
              </w:rPr>
              <w:t>44</w:t>
            </w:r>
          </w:p>
        </w:tc>
        <w:tc>
          <w:tcPr>
            <w:tcW w:w="1550" w:type="pct"/>
            <w:tcBorders>
              <w:top w:val="outset" w:sz="6" w:space="0" w:color="auto"/>
              <w:left w:val="outset" w:sz="6" w:space="0" w:color="auto"/>
              <w:bottom w:val="outset" w:sz="6" w:space="0" w:color="auto"/>
              <w:right w:val="outset" w:sz="6" w:space="0" w:color="auto"/>
            </w:tcBorders>
            <w:hideMark/>
          </w:tcPr>
          <w:p w:rsidR="00BA1541" w:rsidRPr="00C7387E" w:rsidRDefault="00BA1541" w:rsidP="002F575E">
            <w:pPr>
              <w:keepNext/>
              <w:jc w:val="both"/>
              <w:rPr>
                <w:color w:val="000000"/>
                <w:szCs w:val="22"/>
                <w:lang w:val="sk-SK" w:eastAsia="de-DE"/>
              </w:rPr>
            </w:pPr>
            <w:r w:rsidRPr="00C7387E">
              <w:rPr>
                <w:color w:val="000000"/>
                <w:szCs w:val="22"/>
                <w:lang w:val="sk-SK" w:eastAsia="de-DE"/>
              </w:rPr>
              <w:t>1000</w:t>
            </w:r>
            <w:r w:rsidR="00B115C8" w:rsidRPr="00C7387E">
              <w:rPr>
                <w:color w:val="000000"/>
                <w:szCs w:val="22"/>
                <w:lang w:val="sk-SK" w:eastAsia="de-DE"/>
              </w:rPr>
              <w:t> mg</w:t>
            </w:r>
          </w:p>
        </w:tc>
        <w:tc>
          <w:tcPr>
            <w:tcW w:w="2613" w:type="pct"/>
            <w:vMerge/>
            <w:tcBorders>
              <w:top w:val="outset" w:sz="6" w:space="0" w:color="auto"/>
              <w:left w:val="outset" w:sz="6" w:space="0" w:color="auto"/>
              <w:bottom w:val="outset" w:sz="6" w:space="0" w:color="auto"/>
              <w:right w:val="outset" w:sz="6" w:space="0" w:color="auto"/>
            </w:tcBorders>
            <w:hideMark/>
          </w:tcPr>
          <w:p w:rsidR="00BA1541" w:rsidRPr="00C7387E" w:rsidRDefault="00BA1541" w:rsidP="002F575E">
            <w:pPr>
              <w:keepNext/>
              <w:jc w:val="both"/>
              <w:rPr>
                <w:color w:val="000000"/>
                <w:szCs w:val="22"/>
                <w:lang w:val="sk-SK" w:eastAsia="de-DE"/>
              </w:rPr>
            </w:pPr>
          </w:p>
        </w:tc>
      </w:tr>
      <w:tr w:rsidR="00BA1541" w:rsidRPr="00C7387E" w:rsidTr="00BA1541">
        <w:tc>
          <w:tcPr>
            <w:tcW w:w="837" w:type="pct"/>
            <w:tcBorders>
              <w:top w:val="outset" w:sz="6" w:space="0" w:color="auto"/>
              <w:left w:val="outset" w:sz="6" w:space="0" w:color="auto"/>
              <w:bottom w:val="outset" w:sz="6" w:space="0" w:color="auto"/>
              <w:right w:val="outset" w:sz="6" w:space="0" w:color="auto"/>
            </w:tcBorders>
            <w:hideMark/>
          </w:tcPr>
          <w:p w:rsidR="00BA1541" w:rsidRPr="00C7387E" w:rsidRDefault="00BA1541" w:rsidP="002F575E">
            <w:pPr>
              <w:keepNext/>
              <w:jc w:val="both"/>
              <w:rPr>
                <w:color w:val="000000"/>
                <w:szCs w:val="22"/>
                <w:lang w:val="sk-SK" w:eastAsia="de-DE"/>
              </w:rPr>
            </w:pPr>
            <w:r w:rsidRPr="00C7387E">
              <w:rPr>
                <w:color w:val="000000"/>
                <w:szCs w:val="22"/>
                <w:lang w:val="sk-SK" w:eastAsia="de-DE"/>
              </w:rPr>
              <w:t>&lt;</w:t>
            </w:r>
            <w:r w:rsidR="002832F5" w:rsidRPr="00C7387E">
              <w:rPr>
                <w:color w:val="000000"/>
                <w:szCs w:val="22"/>
                <w:lang w:val="sk-SK" w:eastAsia="de-DE"/>
              </w:rPr>
              <w:t> </w:t>
            </w:r>
            <w:r w:rsidRPr="00C7387E">
              <w:rPr>
                <w:color w:val="000000"/>
                <w:szCs w:val="22"/>
                <w:lang w:val="sk-SK" w:eastAsia="de-DE"/>
              </w:rPr>
              <w:t>30</w:t>
            </w:r>
          </w:p>
        </w:tc>
        <w:tc>
          <w:tcPr>
            <w:tcW w:w="1550" w:type="pct"/>
            <w:tcBorders>
              <w:top w:val="outset" w:sz="6" w:space="0" w:color="auto"/>
              <w:left w:val="outset" w:sz="6" w:space="0" w:color="auto"/>
              <w:bottom w:val="outset" w:sz="6" w:space="0" w:color="auto"/>
              <w:right w:val="outset" w:sz="6" w:space="0" w:color="auto"/>
            </w:tcBorders>
            <w:hideMark/>
          </w:tcPr>
          <w:p w:rsidR="00BA1541" w:rsidRPr="00C7387E" w:rsidRDefault="002832F5" w:rsidP="002F575E">
            <w:pPr>
              <w:keepNext/>
              <w:jc w:val="both"/>
              <w:rPr>
                <w:color w:val="000000"/>
                <w:szCs w:val="22"/>
                <w:lang w:val="sk-SK" w:eastAsia="de-DE"/>
              </w:rPr>
            </w:pPr>
            <w:r w:rsidRPr="00C7387E">
              <w:rPr>
                <w:color w:val="000000"/>
                <w:szCs w:val="22"/>
                <w:lang w:val="sk-SK" w:eastAsia="de-DE"/>
              </w:rPr>
              <w:noBreakHyphen/>
            </w:r>
          </w:p>
        </w:tc>
        <w:tc>
          <w:tcPr>
            <w:tcW w:w="2613" w:type="pct"/>
            <w:tcBorders>
              <w:top w:val="outset" w:sz="6" w:space="0" w:color="auto"/>
              <w:left w:val="outset" w:sz="6" w:space="0" w:color="auto"/>
              <w:bottom w:val="outset" w:sz="6" w:space="0" w:color="auto"/>
              <w:right w:val="outset" w:sz="6" w:space="0" w:color="auto"/>
            </w:tcBorders>
            <w:hideMark/>
          </w:tcPr>
          <w:p w:rsidR="00BA1541" w:rsidRPr="00C7387E" w:rsidRDefault="0043742B" w:rsidP="002F575E">
            <w:pPr>
              <w:keepNext/>
              <w:jc w:val="both"/>
              <w:rPr>
                <w:color w:val="000000"/>
                <w:szCs w:val="22"/>
                <w:lang w:val="sk-SK" w:eastAsia="de-DE"/>
              </w:rPr>
            </w:pPr>
            <w:r w:rsidRPr="00D4385F">
              <w:rPr>
                <w:szCs w:val="22"/>
                <w:lang w:val="sk-SK"/>
              </w:rPr>
              <w:t>Metformín je kontraindikovaný</w:t>
            </w:r>
            <w:r>
              <w:rPr>
                <w:szCs w:val="22"/>
                <w:lang w:val="sk-SK"/>
              </w:rPr>
              <w:t>.</w:t>
            </w:r>
          </w:p>
        </w:tc>
      </w:tr>
    </w:tbl>
    <w:p w:rsidR="00106490" w:rsidRPr="00C7387E" w:rsidRDefault="00106490" w:rsidP="00990566">
      <w:pPr>
        <w:tabs>
          <w:tab w:val="left" w:pos="0"/>
          <w:tab w:val="left" w:pos="9070"/>
        </w:tabs>
        <w:ind w:right="-2"/>
        <w:jc w:val="both"/>
        <w:rPr>
          <w:lang w:val="sk-SK"/>
        </w:rPr>
      </w:pPr>
    </w:p>
    <w:p w:rsidR="00106490" w:rsidRPr="00C7387E" w:rsidRDefault="00C163FC" w:rsidP="00413BDA">
      <w:pPr>
        <w:tabs>
          <w:tab w:val="left" w:pos="0"/>
          <w:tab w:val="left" w:pos="9070"/>
        </w:tabs>
        <w:spacing w:before="120" w:after="120"/>
        <w:rPr>
          <w:lang w:val="sk-SK"/>
        </w:rPr>
      </w:pPr>
      <w:r>
        <w:rPr>
          <w:rStyle w:val="Nadpis6Char"/>
          <w:bCs/>
          <w:szCs w:val="22"/>
          <w:lang w:val="sk-SK"/>
        </w:rPr>
        <w:t>Pediatrická populácia</w:t>
      </w:r>
    </w:p>
    <w:p w:rsidR="00106490" w:rsidRPr="00C7387E" w:rsidRDefault="009E0755" w:rsidP="00413BDA">
      <w:pPr>
        <w:tabs>
          <w:tab w:val="left" w:pos="0"/>
          <w:tab w:val="left" w:pos="9070"/>
        </w:tabs>
        <w:ind w:right="-2"/>
        <w:rPr>
          <w:lang w:val="sk-SK"/>
        </w:rPr>
      </w:pPr>
      <w:r>
        <w:rPr>
          <w:lang w:val="sk-SK"/>
        </w:rPr>
        <w:t>Z dôvodu</w:t>
      </w:r>
      <w:r w:rsidR="00696361" w:rsidRPr="00696361">
        <w:rPr>
          <w:lang w:val="sk-SK"/>
        </w:rPr>
        <w:t xml:space="preserve"> nedostatku dostupných údajov sa Siofor SR nemá používať u detí.</w:t>
      </w:r>
    </w:p>
    <w:p w:rsidR="007E5F98" w:rsidRPr="00C7387E" w:rsidRDefault="00C163FC" w:rsidP="00413BDA">
      <w:pPr>
        <w:tabs>
          <w:tab w:val="left" w:pos="0"/>
          <w:tab w:val="left" w:pos="9070"/>
        </w:tabs>
        <w:spacing w:before="120" w:after="120"/>
        <w:rPr>
          <w:u w:val="single"/>
          <w:lang w:val="sk-SK"/>
        </w:rPr>
      </w:pPr>
      <w:r>
        <w:rPr>
          <w:u w:val="single"/>
          <w:lang w:val="sk-SK"/>
        </w:rPr>
        <w:t>Spôsob podávania</w:t>
      </w:r>
    </w:p>
    <w:p w:rsidR="007E5F98" w:rsidRPr="00C7387E" w:rsidRDefault="00696361" w:rsidP="00413BDA">
      <w:pPr>
        <w:tabs>
          <w:tab w:val="left" w:pos="0"/>
          <w:tab w:val="left" w:pos="9070"/>
        </w:tabs>
        <w:ind w:right="-2"/>
        <w:rPr>
          <w:lang w:val="sk-SK"/>
        </w:rPr>
      </w:pPr>
      <w:r w:rsidRPr="00696361">
        <w:rPr>
          <w:lang w:val="sk-SK"/>
        </w:rPr>
        <w:t xml:space="preserve">Tablety sa majú prehltnúť </w:t>
      </w:r>
      <w:r w:rsidR="00D534D7">
        <w:rPr>
          <w:lang w:val="sk-SK"/>
        </w:rPr>
        <w:t>celé</w:t>
      </w:r>
      <w:r w:rsidRPr="00696361">
        <w:rPr>
          <w:lang w:val="sk-SK"/>
        </w:rPr>
        <w:t xml:space="preserve"> a zapiť vodou. Nemajú sa žuvať alebo drviť.</w:t>
      </w:r>
    </w:p>
    <w:p w:rsidR="00E16749" w:rsidRPr="00C7387E" w:rsidRDefault="00AD79F1" w:rsidP="00413BDA">
      <w:pPr>
        <w:pStyle w:val="Nadpis3"/>
        <w:rPr>
          <w:lang w:val="sk-SK"/>
        </w:rPr>
      </w:pPr>
      <w:r w:rsidRPr="00C7387E">
        <w:rPr>
          <w:lang w:val="sk-SK"/>
        </w:rPr>
        <w:t>4.3</w:t>
      </w:r>
      <w:r w:rsidR="008651A0" w:rsidRPr="00C7387E">
        <w:rPr>
          <w:lang w:val="sk-SK"/>
        </w:rPr>
        <w:tab/>
      </w:r>
      <w:r w:rsidR="008651A0" w:rsidRPr="00C7387E">
        <w:rPr>
          <w:lang w:val="sk-SK"/>
        </w:rPr>
        <w:tab/>
      </w:r>
      <w:r w:rsidRPr="00C7387E">
        <w:rPr>
          <w:lang w:val="sk-SK"/>
        </w:rPr>
        <w:tab/>
      </w:r>
      <w:r w:rsidR="00C163FC">
        <w:rPr>
          <w:lang w:val="sk-SK"/>
        </w:rPr>
        <w:t>Kontraindikácie</w:t>
      </w:r>
    </w:p>
    <w:p w:rsidR="00593A81" w:rsidRPr="00C7387E" w:rsidRDefault="00C163FC" w:rsidP="00413BDA">
      <w:pPr>
        <w:pStyle w:val="Odsekzoznamu"/>
        <w:numPr>
          <w:ilvl w:val="0"/>
          <w:numId w:val="23"/>
        </w:numPr>
        <w:tabs>
          <w:tab w:val="left" w:pos="567"/>
        </w:tabs>
        <w:ind w:hanging="720"/>
        <w:rPr>
          <w:lang w:val="sk-SK" w:eastAsia="de-DE"/>
        </w:rPr>
      </w:pPr>
      <w:r w:rsidRPr="00C163FC">
        <w:rPr>
          <w:lang w:val="sk-SK" w:eastAsia="de-DE"/>
        </w:rPr>
        <w:t xml:space="preserve">Precitlivenosť na </w:t>
      </w:r>
      <w:r>
        <w:rPr>
          <w:lang w:val="sk-SK" w:eastAsia="de-DE"/>
        </w:rPr>
        <w:t>metform</w:t>
      </w:r>
      <w:r w:rsidR="007F7648">
        <w:rPr>
          <w:lang w:val="sk-SK" w:eastAsia="de-DE"/>
        </w:rPr>
        <w:t>í</w:t>
      </w:r>
      <w:r>
        <w:rPr>
          <w:lang w:val="sk-SK" w:eastAsia="de-DE"/>
        </w:rPr>
        <w:t>n</w:t>
      </w:r>
      <w:r w:rsidRPr="00C163FC">
        <w:rPr>
          <w:lang w:val="sk-SK" w:eastAsia="de-DE"/>
        </w:rPr>
        <w:t xml:space="preserve"> alebo na ktorúkoľvek z pomocných látok uvedených v časti 6.1.</w:t>
      </w:r>
    </w:p>
    <w:p w:rsidR="00593A81" w:rsidRPr="00C7387E" w:rsidRDefault="002E0F1E" w:rsidP="00413BDA">
      <w:pPr>
        <w:pStyle w:val="Odsekzoznamu"/>
        <w:numPr>
          <w:ilvl w:val="0"/>
          <w:numId w:val="23"/>
        </w:numPr>
        <w:tabs>
          <w:tab w:val="left" w:pos="567"/>
        </w:tabs>
        <w:ind w:left="567" w:hanging="567"/>
        <w:rPr>
          <w:lang w:val="sk-SK" w:eastAsia="de-DE"/>
        </w:rPr>
      </w:pPr>
      <w:r w:rsidRPr="00D4385F">
        <w:rPr>
          <w:szCs w:val="22"/>
          <w:lang w:val="sk-SK"/>
        </w:rPr>
        <w:t>Akýkoľvek typ akútnej metabolickej acidózy (ako napríklad laktátová acidóza, diabetická ketoacidóza).</w:t>
      </w:r>
    </w:p>
    <w:p w:rsidR="00696361" w:rsidRPr="00696361" w:rsidRDefault="00696361" w:rsidP="00413BDA">
      <w:pPr>
        <w:pStyle w:val="Odsekzoznamu"/>
        <w:numPr>
          <w:ilvl w:val="0"/>
          <w:numId w:val="23"/>
        </w:numPr>
        <w:tabs>
          <w:tab w:val="left" w:pos="567"/>
        </w:tabs>
        <w:ind w:hanging="720"/>
        <w:rPr>
          <w:lang w:val="sk-SK" w:eastAsia="de-DE"/>
        </w:rPr>
      </w:pPr>
      <w:r w:rsidRPr="00696361">
        <w:rPr>
          <w:lang w:val="sk-SK" w:eastAsia="de-DE"/>
        </w:rPr>
        <w:t>Diabetická prekóma</w:t>
      </w:r>
    </w:p>
    <w:p w:rsidR="00593A81" w:rsidRPr="00C7387E" w:rsidRDefault="002E0F1E" w:rsidP="00413BDA">
      <w:pPr>
        <w:pStyle w:val="Odsekzoznamu"/>
        <w:numPr>
          <w:ilvl w:val="0"/>
          <w:numId w:val="23"/>
        </w:numPr>
        <w:tabs>
          <w:tab w:val="left" w:pos="567"/>
        </w:tabs>
        <w:ind w:hanging="720"/>
        <w:rPr>
          <w:lang w:val="sk-SK" w:eastAsia="de-DE"/>
        </w:rPr>
      </w:pPr>
      <w:r w:rsidRPr="002E0F1E">
        <w:rPr>
          <w:lang w:val="sk-SK" w:eastAsia="de-DE"/>
        </w:rPr>
        <w:t>Závažné zlyhanie obličiek (GFR &lt; 30 ml/min).</w:t>
      </w:r>
    </w:p>
    <w:p w:rsidR="00593A81" w:rsidRPr="00C7387E" w:rsidRDefault="00DF434A" w:rsidP="00413BDA">
      <w:pPr>
        <w:pStyle w:val="Odsekzoznamu"/>
        <w:numPr>
          <w:ilvl w:val="0"/>
          <w:numId w:val="23"/>
        </w:numPr>
        <w:tabs>
          <w:tab w:val="left" w:pos="567"/>
        </w:tabs>
        <w:ind w:hanging="720"/>
        <w:rPr>
          <w:lang w:val="sk-SK" w:eastAsia="de-DE"/>
        </w:rPr>
      </w:pPr>
      <w:r w:rsidRPr="00D4385F">
        <w:rPr>
          <w:szCs w:val="22"/>
          <w:lang w:val="sk-SK"/>
        </w:rPr>
        <w:t>Akútne stavy</w:t>
      </w:r>
      <w:r w:rsidR="007F7648">
        <w:rPr>
          <w:szCs w:val="22"/>
          <w:lang w:val="sk-SK"/>
        </w:rPr>
        <w:t>, ktoré môžu ovplyvniť renálne funkcie,</w:t>
      </w:r>
      <w:r w:rsidRPr="00D4385F">
        <w:rPr>
          <w:szCs w:val="22"/>
          <w:lang w:val="sk-SK"/>
        </w:rPr>
        <w:t xml:space="preserve"> ako je</w:t>
      </w:r>
      <w:r w:rsidR="00593A81" w:rsidRPr="00C7387E">
        <w:rPr>
          <w:lang w:val="sk-SK" w:eastAsia="de-DE"/>
        </w:rPr>
        <w:t>:</w:t>
      </w:r>
    </w:p>
    <w:p w:rsidR="00593A81" w:rsidRPr="00C7387E" w:rsidRDefault="00593A81" w:rsidP="00413BDA">
      <w:pPr>
        <w:pStyle w:val="Odsekzoznamu"/>
        <w:numPr>
          <w:ilvl w:val="1"/>
          <w:numId w:val="27"/>
        </w:numPr>
        <w:tabs>
          <w:tab w:val="left" w:pos="567"/>
        </w:tabs>
        <w:ind w:left="1134" w:hanging="425"/>
        <w:rPr>
          <w:lang w:val="sk-SK" w:eastAsia="de-DE"/>
        </w:rPr>
      </w:pPr>
      <w:r w:rsidRPr="00C7387E">
        <w:rPr>
          <w:lang w:val="sk-SK" w:eastAsia="de-DE"/>
        </w:rPr>
        <w:t>dehydr</w:t>
      </w:r>
      <w:r w:rsidR="00DF434A">
        <w:rPr>
          <w:lang w:val="sk-SK" w:eastAsia="de-DE"/>
        </w:rPr>
        <w:t>atácia</w:t>
      </w:r>
      <w:r w:rsidRPr="00C7387E">
        <w:rPr>
          <w:lang w:val="sk-SK" w:eastAsia="de-DE"/>
        </w:rPr>
        <w:t>,</w:t>
      </w:r>
    </w:p>
    <w:p w:rsidR="00593A81" w:rsidRPr="00C7387E" w:rsidRDefault="00DF434A" w:rsidP="00413BDA">
      <w:pPr>
        <w:pStyle w:val="Odsekzoznamu"/>
        <w:numPr>
          <w:ilvl w:val="1"/>
          <w:numId w:val="27"/>
        </w:numPr>
        <w:tabs>
          <w:tab w:val="left" w:pos="567"/>
        </w:tabs>
        <w:ind w:left="1134" w:hanging="425"/>
        <w:rPr>
          <w:lang w:val="sk-SK" w:eastAsia="de-DE"/>
        </w:rPr>
      </w:pPr>
      <w:r>
        <w:rPr>
          <w:lang w:val="sk-SK" w:eastAsia="de-DE"/>
        </w:rPr>
        <w:t>závažná infekcia</w:t>
      </w:r>
      <w:r w:rsidR="00593A81" w:rsidRPr="00C7387E">
        <w:rPr>
          <w:lang w:val="sk-SK" w:eastAsia="de-DE"/>
        </w:rPr>
        <w:t>,</w:t>
      </w:r>
    </w:p>
    <w:p w:rsidR="00593A81" w:rsidRPr="00C7387E" w:rsidRDefault="00DF434A" w:rsidP="00413BDA">
      <w:pPr>
        <w:pStyle w:val="Odsekzoznamu"/>
        <w:numPr>
          <w:ilvl w:val="1"/>
          <w:numId w:val="27"/>
        </w:numPr>
        <w:tabs>
          <w:tab w:val="left" w:pos="567"/>
        </w:tabs>
        <w:ind w:left="1134" w:hanging="425"/>
        <w:rPr>
          <w:lang w:val="sk-SK" w:eastAsia="de-DE"/>
        </w:rPr>
      </w:pPr>
      <w:r>
        <w:rPr>
          <w:lang w:val="sk-SK" w:eastAsia="de-DE"/>
        </w:rPr>
        <w:t>šok.</w:t>
      </w:r>
    </w:p>
    <w:p w:rsidR="00696361" w:rsidRPr="00696361" w:rsidRDefault="00696361" w:rsidP="00413BDA">
      <w:pPr>
        <w:pStyle w:val="Odsekzoznamu"/>
        <w:numPr>
          <w:ilvl w:val="0"/>
          <w:numId w:val="23"/>
        </w:numPr>
        <w:tabs>
          <w:tab w:val="left" w:pos="567"/>
        </w:tabs>
        <w:ind w:left="567" w:hanging="567"/>
        <w:rPr>
          <w:lang w:val="sk-SK" w:eastAsia="de-DE"/>
        </w:rPr>
      </w:pPr>
      <w:r w:rsidRPr="00696361">
        <w:rPr>
          <w:lang w:val="sk-SK" w:eastAsia="de-DE"/>
        </w:rPr>
        <w:t>Ochorenie, ktoré môže spôsobiť hypoxiu tkaniva (najmä akútne ochorenie alebo zhoršenie chronického ochorenia), ako napríklad:</w:t>
      </w:r>
    </w:p>
    <w:p w:rsidR="00696361" w:rsidRPr="00696361" w:rsidRDefault="00696361" w:rsidP="00413BDA">
      <w:pPr>
        <w:pStyle w:val="Odsekzoznamu"/>
        <w:numPr>
          <w:ilvl w:val="1"/>
          <w:numId w:val="26"/>
        </w:numPr>
        <w:tabs>
          <w:tab w:val="left" w:pos="567"/>
        </w:tabs>
        <w:ind w:left="1134" w:hanging="425"/>
        <w:rPr>
          <w:lang w:val="sk-SK" w:eastAsia="de-DE"/>
        </w:rPr>
      </w:pPr>
      <w:r w:rsidRPr="00696361">
        <w:rPr>
          <w:lang w:val="sk-SK" w:eastAsia="de-DE"/>
        </w:rPr>
        <w:t>dekompenzované zlyhanie srdca,</w:t>
      </w:r>
    </w:p>
    <w:p w:rsidR="00696361" w:rsidRPr="00696361" w:rsidRDefault="00696361" w:rsidP="00413BDA">
      <w:pPr>
        <w:pStyle w:val="Odsekzoznamu"/>
        <w:numPr>
          <w:ilvl w:val="1"/>
          <w:numId w:val="26"/>
        </w:numPr>
        <w:tabs>
          <w:tab w:val="left" w:pos="567"/>
        </w:tabs>
        <w:ind w:left="1134" w:hanging="425"/>
        <w:rPr>
          <w:lang w:val="sk-SK" w:eastAsia="de-DE"/>
        </w:rPr>
      </w:pPr>
      <w:r w:rsidRPr="00696361">
        <w:rPr>
          <w:lang w:val="sk-SK" w:eastAsia="de-DE"/>
        </w:rPr>
        <w:t>respiračné zlyhanie,</w:t>
      </w:r>
    </w:p>
    <w:p w:rsidR="00696361" w:rsidRPr="00696361" w:rsidRDefault="00696361" w:rsidP="00413BDA">
      <w:pPr>
        <w:pStyle w:val="Odsekzoznamu"/>
        <w:numPr>
          <w:ilvl w:val="1"/>
          <w:numId w:val="26"/>
        </w:numPr>
        <w:tabs>
          <w:tab w:val="left" w:pos="567"/>
        </w:tabs>
        <w:ind w:left="1134" w:hanging="425"/>
        <w:rPr>
          <w:lang w:val="sk-SK" w:eastAsia="de-DE"/>
        </w:rPr>
      </w:pPr>
      <w:r w:rsidRPr="00696361">
        <w:rPr>
          <w:lang w:val="sk-SK" w:eastAsia="de-DE"/>
        </w:rPr>
        <w:t>nedávno prekonaný infarkt myokardu,</w:t>
      </w:r>
    </w:p>
    <w:p w:rsidR="00696361" w:rsidRPr="00696361" w:rsidRDefault="00696361" w:rsidP="00413BDA">
      <w:pPr>
        <w:pStyle w:val="Odsekzoznamu"/>
        <w:numPr>
          <w:ilvl w:val="1"/>
          <w:numId w:val="26"/>
        </w:numPr>
        <w:tabs>
          <w:tab w:val="left" w:pos="567"/>
        </w:tabs>
        <w:ind w:left="1134" w:hanging="425"/>
        <w:rPr>
          <w:lang w:val="sk-SK" w:eastAsia="de-DE"/>
        </w:rPr>
      </w:pPr>
      <w:r w:rsidRPr="00696361">
        <w:rPr>
          <w:lang w:val="sk-SK" w:eastAsia="de-DE"/>
        </w:rPr>
        <w:t>šok</w:t>
      </w:r>
    </w:p>
    <w:p w:rsidR="00593A81" w:rsidRPr="00C7387E" w:rsidRDefault="00DF434A" w:rsidP="00413BDA">
      <w:pPr>
        <w:pStyle w:val="Odsekzoznamu"/>
        <w:numPr>
          <w:ilvl w:val="2"/>
          <w:numId w:val="25"/>
        </w:numPr>
        <w:tabs>
          <w:tab w:val="left" w:pos="567"/>
        </w:tabs>
        <w:ind w:left="567" w:hanging="567"/>
        <w:rPr>
          <w:lang w:val="sk-SK" w:eastAsia="de-DE"/>
        </w:rPr>
      </w:pPr>
      <w:r w:rsidRPr="00D4385F">
        <w:rPr>
          <w:szCs w:val="22"/>
          <w:lang w:val="sk-SK"/>
        </w:rPr>
        <w:t>Hepatálna insuficiencia, akútna intoxikácia alkoh</w:t>
      </w:r>
      <w:smartTag w:uri="urn:schemas-microsoft-com:office:smarttags" w:element="PersonName">
        <w:r w:rsidRPr="00D4385F">
          <w:rPr>
            <w:szCs w:val="22"/>
            <w:lang w:val="sk-SK"/>
          </w:rPr>
          <w:t>olo</w:t>
        </w:r>
      </w:smartTag>
      <w:r w:rsidRPr="00D4385F">
        <w:rPr>
          <w:szCs w:val="22"/>
          <w:lang w:val="sk-SK"/>
        </w:rPr>
        <w:t>m, alkoholizmus.</w:t>
      </w:r>
    </w:p>
    <w:p w:rsidR="003904D4" w:rsidRPr="00C7387E" w:rsidRDefault="008651A0" w:rsidP="00413BDA">
      <w:pPr>
        <w:pStyle w:val="Nadpis3"/>
        <w:rPr>
          <w:lang w:val="sk-SK"/>
        </w:rPr>
      </w:pPr>
      <w:r w:rsidRPr="00C7387E">
        <w:rPr>
          <w:lang w:val="sk-SK"/>
        </w:rPr>
        <w:t>4.4</w:t>
      </w:r>
      <w:r w:rsidRPr="00C7387E">
        <w:rPr>
          <w:lang w:val="sk-SK"/>
        </w:rPr>
        <w:tab/>
      </w:r>
      <w:r w:rsidRPr="00C7387E">
        <w:rPr>
          <w:lang w:val="sk-SK"/>
        </w:rPr>
        <w:tab/>
      </w:r>
      <w:r w:rsidRPr="00C7387E">
        <w:rPr>
          <w:lang w:val="sk-SK"/>
        </w:rPr>
        <w:tab/>
      </w:r>
      <w:r w:rsidR="00C65C6C" w:rsidRPr="00C65C6C">
        <w:rPr>
          <w:szCs w:val="22"/>
          <w:lang w:val="sk-SK"/>
        </w:rPr>
        <w:t>Osobitné upozornenia a opatrenia pri používaní</w:t>
      </w:r>
    </w:p>
    <w:p w:rsidR="00C65C6C" w:rsidRDefault="00C65C6C" w:rsidP="00C65C6C">
      <w:pPr>
        <w:rPr>
          <w:b/>
          <w:bCs/>
          <w:szCs w:val="26"/>
          <w:lang w:val="sk-SK"/>
        </w:rPr>
      </w:pPr>
    </w:p>
    <w:p w:rsidR="00C65C6C" w:rsidRPr="00C65C6C" w:rsidRDefault="00C65C6C" w:rsidP="00C65C6C">
      <w:pPr>
        <w:pBdr>
          <w:top w:val="single" w:sz="4" w:space="1" w:color="auto"/>
          <w:left w:val="single" w:sz="4" w:space="4" w:color="auto"/>
          <w:bottom w:val="single" w:sz="4" w:space="1" w:color="auto"/>
          <w:right w:val="single" w:sz="4" w:space="4" w:color="auto"/>
        </w:pBdr>
        <w:rPr>
          <w:b/>
          <w:bCs/>
          <w:szCs w:val="26"/>
          <w:lang w:val="sk-SK"/>
        </w:rPr>
      </w:pPr>
      <w:r w:rsidRPr="00C65C6C">
        <w:rPr>
          <w:b/>
          <w:bCs/>
          <w:szCs w:val="26"/>
          <w:lang w:val="sk-SK"/>
        </w:rPr>
        <w:t>Laktátová acidóza</w:t>
      </w:r>
    </w:p>
    <w:p w:rsidR="00C65C6C" w:rsidRDefault="00C65C6C" w:rsidP="00DD6DC6">
      <w:pPr>
        <w:pBdr>
          <w:top w:val="single" w:sz="4" w:space="1" w:color="auto"/>
          <w:left w:val="single" w:sz="4" w:space="4" w:color="auto"/>
          <w:bottom w:val="single" w:sz="4" w:space="1" w:color="auto"/>
          <w:right w:val="single" w:sz="4" w:space="4" w:color="auto"/>
        </w:pBdr>
        <w:rPr>
          <w:lang w:val="sk-SK"/>
        </w:rPr>
      </w:pPr>
    </w:p>
    <w:p w:rsidR="00DD6DC6" w:rsidRPr="00C7387E" w:rsidRDefault="00C65C6C" w:rsidP="00DD6DC6">
      <w:pPr>
        <w:pBdr>
          <w:top w:val="single" w:sz="4" w:space="1" w:color="auto"/>
          <w:left w:val="single" w:sz="4" w:space="4" w:color="auto"/>
          <w:bottom w:val="single" w:sz="4" w:space="1" w:color="auto"/>
          <w:right w:val="single" w:sz="4" w:space="4" w:color="auto"/>
        </w:pBdr>
        <w:rPr>
          <w:lang w:val="sk-SK"/>
        </w:rPr>
      </w:pPr>
      <w:r w:rsidRPr="00C65C6C">
        <w:rPr>
          <w:lang w:val="sk-SK"/>
        </w:rPr>
        <w:t>Laktátová acidóza, veľmi zriedkavá, ale závažná metabolická komplikácia, ktorá sa najčastejšie vyskytuje pri akútnom zhoršení funkcie obličiek alebo pri kardiorespiračnom ochorení či sepse. Akumulácia metformínu sa objavuje pri akútnom zhoršení funkcie obličiek a zvyšuje riziko laktátovej acidózy.</w:t>
      </w:r>
      <w:r w:rsidR="00DD6DC6" w:rsidRPr="00C7387E">
        <w:rPr>
          <w:lang w:val="sk-SK"/>
        </w:rPr>
        <w:t xml:space="preserve"> </w:t>
      </w:r>
    </w:p>
    <w:p w:rsidR="00DD6DC6" w:rsidRPr="00C7387E" w:rsidRDefault="00DD6DC6" w:rsidP="00DD6DC6">
      <w:pPr>
        <w:pBdr>
          <w:top w:val="single" w:sz="4" w:space="1" w:color="auto"/>
          <w:left w:val="single" w:sz="4" w:space="4" w:color="auto"/>
          <w:bottom w:val="single" w:sz="4" w:space="1" w:color="auto"/>
          <w:right w:val="single" w:sz="4" w:space="4" w:color="auto"/>
        </w:pBdr>
        <w:rPr>
          <w:lang w:val="sk-SK"/>
        </w:rPr>
      </w:pPr>
    </w:p>
    <w:p w:rsidR="00DD6DC6" w:rsidRPr="00C7387E" w:rsidRDefault="00C65C6C" w:rsidP="00DD6DC6">
      <w:pPr>
        <w:pBdr>
          <w:top w:val="single" w:sz="4" w:space="1" w:color="auto"/>
          <w:left w:val="single" w:sz="4" w:space="4" w:color="auto"/>
          <w:bottom w:val="single" w:sz="4" w:space="1" w:color="auto"/>
          <w:right w:val="single" w:sz="4" w:space="4" w:color="auto"/>
        </w:pBdr>
        <w:rPr>
          <w:lang w:val="sk-SK"/>
        </w:rPr>
      </w:pPr>
      <w:r w:rsidRPr="00D4385F">
        <w:rPr>
          <w:szCs w:val="22"/>
          <w:lang w:val="sk-SK"/>
        </w:rPr>
        <w:t>V prípade dehydratácie (závažná hnačka alebo vracanie, horúčka alebo znížený príjem tekutín) je potrebné dočasne prerušiť podávanie metformínu a odporúča sa kontaktovať zdravotníckeho pracovníka.</w:t>
      </w:r>
    </w:p>
    <w:p w:rsidR="00DD6DC6" w:rsidRPr="00C7387E" w:rsidRDefault="00DD6DC6" w:rsidP="00DD6DC6">
      <w:pPr>
        <w:pBdr>
          <w:top w:val="single" w:sz="4" w:space="1" w:color="auto"/>
          <w:left w:val="single" w:sz="4" w:space="4" w:color="auto"/>
          <w:bottom w:val="single" w:sz="4" w:space="1" w:color="auto"/>
          <w:right w:val="single" w:sz="4" w:space="4" w:color="auto"/>
        </w:pBdr>
        <w:rPr>
          <w:lang w:val="sk-SK"/>
        </w:rPr>
      </w:pPr>
    </w:p>
    <w:p w:rsidR="00DD6DC6" w:rsidRPr="00C7387E" w:rsidRDefault="00C65C6C" w:rsidP="00DD6DC6">
      <w:pPr>
        <w:pBdr>
          <w:top w:val="single" w:sz="4" w:space="1" w:color="auto"/>
          <w:left w:val="single" w:sz="4" w:space="4" w:color="auto"/>
          <w:bottom w:val="single" w:sz="4" w:space="1" w:color="auto"/>
          <w:right w:val="single" w:sz="4" w:space="4" w:color="auto"/>
        </w:pBdr>
        <w:rPr>
          <w:lang w:val="sk-SK"/>
        </w:rPr>
      </w:pPr>
      <w:r w:rsidRPr="00D4385F">
        <w:rPr>
          <w:szCs w:val="22"/>
          <w:lang w:val="sk-SK"/>
        </w:rPr>
        <w:t>Lieky, ktoré môžu akútne narušiť funkciu obličiek (ako napríklad antihypertenzíva, diuretiká a NSAID) sa majú u pacientov liečených metformínom začať podávať s opatrnosťou. Ďalšie rizikové faktory laktátovej acidózy sú nadmerné požívanie alkoholu, hepatálna insuficiencia, nedostatočne kompenzovaný diabetes mellitus, ketóza, dlhotrvajúce hladovanie a akékoľvek stavy spojené s hypoxiou, ako aj súbežné používanie liekov, ktoré môžu spôsobiť laktátovú acidózu (pozri časti 4.3 a 4.5).</w:t>
      </w:r>
      <w:r>
        <w:rPr>
          <w:szCs w:val="22"/>
          <w:lang w:val="sk-SK"/>
        </w:rPr>
        <w:t xml:space="preserve"> </w:t>
      </w:r>
    </w:p>
    <w:p w:rsidR="00DD6DC6" w:rsidRPr="00C7387E" w:rsidRDefault="00DD6DC6" w:rsidP="00DD6DC6">
      <w:pPr>
        <w:pBdr>
          <w:top w:val="single" w:sz="4" w:space="1" w:color="auto"/>
          <w:left w:val="single" w:sz="4" w:space="4" w:color="auto"/>
          <w:bottom w:val="single" w:sz="4" w:space="1" w:color="auto"/>
          <w:right w:val="single" w:sz="4" w:space="4" w:color="auto"/>
        </w:pBdr>
        <w:rPr>
          <w:lang w:val="sk-SK"/>
        </w:rPr>
      </w:pPr>
    </w:p>
    <w:p w:rsidR="00DD6DC6" w:rsidRPr="00C7387E" w:rsidRDefault="00C65C6C" w:rsidP="00DD6DC6">
      <w:pPr>
        <w:pBdr>
          <w:top w:val="single" w:sz="4" w:space="1" w:color="auto"/>
          <w:left w:val="single" w:sz="4" w:space="4" w:color="auto"/>
          <w:bottom w:val="single" w:sz="4" w:space="1" w:color="auto"/>
          <w:right w:val="single" w:sz="4" w:space="4" w:color="auto"/>
        </w:pBdr>
        <w:rPr>
          <w:lang w:val="sk-SK"/>
        </w:rPr>
      </w:pPr>
      <w:r w:rsidRPr="00D4385F">
        <w:rPr>
          <w:szCs w:val="22"/>
          <w:lang w:val="sk-SK"/>
        </w:rPr>
        <w:t>Pacienti a/alebo ošetrovatelia musia byť informovaní o riziku laktátovej acidózy. Laktátová acidóza je charakterizovaná acidotickým dyspnoe, bolesťou brucha, svalovými kŕčmi, asténiou a hypotermiou, po ktorých nasleduje kóma. V prípade podozrenia na výskyt príznakov musí pacient prestať užívať metformín a vyhľadať okamžité lekárske ošetrenie. Diagnostickými laboratórnymi nálezmi sú znížená hodnota pH krvi (&lt; 7,35), zvýšené plazmatické hladiny laktátu (&gt;5 mmol/</w:t>
      </w:r>
      <w:r w:rsidR="00074829">
        <w:rPr>
          <w:szCs w:val="22"/>
          <w:lang w:val="sk-SK"/>
        </w:rPr>
        <w:t>l</w:t>
      </w:r>
      <w:r w:rsidRPr="00D4385F">
        <w:rPr>
          <w:szCs w:val="22"/>
          <w:lang w:val="sk-SK"/>
        </w:rPr>
        <w:t>) a zvýšená aniónová medzera a pomer laktátu/pyruvátu.</w:t>
      </w:r>
    </w:p>
    <w:p w:rsidR="00DD6DC6" w:rsidRPr="00C7387E" w:rsidRDefault="00DD6DC6" w:rsidP="00DD6DC6">
      <w:pPr>
        <w:pBdr>
          <w:top w:val="single" w:sz="4" w:space="1" w:color="auto"/>
          <w:left w:val="single" w:sz="4" w:space="4" w:color="auto"/>
          <w:bottom w:val="single" w:sz="4" w:space="1" w:color="auto"/>
          <w:right w:val="single" w:sz="4" w:space="4" w:color="auto"/>
        </w:pBdr>
        <w:rPr>
          <w:lang w:val="sk-SK"/>
        </w:rPr>
      </w:pPr>
    </w:p>
    <w:p w:rsidR="00DD6DC6" w:rsidRPr="00C7387E" w:rsidRDefault="00C65C6C" w:rsidP="00DD6DC6">
      <w:pPr>
        <w:pBdr>
          <w:top w:val="single" w:sz="4" w:space="1" w:color="auto"/>
          <w:left w:val="single" w:sz="4" w:space="4" w:color="auto"/>
          <w:bottom w:val="single" w:sz="4" w:space="1" w:color="auto"/>
          <w:right w:val="single" w:sz="4" w:space="4" w:color="auto"/>
        </w:pBdr>
        <w:rPr>
          <w:lang w:val="sk-SK"/>
        </w:rPr>
      </w:pPr>
      <w:r w:rsidRPr="00D4385F">
        <w:rPr>
          <w:szCs w:val="22"/>
          <w:lang w:val="sk-SK"/>
        </w:rPr>
        <w:t>Lekár musí informovať pacientov o riziku a príznakoch laktátovej acidózy.</w:t>
      </w:r>
    </w:p>
    <w:p w:rsidR="00593A81" w:rsidRPr="00C7387E" w:rsidRDefault="00DA42EC" w:rsidP="00413BDA">
      <w:pPr>
        <w:shd w:val="clear" w:color="auto" w:fill="FFFFFF"/>
        <w:spacing w:before="120" w:after="120"/>
        <w:rPr>
          <w:color w:val="000000"/>
          <w:szCs w:val="22"/>
          <w:lang w:val="sk-SK" w:eastAsia="de-DE"/>
        </w:rPr>
      </w:pPr>
      <w:r>
        <w:rPr>
          <w:color w:val="000000"/>
          <w:szCs w:val="22"/>
          <w:u w:val="single"/>
          <w:lang w:val="sk-SK" w:eastAsia="de-DE"/>
        </w:rPr>
        <w:t>Funkcia obličiek</w:t>
      </w:r>
    </w:p>
    <w:p w:rsidR="00DA42EC" w:rsidRPr="00D4385F" w:rsidRDefault="00696361">
      <w:pPr>
        <w:adjustRightInd w:val="0"/>
        <w:rPr>
          <w:szCs w:val="22"/>
          <w:lang w:val="sk-SK"/>
        </w:rPr>
      </w:pPr>
      <w:r w:rsidRPr="00696361">
        <w:rPr>
          <w:color w:val="000000"/>
          <w:szCs w:val="22"/>
          <w:lang w:val="sk-SK" w:eastAsia="de-DE"/>
        </w:rPr>
        <w:t>GFR sa má stanoviť pred začatím liečby a potom v pravidelných intervaloch, pozri časť 4.2.</w:t>
      </w:r>
      <w:r w:rsidR="00593A81" w:rsidRPr="00C7387E">
        <w:rPr>
          <w:color w:val="000000"/>
          <w:szCs w:val="22"/>
          <w:lang w:val="sk-SK" w:eastAsia="de-DE"/>
        </w:rPr>
        <w:t xml:space="preserve"> </w:t>
      </w:r>
      <w:r w:rsidR="00DA42EC" w:rsidRPr="00D4385F">
        <w:rPr>
          <w:szCs w:val="22"/>
          <w:lang w:val="sk-SK"/>
        </w:rPr>
        <w:t>Metformín je kontraindikovaný u pacientov s GFR &lt; 30 ml/min a v prípade výskytu stavov, pri ktorých dochádza k zmene funkcie obličiek, je potrebné ho dočasne prestať podávať, pozri časť 4.3.</w:t>
      </w:r>
    </w:p>
    <w:p w:rsidR="00593A81" w:rsidRPr="00C7387E" w:rsidRDefault="00593A81" w:rsidP="00413BDA">
      <w:pPr>
        <w:shd w:val="clear" w:color="auto" w:fill="FFFFFF"/>
        <w:rPr>
          <w:color w:val="000000"/>
          <w:szCs w:val="22"/>
          <w:lang w:val="sk-SK" w:eastAsia="de-DE"/>
        </w:rPr>
      </w:pPr>
    </w:p>
    <w:p w:rsidR="00696361" w:rsidRPr="00696361" w:rsidRDefault="00696361" w:rsidP="00413BDA">
      <w:pPr>
        <w:shd w:val="clear" w:color="auto" w:fill="FFFFFF"/>
        <w:spacing w:before="120" w:after="120"/>
        <w:rPr>
          <w:color w:val="000000"/>
          <w:szCs w:val="22"/>
          <w:lang w:val="sk-SK" w:eastAsia="de-DE"/>
        </w:rPr>
      </w:pPr>
      <w:r w:rsidRPr="00696361">
        <w:rPr>
          <w:color w:val="000000"/>
          <w:szCs w:val="22"/>
          <w:u w:val="single"/>
          <w:lang w:val="sk-SK" w:eastAsia="de-DE"/>
        </w:rPr>
        <w:t xml:space="preserve">Funkcia srdca </w:t>
      </w:r>
    </w:p>
    <w:p w:rsidR="00696361" w:rsidRPr="00696361" w:rsidRDefault="00696361" w:rsidP="00413BDA">
      <w:pPr>
        <w:shd w:val="clear" w:color="auto" w:fill="FFFFFF"/>
        <w:rPr>
          <w:color w:val="000000"/>
          <w:szCs w:val="22"/>
          <w:lang w:val="sk-SK" w:eastAsia="de-DE"/>
        </w:rPr>
      </w:pPr>
      <w:r w:rsidRPr="00696361">
        <w:rPr>
          <w:color w:val="000000"/>
          <w:szCs w:val="22"/>
          <w:lang w:val="sk-SK" w:eastAsia="de-DE"/>
        </w:rPr>
        <w:t xml:space="preserve">U pacientov so srdcovým </w:t>
      </w:r>
      <w:r w:rsidR="005E776E">
        <w:rPr>
          <w:color w:val="000000"/>
          <w:szCs w:val="22"/>
          <w:lang w:val="sk-SK" w:eastAsia="de-DE"/>
        </w:rPr>
        <w:t>zlyhávaním</w:t>
      </w:r>
      <w:r w:rsidR="005E776E" w:rsidRPr="00696361">
        <w:rPr>
          <w:color w:val="000000"/>
          <w:szCs w:val="22"/>
          <w:lang w:val="sk-SK" w:eastAsia="de-DE"/>
        </w:rPr>
        <w:t xml:space="preserve"> </w:t>
      </w:r>
      <w:r w:rsidRPr="00696361">
        <w:rPr>
          <w:color w:val="000000"/>
          <w:szCs w:val="22"/>
          <w:lang w:val="sk-SK" w:eastAsia="de-DE"/>
        </w:rPr>
        <w:t xml:space="preserve">je zvýšené riziko hypoxie a renálnej insuficiencie. Pacienti so stabilným chronickým srdcovým </w:t>
      </w:r>
      <w:r w:rsidR="005E776E">
        <w:rPr>
          <w:color w:val="000000"/>
          <w:szCs w:val="22"/>
          <w:lang w:val="sk-SK" w:eastAsia="de-DE"/>
        </w:rPr>
        <w:t>zlyyhávaním</w:t>
      </w:r>
      <w:r w:rsidR="005E776E" w:rsidRPr="00696361">
        <w:rPr>
          <w:color w:val="000000"/>
          <w:szCs w:val="22"/>
          <w:lang w:val="sk-SK" w:eastAsia="de-DE"/>
        </w:rPr>
        <w:t xml:space="preserve"> </w:t>
      </w:r>
      <w:r w:rsidRPr="00696361">
        <w:rPr>
          <w:color w:val="000000"/>
          <w:szCs w:val="22"/>
          <w:lang w:val="sk-SK" w:eastAsia="de-DE"/>
        </w:rPr>
        <w:t>môžu užívať metformín vtedy, ak sa pravidelne monitoruje funkcia srdca a obličiek.</w:t>
      </w:r>
    </w:p>
    <w:p w:rsidR="00696361" w:rsidRPr="00696361" w:rsidRDefault="00696361" w:rsidP="00413BDA">
      <w:pPr>
        <w:shd w:val="clear" w:color="auto" w:fill="FFFFFF"/>
        <w:rPr>
          <w:color w:val="000000"/>
          <w:szCs w:val="22"/>
          <w:lang w:val="sk-SK" w:eastAsia="de-DE"/>
        </w:rPr>
      </w:pPr>
    </w:p>
    <w:p w:rsidR="00593A81" w:rsidRPr="00C7387E" w:rsidRDefault="00696361" w:rsidP="00413BDA">
      <w:pPr>
        <w:shd w:val="clear" w:color="auto" w:fill="FFFFFF"/>
        <w:rPr>
          <w:color w:val="000000"/>
          <w:szCs w:val="22"/>
          <w:lang w:val="sk-SK" w:eastAsia="de-DE"/>
        </w:rPr>
      </w:pPr>
      <w:r w:rsidRPr="00696361">
        <w:rPr>
          <w:color w:val="000000"/>
          <w:szCs w:val="22"/>
          <w:lang w:val="sk-SK" w:eastAsia="de-DE"/>
        </w:rPr>
        <w:t xml:space="preserve">U pacientov s akútnym a nestabilným srdcovým </w:t>
      </w:r>
      <w:r w:rsidR="005E776E">
        <w:rPr>
          <w:color w:val="000000"/>
          <w:szCs w:val="22"/>
          <w:lang w:val="sk-SK" w:eastAsia="de-DE"/>
        </w:rPr>
        <w:t>zlyhávaním</w:t>
      </w:r>
      <w:r w:rsidR="005E776E" w:rsidRPr="00696361">
        <w:rPr>
          <w:color w:val="000000"/>
          <w:szCs w:val="22"/>
          <w:lang w:val="sk-SK" w:eastAsia="de-DE"/>
        </w:rPr>
        <w:t xml:space="preserve"> </w:t>
      </w:r>
      <w:r w:rsidRPr="00696361">
        <w:rPr>
          <w:color w:val="000000"/>
          <w:szCs w:val="22"/>
          <w:lang w:val="sk-SK" w:eastAsia="de-DE"/>
        </w:rPr>
        <w:t>je užívanie metformínu kontraindikované (pozri časť 4.3).</w:t>
      </w:r>
    </w:p>
    <w:p w:rsidR="00593A81" w:rsidRPr="00C7387E" w:rsidDel="00CC4EBD" w:rsidRDefault="00DA42EC" w:rsidP="00413BDA">
      <w:pPr>
        <w:shd w:val="clear" w:color="auto" w:fill="FFFFFF"/>
        <w:spacing w:before="120" w:after="120"/>
        <w:rPr>
          <w:color w:val="000000"/>
          <w:szCs w:val="22"/>
          <w:lang w:val="sk-SK" w:eastAsia="de-DE"/>
        </w:rPr>
      </w:pPr>
      <w:r w:rsidRPr="00DA42EC">
        <w:rPr>
          <w:color w:val="000000"/>
          <w:szCs w:val="22"/>
          <w:u w:val="single"/>
          <w:lang w:val="sk-SK" w:eastAsia="de-DE"/>
        </w:rPr>
        <w:t>Podanie jódovej kontrastnej látky</w:t>
      </w:r>
    </w:p>
    <w:p w:rsidR="00593A81" w:rsidRPr="00C7387E" w:rsidDel="00CC4EBD" w:rsidRDefault="00DA42EC" w:rsidP="00413BDA">
      <w:pPr>
        <w:shd w:val="clear" w:color="auto" w:fill="FFFFFF"/>
        <w:rPr>
          <w:color w:val="000000"/>
          <w:szCs w:val="22"/>
          <w:lang w:val="sk-SK" w:eastAsia="de-DE"/>
        </w:rPr>
      </w:pPr>
      <w:r w:rsidRPr="00DA42EC">
        <w:rPr>
          <w:color w:val="000000"/>
          <w:szCs w:val="22"/>
          <w:lang w:val="sk-SK" w:eastAsia="de-DE"/>
        </w:rPr>
        <w:t>Intravaskulárne podávanie jódových kontrastných látok môže viesť k nefropatii vyvolanej kontrastnou látkou, čo spôsobuje akumuláciu metformínu a zvýšené riziko laktátovej acidózy. Pred alebo v čase postupu zobrazovania je potrebné prerušiť podávanie metformínu a v podávaní pokračujte nie skôr ako po uplynutí minimálne 48 hodín, za predpokladu, že funkcia obličiek bola opätovne posúdená a považovaná za stabilnú, pozrite časti 4.2 a 4.5.</w:t>
      </w:r>
      <w:r w:rsidR="00593A81" w:rsidRPr="00C7387E" w:rsidDel="00CC4EBD">
        <w:rPr>
          <w:color w:val="000000"/>
          <w:szCs w:val="22"/>
          <w:lang w:val="sk-SK" w:eastAsia="de-DE"/>
        </w:rPr>
        <w:t xml:space="preserve"> </w:t>
      </w:r>
    </w:p>
    <w:p w:rsidR="00593A81" w:rsidRPr="00C7387E" w:rsidRDefault="008C5E00" w:rsidP="00413BDA">
      <w:pPr>
        <w:shd w:val="clear" w:color="auto" w:fill="FFFFFF"/>
        <w:spacing w:before="120" w:after="120"/>
        <w:rPr>
          <w:color w:val="000000"/>
          <w:szCs w:val="22"/>
          <w:lang w:val="sk-SK" w:eastAsia="de-DE"/>
        </w:rPr>
      </w:pPr>
      <w:r>
        <w:rPr>
          <w:color w:val="000000"/>
          <w:szCs w:val="22"/>
          <w:u w:val="single"/>
          <w:lang w:val="sk-SK" w:eastAsia="de-DE"/>
        </w:rPr>
        <w:t>Chirurgický zákrok</w:t>
      </w:r>
    </w:p>
    <w:p w:rsidR="00593A81" w:rsidRPr="00C7387E" w:rsidRDefault="008C5E00" w:rsidP="00413BDA">
      <w:pPr>
        <w:shd w:val="clear" w:color="auto" w:fill="FFFFFF"/>
        <w:rPr>
          <w:color w:val="000000"/>
          <w:szCs w:val="22"/>
          <w:lang w:val="sk-SK" w:eastAsia="de-DE"/>
        </w:rPr>
      </w:pPr>
      <w:r w:rsidRPr="00D4385F">
        <w:rPr>
          <w:szCs w:val="22"/>
          <w:lang w:val="sk-SK"/>
        </w:rPr>
        <w:t>Metformín sa musí vysadiť v čase chirurgického zákroku s celkovou, spinálnou alebo epidurálnou anestéziou. Liečba sa nesmie opätovne nasadiť skôr ako 48 hodín po chirurgickom zákroku alebo po obnovení perorálnej výživy a za predpoklady, že došlo k opätovnému vyhodnoteniu funkcie obličiek a pri zistení, že je stabilná.</w:t>
      </w:r>
    </w:p>
    <w:p w:rsidR="00593A81" w:rsidRPr="00C7387E" w:rsidRDefault="008C5E00" w:rsidP="00413BDA">
      <w:pPr>
        <w:shd w:val="clear" w:color="auto" w:fill="FFFFFF"/>
        <w:spacing w:before="120" w:after="120"/>
        <w:rPr>
          <w:color w:val="000000"/>
          <w:szCs w:val="22"/>
          <w:lang w:val="sk-SK" w:eastAsia="de-DE"/>
        </w:rPr>
      </w:pPr>
      <w:r>
        <w:rPr>
          <w:color w:val="000000"/>
          <w:szCs w:val="22"/>
          <w:u w:val="single"/>
          <w:lang w:val="sk-SK" w:eastAsia="de-DE"/>
        </w:rPr>
        <w:t>Iné opatrenia</w:t>
      </w:r>
    </w:p>
    <w:p w:rsidR="00593A81" w:rsidRPr="00C7387E" w:rsidRDefault="008C5E00" w:rsidP="00413BDA">
      <w:pPr>
        <w:shd w:val="clear" w:color="auto" w:fill="FFFFFF"/>
        <w:rPr>
          <w:color w:val="000000"/>
          <w:szCs w:val="22"/>
          <w:lang w:val="sk-SK" w:eastAsia="de-DE"/>
        </w:rPr>
      </w:pPr>
      <w:r w:rsidRPr="008C5E00">
        <w:rPr>
          <w:color w:val="000000"/>
          <w:szCs w:val="22"/>
          <w:lang w:val="sk-SK" w:eastAsia="de-DE"/>
        </w:rPr>
        <w:t>Všetci pacienti majú pokračovať v ich diéte s pravidelne rozdeleným denným príjmom uhľohydrátov. Pacienti s nadváhou majú pokračovať v ich nízkoenergetickej diéte.</w:t>
      </w:r>
    </w:p>
    <w:p w:rsidR="00B65B50" w:rsidRPr="00C7387E" w:rsidRDefault="00B65B50" w:rsidP="00413BDA">
      <w:pPr>
        <w:shd w:val="clear" w:color="auto" w:fill="FFFFFF"/>
        <w:rPr>
          <w:color w:val="000000"/>
          <w:szCs w:val="22"/>
          <w:lang w:val="sk-SK" w:eastAsia="de-DE"/>
        </w:rPr>
      </w:pPr>
    </w:p>
    <w:p w:rsidR="00593A81" w:rsidRPr="00C7387E" w:rsidRDefault="008C5E00" w:rsidP="00413BDA">
      <w:pPr>
        <w:shd w:val="clear" w:color="auto" w:fill="FFFFFF"/>
        <w:rPr>
          <w:color w:val="000000"/>
          <w:szCs w:val="22"/>
          <w:lang w:val="sk-SK" w:eastAsia="de-DE"/>
        </w:rPr>
      </w:pPr>
      <w:r w:rsidRPr="008C5E00">
        <w:rPr>
          <w:color w:val="000000"/>
          <w:szCs w:val="22"/>
          <w:lang w:val="sk-SK" w:eastAsia="de-DE"/>
        </w:rPr>
        <w:t>Pravidelne sa majú vykonávať zvyčajné laboratórne vyšetrenia na monitorovanie diabetu.</w:t>
      </w:r>
    </w:p>
    <w:p w:rsidR="00B65B50" w:rsidRPr="00C7387E" w:rsidRDefault="00B65B50" w:rsidP="00413BDA">
      <w:pPr>
        <w:shd w:val="clear" w:color="auto" w:fill="FFFFFF"/>
        <w:rPr>
          <w:color w:val="000000"/>
          <w:szCs w:val="22"/>
          <w:lang w:val="sk-SK" w:eastAsia="de-DE"/>
        </w:rPr>
      </w:pPr>
    </w:p>
    <w:p w:rsidR="00696361" w:rsidRPr="00696361" w:rsidRDefault="00696361" w:rsidP="00413BDA">
      <w:pPr>
        <w:shd w:val="clear" w:color="auto" w:fill="FFFFFF"/>
        <w:rPr>
          <w:color w:val="000000"/>
          <w:szCs w:val="22"/>
          <w:lang w:val="sk-SK" w:eastAsia="de-DE"/>
        </w:rPr>
      </w:pPr>
      <w:r w:rsidRPr="00696361">
        <w:rPr>
          <w:color w:val="000000"/>
          <w:szCs w:val="22"/>
          <w:lang w:val="sk-SK" w:eastAsia="de-DE"/>
        </w:rPr>
        <w:t>Hoci samotný metformín nikdy nespôsobuje hypoglykémiu, opatrnosť sa odporúča pri jeho užívaní v kombinácii s inzulínom alebo inými perorálnymi antidiabetikami (napr. deriváty sulfonylurey alebo meglitinidy).</w:t>
      </w:r>
    </w:p>
    <w:p w:rsidR="00696361" w:rsidRPr="00696361" w:rsidRDefault="00696361" w:rsidP="00413BDA">
      <w:pPr>
        <w:shd w:val="clear" w:color="auto" w:fill="FFFFFF"/>
        <w:rPr>
          <w:color w:val="000000"/>
          <w:szCs w:val="22"/>
          <w:lang w:val="sk-SK" w:eastAsia="de-DE"/>
        </w:rPr>
      </w:pPr>
    </w:p>
    <w:p w:rsidR="00696361" w:rsidRPr="00696361" w:rsidRDefault="00696361" w:rsidP="00413BDA">
      <w:pPr>
        <w:shd w:val="clear" w:color="auto" w:fill="FFFFFF"/>
        <w:rPr>
          <w:color w:val="000000"/>
          <w:szCs w:val="22"/>
          <w:lang w:val="sk-SK" w:eastAsia="de-DE"/>
        </w:rPr>
      </w:pPr>
      <w:r w:rsidRPr="00696361">
        <w:rPr>
          <w:color w:val="000000"/>
          <w:szCs w:val="22"/>
          <w:lang w:val="sk-SK" w:eastAsia="de-DE"/>
        </w:rPr>
        <w:t>V stolici môžu byť prítomné obaly tabliet. Pacientov je potrebné upozorniť na to, že sa jedná o normálny jav.</w:t>
      </w:r>
    </w:p>
    <w:p w:rsidR="00696361" w:rsidRPr="00696361" w:rsidRDefault="00696361" w:rsidP="00413BDA">
      <w:pPr>
        <w:shd w:val="clear" w:color="auto" w:fill="FFFFFF"/>
        <w:rPr>
          <w:color w:val="000000"/>
          <w:szCs w:val="22"/>
          <w:lang w:val="sk-SK" w:eastAsia="de-DE"/>
        </w:rPr>
      </w:pPr>
    </w:p>
    <w:p w:rsidR="00AA2671" w:rsidRPr="00C7387E" w:rsidRDefault="00696361" w:rsidP="00413BDA">
      <w:pPr>
        <w:autoSpaceDE w:val="0"/>
        <w:autoSpaceDN w:val="0"/>
        <w:adjustRightInd w:val="0"/>
        <w:rPr>
          <w:sz w:val="24"/>
          <w:szCs w:val="24"/>
          <w:lang w:val="sk-SK"/>
        </w:rPr>
      </w:pPr>
      <w:r w:rsidRPr="00696361">
        <w:rPr>
          <w:szCs w:val="22"/>
          <w:lang w:val="sk-SK"/>
        </w:rPr>
        <w:t>Tento liek obsahuje menej ako 1 mmol sodíka (23 mg) v tablete, t.j. v podstate zanedbateľné množstvo sodíka</w:t>
      </w:r>
      <w:r w:rsidRPr="00696361">
        <w:rPr>
          <w:sz w:val="24"/>
          <w:szCs w:val="24"/>
          <w:lang w:val="sk-SK"/>
        </w:rPr>
        <w:t>.</w:t>
      </w:r>
    </w:p>
    <w:p w:rsidR="00106490" w:rsidRPr="00C7387E" w:rsidRDefault="00DA6CCE" w:rsidP="00413BDA">
      <w:pPr>
        <w:pStyle w:val="Nadpis3"/>
        <w:rPr>
          <w:lang w:val="sk-SK"/>
        </w:rPr>
      </w:pPr>
      <w:r w:rsidRPr="00C7387E">
        <w:rPr>
          <w:lang w:val="sk-SK"/>
        </w:rPr>
        <w:t>4.5</w:t>
      </w:r>
      <w:r w:rsidR="008651A0" w:rsidRPr="00C7387E">
        <w:rPr>
          <w:lang w:val="sk-SK"/>
        </w:rPr>
        <w:tab/>
      </w:r>
      <w:r w:rsidR="008651A0" w:rsidRPr="00C7387E">
        <w:rPr>
          <w:lang w:val="sk-SK"/>
        </w:rPr>
        <w:tab/>
      </w:r>
      <w:r w:rsidRPr="00C7387E">
        <w:rPr>
          <w:lang w:val="sk-SK"/>
        </w:rPr>
        <w:tab/>
      </w:r>
      <w:r w:rsidR="00356C80">
        <w:rPr>
          <w:lang w:val="sk-SK"/>
        </w:rPr>
        <w:t>Liekové a iné interakcie</w:t>
      </w:r>
    </w:p>
    <w:p w:rsidR="00240E95" w:rsidRPr="00240E95" w:rsidRDefault="00240E95">
      <w:pPr>
        <w:rPr>
          <w:szCs w:val="22"/>
          <w:u w:val="single"/>
          <w:lang w:val="sk-SK"/>
        </w:rPr>
      </w:pPr>
      <w:r w:rsidRPr="00D4385F">
        <w:rPr>
          <w:szCs w:val="22"/>
          <w:u w:val="single"/>
          <w:lang w:val="sk-SK"/>
        </w:rPr>
        <w:t>Súbežn</w:t>
      </w:r>
      <w:r>
        <w:rPr>
          <w:szCs w:val="22"/>
          <w:u w:val="single"/>
          <w:lang w:val="sk-SK"/>
        </w:rPr>
        <w:t>é užívanie, ktoré sa neodporúča</w:t>
      </w:r>
    </w:p>
    <w:p w:rsidR="00B65B50" w:rsidRPr="00C7387E" w:rsidRDefault="00B65B50" w:rsidP="00413BDA">
      <w:pPr>
        <w:shd w:val="clear" w:color="auto" w:fill="FFFFFF"/>
        <w:spacing w:before="120" w:after="120"/>
        <w:rPr>
          <w:color w:val="000000"/>
          <w:szCs w:val="22"/>
          <w:lang w:val="sk-SK" w:eastAsia="de-DE"/>
        </w:rPr>
      </w:pPr>
      <w:r w:rsidRPr="00C7387E">
        <w:rPr>
          <w:i/>
          <w:iCs/>
          <w:color w:val="000000"/>
          <w:szCs w:val="22"/>
          <w:lang w:val="sk-SK" w:eastAsia="de-DE"/>
        </w:rPr>
        <w:t>Al</w:t>
      </w:r>
      <w:r w:rsidR="00240E95">
        <w:rPr>
          <w:i/>
          <w:iCs/>
          <w:color w:val="000000"/>
          <w:szCs w:val="22"/>
          <w:lang w:val="sk-SK" w:eastAsia="de-DE"/>
        </w:rPr>
        <w:t>kohol</w:t>
      </w:r>
    </w:p>
    <w:p w:rsidR="00240E95" w:rsidRPr="00D4385F" w:rsidRDefault="00240E95">
      <w:pPr>
        <w:adjustRightInd w:val="0"/>
        <w:rPr>
          <w:szCs w:val="22"/>
          <w:lang w:val="sk-SK"/>
        </w:rPr>
      </w:pPr>
      <w:r w:rsidRPr="00D4385F">
        <w:rPr>
          <w:szCs w:val="22"/>
          <w:lang w:val="sk-SK"/>
        </w:rPr>
        <w:t>Intoxikácia alkoholom je spojená so zvýšeným rizikom laktátovej acidózy najmä v prípad</w:t>
      </w:r>
      <w:r>
        <w:rPr>
          <w:szCs w:val="22"/>
          <w:lang w:val="sk-SK"/>
        </w:rPr>
        <w:t>e</w:t>
      </w:r>
    </w:p>
    <w:p w:rsidR="00B65B50" w:rsidRPr="00C7387E" w:rsidRDefault="00240E95" w:rsidP="00413BDA">
      <w:pPr>
        <w:shd w:val="clear" w:color="auto" w:fill="FFFFFF"/>
        <w:rPr>
          <w:color w:val="000000"/>
          <w:szCs w:val="22"/>
          <w:lang w:val="sk-SK" w:eastAsia="de-DE"/>
        </w:rPr>
      </w:pPr>
      <w:r w:rsidRPr="00D4385F">
        <w:rPr>
          <w:szCs w:val="22"/>
          <w:lang w:val="sk-SK"/>
        </w:rPr>
        <w:t>hladovania, nedostatočnej výživy alebo poruchy funkcie pečene.</w:t>
      </w:r>
    </w:p>
    <w:p w:rsidR="00B65B50" w:rsidRPr="00C7387E" w:rsidRDefault="000A1BCC" w:rsidP="00413BDA">
      <w:pPr>
        <w:shd w:val="clear" w:color="auto" w:fill="FFFFFF"/>
        <w:spacing w:before="120" w:after="120"/>
        <w:rPr>
          <w:color w:val="000000"/>
          <w:szCs w:val="22"/>
          <w:lang w:val="sk-SK" w:eastAsia="de-DE"/>
        </w:rPr>
      </w:pPr>
      <w:r>
        <w:rPr>
          <w:i/>
          <w:iCs/>
          <w:color w:val="000000"/>
          <w:szCs w:val="22"/>
          <w:lang w:val="sk-SK" w:eastAsia="de-DE"/>
        </w:rPr>
        <w:t>Jódové kontrastné látky</w:t>
      </w:r>
    </w:p>
    <w:p w:rsidR="00B65B50" w:rsidRPr="00C7387E" w:rsidRDefault="000A1BCC" w:rsidP="00413BDA">
      <w:pPr>
        <w:shd w:val="clear" w:color="auto" w:fill="FFFFFF"/>
        <w:rPr>
          <w:color w:val="000000"/>
          <w:szCs w:val="22"/>
          <w:lang w:val="sk-SK" w:eastAsia="de-DE"/>
        </w:rPr>
      </w:pPr>
      <w:r w:rsidRPr="00D4385F">
        <w:rPr>
          <w:szCs w:val="22"/>
          <w:lang w:val="sk-SK"/>
        </w:rPr>
        <w:t>Pred zobrazovacím vyšetrením alebo v čase zobrazovacieho vyšetrenia sa metformín musí vysadiť a nesmie sa opätovne nasadiť, kým neuplynie minimálne 48 hodín potom, za predpokladu, že došlo k opätovnému vyhodnoteniu funkcie obličiek a zistilo sa, že je stabilná, pozri časti 4.2 a 4.4.</w:t>
      </w:r>
    </w:p>
    <w:p w:rsidR="00B65B50" w:rsidRPr="00C7387E" w:rsidRDefault="000A1BCC" w:rsidP="00413BDA">
      <w:pPr>
        <w:shd w:val="clear" w:color="auto" w:fill="FFFFFF"/>
        <w:spacing w:before="120" w:after="120"/>
        <w:rPr>
          <w:color w:val="000000"/>
          <w:szCs w:val="22"/>
          <w:lang w:val="sk-SK" w:eastAsia="de-DE"/>
        </w:rPr>
      </w:pPr>
      <w:r>
        <w:rPr>
          <w:color w:val="000000"/>
          <w:szCs w:val="22"/>
          <w:u w:val="single"/>
          <w:lang w:val="sk-SK" w:eastAsia="de-DE"/>
        </w:rPr>
        <w:t>Kombinácia, pri ktorej sa vyžaduje opatrnosť pri používaní</w:t>
      </w:r>
    </w:p>
    <w:p w:rsidR="00B65B50" w:rsidRPr="00C7387E" w:rsidRDefault="005175E2" w:rsidP="00413BDA">
      <w:pPr>
        <w:shd w:val="clear" w:color="auto" w:fill="FFFFFF"/>
        <w:rPr>
          <w:color w:val="000000"/>
          <w:szCs w:val="22"/>
          <w:lang w:val="sk-SK" w:eastAsia="de-DE"/>
        </w:rPr>
      </w:pPr>
      <w:r w:rsidRPr="005175E2">
        <w:rPr>
          <w:color w:val="000000"/>
          <w:szCs w:val="22"/>
          <w:lang w:val="sk-SK" w:eastAsia="de-DE"/>
        </w:rPr>
        <w:t>Niektoré lieky môžu nežiaduco ovplyvňovať funkciu obličiek, čo môže zvýšiť riziko laktátovej acidózy,</w:t>
      </w:r>
      <w:r w:rsidR="007F7648">
        <w:rPr>
          <w:color w:val="000000"/>
          <w:szCs w:val="22"/>
          <w:lang w:val="sk-SK" w:eastAsia="de-DE"/>
        </w:rPr>
        <w:t xml:space="preserve"> </w:t>
      </w:r>
      <w:r w:rsidRPr="005175E2">
        <w:rPr>
          <w:color w:val="000000"/>
          <w:szCs w:val="22"/>
          <w:lang w:val="sk-SK" w:eastAsia="de-DE"/>
        </w:rPr>
        <w:t>napr. NSAID vrátane selektívnych inhibítorov cyklooxygenázy II (COX), inhibítorov ACE, antagonistov receptora angiotenzínu II a diuretík, obzvlášť kľučkových diuretík.</w:t>
      </w:r>
      <w:r w:rsidR="00B65B50" w:rsidRPr="00C7387E">
        <w:rPr>
          <w:color w:val="000000"/>
          <w:szCs w:val="22"/>
          <w:lang w:val="sk-SK" w:eastAsia="de-DE"/>
        </w:rPr>
        <w:t xml:space="preserve"> </w:t>
      </w:r>
      <w:r w:rsidRPr="00D4385F">
        <w:rPr>
          <w:szCs w:val="22"/>
          <w:lang w:val="sk-SK"/>
        </w:rPr>
        <w:t>Ak sa začína používať alebo používa takýto liek v kombinácii s metformínom, je potrebné dôkladné monitorovanie funkcie obličiek</w:t>
      </w:r>
      <w:r>
        <w:rPr>
          <w:szCs w:val="22"/>
          <w:lang w:val="sk-SK"/>
        </w:rPr>
        <w:t>.</w:t>
      </w:r>
    </w:p>
    <w:p w:rsidR="00B65B50" w:rsidRPr="00A1045B" w:rsidRDefault="0031600D" w:rsidP="00413BDA">
      <w:pPr>
        <w:shd w:val="clear" w:color="auto" w:fill="FFFFFF"/>
        <w:spacing w:before="120" w:after="120"/>
        <w:rPr>
          <w:szCs w:val="22"/>
          <w:lang w:val="sk-SK" w:eastAsia="de-DE"/>
        </w:rPr>
      </w:pPr>
      <w:r w:rsidRPr="0031600D">
        <w:rPr>
          <w:i/>
          <w:iCs/>
          <w:color w:val="000000"/>
          <w:szCs w:val="22"/>
          <w:lang w:val="sk-SK" w:eastAsia="de-DE"/>
        </w:rPr>
        <w:t xml:space="preserve">Lieky, ktoré majú vlastnú hyperglykemickú aktivitu </w:t>
      </w:r>
      <w:r>
        <w:rPr>
          <w:i/>
          <w:iCs/>
          <w:color w:val="000000"/>
          <w:szCs w:val="22"/>
          <w:lang w:val="sk-SK" w:eastAsia="de-DE"/>
        </w:rPr>
        <w:t>(napríklad</w:t>
      </w:r>
      <w:r w:rsidRPr="0031600D">
        <w:rPr>
          <w:i/>
          <w:iCs/>
          <w:color w:val="000000"/>
          <w:szCs w:val="22"/>
          <w:lang w:val="sk-SK" w:eastAsia="de-DE"/>
        </w:rPr>
        <w:t xml:space="preserve"> glukokortikoidy (systémové a lokálne podanie) a</w:t>
      </w:r>
      <w:r>
        <w:rPr>
          <w:i/>
          <w:iCs/>
          <w:color w:val="000000"/>
          <w:szCs w:val="22"/>
          <w:lang w:val="sk-SK" w:eastAsia="de-DE"/>
        </w:rPr>
        <w:t> </w:t>
      </w:r>
      <w:r w:rsidRPr="0031600D">
        <w:rPr>
          <w:i/>
          <w:iCs/>
          <w:color w:val="000000"/>
          <w:szCs w:val="22"/>
          <w:lang w:val="sk-SK" w:eastAsia="de-DE"/>
        </w:rPr>
        <w:t>sympatomimetiká</w:t>
      </w:r>
      <w:r>
        <w:rPr>
          <w:i/>
          <w:iCs/>
          <w:color w:val="000000"/>
          <w:szCs w:val="22"/>
          <w:lang w:val="sk-SK" w:eastAsia="de-DE"/>
        </w:rPr>
        <w:t>)</w:t>
      </w:r>
      <w:r w:rsidR="00B65B50" w:rsidRPr="0031600D">
        <w:rPr>
          <w:i/>
          <w:iCs/>
          <w:color w:val="000000"/>
          <w:szCs w:val="22"/>
          <w:lang w:val="sk-SK" w:eastAsia="de-DE"/>
        </w:rPr>
        <w:t>.</w:t>
      </w:r>
    </w:p>
    <w:p w:rsidR="006A1C7F" w:rsidRPr="00C7387E" w:rsidRDefault="0031600D" w:rsidP="00413BDA">
      <w:pPr>
        <w:shd w:val="clear" w:color="auto" w:fill="FFFFFF"/>
        <w:rPr>
          <w:color w:val="000000"/>
          <w:szCs w:val="22"/>
          <w:lang w:val="sk-SK" w:eastAsia="de-DE"/>
        </w:rPr>
      </w:pPr>
      <w:r w:rsidRPr="0031600D">
        <w:rPr>
          <w:color w:val="000000"/>
          <w:szCs w:val="22"/>
          <w:lang w:val="sk-SK" w:eastAsia="de-DE"/>
        </w:rPr>
        <w:t>Môže byť potrebné častejšie monitorovanie hladiny glukózy v krvi, hlavne na začiatku terapie.</w:t>
      </w:r>
      <w:r w:rsidR="00696361" w:rsidRPr="00696361">
        <w:rPr>
          <w:color w:val="000000"/>
          <w:szCs w:val="22"/>
          <w:highlight w:val="yellow"/>
          <w:lang w:val="sk-SK" w:eastAsia="de-DE"/>
        </w:rPr>
        <w:t xml:space="preserve"> </w:t>
      </w:r>
      <w:r w:rsidR="00696361" w:rsidRPr="00696361">
        <w:rPr>
          <w:color w:val="000000"/>
          <w:szCs w:val="22"/>
          <w:lang w:val="sk-SK" w:eastAsia="de-DE"/>
        </w:rPr>
        <w:t>V prípade potreby sa má upraviť dávkovanie metformínu počas liečby s iným liekom a po jej ukončení</w:t>
      </w:r>
      <w:r w:rsidR="00696361" w:rsidRPr="0075152C">
        <w:rPr>
          <w:color w:val="000000"/>
          <w:szCs w:val="22"/>
          <w:lang w:val="sk-SK" w:eastAsia="de-DE"/>
        </w:rPr>
        <w:t>.</w:t>
      </w:r>
    </w:p>
    <w:p w:rsidR="00437DE1" w:rsidRPr="00C7387E" w:rsidRDefault="00437DE1" w:rsidP="00413BDA">
      <w:pPr>
        <w:shd w:val="clear" w:color="auto" w:fill="FFFFFF"/>
        <w:rPr>
          <w:color w:val="000000"/>
          <w:szCs w:val="22"/>
          <w:lang w:val="sk-SK" w:eastAsia="de-DE"/>
        </w:rPr>
      </w:pPr>
    </w:p>
    <w:p w:rsidR="00696361" w:rsidRPr="0075152C" w:rsidRDefault="00696361" w:rsidP="00413BDA">
      <w:pPr>
        <w:shd w:val="clear" w:color="auto" w:fill="FFFFFF"/>
        <w:spacing w:before="120" w:after="120"/>
        <w:rPr>
          <w:color w:val="000000"/>
          <w:szCs w:val="22"/>
          <w:highlight w:val="yellow"/>
          <w:lang w:val="sk-SK" w:eastAsia="de-DE"/>
        </w:rPr>
      </w:pPr>
      <w:r w:rsidRPr="00696361">
        <w:rPr>
          <w:i/>
          <w:iCs/>
          <w:color w:val="000000"/>
          <w:szCs w:val="22"/>
          <w:lang w:val="sk-SK" w:eastAsia="de-DE"/>
        </w:rPr>
        <w:t>Transportéry pre organické katióny (organic cation transporters, OCT)</w:t>
      </w:r>
    </w:p>
    <w:p w:rsidR="00B65B50" w:rsidRPr="00A1045B" w:rsidRDefault="00696361" w:rsidP="00413BDA">
      <w:pPr>
        <w:shd w:val="clear" w:color="auto" w:fill="FFFFFF"/>
        <w:rPr>
          <w:color w:val="000000"/>
          <w:szCs w:val="22"/>
          <w:highlight w:val="yellow"/>
          <w:lang w:val="sk-SK" w:eastAsia="de-DE"/>
        </w:rPr>
      </w:pPr>
      <w:r w:rsidRPr="00696361">
        <w:rPr>
          <w:color w:val="000000"/>
          <w:szCs w:val="22"/>
          <w:lang w:val="sk-SK" w:eastAsia="de-DE"/>
        </w:rPr>
        <w:t>Metformín je substrátom pre oba transportéry OCT1 a OCT2.</w:t>
      </w:r>
    </w:p>
    <w:p w:rsidR="00B65B50" w:rsidRPr="00A1045B" w:rsidRDefault="00B65B50" w:rsidP="00413BDA">
      <w:pPr>
        <w:shd w:val="clear" w:color="auto" w:fill="FFFFFF"/>
        <w:rPr>
          <w:color w:val="000000"/>
          <w:szCs w:val="22"/>
          <w:highlight w:val="yellow"/>
          <w:lang w:val="sk-SK" w:eastAsia="de-DE"/>
        </w:rPr>
      </w:pPr>
    </w:p>
    <w:p w:rsidR="00696361" w:rsidRPr="00696361" w:rsidRDefault="00696361" w:rsidP="00413BDA">
      <w:pPr>
        <w:shd w:val="clear" w:color="auto" w:fill="FFFFFF"/>
        <w:ind w:left="426" w:hanging="426"/>
        <w:rPr>
          <w:color w:val="000000"/>
          <w:szCs w:val="22"/>
          <w:lang w:val="sk-SK" w:eastAsia="de-DE"/>
        </w:rPr>
      </w:pPr>
      <w:r w:rsidRPr="00696361">
        <w:rPr>
          <w:color w:val="000000"/>
          <w:szCs w:val="22"/>
          <w:lang w:val="sk-SK" w:eastAsia="de-DE"/>
        </w:rPr>
        <w:t xml:space="preserve">Súbežné podávanie metformínu s </w:t>
      </w:r>
    </w:p>
    <w:p w:rsidR="00696361" w:rsidRPr="00696361" w:rsidRDefault="00696361" w:rsidP="00413BDA">
      <w:pPr>
        <w:shd w:val="clear" w:color="auto" w:fill="FFFFFF"/>
        <w:ind w:left="426" w:hanging="426"/>
        <w:rPr>
          <w:color w:val="000000"/>
          <w:szCs w:val="22"/>
          <w:lang w:val="sk-SK" w:eastAsia="de-DE"/>
        </w:rPr>
      </w:pPr>
      <w:r w:rsidRPr="00696361">
        <w:rPr>
          <w:color w:val="000000"/>
          <w:szCs w:val="22"/>
          <w:lang w:val="sk-SK" w:eastAsia="de-DE"/>
        </w:rPr>
        <w:t>•</w:t>
      </w:r>
      <w:r w:rsidRPr="00696361">
        <w:rPr>
          <w:color w:val="000000"/>
          <w:szCs w:val="22"/>
          <w:lang w:val="sk-SK" w:eastAsia="de-DE"/>
        </w:rPr>
        <w:tab/>
        <w:t xml:space="preserve">inhibítormi OCT1 (ako je verapamil) môže znížiť účinnosť metformínu. </w:t>
      </w:r>
    </w:p>
    <w:p w:rsidR="00696361" w:rsidRPr="00696361" w:rsidRDefault="00696361" w:rsidP="00413BDA">
      <w:pPr>
        <w:shd w:val="clear" w:color="auto" w:fill="FFFFFF"/>
        <w:ind w:left="426" w:hanging="426"/>
        <w:rPr>
          <w:color w:val="000000"/>
          <w:szCs w:val="22"/>
          <w:lang w:val="sk-SK" w:eastAsia="de-DE"/>
        </w:rPr>
      </w:pPr>
      <w:r w:rsidRPr="00696361">
        <w:rPr>
          <w:color w:val="000000"/>
          <w:szCs w:val="22"/>
          <w:lang w:val="sk-SK" w:eastAsia="de-DE"/>
        </w:rPr>
        <w:t>•</w:t>
      </w:r>
      <w:r w:rsidRPr="00696361">
        <w:rPr>
          <w:color w:val="000000"/>
          <w:szCs w:val="22"/>
          <w:lang w:val="sk-SK" w:eastAsia="de-DE"/>
        </w:rPr>
        <w:tab/>
        <w:t>induktormi OCT1 (ako je rifampicín) môže zvýšiť gastrointestinálnu absorpciu a účinnosť metformínu.</w:t>
      </w:r>
    </w:p>
    <w:p w:rsidR="00696361" w:rsidRPr="00696361" w:rsidRDefault="00696361" w:rsidP="00413BDA">
      <w:pPr>
        <w:shd w:val="clear" w:color="auto" w:fill="FFFFFF"/>
        <w:ind w:left="426" w:hanging="426"/>
        <w:rPr>
          <w:color w:val="000000"/>
          <w:szCs w:val="22"/>
          <w:lang w:val="sk-SK" w:eastAsia="de-DE"/>
        </w:rPr>
      </w:pPr>
      <w:r w:rsidRPr="00696361">
        <w:rPr>
          <w:color w:val="000000"/>
          <w:szCs w:val="22"/>
          <w:lang w:val="sk-SK" w:eastAsia="de-DE"/>
        </w:rPr>
        <w:t>•</w:t>
      </w:r>
      <w:r w:rsidRPr="00696361">
        <w:rPr>
          <w:color w:val="000000"/>
          <w:szCs w:val="22"/>
          <w:lang w:val="sk-SK" w:eastAsia="de-DE"/>
        </w:rPr>
        <w:tab/>
        <w:t>inhibítormi OCT2 (ako je cimetidín, dolutegravir, ranolazín, trimetoprim, vandetanib, isavukonazol) môže znížiť renálnu elimináciu metformínu, čo vedie k zvýšenej koncentrácii metformínu v plazme.</w:t>
      </w:r>
    </w:p>
    <w:p w:rsidR="00B65B50" w:rsidRPr="00A1045B" w:rsidRDefault="00696361" w:rsidP="00413BDA">
      <w:pPr>
        <w:shd w:val="clear" w:color="auto" w:fill="FFFFFF"/>
        <w:ind w:left="426" w:hanging="426"/>
        <w:rPr>
          <w:color w:val="000000"/>
          <w:szCs w:val="22"/>
          <w:highlight w:val="yellow"/>
          <w:lang w:val="sk-SK" w:eastAsia="de-DE"/>
        </w:rPr>
      </w:pPr>
      <w:r w:rsidRPr="00696361">
        <w:rPr>
          <w:color w:val="000000"/>
          <w:szCs w:val="22"/>
          <w:lang w:val="sk-SK" w:eastAsia="de-DE"/>
        </w:rPr>
        <w:t>•</w:t>
      </w:r>
      <w:r w:rsidRPr="00696361">
        <w:rPr>
          <w:color w:val="000000"/>
          <w:szCs w:val="22"/>
          <w:lang w:val="sk-SK" w:eastAsia="de-DE"/>
        </w:rPr>
        <w:tab/>
        <w:t>inhibítormi oboch OCT1 a OCT2 (ako je krizotinib, olaparib) môže zmeniť účinnosť a renálnu elimináciu metformínu.</w:t>
      </w:r>
    </w:p>
    <w:p w:rsidR="00B65B50" w:rsidRPr="00A1045B" w:rsidRDefault="00B65B50" w:rsidP="00413BDA">
      <w:pPr>
        <w:shd w:val="clear" w:color="auto" w:fill="FFFFFF"/>
        <w:rPr>
          <w:color w:val="000000"/>
          <w:szCs w:val="22"/>
          <w:highlight w:val="yellow"/>
          <w:lang w:val="sk-SK" w:eastAsia="de-DE"/>
        </w:rPr>
      </w:pPr>
    </w:p>
    <w:p w:rsidR="006A1C7F" w:rsidRPr="00C7387E" w:rsidRDefault="00F925DC" w:rsidP="00413BDA">
      <w:pPr>
        <w:shd w:val="clear" w:color="auto" w:fill="FFFFFF"/>
        <w:rPr>
          <w:color w:val="000000"/>
          <w:szCs w:val="22"/>
          <w:lang w:val="sk-SK" w:eastAsia="de-DE"/>
        </w:rPr>
      </w:pPr>
      <w:r w:rsidRPr="00F925DC">
        <w:rPr>
          <w:color w:val="000000"/>
          <w:szCs w:val="22"/>
          <w:lang w:val="sk-SK" w:eastAsia="de-DE"/>
        </w:rPr>
        <w:t>Preto sa, najmä u pacientov s poruchou funkcie obličiek, odporúča opatrnosť pri súbežnom podávaní týchto liečiv s metformínom, pretože sa môže zvýšiť koncentrácia metformínu v plazme. Ak je to potrebné, môže sa zvážiť úprava dávky metformínu, nakoľko inhibítory/induktory OCT môžu zmeniť účinnosť metformínu.</w:t>
      </w:r>
      <w:r w:rsidR="00B65B50" w:rsidRPr="00C7387E">
        <w:rPr>
          <w:color w:val="000000"/>
          <w:szCs w:val="22"/>
          <w:lang w:val="sk-SK" w:eastAsia="de-DE"/>
        </w:rPr>
        <w:t xml:space="preserve"> </w:t>
      </w:r>
      <w:r>
        <w:rPr>
          <w:color w:val="000000"/>
          <w:szCs w:val="22"/>
          <w:lang w:val="sk-SK" w:eastAsia="de-DE"/>
        </w:rPr>
        <w:t xml:space="preserve"> </w:t>
      </w:r>
    </w:p>
    <w:p w:rsidR="00106490" w:rsidRPr="00C7387E" w:rsidRDefault="00DA6CCE" w:rsidP="00413BDA">
      <w:pPr>
        <w:pStyle w:val="Nadpis3"/>
        <w:rPr>
          <w:lang w:val="sk-SK"/>
        </w:rPr>
      </w:pPr>
      <w:r w:rsidRPr="00C7387E">
        <w:rPr>
          <w:lang w:val="sk-SK"/>
        </w:rPr>
        <w:t>4.6</w:t>
      </w:r>
      <w:r w:rsidRPr="00C7387E">
        <w:rPr>
          <w:lang w:val="sk-SK"/>
        </w:rPr>
        <w:tab/>
      </w:r>
      <w:r w:rsidR="008651A0" w:rsidRPr="00C7387E">
        <w:rPr>
          <w:lang w:val="sk-SK"/>
        </w:rPr>
        <w:tab/>
      </w:r>
      <w:r w:rsidR="008651A0" w:rsidRPr="00C7387E">
        <w:rPr>
          <w:lang w:val="sk-SK"/>
        </w:rPr>
        <w:tab/>
      </w:r>
      <w:r w:rsidR="004E4F8E" w:rsidRPr="00C7387E">
        <w:rPr>
          <w:lang w:val="sk-SK"/>
        </w:rPr>
        <w:t>Fertilit</w:t>
      </w:r>
      <w:r w:rsidR="00A1045B">
        <w:rPr>
          <w:lang w:val="sk-SK"/>
        </w:rPr>
        <w:t>a</w:t>
      </w:r>
      <w:r w:rsidR="004E4F8E" w:rsidRPr="00C7387E">
        <w:rPr>
          <w:lang w:val="sk-SK"/>
        </w:rPr>
        <w:t xml:space="preserve">, </w:t>
      </w:r>
      <w:r w:rsidR="00A1045B">
        <w:rPr>
          <w:lang w:val="sk-SK"/>
        </w:rPr>
        <w:t>gravidita</w:t>
      </w:r>
      <w:r w:rsidR="00106490" w:rsidRPr="00C7387E">
        <w:rPr>
          <w:lang w:val="sk-SK"/>
        </w:rPr>
        <w:t xml:space="preserve"> and la</w:t>
      </w:r>
      <w:r w:rsidR="00A1045B">
        <w:rPr>
          <w:lang w:val="sk-SK"/>
        </w:rPr>
        <w:t>ktácia</w:t>
      </w:r>
    </w:p>
    <w:p w:rsidR="00106490" w:rsidRPr="00C7387E" w:rsidRDefault="00A1045B" w:rsidP="00413BDA">
      <w:pPr>
        <w:pStyle w:val="Nadpis5"/>
        <w:tabs>
          <w:tab w:val="left" w:pos="0"/>
        </w:tabs>
        <w:spacing w:before="120" w:after="120"/>
        <w:ind w:right="0"/>
        <w:rPr>
          <w:lang w:val="sk-SK"/>
        </w:rPr>
      </w:pPr>
      <w:r>
        <w:rPr>
          <w:lang w:val="sk-SK"/>
        </w:rPr>
        <w:t>Gravidita</w:t>
      </w:r>
    </w:p>
    <w:p w:rsidR="00B65B50" w:rsidRPr="00C7387E" w:rsidRDefault="00A1045B" w:rsidP="00413BDA">
      <w:pPr>
        <w:shd w:val="clear" w:color="auto" w:fill="FFFFFF"/>
        <w:rPr>
          <w:color w:val="000000"/>
          <w:szCs w:val="22"/>
          <w:lang w:val="sk-SK" w:eastAsia="de-DE"/>
        </w:rPr>
      </w:pPr>
      <w:r w:rsidRPr="00D4385F">
        <w:rPr>
          <w:szCs w:val="22"/>
          <w:lang w:val="sk-SK"/>
        </w:rPr>
        <w:t>Počas gravidity je nekontr</w:t>
      </w:r>
      <w:smartTag w:uri="urn:schemas-microsoft-com:office:smarttags" w:element="PersonName">
        <w:r w:rsidRPr="00D4385F">
          <w:rPr>
            <w:szCs w:val="22"/>
            <w:lang w:val="sk-SK"/>
          </w:rPr>
          <w:t>olo</w:t>
        </w:r>
      </w:smartTag>
      <w:r w:rsidRPr="00D4385F">
        <w:rPr>
          <w:szCs w:val="22"/>
          <w:lang w:val="sk-SK"/>
        </w:rPr>
        <w:t>vaný diabetes (tehotenský alebo trvalý) spojený so zvýšeným rizikom vrodených abnormalít a perinatálnej úmrtnosti.</w:t>
      </w:r>
      <w:r>
        <w:rPr>
          <w:szCs w:val="22"/>
          <w:lang w:val="sk-SK"/>
        </w:rPr>
        <w:t xml:space="preserve"> </w:t>
      </w:r>
    </w:p>
    <w:p w:rsidR="004B25D2" w:rsidRPr="004B25D2" w:rsidRDefault="004B25D2" w:rsidP="00413BDA">
      <w:pPr>
        <w:shd w:val="clear" w:color="auto" w:fill="FFFFFF"/>
        <w:rPr>
          <w:color w:val="000000"/>
          <w:szCs w:val="22"/>
          <w:lang w:val="sk-SK" w:eastAsia="de-DE"/>
        </w:rPr>
      </w:pPr>
      <w:r w:rsidRPr="004B25D2">
        <w:rPr>
          <w:color w:val="000000"/>
          <w:szCs w:val="22"/>
          <w:lang w:val="sk-SK" w:eastAsia="de-DE"/>
        </w:rPr>
        <w:t>Obmedzené množstvo údajov o užívaní metformínu u tehotných žien nenaznačuje zvýšené riziko vrodených abnormalít. Štúdie na zvieratách nenaznačujú škodlivé účinky na graviditu, vývoj embrya alebo plodu, pôrod alebo postnatálny vývoj</w:t>
      </w:r>
      <w:r w:rsidR="001E43EC">
        <w:rPr>
          <w:color w:val="000000"/>
          <w:szCs w:val="22"/>
          <w:lang w:val="sk-SK" w:eastAsia="de-DE"/>
        </w:rPr>
        <w:t xml:space="preserve"> (pozri časť 5.3)</w:t>
      </w:r>
      <w:r w:rsidRPr="004B25D2">
        <w:rPr>
          <w:color w:val="000000"/>
          <w:szCs w:val="22"/>
          <w:lang w:val="sk-SK" w:eastAsia="de-DE"/>
        </w:rPr>
        <w:t xml:space="preserve">. </w:t>
      </w:r>
    </w:p>
    <w:p w:rsidR="00B65B50" w:rsidRPr="00C7387E" w:rsidRDefault="004B25D2" w:rsidP="00413BDA">
      <w:pPr>
        <w:shd w:val="clear" w:color="auto" w:fill="FFFFFF"/>
        <w:rPr>
          <w:color w:val="000000"/>
          <w:szCs w:val="22"/>
          <w:lang w:val="sk-SK" w:eastAsia="de-DE"/>
        </w:rPr>
      </w:pPr>
      <w:r w:rsidRPr="004B25D2">
        <w:rPr>
          <w:color w:val="000000"/>
          <w:szCs w:val="22"/>
          <w:lang w:val="sk-SK" w:eastAsia="de-DE"/>
        </w:rPr>
        <w:t>V období, keď pacientka plánuje otehotnieť a počas gravidity, sa diabetes neodporúča liečiť metformínom, ale na udržiavanie hladiny glukózy v krvi, ktorá je čo najbližšia normálnej hladine, sa má použiť inzulín, aby sa znížilo riziko malformácií plodu.</w:t>
      </w:r>
    </w:p>
    <w:p w:rsidR="00106490" w:rsidRPr="00C7387E" w:rsidRDefault="002D3646" w:rsidP="00413BDA">
      <w:pPr>
        <w:pStyle w:val="Nadpis5"/>
        <w:tabs>
          <w:tab w:val="left" w:pos="0"/>
        </w:tabs>
        <w:spacing w:before="120" w:after="120"/>
        <w:ind w:right="0"/>
        <w:rPr>
          <w:lang w:val="sk-SK"/>
        </w:rPr>
      </w:pPr>
      <w:r>
        <w:rPr>
          <w:lang w:val="sk-SK"/>
        </w:rPr>
        <w:t xml:space="preserve">Dojčenie </w:t>
      </w:r>
    </w:p>
    <w:p w:rsidR="00106490" w:rsidRPr="00C7387E" w:rsidRDefault="002D3646" w:rsidP="00413BDA">
      <w:pPr>
        <w:tabs>
          <w:tab w:val="left" w:pos="0"/>
        </w:tabs>
        <w:ind w:right="-2"/>
        <w:rPr>
          <w:szCs w:val="22"/>
          <w:lang w:val="sk-SK"/>
        </w:rPr>
      </w:pPr>
      <w:r w:rsidRPr="00D4385F">
        <w:rPr>
          <w:szCs w:val="22"/>
          <w:lang w:val="sk-SK"/>
        </w:rPr>
        <w:t>Metformín sa vylučuje do materského mlieka.</w:t>
      </w:r>
      <w:r w:rsidR="00B65B50" w:rsidRPr="00C7387E">
        <w:rPr>
          <w:color w:val="000000"/>
          <w:szCs w:val="22"/>
          <w:lang w:val="sk-SK"/>
        </w:rPr>
        <w:t xml:space="preserve"> </w:t>
      </w:r>
      <w:r w:rsidR="00F925DC" w:rsidRPr="00F925DC">
        <w:rPr>
          <w:color w:val="000000"/>
          <w:szCs w:val="22"/>
          <w:lang w:val="sk-SK"/>
        </w:rPr>
        <w:t>U dojčených novorodencov/dojčiat sa nepozorovali žiadne nežiaduce účinky.</w:t>
      </w:r>
      <w:r w:rsidR="00B65B50" w:rsidRPr="00C7387E">
        <w:rPr>
          <w:color w:val="000000"/>
          <w:szCs w:val="22"/>
          <w:lang w:val="sk-SK"/>
        </w:rPr>
        <w:t xml:space="preserve"> </w:t>
      </w:r>
      <w:r w:rsidRPr="00D4385F">
        <w:rPr>
          <w:szCs w:val="22"/>
          <w:lang w:val="sk-SK"/>
        </w:rPr>
        <w:t>Avšak, pretože sú dostupné iba obmedzené údaje, počas liečby metformínom sa dojčenie neodporúča.</w:t>
      </w:r>
      <w:r w:rsidR="00B65B50" w:rsidRPr="00C7387E">
        <w:rPr>
          <w:color w:val="000000"/>
          <w:szCs w:val="22"/>
          <w:lang w:val="sk-SK"/>
        </w:rPr>
        <w:t xml:space="preserve"> </w:t>
      </w:r>
      <w:r w:rsidR="004B25D2" w:rsidRPr="004B25D2">
        <w:rPr>
          <w:color w:val="000000"/>
          <w:szCs w:val="22"/>
          <w:lang w:val="sk-SK"/>
        </w:rPr>
        <w:t xml:space="preserve">Treba rozhodnúť, či sa preruší </w:t>
      </w:r>
      <w:r w:rsidR="005E776E">
        <w:rPr>
          <w:color w:val="000000"/>
          <w:szCs w:val="22"/>
          <w:lang w:val="sk-SK"/>
        </w:rPr>
        <w:t>dojčenie</w:t>
      </w:r>
      <w:r w:rsidR="004B25D2" w:rsidRPr="004B25D2">
        <w:rPr>
          <w:color w:val="000000"/>
          <w:szCs w:val="22"/>
          <w:lang w:val="sk-SK"/>
        </w:rPr>
        <w:t>, pričom treba vziať do úvahy prínos dojčenia a možné riziko nežiaducich účinkov pre dieťa.</w:t>
      </w:r>
    </w:p>
    <w:p w:rsidR="003904D4" w:rsidRPr="00C7387E" w:rsidRDefault="002D3646" w:rsidP="00413BDA">
      <w:pPr>
        <w:pStyle w:val="Nadpis5"/>
        <w:tabs>
          <w:tab w:val="left" w:pos="0"/>
        </w:tabs>
        <w:spacing w:before="120" w:after="120"/>
        <w:ind w:right="0"/>
        <w:rPr>
          <w:lang w:val="sk-SK"/>
        </w:rPr>
      </w:pPr>
      <w:r>
        <w:rPr>
          <w:lang w:val="sk-SK"/>
        </w:rPr>
        <w:t>Fertilita</w:t>
      </w:r>
    </w:p>
    <w:p w:rsidR="00B65B50" w:rsidRPr="00C7387E" w:rsidRDefault="002D3646" w:rsidP="00413BDA">
      <w:pPr>
        <w:rPr>
          <w:lang w:val="sk-SK"/>
        </w:rPr>
      </w:pPr>
      <w:r w:rsidRPr="00D4385F">
        <w:rPr>
          <w:szCs w:val="22"/>
          <w:lang w:val="sk-SK"/>
        </w:rPr>
        <w:t>Podávanie metformínu potkanom v dávkach vyšších ako 600 mg/kg/deň, ktoré sú približne trikrát vyššie ako je maximálna odporúčaná denná dávka pre ľudí na základe plochy povrchu tela, nemalo žiaden vplyv na fertilitu.</w:t>
      </w:r>
    </w:p>
    <w:p w:rsidR="003904D4" w:rsidRPr="00C7387E" w:rsidRDefault="00DA6CCE" w:rsidP="00413BDA">
      <w:pPr>
        <w:pStyle w:val="Nadpis3"/>
        <w:rPr>
          <w:lang w:val="sk-SK"/>
        </w:rPr>
      </w:pPr>
      <w:r w:rsidRPr="00C7387E">
        <w:rPr>
          <w:lang w:val="sk-SK"/>
        </w:rPr>
        <w:t>4.7</w:t>
      </w:r>
      <w:r w:rsidRPr="00C7387E">
        <w:rPr>
          <w:lang w:val="sk-SK"/>
        </w:rPr>
        <w:tab/>
      </w:r>
      <w:r w:rsidR="008651A0" w:rsidRPr="00C7387E">
        <w:rPr>
          <w:lang w:val="sk-SK"/>
        </w:rPr>
        <w:tab/>
      </w:r>
      <w:r w:rsidR="008651A0" w:rsidRPr="00C7387E">
        <w:rPr>
          <w:lang w:val="sk-SK"/>
        </w:rPr>
        <w:tab/>
      </w:r>
      <w:r w:rsidR="002D3646" w:rsidRPr="002D3646">
        <w:rPr>
          <w:lang w:val="sk-SK"/>
        </w:rPr>
        <w:t>Ovplyvnenie schopnosti viesť vozidlá a obsluhovať stroj</w:t>
      </w:r>
      <w:r w:rsidR="002D3646">
        <w:rPr>
          <w:lang w:val="sk-SK"/>
        </w:rPr>
        <w:t>e</w:t>
      </w:r>
    </w:p>
    <w:p w:rsidR="00B65B50" w:rsidRPr="00C7387E" w:rsidRDefault="00F925DC" w:rsidP="00413BDA">
      <w:pPr>
        <w:tabs>
          <w:tab w:val="left" w:pos="0"/>
        </w:tabs>
        <w:ind w:right="-2"/>
        <w:rPr>
          <w:lang w:val="sk-SK"/>
        </w:rPr>
      </w:pPr>
      <w:r w:rsidRPr="00F925DC">
        <w:rPr>
          <w:lang w:val="sk-SK"/>
        </w:rPr>
        <w:t>Monoterapia metformínom nespôsobuje hypoglykémiu, a preto nemá žiadny vplyv na schopnosť viesť vozidlá a obsluhovať stroje.</w:t>
      </w:r>
    </w:p>
    <w:p w:rsidR="00B65B50" w:rsidRPr="00C7387E" w:rsidRDefault="00B65B50" w:rsidP="00413BDA">
      <w:pPr>
        <w:tabs>
          <w:tab w:val="left" w:pos="0"/>
        </w:tabs>
        <w:ind w:right="-2"/>
        <w:rPr>
          <w:lang w:val="sk-SK"/>
        </w:rPr>
      </w:pPr>
    </w:p>
    <w:p w:rsidR="00106490" w:rsidRPr="00C7387E" w:rsidRDefault="002D3646" w:rsidP="00413BDA">
      <w:pPr>
        <w:tabs>
          <w:tab w:val="left" w:pos="0"/>
        </w:tabs>
        <w:ind w:right="-2"/>
        <w:rPr>
          <w:lang w:val="sk-SK"/>
        </w:rPr>
      </w:pPr>
      <w:r w:rsidRPr="00D4385F">
        <w:rPr>
          <w:szCs w:val="22"/>
          <w:lang w:val="sk-SK"/>
        </w:rPr>
        <w:t>Avšak, pacienti majú byť upozornení na riziko vzniku hypoglykémie, keď sa metformín užíva v kombinácii s inými antidiabetikami (napr. sulfonylmočoviny, inzulín alebo meglitinidy).</w:t>
      </w:r>
    </w:p>
    <w:p w:rsidR="00106490" w:rsidRPr="00C7387E" w:rsidRDefault="00DA6CCE" w:rsidP="00413BDA">
      <w:pPr>
        <w:pStyle w:val="Nadpis3"/>
        <w:rPr>
          <w:lang w:val="sk-SK"/>
        </w:rPr>
      </w:pPr>
      <w:r w:rsidRPr="00C7387E">
        <w:rPr>
          <w:lang w:val="sk-SK"/>
        </w:rPr>
        <w:t>4.8</w:t>
      </w:r>
      <w:r w:rsidRPr="00C7387E">
        <w:rPr>
          <w:lang w:val="sk-SK"/>
        </w:rPr>
        <w:tab/>
      </w:r>
      <w:r w:rsidR="008651A0" w:rsidRPr="00C7387E">
        <w:rPr>
          <w:lang w:val="sk-SK"/>
        </w:rPr>
        <w:tab/>
      </w:r>
      <w:r w:rsidR="008651A0" w:rsidRPr="00C7387E">
        <w:rPr>
          <w:lang w:val="sk-SK"/>
        </w:rPr>
        <w:tab/>
      </w:r>
      <w:r w:rsidR="0081469A">
        <w:rPr>
          <w:lang w:val="sk-SK"/>
        </w:rPr>
        <w:t>Nežiaduce účinky</w:t>
      </w:r>
    </w:p>
    <w:p w:rsidR="00F925DC" w:rsidRPr="00F925DC" w:rsidRDefault="00F925DC" w:rsidP="00413BDA">
      <w:pPr>
        <w:shd w:val="clear" w:color="auto" w:fill="FFFFFF"/>
        <w:rPr>
          <w:color w:val="000000"/>
          <w:szCs w:val="22"/>
          <w:lang w:val="sk-SK" w:eastAsia="de-DE"/>
        </w:rPr>
      </w:pPr>
      <w:r w:rsidRPr="00F925DC">
        <w:rPr>
          <w:color w:val="000000"/>
          <w:szCs w:val="22"/>
          <w:lang w:val="sk-SK" w:eastAsia="de-DE"/>
        </w:rPr>
        <w:t>Na základe postmarketingových údajov a kontrolovaných klinických štúdií bol charakter a závažnosť nežiaducich účinkov, ktoré sa hlásili u pacientov liečených metformínom s predĺženým uvoľňovaním podobný tomu, ktorý sa hlásil u pacientov liečených metformínom s okamžitým uvoľňovaním.</w:t>
      </w:r>
    </w:p>
    <w:p w:rsidR="00F925DC" w:rsidRPr="00F925DC" w:rsidRDefault="00F925DC" w:rsidP="00413BDA">
      <w:pPr>
        <w:shd w:val="clear" w:color="auto" w:fill="FFFFFF"/>
        <w:rPr>
          <w:color w:val="000000"/>
          <w:szCs w:val="22"/>
          <w:lang w:val="sk-SK" w:eastAsia="de-DE"/>
        </w:rPr>
      </w:pPr>
    </w:p>
    <w:p w:rsidR="00F925DC" w:rsidRPr="00F925DC" w:rsidRDefault="00F925DC" w:rsidP="00413BDA">
      <w:pPr>
        <w:shd w:val="clear" w:color="auto" w:fill="FFFFFF"/>
        <w:rPr>
          <w:color w:val="000000"/>
          <w:szCs w:val="22"/>
          <w:lang w:val="sk-SK" w:eastAsia="de-DE"/>
        </w:rPr>
      </w:pPr>
      <w:r w:rsidRPr="00F925DC">
        <w:rPr>
          <w:color w:val="000000"/>
          <w:szCs w:val="22"/>
          <w:lang w:val="sk-SK" w:eastAsia="de-DE"/>
        </w:rPr>
        <w:t>Najčastejšie nežiaduce účinky na začiatku liečby sú nauzea, vracanie, hnačka, bolesť brucha a strata chuti do jedla, ktoré vo väčšine prípadov spontánne ustúpia.</w:t>
      </w:r>
    </w:p>
    <w:p w:rsidR="00F925DC" w:rsidRPr="00F925DC" w:rsidRDefault="00F925DC" w:rsidP="00413BDA">
      <w:pPr>
        <w:shd w:val="clear" w:color="auto" w:fill="FFFFFF"/>
        <w:rPr>
          <w:color w:val="000000"/>
          <w:szCs w:val="22"/>
          <w:lang w:val="sk-SK" w:eastAsia="de-DE"/>
        </w:rPr>
      </w:pPr>
    </w:p>
    <w:p w:rsidR="000B49F3" w:rsidRPr="00C7387E" w:rsidRDefault="00F925DC" w:rsidP="00413BDA">
      <w:pPr>
        <w:shd w:val="clear" w:color="auto" w:fill="FFFFFF"/>
        <w:rPr>
          <w:color w:val="000000"/>
          <w:szCs w:val="22"/>
          <w:lang w:val="sk-SK" w:eastAsia="de-DE"/>
        </w:rPr>
      </w:pPr>
      <w:r w:rsidRPr="00F925DC">
        <w:rPr>
          <w:color w:val="000000"/>
          <w:szCs w:val="22"/>
          <w:lang w:val="sk-SK" w:eastAsia="de-DE"/>
        </w:rPr>
        <w:t>Nasledujúce nežiaduce reakcie sa môžu objaviť pri užívaní Sioforu SR.</w:t>
      </w:r>
    </w:p>
    <w:p w:rsidR="000B49F3" w:rsidRPr="00C7387E" w:rsidRDefault="000B49F3" w:rsidP="00413BDA">
      <w:pPr>
        <w:shd w:val="clear" w:color="auto" w:fill="FFFFFF"/>
        <w:rPr>
          <w:color w:val="000000"/>
          <w:szCs w:val="22"/>
          <w:lang w:val="sk-SK" w:eastAsia="de-DE"/>
        </w:rPr>
      </w:pPr>
    </w:p>
    <w:p w:rsidR="000B49F3" w:rsidRPr="00C7387E" w:rsidRDefault="0081469A" w:rsidP="00413BDA">
      <w:pPr>
        <w:shd w:val="clear" w:color="auto" w:fill="FFFFFF"/>
        <w:rPr>
          <w:color w:val="000000"/>
          <w:szCs w:val="22"/>
          <w:lang w:val="sk-SK" w:eastAsia="de-DE"/>
        </w:rPr>
      </w:pPr>
      <w:r>
        <w:rPr>
          <w:color w:val="000000"/>
          <w:szCs w:val="22"/>
          <w:lang w:val="sk-SK" w:eastAsia="de-DE"/>
        </w:rPr>
        <w:t>Častosť výskytu je definovaná nasledovne</w:t>
      </w:r>
      <w:r w:rsidR="000B49F3" w:rsidRPr="00C7387E">
        <w:rPr>
          <w:color w:val="000000"/>
          <w:szCs w:val="22"/>
          <w:lang w:val="sk-SK" w:eastAsia="de-DE"/>
        </w:rPr>
        <w:t xml:space="preserve">: </w:t>
      </w:r>
    </w:p>
    <w:p w:rsidR="000B49F3" w:rsidRPr="00C7387E" w:rsidRDefault="0081469A" w:rsidP="00413BDA">
      <w:pPr>
        <w:shd w:val="clear" w:color="auto" w:fill="FFFFFF"/>
        <w:rPr>
          <w:color w:val="000000"/>
          <w:szCs w:val="22"/>
          <w:lang w:val="sk-SK" w:eastAsia="de-DE"/>
        </w:rPr>
      </w:pPr>
      <w:r>
        <w:rPr>
          <w:color w:val="000000"/>
          <w:szCs w:val="22"/>
          <w:lang w:val="sk-SK" w:eastAsia="de-DE"/>
        </w:rPr>
        <w:t>Veľmi časté</w:t>
      </w:r>
      <w:r w:rsidR="0026685E" w:rsidRPr="00C7387E">
        <w:rPr>
          <w:color w:val="000000"/>
          <w:szCs w:val="22"/>
          <w:lang w:val="sk-SK" w:eastAsia="de-DE"/>
        </w:rPr>
        <w:t>:</w:t>
      </w:r>
      <w:r>
        <w:rPr>
          <w:color w:val="000000"/>
          <w:szCs w:val="22"/>
          <w:lang w:val="sk-SK" w:eastAsia="de-DE"/>
        </w:rPr>
        <w:tab/>
      </w:r>
      <w:r>
        <w:rPr>
          <w:color w:val="000000"/>
          <w:szCs w:val="22"/>
          <w:lang w:val="sk-SK" w:eastAsia="de-DE"/>
        </w:rPr>
        <w:tab/>
      </w:r>
      <w:r w:rsidR="000263D0" w:rsidRPr="00C7387E">
        <w:rPr>
          <w:color w:val="000000"/>
          <w:szCs w:val="22"/>
          <w:lang w:val="sk-SK" w:eastAsia="de-DE"/>
        </w:rPr>
        <w:tab/>
      </w:r>
      <w:r>
        <w:rPr>
          <w:color w:val="000000"/>
          <w:szCs w:val="22"/>
          <w:lang w:val="sk-SK" w:eastAsia="de-DE"/>
        </w:rPr>
        <w:tab/>
      </w:r>
      <w:r>
        <w:rPr>
          <w:color w:val="000000"/>
          <w:szCs w:val="22"/>
          <w:lang w:val="sk-SK" w:eastAsia="de-DE"/>
        </w:rPr>
        <w:tab/>
      </w:r>
      <w:r>
        <w:rPr>
          <w:color w:val="000000"/>
          <w:szCs w:val="22"/>
          <w:lang w:val="sk-SK" w:eastAsia="de-DE"/>
        </w:rPr>
        <w:tab/>
      </w:r>
      <w:r>
        <w:rPr>
          <w:color w:val="000000"/>
          <w:szCs w:val="22"/>
          <w:lang w:val="sk-SK" w:eastAsia="de-DE"/>
        </w:rPr>
        <w:tab/>
      </w:r>
      <w:r w:rsidR="000263D0" w:rsidRPr="00C7387E">
        <w:rPr>
          <w:szCs w:val="22"/>
          <w:lang w:val="sk-SK"/>
        </w:rPr>
        <w:t>≥ </w:t>
      </w:r>
      <w:r w:rsidR="000B49F3" w:rsidRPr="00C7387E">
        <w:rPr>
          <w:color w:val="000000"/>
          <w:szCs w:val="22"/>
          <w:lang w:val="sk-SK" w:eastAsia="de-DE"/>
        </w:rPr>
        <w:t>1/10</w:t>
      </w:r>
    </w:p>
    <w:p w:rsidR="000B49F3" w:rsidRPr="00C7387E" w:rsidRDefault="0081469A" w:rsidP="00413BDA">
      <w:pPr>
        <w:shd w:val="clear" w:color="auto" w:fill="FFFFFF"/>
        <w:rPr>
          <w:color w:val="000000"/>
          <w:szCs w:val="22"/>
          <w:lang w:val="sk-SK" w:eastAsia="de-DE"/>
        </w:rPr>
      </w:pPr>
      <w:r>
        <w:rPr>
          <w:color w:val="000000"/>
          <w:szCs w:val="22"/>
          <w:lang w:val="sk-SK" w:eastAsia="de-DE"/>
        </w:rPr>
        <w:t>Časté</w:t>
      </w:r>
      <w:r w:rsidR="0026685E" w:rsidRPr="00C7387E">
        <w:rPr>
          <w:color w:val="000000"/>
          <w:szCs w:val="22"/>
          <w:lang w:val="sk-SK" w:eastAsia="de-DE"/>
        </w:rPr>
        <w:t>:</w:t>
      </w:r>
      <w:r>
        <w:rPr>
          <w:color w:val="000000"/>
          <w:szCs w:val="22"/>
          <w:lang w:val="sk-SK" w:eastAsia="de-DE"/>
        </w:rPr>
        <w:tab/>
      </w:r>
      <w:r>
        <w:rPr>
          <w:color w:val="000000"/>
          <w:szCs w:val="22"/>
          <w:lang w:val="sk-SK" w:eastAsia="de-DE"/>
        </w:rPr>
        <w:tab/>
      </w:r>
      <w:r>
        <w:rPr>
          <w:color w:val="000000"/>
          <w:szCs w:val="22"/>
          <w:lang w:val="sk-SK" w:eastAsia="de-DE"/>
        </w:rPr>
        <w:tab/>
      </w:r>
      <w:r w:rsidR="000B49F3" w:rsidRPr="00C7387E">
        <w:rPr>
          <w:color w:val="000000"/>
          <w:szCs w:val="22"/>
          <w:lang w:val="sk-SK" w:eastAsia="de-DE"/>
        </w:rPr>
        <w:tab/>
      </w:r>
      <w:r w:rsidR="000B49F3" w:rsidRPr="00C7387E">
        <w:rPr>
          <w:color w:val="000000"/>
          <w:szCs w:val="22"/>
          <w:lang w:val="sk-SK" w:eastAsia="de-DE"/>
        </w:rPr>
        <w:tab/>
      </w:r>
      <w:r w:rsidR="000B49F3" w:rsidRPr="00C7387E">
        <w:rPr>
          <w:color w:val="000000"/>
          <w:szCs w:val="22"/>
          <w:lang w:val="sk-SK" w:eastAsia="de-DE"/>
        </w:rPr>
        <w:tab/>
      </w:r>
      <w:r w:rsidR="000B49F3" w:rsidRPr="00C7387E">
        <w:rPr>
          <w:color w:val="000000"/>
          <w:szCs w:val="22"/>
          <w:lang w:val="sk-SK" w:eastAsia="de-DE"/>
        </w:rPr>
        <w:tab/>
      </w:r>
      <w:r>
        <w:rPr>
          <w:color w:val="000000"/>
          <w:szCs w:val="22"/>
          <w:lang w:val="sk-SK" w:eastAsia="de-DE"/>
        </w:rPr>
        <w:tab/>
      </w:r>
      <w:r>
        <w:rPr>
          <w:color w:val="000000"/>
          <w:szCs w:val="22"/>
          <w:lang w:val="sk-SK" w:eastAsia="de-DE"/>
        </w:rPr>
        <w:tab/>
      </w:r>
      <w:r>
        <w:rPr>
          <w:color w:val="000000"/>
          <w:szCs w:val="22"/>
          <w:lang w:val="sk-SK" w:eastAsia="de-DE"/>
        </w:rPr>
        <w:tab/>
      </w:r>
      <w:r>
        <w:rPr>
          <w:color w:val="000000"/>
          <w:szCs w:val="22"/>
          <w:lang w:val="sk-SK" w:eastAsia="de-DE"/>
        </w:rPr>
        <w:tab/>
      </w:r>
      <w:r w:rsidR="000B49F3" w:rsidRPr="00C7387E">
        <w:rPr>
          <w:color w:val="000000"/>
          <w:szCs w:val="22"/>
          <w:lang w:val="sk-SK" w:eastAsia="de-DE"/>
        </w:rPr>
        <w:t>≥</w:t>
      </w:r>
      <w:r w:rsidR="000263D0" w:rsidRPr="00C7387E">
        <w:rPr>
          <w:color w:val="000000"/>
          <w:szCs w:val="22"/>
          <w:lang w:val="sk-SK" w:eastAsia="de-DE"/>
        </w:rPr>
        <w:t> </w:t>
      </w:r>
      <w:r w:rsidR="000B49F3" w:rsidRPr="00C7387E">
        <w:rPr>
          <w:color w:val="000000"/>
          <w:szCs w:val="22"/>
          <w:lang w:val="sk-SK" w:eastAsia="de-DE"/>
        </w:rPr>
        <w:t>1/100</w:t>
      </w:r>
      <w:r w:rsidR="000263D0" w:rsidRPr="00C7387E">
        <w:rPr>
          <w:color w:val="000000"/>
          <w:szCs w:val="22"/>
          <w:lang w:val="sk-SK" w:eastAsia="de-DE"/>
        </w:rPr>
        <w:t xml:space="preserve"> to</w:t>
      </w:r>
      <w:r w:rsidR="000B49F3" w:rsidRPr="00C7387E">
        <w:rPr>
          <w:color w:val="000000"/>
          <w:szCs w:val="22"/>
          <w:lang w:val="sk-SK" w:eastAsia="de-DE"/>
        </w:rPr>
        <w:t xml:space="preserve"> &lt;</w:t>
      </w:r>
      <w:r w:rsidR="000263D0" w:rsidRPr="00C7387E">
        <w:rPr>
          <w:color w:val="000000"/>
          <w:szCs w:val="22"/>
          <w:lang w:val="sk-SK" w:eastAsia="de-DE"/>
        </w:rPr>
        <w:t> </w:t>
      </w:r>
      <w:r w:rsidR="000B49F3" w:rsidRPr="00C7387E">
        <w:rPr>
          <w:color w:val="000000"/>
          <w:szCs w:val="22"/>
          <w:lang w:val="sk-SK" w:eastAsia="de-DE"/>
        </w:rPr>
        <w:t>1/10</w:t>
      </w:r>
    </w:p>
    <w:p w:rsidR="000B49F3" w:rsidRPr="00C7387E" w:rsidRDefault="0081469A" w:rsidP="00413BDA">
      <w:pPr>
        <w:shd w:val="clear" w:color="auto" w:fill="FFFFFF"/>
        <w:rPr>
          <w:color w:val="000000"/>
          <w:szCs w:val="22"/>
          <w:lang w:val="sk-SK" w:eastAsia="de-DE"/>
        </w:rPr>
      </w:pPr>
      <w:r>
        <w:rPr>
          <w:color w:val="000000"/>
          <w:szCs w:val="22"/>
          <w:lang w:val="sk-SK" w:eastAsia="de-DE"/>
        </w:rPr>
        <w:t>Menej časté</w:t>
      </w:r>
      <w:r w:rsidR="0026685E" w:rsidRPr="00C7387E">
        <w:rPr>
          <w:color w:val="000000"/>
          <w:szCs w:val="22"/>
          <w:lang w:val="sk-SK" w:eastAsia="de-DE"/>
        </w:rPr>
        <w:t>:</w:t>
      </w:r>
      <w:r w:rsidR="0026685E" w:rsidRPr="00C7387E">
        <w:rPr>
          <w:color w:val="000000"/>
          <w:szCs w:val="22"/>
          <w:lang w:val="sk-SK" w:eastAsia="de-DE"/>
        </w:rPr>
        <w:tab/>
      </w:r>
      <w:r w:rsidR="000B49F3" w:rsidRPr="00C7387E">
        <w:rPr>
          <w:color w:val="000000"/>
          <w:szCs w:val="22"/>
          <w:lang w:val="sk-SK" w:eastAsia="de-DE"/>
        </w:rPr>
        <w:tab/>
      </w:r>
      <w:r w:rsidR="000B49F3" w:rsidRPr="00C7387E">
        <w:rPr>
          <w:color w:val="000000"/>
          <w:szCs w:val="22"/>
          <w:lang w:val="sk-SK" w:eastAsia="de-DE"/>
        </w:rPr>
        <w:tab/>
      </w:r>
      <w:r>
        <w:rPr>
          <w:color w:val="000000"/>
          <w:szCs w:val="22"/>
          <w:lang w:val="sk-SK" w:eastAsia="de-DE"/>
        </w:rPr>
        <w:tab/>
      </w:r>
      <w:r>
        <w:rPr>
          <w:color w:val="000000"/>
          <w:szCs w:val="22"/>
          <w:lang w:val="sk-SK" w:eastAsia="de-DE"/>
        </w:rPr>
        <w:tab/>
      </w:r>
      <w:r>
        <w:rPr>
          <w:color w:val="000000"/>
          <w:szCs w:val="22"/>
          <w:lang w:val="sk-SK" w:eastAsia="de-DE"/>
        </w:rPr>
        <w:tab/>
      </w:r>
      <w:r>
        <w:rPr>
          <w:color w:val="000000"/>
          <w:szCs w:val="22"/>
          <w:lang w:val="sk-SK" w:eastAsia="de-DE"/>
        </w:rPr>
        <w:tab/>
      </w:r>
      <w:r w:rsidR="000B49F3" w:rsidRPr="00C7387E">
        <w:rPr>
          <w:color w:val="000000"/>
          <w:szCs w:val="22"/>
          <w:lang w:val="sk-SK" w:eastAsia="de-DE"/>
        </w:rPr>
        <w:t>≥</w:t>
      </w:r>
      <w:r w:rsidR="000263D0" w:rsidRPr="00C7387E">
        <w:rPr>
          <w:color w:val="000000"/>
          <w:szCs w:val="22"/>
          <w:lang w:val="sk-SK" w:eastAsia="de-DE"/>
        </w:rPr>
        <w:t> </w:t>
      </w:r>
      <w:r w:rsidR="000B49F3" w:rsidRPr="00C7387E">
        <w:rPr>
          <w:color w:val="000000"/>
          <w:szCs w:val="22"/>
          <w:lang w:val="sk-SK" w:eastAsia="de-DE"/>
        </w:rPr>
        <w:t>1/1,000</w:t>
      </w:r>
      <w:r w:rsidR="000263D0" w:rsidRPr="00C7387E">
        <w:rPr>
          <w:color w:val="000000"/>
          <w:szCs w:val="22"/>
          <w:lang w:val="sk-SK" w:eastAsia="de-DE"/>
        </w:rPr>
        <w:t xml:space="preserve"> to</w:t>
      </w:r>
      <w:r w:rsidR="000B49F3" w:rsidRPr="00C7387E">
        <w:rPr>
          <w:color w:val="000000"/>
          <w:szCs w:val="22"/>
          <w:lang w:val="sk-SK" w:eastAsia="de-DE"/>
        </w:rPr>
        <w:t xml:space="preserve"> &lt;</w:t>
      </w:r>
      <w:r w:rsidR="000263D0" w:rsidRPr="00C7387E">
        <w:rPr>
          <w:color w:val="000000"/>
          <w:szCs w:val="22"/>
          <w:lang w:val="sk-SK" w:eastAsia="de-DE"/>
        </w:rPr>
        <w:t> </w:t>
      </w:r>
      <w:r w:rsidR="000B49F3" w:rsidRPr="00C7387E">
        <w:rPr>
          <w:color w:val="000000"/>
          <w:szCs w:val="22"/>
          <w:lang w:val="sk-SK" w:eastAsia="de-DE"/>
        </w:rPr>
        <w:t>1/100</w:t>
      </w:r>
    </w:p>
    <w:p w:rsidR="000B49F3" w:rsidRPr="00C7387E" w:rsidRDefault="0081469A" w:rsidP="00413BDA">
      <w:pPr>
        <w:shd w:val="clear" w:color="auto" w:fill="FFFFFF"/>
        <w:rPr>
          <w:color w:val="000000"/>
          <w:szCs w:val="22"/>
          <w:lang w:val="sk-SK" w:eastAsia="de-DE"/>
        </w:rPr>
      </w:pPr>
      <w:r>
        <w:rPr>
          <w:color w:val="000000"/>
          <w:szCs w:val="22"/>
          <w:lang w:val="sk-SK" w:eastAsia="de-DE"/>
        </w:rPr>
        <w:t>Zriedkavé</w:t>
      </w:r>
      <w:r w:rsidR="0026685E" w:rsidRPr="00C7387E">
        <w:rPr>
          <w:color w:val="000000"/>
          <w:szCs w:val="22"/>
          <w:lang w:val="sk-SK" w:eastAsia="de-DE"/>
        </w:rPr>
        <w:t>:</w:t>
      </w:r>
      <w:r>
        <w:rPr>
          <w:color w:val="000000"/>
          <w:szCs w:val="22"/>
          <w:lang w:val="sk-SK" w:eastAsia="de-DE"/>
        </w:rPr>
        <w:tab/>
      </w:r>
      <w:r>
        <w:rPr>
          <w:color w:val="000000"/>
          <w:szCs w:val="22"/>
          <w:lang w:val="sk-SK" w:eastAsia="de-DE"/>
        </w:rPr>
        <w:tab/>
      </w:r>
      <w:r>
        <w:rPr>
          <w:color w:val="000000"/>
          <w:szCs w:val="22"/>
          <w:lang w:val="sk-SK" w:eastAsia="de-DE"/>
        </w:rPr>
        <w:tab/>
      </w:r>
      <w:r>
        <w:rPr>
          <w:color w:val="000000"/>
          <w:szCs w:val="22"/>
          <w:lang w:val="sk-SK" w:eastAsia="de-DE"/>
        </w:rPr>
        <w:tab/>
      </w:r>
      <w:r>
        <w:rPr>
          <w:color w:val="000000"/>
          <w:szCs w:val="22"/>
          <w:lang w:val="sk-SK" w:eastAsia="de-DE"/>
        </w:rPr>
        <w:tab/>
      </w:r>
      <w:r>
        <w:rPr>
          <w:color w:val="000000"/>
          <w:szCs w:val="22"/>
          <w:lang w:val="sk-SK" w:eastAsia="de-DE"/>
        </w:rPr>
        <w:tab/>
      </w:r>
      <w:r>
        <w:rPr>
          <w:color w:val="000000"/>
          <w:szCs w:val="22"/>
          <w:lang w:val="sk-SK" w:eastAsia="de-DE"/>
        </w:rPr>
        <w:tab/>
      </w:r>
      <w:r>
        <w:rPr>
          <w:color w:val="000000"/>
          <w:szCs w:val="22"/>
          <w:lang w:val="sk-SK" w:eastAsia="de-DE"/>
        </w:rPr>
        <w:tab/>
      </w:r>
      <w:r w:rsidR="000B49F3" w:rsidRPr="00C7387E">
        <w:rPr>
          <w:color w:val="000000"/>
          <w:szCs w:val="22"/>
          <w:lang w:val="sk-SK" w:eastAsia="de-DE"/>
        </w:rPr>
        <w:t>≥</w:t>
      </w:r>
      <w:r w:rsidR="000263D0" w:rsidRPr="00C7387E">
        <w:rPr>
          <w:color w:val="000000"/>
          <w:szCs w:val="22"/>
          <w:lang w:val="sk-SK" w:eastAsia="de-DE"/>
        </w:rPr>
        <w:t> </w:t>
      </w:r>
      <w:r w:rsidR="000B49F3" w:rsidRPr="00C7387E">
        <w:rPr>
          <w:color w:val="000000"/>
          <w:szCs w:val="22"/>
          <w:lang w:val="sk-SK" w:eastAsia="de-DE"/>
        </w:rPr>
        <w:t>1/10,000</w:t>
      </w:r>
      <w:r w:rsidR="000263D0" w:rsidRPr="00C7387E">
        <w:rPr>
          <w:color w:val="000000"/>
          <w:szCs w:val="22"/>
          <w:lang w:val="sk-SK" w:eastAsia="de-DE"/>
        </w:rPr>
        <w:t xml:space="preserve"> to</w:t>
      </w:r>
      <w:r w:rsidR="000B49F3" w:rsidRPr="00C7387E">
        <w:rPr>
          <w:color w:val="000000"/>
          <w:szCs w:val="22"/>
          <w:lang w:val="sk-SK" w:eastAsia="de-DE"/>
        </w:rPr>
        <w:t xml:space="preserve"> &lt;</w:t>
      </w:r>
      <w:r w:rsidR="000263D0" w:rsidRPr="00C7387E">
        <w:rPr>
          <w:color w:val="000000"/>
          <w:szCs w:val="22"/>
          <w:lang w:val="sk-SK" w:eastAsia="de-DE"/>
        </w:rPr>
        <w:t> </w:t>
      </w:r>
      <w:r w:rsidR="000B49F3" w:rsidRPr="00C7387E">
        <w:rPr>
          <w:color w:val="000000"/>
          <w:szCs w:val="22"/>
          <w:lang w:val="sk-SK" w:eastAsia="de-DE"/>
        </w:rPr>
        <w:t>1/1,000</w:t>
      </w:r>
    </w:p>
    <w:p w:rsidR="000B49F3" w:rsidRPr="00C7387E" w:rsidRDefault="0081469A" w:rsidP="00413BDA">
      <w:pPr>
        <w:shd w:val="clear" w:color="auto" w:fill="FFFFFF"/>
        <w:rPr>
          <w:color w:val="000000"/>
          <w:szCs w:val="22"/>
          <w:lang w:val="sk-SK" w:eastAsia="de-DE"/>
        </w:rPr>
      </w:pPr>
      <w:r>
        <w:rPr>
          <w:color w:val="000000"/>
          <w:szCs w:val="22"/>
          <w:lang w:val="sk-SK" w:eastAsia="de-DE"/>
        </w:rPr>
        <w:t>Veľmi zriedkavé</w:t>
      </w:r>
      <w:r w:rsidR="0026685E" w:rsidRPr="00C7387E">
        <w:rPr>
          <w:color w:val="000000"/>
          <w:szCs w:val="22"/>
          <w:lang w:val="sk-SK" w:eastAsia="de-DE"/>
        </w:rPr>
        <w:t>:</w:t>
      </w:r>
      <w:r w:rsidR="000B49F3" w:rsidRPr="00C7387E">
        <w:rPr>
          <w:color w:val="000000"/>
          <w:szCs w:val="22"/>
          <w:lang w:val="sk-SK" w:eastAsia="de-DE"/>
        </w:rPr>
        <w:tab/>
      </w:r>
      <w:r w:rsidR="000B49F3" w:rsidRPr="00C7387E">
        <w:rPr>
          <w:color w:val="000000"/>
          <w:szCs w:val="22"/>
          <w:lang w:val="sk-SK" w:eastAsia="de-DE"/>
        </w:rPr>
        <w:tab/>
      </w:r>
      <w:r w:rsidR="000B49F3" w:rsidRPr="00C7387E">
        <w:rPr>
          <w:color w:val="000000"/>
          <w:szCs w:val="22"/>
          <w:lang w:val="sk-SK" w:eastAsia="de-DE"/>
        </w:rPr>
        <w:tab/>
      </w:r>
      <w:r w:rsidR="000B49F3" w:rsidRPr="00C7387E">
        <w:rPr>
          <w:color w:val="000000"/>
          <w:szCs w:val="22"/>
          <w:lang w:val="sk-SK" w:eastAsia="de-DE"/>
        </w:rPr>
        <w:tab/>
        <w:t>&lt;</w:t>
      </w:r>
      <w:r w:rsidR="000263D0" w:rsidRPr="00C7387E">
        <w:rPr>
          <w:color w:val="000000"/>
          <w:szCs w:val="22"/>
          <w:lang w:val="sk-SK" w:eastAsia="de-DE"/>
        </w:rPr>
        <w:t> </w:t>
      </w:r>
      <w:r w:rsidR="000B49F3" w:rsidRPr="00C7387E">
        <w:rPr>
          <w:color w:val="000000"/>
          <w:szCs w:val="22"/>
          <w:lang w:val="sk-SK" w:eastAsia="de-DE"/>
        </w:rPr>
        <w:t>1/10,000</w:t>
      </w:r>
    </w:p>
    <w:p w:rsidR="000B49F3" w:rsidRPr="00C7387E" w:rsidRDefault="0081469A" w:rsidP="00413BDA">
      <w:pPr>
        <w:shd w:val="clear" w:color="auto" w:fill="FFFFFF"/>
        <w:rPr>
          <w:color w:val="000000"/>
          <w:szCs w:val="22"/>
          <w:lang w:val="sk-SK" w:eastAsia="de-DE"/>
        </w:rPr>
      </w:pPr>
      <w:r>
        <w:rPr>
          <w:color w:val="000000"/>
          <w:szCs w:val="22"/>
          <w:lang w:val="sk-SK" w:eastAsia="de-DE"/>
        </w:rPr>
        <w:t>Neznáme</w:t>
      </w:r>
      <w:r w:rsidR="004C2096" w:rsidRPr="00C7387E">
        <w:rPr>
          <w:color w:val="000000"/>
          <w:szCs w:val="22"/>
          <w:lang w:val="sk-SK" w:eastAsia="de-DE"/>
        </w:rPr>
        <w:t>:</w:t>
      </w:r>
      <w:r w:rsidR="000263D0" w:rsidRPr="00C7387E">
        <w:rPr>
          <w:color w:val="000000"/>
          <w:szCs w:val="22"/>
          <w:lang w:val="sk-SK" w:eastAsia="de-DE"/>
        </w:rPr>
        <w:tab/>
      </w:r>
      <w:r w:rsidR="000263D0" w:rsidRPr="00C7387E">
        <w:rPr>
          <w:color w:val="000000"/>
          <w:szCs w:val="22"/>
          <w:lang w:val="sk-SK" w:eastAsia="de-DE"/>
        </w:rPr>
        <w:tab/>
      </w:r>
      <w:r w:rsidR="004C2096" w:rsidRPr="00C7387E">
        <w:rPr>
          <w:color w:val="000000"/>
          <w:szCs w:val="22"/>
          <w:lang w:val="sk-SK" w:eastAsia="de-DE"/>
        </w:rPr>
        <w:tab/>
      </w:r>
      <w:r>
        <w:rPr>
          <w:color w:val="000000"/>
          <w:szCs w:val="22"/>
          <w:lang w:val="sk-SK" w:eastAsia="de-DE"/>
        </w:rPr>
        <w:tab/>
      </w:r>
      <w:r>
        <w:rPr>
          <w:color w:val="000000"/>
          <w:szCs w:val="22"/>
          <w:lang w:val="sk-SK" w:eastAsia="de-DE"/>
        </w:rPr>
        <w:tab/>
      </w:r>
      <w:r>
        <w:rPr>
          <w:color w:val="000000"/>
          <w:szCs w:val="22"/>
          <w:lang w:val="sk-SK" w:eastAsia="de-DE"/>
        </w:rPr>
        <w:tab/>
      </w:r>
      <w:r>
        <w:rPr>
          <w:color w:val="000000"/>
          <w:szCs w:val="22"/>
          <w:lang w:val="sk-SK" w:eastAsia="de-DE"/>
        </w:rPr>
        <w:tab/>
      </w:r>
      <w:r>
        <w:rPr>
          <w:color w:val="000000"/>
          <w:szCs w:val="22"/>
          <w:lang w:val="sk-SK" w:eastAsia="de-DE"/>
        </w:rPr>
        <w:tab/>
        <w:t>(nemožno určiť z dostupných údajov)</w:t>
      </w:r>
    </w:p>
    <w:p w:rsidR="004C2096" w:rsidRPr="00C7387E" w:rsidRDefault="004C2096" w:rsidP="00413BDA">
      <w:pPr>
        <w:shd w:val="clear" w:color="auto" w:fill="FFFFFF"/>
        <w:rPr>
          <w:color w:val="000000"/>
          <w:szCs w:val="22"/>
          <w:lang w:val="sk-SK" w:eastAsia="de-DE"/>
        </w:rPr>
      </w:pPr>
    </w:p>
    <w:p w:rsidR="000B49F3" w:rsidRPr="00C7387E" w:rsidRDefault="00F925DC" w:rsidP="00413BDA">
      <w:pPr>
        <w:shd w:val="clear" w:color="auto" w:fill="FFFFFF"/>
        <w:rPr>
          <w:color w:val="000000"/>
          <w:szCs w:val="22"/>
          <w:lang w:val="sk-SK" w:eastAsia="de-DE"/>
        </w:rPr>
      </w:pPr>
      <w:r w:rsidRPr="00F925DC">
        <w:rPr>
          <w:color w:val="000000"/>
          <w:szCs w:val="22"/>
          <w:lang w:val="sk-SK" w:eastAsia="de-DE"/>
        </w:rPr>
        <w:t>V rámci každej skupiny frekvencie sú nežiaduce účinky usporiadané v poradí klesajúcej závažnosti.</w:t>
      </w:r>
    </w:p>
    <w:p w:rsidR="000B49F3" w:rsidRPr="00C7387E" w:rsidRDefault="00E930CE" w:rsidP="00413BDA">
      <w:pPr>
        <w:shd w:val="clear" w:color="auto" w:fill="FFFFFF"/>
        <w:spacing w:before="120" w:after="120"/>
        <w:rPr>
          <w:color w:val="000000"/>
          <w:szCs w:val="22"/>
          <w:lang w:val="sk-SK" w:eastAsia="de-DE"/>
        </w:rPr>
      </w:pPr>
      <w:r w:rsidRPr="00E930CE">
        <w:rPr>
          <w:color w:val="000000"/>
          <w:szCs w:val="22"/>
          <w:u w:val="single"/>
          <w:lang w:val="sk-SK" w:eastAsia="de-DE"/>
        </w:rPr>
        <w:t>Poruchy metabolizmu a</w:t>
      </w:r>
      <w:r>
        <w:rPr>
          <w:color w:val="000000"/>
          <w:szCs w:val="22"/>
          <w:u w:val="single"/>
          <w:lang w:val="sk-SK" w:eastAsia="de-DE"/>
        </w:rPr>
        <w:t> </w:t>
      </w:r>
      <w:r w:rsidRPr="00E930CE">
        <w:rPr>
          <w:color w:val="000000"/>
          <w:szCs w:val="22"/>
          <w:u w:val="single"/>
          <w:lang w:val="sk-SK" w:eastAsia="de-DE"/>
        </w:rPr>
        <w:t>výživy</w:t>
      </w:r>
    </w:p>
    <w:p w:rsidR="000B49F3" w:rsidRPr="00C7387E" w:rsidRDefault="00E930CE" w:rsidP="00413BDA">
      <w:pPr>
        <w:shd w:val="clear" w:color="auto" w:fill="FFFFFF"/>
        <w:rPr>
          <w:i/>
          <w:color w:val="000000"/>
          <w:szCs w:val="22"/>
          <w:lang w:val="sk-SK" w:eastAsia="de-DE"/>
        </w:rPr>
      </w:pPr>
      <w:r>
        <w:rPr>
          <w:i/>
          <w:color w:val="000000"/>
          <w:szCs w:val="22"/>
          <w:lang w:val="sk-SK" w:eastAsia="de-DE"/>
        </w:rPr>
        <w:t>Veľmi zriedkavé</w:t>
      </w:r>
      <w:r w:rsidR="000B49F3" w:rsidRPr="00C7387E">
        <w:rPr>
          <w:i/>
          <w:color w:val="000000"/>
          <w:szCs w:val="22"/>
          <w:lang w:val="sk-SK" w:eastAsia="de-DE"/>
        </w:rPr>
        <w:t xml:space="preserve">: </w:t>
      </w:r>
    </w:p>
    <w:p w:rsidR="000B49F3" w:rsidRPr="00C7387E" w:rsidRDefault="000B49F3" w:rsidP="00413BDA">
      <w:pPr>
        <w:shd w:val="clear" w:color="auto" w:fill="FFFFFF"/>
        <w:ind w:left="284" w:hanging="284"/>
        <w:rPr>
          <w:color w:val="000000"/>
          <w:szCs w:val="22"/>
          <w:lang w:val="sk-SK" w:eastAsia="de-DE"/>
        </w:rPr>
      </w:pPr>
      <w:r w:rsidRPr="00C7387E">
        <w:rPr>
          <w:color w:val="000000"/>
          <w:szCs w:val="22"/>
          <w:lang w:val="sk-SK" w:eastAsia="de-DE"/>
        </w:rPr>
        <w:t>•</w:t>
      </w:r>
      <w:r w:rsidR="000263D0" w:rsidRPr="00C7387E">
        <w:rPr>
          <w:color w:val="000000"/>
          <w:szCs w:val="22"/>
          <w:lang w:val="sk-SK" w:eastAsia="de-DE"/>
        </w:rPr>
        <w:tab/>
      </w:r>
      <w:r w:rsidR="00E930CE" w:rsidRPr="00E930CE">
        <w:rPr>
          <w:color w:val="000000"/>
          <w:szCs w:val="22"/>
          <w:lang w:val="sk-SK" w:eastAsia="de-DE"/>
        </w:rPr>
        <w:t>Laktátová acidóza (pozri časť 4.4</w:t>
      </w:r>
      <w:r w:rsidR="00E930CE">
        <w:rPr>
          <w:color w:val="000000"/>
          <w:szCs w:val="22"/>
          <w:lang w:val="sk-SK" w:eastAsia="de-DE"/>
        </w:rPr>
        <w:t xml:space="preserve"> Osobitné upozornenia a opatrenia pri používaní</w:t>
      </w:r>
      <w:r w:rsidR="00E930CE" w:rsidRPr="00E930CE">
        <w:rPr>
          <w:color w:val="000000"/>
          <w:szCs w:val="22"/>
          <w:lang w:val="sk-SK" w:eastAsia="de-DE"/>
        </w:rPr>
        <w:t>)</w:t>
      </w:r>
      <w:r w:rsidRPr="00C7387E">
        <w:rPr>
          <w:color w:val="000000"/>
          <w:szCs w:val="22"/>
          <w:lang w:val="sk-SK" w:eastAsia="de-DE"/>
        </w:rPr>
        <w:t>.</w:t>
      </w:r>
    </w:p>
    <w:p w:rsidR="000B49F3" w:rsidRPr="00C7387E" w:rsidRDefault="000B49F3" w:rsidP="00413BDA">
      <w:pPr>
        <w:shd w:val="clear" w:color="auto" w:fill="FFFFFF"/>
        <w:ind w:left="284" w:hanging="284"/>
        <w:rPr>
          <w:color w:val="000000"/>
          <w:szCs w:val="22"/>
          <w:lang w:val="sk-SK" w:eastAsia="de-DE"/>
        </w:rPr>
      </w:pPr>
      <w:r w:rsidRPr="00C7387E">
        <w:rPr>
          <w:color w:val="000000"/>
          <w:szCs w:val="22"/>
          <w:lang w:val="sk-SK" w:eastAsia="de-DE"/>
        </w:rPr>
        <w:t>•</w:t>
      </w:r>
      <w:r w:rsidR="000263D0" w:rsidRPr="00C7387E">
        <w:rPr>
          <w:color w:val="000000"/>
          <w:szCs w:val="22"/>
          <w:lang w:val="sk-SK" w:eastAsia="de-DE"/>
        </w:rPr>
        <w:tab/>
      </w:r>
      <w:r w:rsidR="00E930CE" w:rsidRPr="00E930CE">
        <w:rPr>
          <w:color w:val="000000"/>
          <w:szCs w:val="22"/>
          <w:lang w:val="sk-SK" w:eastAsia="de-DE"/>
        </w:rPr>
        <w:t>Zníženie absorpcie vitamínu B</w:t>
      </w:r>
      <w:r w:rsidR="00E930CE" w:rsidRPr="00241BFB">
        <w:rPr>
          <w:color w:val="000000"/>
          <w:szCs w:val="22"/>
          <w:vertAlign w:val="subscript"/>
          <w:lang w:val="sk-SK" w:eastAsia="de-DE"/>
        </w:rPr>
        <w:t>12</w:t>
      </w:r>
      <w:r w:rsidR="00E930CE" w:rsidRPr="00E930CE">
        <w:rPr>
          <w:color w:val="000000"/>
          <w:szCs w:val="22"/>
          <w:lang w:val="sk-SK" w:eastAsia="de-DE"/>
        </w:rPr>
        <w:t xml:space="preserve"> so znížením hladiny v sére počas dlhodobého užívania metformínu. Odporúča sa zvážiť túto etiológiu u pacientov s megaloblastickou anémiou.</w:t>
      </w:r>
    </w:p>
    <w:p w:rsidR="000B49F3" w:rsidRPr="00C7387E" w:rsidRDefault="00E930CE" w:rsidP="00413BDA">
      <w:pPr>
        <w:shd w:val="clear" w:color="auto" w:fill="FFFFFF"/>
        <w:spacing w:before="120" w:after="120"/>
        <w:rPr>
          <w:color w:val="000000"/>
          <w:szCs w:val="22"/>
          <w:lang w:val="sk-SK" w:eastAsia="de-DE"/>
        </w:rPr>
      </w:pPr>
      <w:r w:rsidRPr="00D4385F">
        <w:rPr>
          <w:szCs w:val="22"/>
          <w:u w:val="single"/>
          <w:lang w:val="sk-SK"/>
        </w:rPr>
        <w:t>Poruchy nervového systému</w:t>
      </w:r>
    </w:p>
    <w:p w:rsidR="000B49F3" w:rsidRPr="00C7387E" w:rsidRDefault="00E930CE" w:rsidP="00413BDA">
      <w:pPr>
        <w:shd w:val="clear" w:color="auto" w:fill="FFFFFF"/>
        <w:rPr>
          <w:color w:val="000000"/>
          <w:szCs w:val="22"/>
          <w:lang w:val="sk-SK" w:eastAsia="de-DE"/>
        </w:rPr>
      </w:pPr>
      <w:r>
        <w:rPr>
          <w:i/>
          <w:iCs/>
          <w:color w:val="000000"/>
          <w:szCs w:val="22"/>
          <w:lang w:val="sk-SK" w:eastAsia="de-DE"/>
        </w:rPr>
        <w:t>Časté</w:t>
      </w:r>
      <w:r w:rsidR="000B49F3" w:rsidRPr="00C7387E">
        <w:rPr>
          <w:i/>
          <w:iCs/>
          <w:color w:val="000000"/>
          <w:szCs w:val="22"/>
          <w:lang w:val="sk-SK" w:eastAsia="de-DE"/>
        </w:rPr>
        <w:t xml:space="preserve">: </w:t>
      </w:r>
    </w:p>
    <w:p w:rsidR="000B49F3" w:rsidRPr="00C7387E" w:rsidRDefault="000B49F3" w:rsidP="00413BDA">
      <w:pPr>
        <w:shd w:val="clear" w:color="auto" w:fill="FFFFFF"/>
        <w:ind w:left="284" w:hanging="284"/>
        <w:rPr>
          <w:color w:val="000000"/>
          <w:szCs w:val="22"/>
          <w:lang w:val="sk-SK" w:eastAsia="de-DE"/>
        </w:rPr>
      </w:pPr>
      <w:r w:rsidRPr="00C7387E">
        <w:rPr>
          <w:color w:val="000000"/>
          <w:szCs w:val="22"/>
          <w:lang w:val="sk-SK" w:eastAsia="de-DE"/>
        </w:rPr>
        <w:t>•</w:t>
      </w:r>
      <w:r w:rsidR="000263D0" w:rsidRPr="00C7387E">
        <w:rPr>
          <w:color w:val="000000"/>
          <w:szCs w:val="22"/>
          <w:lang w:val="sk-SK" w:eastAsia="de-DE"/>
        </w:rPr>
        <w:tab/>
      </w:r>
      <w:r w:rsidR="00E930CE">
        <w:rPr>
          <w:color w:val="000000"/>
          <w:szCs w:val="22"/>
          <w:lang w:val="sk-SK" w:eastAsia="de-DE"/>
        </w:rPr>
        <w:t>Poruchy chuti.</w:t>
      </w:r>
    </w:p>
    <w:p w:rsidR="000B49F3" w:rsidRPr="00C7387E" w:rsidRDefault="00EF4E27" w:rsidP="00413BDA">
      <w:pPr>
        <w:shd w:val="clear" w:color="auto" w:fill="FFFFFF"/>
        <w:spacing w:before="120" w:after="120"/>
        <w:rPr>
          <w:color w:val="000000"/>
          <w:szCs w:val="22"/>
          <w:lang w:val="sk-SK" w:eastAsia="de-DE"/>
        </w:rPr>
      </w:pPr>
      <w:r w:rsidRPr="00D4385F">
        <w:rPr>
          <w:szCs w:val="22"/>
          <w:u w:val="single"/>
          <w:lang w:val="sk-SK"/>
        </w:rPr>
        <w:t>Poruchy gastrointestinálneho traktu</w:t>
      </w:r>
    </w:p>
    <w:p w:rsidR="000B49F3" w:rsidRPr="00C7387E" w:rsidRDefault="00EF4E27" w:rsidP="00413BDA">
      <w:pPr>
        <w:shd w:val="clear" w:color="auto" w:fill="FFFFFF"/>
        <w:rPr>
          <w:color w:val="000000"/>
          <w:szCs w:val="22"/>
          <w:lang w:val="sk-SK" w:eastAsia="de-DE"/>
        </w:rPr>
      </w:pPr>
      <w:r w:rsidRPr="00D4385F">
        <w:rPr>
          <w:i/>
          <w:szCs w:val="22"/>
          <w:lang w:val="sk-SK"/>
        </w:rPr>
        <w:t>Veľmi časté</w:t>
      </w:r>
      <w:r w:rsidR="000B49F3" w:rsidRPr="00C7387E">
        <w:rPr>
          <w:i/>
          <w:iCs/>
          <w:color w:val="000000"/>
          <w:szCs w:val="22"/>
          <w:lang w:val="sk-SK" w:eastAsia="de-DE"/>
        </w:rPr>
        <w:t xml:space="preserve">: </w:t>
      </w:r>
    </w:p>
    <w:p w:rsidR="000B49F3" w:rsidRPr="00C7387E" w:rsidRDefault="000B49F3" w:rsidP="00413BDA">
      <w:pPr>
        <w:shd w:val="clear" w:color="auto" w:fill="FFFFFF"/>
        <w:ind w:left="284" w:hanging="284"/>
        <w:rPr>
          <w:color w:val="000000"/>
          <w:szCs w:val="22"/>
          <w:lang w:val="sk-SK" w:eastAsia="de-DE"/>
        </w:rPr>
      </w:pPr>
      <w:r w:rsidRPr="00C7387E">
        <w:rPr>
          <w:color w:val="000000"/>
          <w:szCs w:val="22"/>
          <w:lang w:val="sk-SK" w:eastAsia="de-DE"/>
        </w:rPr>
        <w:t>•</w:t>
      </w:r>
      <w:r w:rsidRPr="00C7387E">
        <w:rPr>
          <w:color w:val="000000"/>
          <w:szCs w:val="22"/>
          <w:lang w:val="sk-SK" w:eastAsia="de-DE"/>
        </w:rPr>
        <w:tab/>
      </w:r>
      <w:r w:rsidR="00EF4E27" w:rsidRPr="00EF4E27">
        <w:rPr>
          <w:color w:val="000000"/>
          <w:szCs w:val="22"/>
          <w:lang w:val="sk-SK" w:eastAsia="de-DE"/>
        </w:rPr>
        <w:t>Gastrointestinálne poruchy ako nauzea, vracanie, hnačka, bolesť brucha a strata chuti do jedla. Tieto nežiaduce účinky sa najčastejšie vyskytujú na začiatku terapie a vo väčšine prípadov spontánne vymiznú.</w:t>
      </w:r>
      <w:r w:rsidRPr="00C7387E">
        <w:rPr>
          <w:color w:val="000000"/>
          <w:szCs w:val="22"/>
          <w:lang w:val="sk-SK" w:eastAsia="de-DE"/>
        </w:rPr>
        <w:t xml:space="preserve"> </w:t>
      </w:r>
      <w:r w:rsidR="00EF4E27" w:rsidRPr="00EF4E27">
        <w:rPr>
          <w:color w:val="000000"/>
          <w:szCs w:val="22"/>
          <w:lang w:val="sk-SK" w:eastAsia="de-DE"/>
        </w:rPr>
        <w:t>Pomalé zvyšovanie dávky môže tiež zlepšiť gastrointestinálnu toleranciu.</w:t>
      </w:r>
    </w:p>
    <w:p w:rsidR="000B49F3" w:rsidRPr="00C7387E" w:rsidRDefault="001B5F20" w:rsidP="00413BDA">
      <w:pPr>
        <w:shd w:val="clear" w:color="auto" w:fill="FFFFFF"/>
        <w:spacing w:before="120" w:after="120"/>
        <w:rPr>
          <w:color w:val="000000"/>
          <w:szCs w:val="22"/>
          <w:lang w:val="sk-SK" w:eastAsia="de-DE"/>
        </w:rPr>
      </w:pPr>
      <w:r w:rsidRPr="00D4385F">
        <w:rPr>
          <w:szCs w:val="22"/>
          <w:u w:val="single"/>
          <w:lang w:val="sk-SK"/>
        </w:rPr>
        <w:t>Poruchy pečene a žlčových ciest</w:t>
      </w:r>
    </w:p>
    <w:p w:rsidR="000B49F3" w:rsidRPr="00C7387E" w:rsidRDefault="001B5F20" w:rsidP="00413BDA">
      <w:pPr>
        <w:shd w:val="clear" w:color="auto" w:fill="FFFFFF"/>
        <w:rPr>
          <w:color w:val="000000"/>
          <w:szCs w:val="22"/>
          <w:lang w:val="sk-SK" w:eastAsia="de-DE"/>
        </w:rPr>
      </w:pPr>
      <w:r>
        <w:rPr>
          <w:i/>
          <w:iCs/>
          <w:color w:val="000000"/>
          <w:szCs w:val="22"/>
          <w:lang w:val="sk-SK" w:eastAsia="de-DE"/>
        </w:rPr>
        <w:t>Veľmi zriedkavé</w:t>
      </w:r>
      <w:r w:rsidR="000B49F3" w:rsidRPr="00C7387E">
        <w:rPr>
          <w:i/>
          <w:iCs/>
          <w:color w:val="000000"/>
          <w:szCs w:val="22"/>
          <w:lang w:val="sk-SK" w:eastAsia="de-DE"/>
        </w:rPr>
        <w:t>:</w:t>
      </w:r>
    </w:p>
    <w:p w:rsidR="000B49F3" w:rsidRPr="00C7387E" w:rsidRDefault="000B49F3" w:rsidP="00413BDA">
      <w:pPr>
        <w:shd w:val="clear" w:color="auto" w:fill="FFFFFF"/>
        <w:ind w:left="284" w:hanging="284"/>
        <w:rPr>
          <w:color w:val="000000"/>
          <w:szCs w:val="22"/>
          <w:lang w:val="sk-SK" w:eastAsia="de-DE"/>
        </w:rPr>
      </w:pPr>
      <w:r w:rsidRPr="00C7387E">
        <w:rPr>
          <w:color w:val="000000"/>
          <w:szCs w:val="22"/>
          <w:lang w:val="sk-SK" w:eastAsia="de-DE"/>
        </w:rPr>
        <w:t>•</w:t>
      </w:r>
      <w:r w:rsidRPr="00C7387E">
        <w:rPr>
          <w:color w:val="000000"/>
          <w:szCs w:val="22"/>
          <w:lang w:val="sk-SK" w:eastAsia="de-DE"/>
        </w:rPr>
        <w:tab/>
      </w:r>
      <w:r w:rsidR="001B5F20" w:rsidRPr="001B5F20">
        <w:rPr>
          <w:color w:val="000000"/>
          <w:szCs w:val="22"/>
          <w:lang w:val="sk-SK" w:eastAsia="de-DE"/>
        </w:rPr>
        <w:t>Ojedinelé hlásenia abnormálnych výsledkov testov pečeňových funkcií alebo hepatitída, ktorá sa vyliečila po vysadení metformínu.</w:t>
      </w:r>
    </w:p>
    <w:p w:rsidR="000B49F3" w:rsidRPr="001B5F20" w:rsidRDefault="001B5F20" w:rsidP="00413BDA">
      <w:pPr>
        <w:shd w:val="clear" w:color="auto" w:fill="FFFFFF"/>
        <w:spacing w:before="120" w:after="120"/>
        <w:rPr>
          <w:color w:val="000000"/>
          <w:szCs w:val="22"/>
          <w:u w:val="single"/>
          <w:lang w:val="sk-SK" w:eastAsia="de-DE"/>
        </w:rPr>
      </w:pPr>
      <w:r w:rsidRPr="001B5F20">
        <w:rPr>
          <w:szCs w:val="22"/>
          <w:u w:val="single"/>
          <w:lang w:val="sk-SK"/>
        </w:rPr>
        <w:t>Poruchy kože a podkožného tkaniva</w:t>
      </w:r>
    </w:p>
    <w:p w:rsidR="000B49F3" w:rsidRPr="00C7387E" w:rsidRDefault="001B5F20" w:rsidP="00413BDA">
      <w:pPr>
        <w:shd w:val="clear" w:color="auto" w:fill="FFFFFF"/>
        <w:rPr>
          <w:color w:val="000000"/>
          <w:szCs w:val="22"/>
          <w:lang w:val="sk-SK" w:eastAsia="de-DE"/>
        </w:rPr>
      </w:pPr>
      <w:r>
        <w:rPr>
          <w:i/>
          <w:iCs/>
          <w:color w:val="000000"/>
          <w:szCs w:val="22"/>
          <w:lang w:val="sk-SK" w:eastAsia="de-DE"/>
        </w:rPr>
        <w:t>Veľmi zriedkavé</w:t>
      </w:r>
      <w:r w:rsidR="000B49F3" w:rsidRPr="00C7387E">
        <w:rPr>
          <w:color w:val="000000"/>
          <w:szCs w:val="22"/>
          <w:lang w:val="sk-SK" w:eastAsia="de-DE"/>
        </w:rPr>
        <w:t xml:space="preserve">: </w:t>
      </w:r>
    </w:p>
    <w:p w:rsidR="000B49F3" w:rsidRPr="00C7387E" w:rsidRDefault="000B49F3" w:rsidP="00413BDA">
      <w:pPr>
        <w:shd w:val="clear" w:color="auto" w:fill="FFFFFF"/>
        <w:ind w:left="284" w:hanging="284"/>
        <w:rPr>
          <w:color w:val="000000"/>
          <w:szCs w:val="22"/>
          <w:lang w:val="sk-SK" w:eastAsia="de-DE"/>
        </w:rPr>
      </w:pPr>
      <w:r w:rsidRPr="00C7387E">
        <w:rPr>
          <w:color w:val="000000"/>
          <w:szCs w:val="22"/>
          <w:lang w:val="sk-SK" w:eastAsia="de-DE"/>
        </w:rPr>
        <w:t>•</w:t>
      </w:r>
      <w:r w:rsidR="000263D0" w:rsidRPr="00C7387E">
        <w:rPr>
          <w:color w:val="000000"/>
          <w:szCs w:val="22"/>
          <w:lang w:val="sk-SK" w:eastAsia="de-DE"/>
        </w:rPr>
        <w:tab/>
      </w:r>
      <w:r w:rsidR="001B5F20" w:rsidRPr="00D4385F">
        <w:rPr>
          <w:szCs w:val="22"/>
          <w:lang w:val="sk-SK"/>
        </w:rPr>
        <w:t>Kožné reakcie ako erytém, pruritus, urtikária.</w:t>
      </w:r>
    </w:p>
    <w:p w:rsidR="0026685E" w:rsidRPr="00C7387E" w:rsidRDefault="0026685E" w:rsidP="00413BDA">
      <w:pPr>
        <w:pStyle w:val="Nadpis7"/>
        <w:spacing w:before="120"/>
        <w:rPr>
          <w:b w:val="0"/>
          <w:u w:val="single"/>
          <w:lang w:val="sk-SK"/>
        </w:rPr>
      </w:pPr>
    </w:p>
    <w:p w:rsidR="00927D9D" w:rsidRPr="00C7387E" w:rsidRDefault="001B5F20" w:rsidP="00413BDA">
      <w:pPr>
        <w:pStyle w:val="Nadpis7"/>
        <w:spacing w:before="120"/>
        <w:rPr>
          <w:b w:val="0"/>
          <w:u w:val="single"/>
          <w:lang w:val="sk-SK"/>
        </w:rPr>
      </w:pPr>
      <w:r w:rsidRPr="001B5F20">
        <w:rPr>
          <w:b w:val="0"/>
          <w:u w:val="single"/>
          <w:lang w:val="sk-SK"/>
        </w:rPr>
        <w:t>Hlásenie podozrení na nežiaduce reakcie</w:t>
      </w:r>
      <w:r w:rsidR="00927D9D" w:rsidRPr="00C7387E">
        <w:rPr>
          <w:b w:val="0"/>
          <w:u w:val="single"/>
          <w:lang w:val="sk-SK"/>
        </w:rPr>
        <w:t xml:space="preserve"> </w:t>
      </w:r>
    </w:p>
    <w:sdt>
      <w:sdtPr>
        <w:rPr>
          <w:lang w:val="sk-SK"/>
        </w:rPr>
        <w:id w:val="1837262122"/>
        <w:placeholder>
          <w:docPart w:val="DefaultPlaceholder_1082065158"/>
        </w:placeholder>
      </w:sdtPr>
      <w:sdtEndPr/>
      <w:sdtContent>
        <w:p w:rsidR="00106490" w:rsidRPr="00C7387E" w:rsidRDefault="001B5F20" w:rsidP="00413BDA">
          <w:pPr>
            <w:tabs>
              <w:tab w:val="left" w:pos="0"/>
            </w:tabs>
            <w:ind w:right="-2"/>
            <w:rPr>
              <w:lang w:val="sk-SK"/>
            </w:rPr>
          </w:pPr>
          <w:r w:rsidRPr="00413BDA">
            <w:rPr>
              <w:noProof/>
              <w:szCs w:val="22"/>
              <w:lang w:val="sk-SK"/>
            </w:rPr>
            <w:t>Hlásenie podozrení na nežiaduce reakcie po registrácii lieku je dôležité.</w:t>
          </w:r>
          <w:r w:rsidRPr="00413BDA">
            <w:rPr>
              <w:szCs w:val="22"/>
              <w:lang w:val="sk-SK"/>
            </w:rPr>
            <w:t xml:space="preserve"> </w:t>
          </w:r>
          <w:r w:rsidRPr="00413BDA">
            <w:rPr>
              <w:noProof/>
              <w:szCs w:val="22"/>
              <w:lang w:val="sk-SK"/>
            </w:rPr>
            <w:t>Umožňuje priebežné monitorovanie pomeru prínosu</w:t>
          </w:r>
          <w:r w:rsidRPr="00413BDA">
            <w:rPr>
              <w:szCs w:val="22"/>
              <w:lang w:val="sk-SK"/>
            </w:rPr>
            <w:t xml:space="preserve"> a</w:t>
          </w:r>
          <w:r w:rsidRPr="00413BDA">
            <w:rPr>
              <w:noProof/>
              <w:szCs w:val="22"/>
              <w:lang w:val="sk-SK"/>
            </w:rPr>
            <w:t> rizika lieku.</w:t>
          </w:r>
          <w:r w:rsidRPr="00413BDA">
            <w:rPr>
              <w:szCs w:val="22"/>
              <w:lang w:val="sk-SK"/>
            </w:rPr>
            <w:t xml:space="preserve"> Od </w:t>
          </w:r>
          <w:r w:rsidRPr="00413BDA">
            <w:rPr>
              <w:noProof/>
              <w:szCs w:val="22"/>
              <w:lang w:val="sk-SK"/>
            </w:rPr>
            <w:t xml:space="preserve">zdravotníckych pracovníkov sa vyžaduje, aby hlásili akékoľvek podozrenia na nežiaduce reakcie na </w:t>
          </w:r>
          <w:r w:rsidRPr="00413BDA">
            <w:rPr>
              <w:noProof/>
              <w:szCs w:val="22"/>
              <w:highlight w:val="lightGray"/>
              <w:lang w:val="sk-SK"/>
            </w:rPr>
            <w:t>národné centrum hlásenia uvedené v </w:t>
          </w:r>
          <w:hyperlink r:id="rId9" w:history="1">
            <w:r w:rsidRPr="00413BDA">
              <w:rPr>
                <w:rStyle w:val="Hypertextovprepojenie"/>
                <w:noProof/>
                <w:szCs w:val="22"/>
                <w:highlight w:val="lightGray"/>
                <w:lang w:val="sk-SK"/>
              </w:rPr>
              <w:t>P</w:t>
            </w:r>
            <w:r w:rsidRPr="00413BDA">
              <w:rPr>
                <w:rStyle w:val="Hypertextovprepojenie"/>
                <w:szCs w:val="22"/>
                <w:highlight w:val="lightGray"/>
                <w:lang w:val="sk-SK"/>
              </w:rPr>
              <w:t xml:space="preserve">rílohe </w:t>
            </w:r>
            <w:r w:rsidRPr="00413BDA">
              <w:rPr>
                <w:rStyle w:val="Hypertextovprepojenie"/>
                <w:noProof/>
                <w:szCs w:val="22"/>
                <w:highlight w:val="lightGray"/>
                <w:lang w:val="sk-SK"/>
              </w:rPr>
              <w:t>V</w:t>
            </w:r>
          </w:hyperlink>
          <w:r w:rsidRPr="00413BDA">
            <w:rPr>
              <w:szCs w:val="22"/>
              <w:lang w:val="sk-SK"/>
            </w:rPr>
            <w:t>.</w:t>
          </w:r>
        </w:p>
      </w:sdtContent>
    </w:sdt>
    <w:p w:rsidR="00106490" w:rsidRPr="00C7387E" w:rsidRDefault="00DA6CCE" w:rsidP="00413BDA">
      <w:pPr>
        <w:pStyle w:val="Nadpis3"/>
        <w:rPr>
          <w:lang w:val="sk-SK"/>
        </w:rPr>
      </w:pPr>
      <w:r w:rsidRPr="00C7387E">
        <w:rPr>
          <w:lang w:val="sk-SK"/>
        </w:rPr>
        <w:t>4.9</w:t>
      </w:r>
      <w:r w:rsidRPr="00C7387E">
        <w:rPr>
          <w:lang w:val="sk-SK"/>
        </w:rPr>
        <w:tab/>
      </w:r>
      <w:r w:rsidR="008651A0" w:rsidRPr="00C7387E">
        <w:rPr>
          <w:lang w:val="sk-SK"/>
        </w:rPr>
        <w:tab/>
      </w:r>
      <w:r w:rsidR="008651A0" w:rsidRPr="00C7387E">
        <w:rPr>
          <w:lang w:val="sk-SK"/>
        </w:rPr>
        <w:tab/>
      </w:r>
      <w:r w:rsidR="008D4B93">
        <w:rPr>
          <w:lang w:val="sk-SK"/>
        </w:rPr>
        <w:t>Predávkovanie</w:t>
      </w:r>
    </w:p>
    <w:p w:rsidR="00106490" w:rsidRPr="00C7387E" w:rsidRDefault="00296CFA" w:rsidP="00413BDA">
      <w:pPr>
        <w:tabs>
          <w:tab w:val="left" w:pos="0"/>
        </w:tabs>
        <w:ind w:right="-2"/>
        <w:rPr>
          <w:lang w:val="sk-SK"/>
        </w:rPr>
      </w:pPr>
      <w:r w:rsidRPr="00D4385F">
        <w:rPr>
          <w:szCs w:val="22"/>
          <w:lang w:val="sk-SK"/>
        </w:rPr>
        <w:t xml:space="preserve">Hypoglykémia sa nepozorovala pri dávkach do </w:t>
      </w:r>
      <w:smartTag w:uri="urn:schemas-microsoft-com:office:smarttags" w:element="metricconverter">
        <w:smartTagPr>
          <w:attr w:name="ProductID" w:val="85 g"/>
        </w:smartTagPr>
        <w:r w:rsidRPr="00D4385F">
          <w:rPr>
            <w:szCs w:val="22"/>
            <w:lang w:val="sk-SK"/>
          </w:rPr>
          <w:t>85 g</w:t>
        </w:r>
      </w:smartTag>
      <w:r w:rsidRPr="00D4385F">
        <w:rPr>
          <w:szCs w:val="22"/>
          <w:lang w:val="sk-SK"/>
        </w:rPr>
        <w:t xml:space="preserve"> metformín</w:t>
      </w:r>
      <w:r>
        <w:rPr>
          <w:szCs w:val="22"/>
          <w:lang w:val="sk-SK"/>
        </w:rPr>
        <w:t>u</w:t>
      </w:r>
      <w:r w:rsidRPr="00D4385F">
        <w:rPr>
          <w:szCs w:val="22"/>
          <w:lang w:val="sk-SK"/>
        </w:rPr>
        <w:t>, hoci za týchto podmienok sa vyskytla laktátová acidóza. Vysok</w:t>
      </w:r>
      <w:r>
        <w:rPr>
          <w:szCs w:val="22"/>
          <w:lang w:val="sk-SK"/>
        </w:rPr>
        <w:t>á</w:t>
      </w:r>
      <w:r w:rsidRPr="00D4385F">
        <w:rPr>
          <w:szCs w:val="22"/>
          <w:lang w:val="sk-SK"/>
        </w:rPr>
        <w:t xml:space="preserve"> dávk</w:t>
      </w:r>
      <w:r>
        <w:rPr>
          <w:szCs w:val="22"/>
          <w:lang w:val="sk-SK"/>
        </w:rPr>
        <w:t xml:space="preserve">a </w:t>
      </w:r>
      <w:r w:rsidRPr="00D4385F">
        <w:rPr>
          <w:szCs w:val="22"/>
          <w:lang w:val="sk-SK"/>
        </w:rPr>
        <w:t>alebo sprievodné riziká môžu viesť k laktátovej acidóze</w:t>
      </w:r>
      <w:r w:rsidR="00B556A7" w:rsidRPr="00C7387E">
        <w:rPr>
          <w:lang w:val="sk-SK"/>
        </w:rPr>
        <w:t xml:space="preserve">. </w:t>
      </w:r>
      <w:r w:rsidRPr="00D4385F">
        <w:rPr>
          <w:szCs w:val="22"/>
          <w:lang w:val="sk-SK"/>
        </w:rPr>
        <w:t>Laktátová acidóza je medicínsky naliehavý stav a musí sa liečiť v nemocnici. Najúčinnejším spôsobom odstránenia laktátu a metformínu je hemodialýza.</w:t>
      </w:r>
    </w:p>
    <w:p w:rsidR="00106490" w:rsidRPr="00C7387E" w:rsidRDefault="00106490" w:rsidP="00413BDA">
      <w:pPr>
        <w:pStyle w:val="Nadpis2"/>
        <w:jc w:val="left"/>
        <w:rPr>
          <w:lang w:val="sk-SK"/>
        </w:rPr>
      </w:pPr>
      <w:r w:rsidRPr="00C7387E">
        <w:rPr>
          <w:lang w:val="sk-SK"/>
        </w:rPr>
        <w:t>5.</w:t>
      </w:r>
      <w:r w:rsidR="00DA6CCE" w:rsidRPr="00C7387E">
        <w:rPr>
          <w:lang w:val="sk-SK"/>
        </w:rPr>
        <w:tab/>
      </w:r>
      <w:r w:rsidR="004B25D2" w:rsidRPr="004B25D2">
        <w:rPr>
          <w:lang w:val="sk-SK"/>
        </w:rPr>
        <w:t>FARMAKOLOGICKÉ VLASTNOSTI</w:t>
      </w:r>
    </w:p>
    <w:p w:rsidR="00106490" w:rsidRPr="00C7387E" w:rsidRDefault="00983C85" w:rsidP="00413BDA">
      <w:pPr>
        <w:pStyle w:val="Nadpis3"/>
        <w:rPr>
          <w:lang w:val="sk-SK"/>
        </w:rPr>
      </w:pPr>
      <w:r w:rsidRPr="00C7387E">
        <w:rPr>
          <w:lang w:val="sk-SK"/>
        </w:rPr>
        <w:t>5.1</w:t>
      </w:r>
      <w:r w:rsidRPr="00C7387E">
        <w:rPr>
          <w:lang w:val="sk-SK"/>
        </w:rPr>
        <w:tab/>
      </w:r>
      <w:r w:rsidR="008651A0" w:rsidRPr="00C7387E">
        <w:rPr>
          <w:lang w:val="sk-SK"/>
        </w:rPr>
        <w:tab/>
      </w:r>
      <w:r w:rsidR="008651A0" w:rsidRPr="00C7387E">
        <w:rPr>
          <w:lang w:val="sk-SK"/>
        </w:rPr>
        <w:tab/>
      </w:r>
      <w:r w:rsidR="004B25D2" w:rsidRPr="00D4385F">
        <w:rPr>
          <w:szCs w:val="22"/>
          <w:lang w:val="sk-SK"/>
        </w:rPr>
        <w:t>Farmakodynamické vlastnosti</w:t>
      </w:r>
    </w:p>
    <w:p w:rsidR="004B25D2" w:rsidRPr="004B25D2" w:rsidRDefault="004B25D2" w:rsidP="00413BDA">
      <w:pPr>
        <w:rPr>
          <w:lang w:val="sk-SK"/>
        </w:rPr>
      </w:pPr>
      <w:r w:rsidRPr="004B25D2">
        <w:rPr>
          <w:lang w:val="sk-SK"/>
        </w:rPr>
        <w:t xml:space="preserve">Farmakoterapeutická skupina: </w:t>
      </w:r>
      <w:r w:rsidR="005E776E">
        <w:rPr>
          <w:lang w:val="sk-SK"/>
        </w:rPr>
        <w:t>antidiabetiká s výnimkou inzulínov</w:t>
      </w:r>
      <w:r w:rsidRPr="004B25D2">
        <w:rPr>
          <w:lang w:val="sk-SK"/>
        </w:rPr>
        <w:t>, biguanidy</w:t>
      </w:r>
    </w:p>
    <w:p w:rsidR="00525395" w:rsidRPr="00C7387E" w:rsidRDefault="004B25D2" w:rsidP="00413BDA">
      <w:pPr>
        <w:rPr>
          <w:lang w:val="sk-SK"/>
        </w:rPr>
      </w:pPr>
      <w:r w:rsidRPr="004B25D2">
        <w:rPr>
          <w:lang w:val="sk-SK"/>
        </w:rPr>
        <w:t>ATC kód</w:t>
      </w:r>
      <w:r w:rsidR="00525395" w:rsidRPr="00C7387E">
        <w:rPr>
          <w:lang w:val="sk-SK"/>
        </w:rPr>
        <w:t>: A10BA02</w:t>
      </w:r>
      <w:r>
        <w:rPr>
          <w:lang w:val="sk-SK"/>
        </w:rPr>
        <w:t xml:space="preserve"> </w:t>
      </w:r>
    </w:p>
    <w:p w:rsidR="00525395" w:rsidRPr="00C7387E" w:rsidRDefault="00525395" w:rsidP="00413BDA">
      <w:pPr>
        <w:rPr>
          <w:color w:val="000000"/>
          <w:szCs w:val="22"/>
          <w:lang w:val="sk-SK" w:eastAsia="de-DE"/>
        </w:rPr>
      </w:pPr>
    </w:p>
    <w:p w:rsidR="00A90139" w:rsidRPr="00C7387E" w:rsidRDefault="00F925DC" w:rsidP="00413BDA">
      <w:pPr>
        <w:shd w:val="clear" w:color="auto" w:fill="FFFFFF"/>
        <w:rPr>
          <w:lang w:val="sk-SK"/>
        </w:rPr>
      </w:pPr>
      <w:r w:rsidRPr="00F925DC">
        <w:rPr>
          <w:lang w:val="sk-SK"/>
        </w:rPr>
        <w:t>Metformín je biguanid s antihyperglykemickými účinkami, znižujúci bazálnu aj postprandiálnu hladinu glukózy v plazme. Nestimuluje sekréciu inzulínu, a preto nevyvoláva hypoglykémiu.</w:t>
      </w:r>
    </w:p>
    <w:p w:rsidR="00A90139" w:rsidRPr="00C7387E" w:rsidRDefault="001E43EC" w:rsidP="00413BDA">
      <w:pPr>
        <w:spacing w:before="120" w:after="120"/>
        <w:rPr>
          <w:u w:val="single"/>
          <w:lang w:val="sk-SK"/>
        </w:rPr>
      </w:pPr>
      <w:r w:rsidRPr="00D4385F">
        <w:rPr>
          <w:szCs w:val="22"/>
          <w:u w:val="single"/>
          <w:lang w:val="sk-SK"/>
        </w:rPr>
        <w:t>Mechanizmus účinku</w:t>
      </w:r>
    </w:p>
    <w:p w:rsidR="00C84D90" w:rsidRPr="00C7387E" w:rsidRDefault="001E43EC" w:rsidP="00413BDA">
      <w:pPr>
        <w:shd w:val="clear" w:color="auto" w:fill="FFFFFF"/>
        <w:rPr>
          <w:color w:val="000000"/>
          <w:szCs w:val="22"/>
          <w:lang w:val="sk-SK" w:eastAsia="de-DE"/>
        </w:rPr>
      </w:pPr>
      <w:r w:rsidRPr="00D4385F">
        <w:rPr>
          <w:szCs w:val="22"/>
          <w:lang w:val="sk-SK"/>
        </w:rPr>
        <w:t>Metformín môže účinkovať 3 mechanizmami</w:t>
      </w:r>
      <w:r w:rsidR="00C84D90" w:rsidRPr="00C7387E">
        <w:rPr>
          <w:color w:val="000000"/>
          <w:szCs w:val="22"/>
          <w:lang w:val="sk-SK" w:eastAsia="de-DE"/>
        </w:rPr>
        <w:t>:</w:t>
      </w:r>
    </w:p>
    <w:p w:rsidR="0005072E" w:rsidRPr="00C7387E" w:rsidRDefault="0005072E" w:rsidP="00413BDA">
      <w:pPr>
        <w:shd w:val="clear" w:color="auto" w:fill="FFFFFF"/>
        <w:rPr>
          <w:color w:val="000000"/>
          <w:szCs w:val="22"/>
          <w:lang w:val="sk-SK" w:eastAsia="de-DE"/>
        </w:rPr>
      </w:pPr>
    </w:p>
    <w:p w:rsidR="00C84D90" w:rsidRPr="00C7387E" w:rsidRDefault="00C84D90" w:rsidP="00413BDA">
      <w:pPr>
        <w:shd w:val="clear" w:color="auto" w:fill="FFFFFF"/>
        <w:ind w:left="567" w:hanging="283"/>
        <w:rPr>
          <w:color w:val="000000"/>
          <w:szCs w:val="22"/>
          <w:lang w:val="sk-SK" w:eastAsia="de-DE"/>
        </w:rPr>
      </w:pPr>
      <w:r w:rsidRPr="00C7387E">
        <w:rPr>
          <w:color w:val="000000"/>
          <w:szCs w:val="22"/>
          <w:lang w:val="sk-SK" w:eastAsia="de-DE"/>
        </w:rPr>
        <w:t>•</w:t>
      </w:r>
      <w:r w:rsidR="00697CBC" w:rsidRPr="00C7387E">
        <w:rPr>
          <w:color w:val="000000"/>
          <w:szCs w:val="22"/>
          <w:lang w:val="sk-SK" w:eastAsia="de-DE"/>
        </w:rPr>
        <w:tab/>
      </w:r>
      <w:r w:rsidR="001E43EC" w:rsidRPr="00D4385F">
        <w:rPr>
          <w:szCs w:val="22"/>
          <w:lang w:val="sk-SK"/>
        </w:rPr>
        <w:t>redukcia tvorby hepatálnej glukózy inhibíciou glukoneogenézy a glykogenolýzy</w:t>
      </w:r>
      <w:r w:rsidRPr="00C7387E">
        <w:rPr>
          <w:color w:val="000000"/>
          <w:szCs w:val="22"/>
          <w:lang w:val="sk-SK" w:eastAsia="de-DE"/>
        </w:rPr>
        <w:t xml:space="preserve"> </w:t>
      </w:r>
    </w:p>
    <w:p w:rsidR="00C84D90" w:rsidRPr="00C7387E" w:rsidRDefault="00C84D90" w:rsidP="00413BDA">
      <w:pPr>
        <w:shd w:val="clear" w:color="auto" w:fill="FFFFFF"/>
        <w:ind w:left="567" w:hanging="283"/>
        <w:rPr>
          <w:color w:val="000000"/>
          <w:szCs w:val="22"/>
          <w:lang w:val="sk-SK" w:eastAsia="de-DE"/>
        </w:rPr>
      </w:pPr>
      <w:r w:rsidRPr="00C7387E">
        <w:rPr>
          <w:color w:val="000000"/>
          <w:szCs w:val="22"/>
          <w:lang w:val="sk-SK" w:eastAsia="de-DE"/>
        </w:rPr>
        <w:t>•</w:t>
      </w:r>
      <w:r w:rsidR="00697CBC" w:rsidRPr="00C7387E">
        <w:rPr>
          <w:color w:val="000000"/>
          <w:szCs w:val="22"/>
          <w:lang w:val="sk-SK" w:eastAsia="de-DE"/>
        </w:rPr>
        <w:tab/>
      </w:r>
      <w:r w:rsidR="001E43EC" w:rsidRPr="00D4385F">
        <w:rPr>
          <w:szCs w:val="22"/>
          <w:lang w:val="sk-SK"/>
        </w:rPr>
        <w:t xml:space="preserve">zvyšovanie citlivosti </w:t>
      </w:r>
      <w:r w:rsidR="00EC72E8">
        <w:rPr>
          <w:szCs w:val="22"/>
          <w:lang w:val="sk-SK"/>
        </w:rPr>
        <w:t>na</w:t>
      </w:r>
      <w:r w:rsidR="00EC72E8" w:rsidRPr="00D4385F">
        <w:rPr>
          <w:szCs w:val="22"/>
          <w:lang w:val="sk-SK"/>
        </w:rPr>
        <w:t> </w:t>
      </w:r>
      <w:r w:rsidR="001E43EC" w:rsidRPr="00D4385F">
        <w:rPr>
          <w:szCs w:val="22"/>
          <w:lang w:val="sk-SK"/>
        </w:rPr>
        <w:t xml:space="preserve">inzulín vo svaloch, zlepšovanie </w:t>
      </w:r>
      <w:r w:rsidR="007F7648">
        <w:rPr>
          <w:szCs w:val="22"/>
          <w:lang w:val="sk-SK"/>
        </w:rPr>
        <w:t xml:space="preserve">periférneho </w:t>
      </w:r>
      <w:r w:rsidR="001E43EC" w:rsidRPr="00D4385F">
        <w:rPr>
          <w:szCs w:val="22"/>
          <w:lang w:val="sk-SK"/>
        </w:rPr>
        <w:t>vychytávania a utilizácie glukózy</w:t>
      </w:r>
    </w:p>
    <w:p w:rsidR="00C84D90" w:rsidRPr="00C7387E" w:rsidRDefault="00C84D90" w:rsidP="00413BDA">
      <w:pPr>
        <w:shd w:val="clear" w:color="auto" w:fill="FFFFFF"/>
        <w:ind w:left="567" w:hanging="283"/>
        <w:rPr>
          <w:color w:val="000000"/>
          <w:szCs w:val="22"/>
          <w:lang w:val="sk-SK" w:eastAsia="de-DE"/>
        </w:rPr>
      </w:pPr>
      <w:r w:rsidRPr="00C7387E">
        <w:rPr>
          <w:color w:val="000000"/>
          <w:szCs w:val="22"/>
          <w:lang w:val="sk-SK" w:eastAsia="de-DE"/>
        </w:rPr>
        <w:t>•</w:t>
      </w:r>
      <w:r w:rsidR="00697CBC" w:rsidRPr="00C7387E">
        <w:rPr>
          <w:color w:val="000000"/>
          <w:szCs w:val="22"/>
          <w:lang w:val="sk-SK" w:eastAsia="de-DE"/>
        </w:rPr>
        <w:tab/>
      </w:r>
      <w:r w:rsidR="001E43EC">
        <w:rPr>
          <w:color w:val="000000"/>
          <w:szCs w:val="22"/>
          <w:lang w:val="sk-SK" w:eastAsia="de-DE"/>
        </w:rPr>
        <w:t xml:space="preserve">a </w:t>
      </w:r>
      <w:r w:rsidR="001E43EC" w:rsidRPr="00D4385F">
        <w:rPr>
          <w:szCs w:val="22"/>
          <w:lang w:val="sk-SK"/>
        </w:rPr>
        <w:t>spomalenie intestinálnej absorpcie glukózy</w:t>
      </w:r>
      <w:r w:rsidRPr="00C7387E">
        <w:rPr>
          <w:color w:val="000000"/>
          <w:szCs w:val="22"/>
          <w:lang w:val="sk-SK" w:eastAsia="de-DE"/>
        </w:rPr>
        <w:t>.</w:t>
      </w:r>
    </w:p>
    <w:p w:rsidR="0005072E" w:rsidRPr="00C7387E" w:rsidRDefault="0005072E" w:rsidP="00413BDA">
      <w:pPr>
        <w:shd w:val="clear" w:color="auto" w:fill="FFFFFF"/>
        <w:rPr>
          <w:color w:val="000000"/>
          <w:szCs w:val="22"/>
          <w:lang w:val="sk-SK" w:eastAsia="de-DE"/>
        </w:rPr>
      </w:pPr>
    </w:p>
    <w:p w:rsidR="00C84D90" w:rsidRPr="00C7387E" w:rsidRDefault="001E43EC" w:rsidP="00413BDA">
      <w:pPr>
        <w:shd w:val="clear" w:color="auto" w:fill="FFFFFF"/>
        <w:rPr>
          <w:color w:val="000000"/>
          <w:szCs w:val="22"/>
          <w:lang w:val="sk-SK" w:eastAsia="de-DE"/>
        </w:rPr>
      </w:pPr>
      <w:r w:rsidRPr="00D4385F">
        <w:rPr>
          <w:szCs w:val="22"/>
          <w:lang w:val="sk-SK"/>
        </w:rPr>
        <w:t>Metformín stimuluje intracelulárnu syntézu glykogénu účinkom na glykogénsyntázu</w:t>
      </w:r>
      <w:r w:rsidR="00C84D90" w:rsidRPr="00C7387E">
        <w:rPr>
          <w:color w:val="000000"/>
          <w:szCs w:val="22"/>
          <w:lang w:val="sk-SK" w:eastAsia="de-DE"/>
        </w:rPr>
        <w:t>.</w:t>
      </w:r>
    </w:p>
    <w:p w:rsidR="00C84D90" w:rsidRPr="00C7387E" w:rsidRDefault="001E43EC" w:rsidP="00413BDA">
      <w:pPr>
        <w:shd w:val="clear" w:color="auto" w:fill="FFFFFF"/>
        <w:rPr>
          <w:color w:val="000000"/>
          <w:szCs w:val="22"/>
          <w:lang w:val="sk-SK" w:eastAsia="de-DE"/>
        </w:rPr>
      </w:pPr>
      <w:r w:rsidRPr="00D4385F">
        <w:rPr>
          <w:szCs w:val="22"/>
          <w:lang w:val="sk-SK"/>
        </w:rPr>
        <w:t>Metformín zvyšuje transportnú kapacitu všetkých typov prenášačov glukózy cez membrány (GLUT)</w:t>
      </w:r>
      <w:r w:rsidR="00C84D90" w:rsidRPr="00C7387E">
        <w:rPr>
          <w:color w:val="000000"/>
          <w:szCs w:val="22"/>
          <w:lang w:val="sk-SK" w:eastAsia="de-DE"/>
        </w:rPr>
        <w:t>.</w:t>
      </w:r>
    </w:p>
    <w:p w:rsidR="00A90139" w:rsidRPr="00C7387E" w:rsidRDefault="00DF0804" w:rsidP="00413BDA">
      <w:pPr>
        <w:spacing w:before="120" w:after="120"/>
        <w:rPr>
          <w:u w:val="single"/>
          <w:lang w:val="sk-SK"/>
        </w:rPr>
      </w:pPr>
      <w:r>
        <w:rPr>
          <w:u w:val="single"/>
          <w:lang w:val="sk-SK"/>
        </w:rPr>
        <w:t>Farmakodynamický účinok</w:t>
      </w:r>
    </w:p>
    <w:p w:rsidR="00F925DC" w:rsidRPr="00F925DC" w:rsidRDefault="00F925DC" w:rsidP="00413BDA">
      <w:pPr>
        <w:shd w:val="clear" w:color="auto" w:fill="FFFFFF"/>
        <w:rPr>
          <w:color w:val="000000"/>
          <w:szCs w:val="22"/>
          <w:lang w:val="sk-SK" w:eastAsia="de-DE"/>
        </w:rPr>
      </w:pPr>
      <w:r w:rsidRPr="00F925DC">
        <w:rPr>
          <w:color w:val="000000"/>
          <w:szCs w:val="22"/>
          <w:lang w:val="sk-SK" w:eastAsia="de-DE"/>
        </w:rPr>
        <w:t>V klinických štúdiách je stabilita telesnej hmotnosti alebo mierne zníženie telesnej hmotnosti najvýznamnejší neglykemický účinok metformínu.</w:t>
      </w:r>
    </w:p>
    <w:p w:rsidR="00F925DC" w:rsidRPr="00F925DC" w:rsidRDefault="00F925DC" w:rsidP="00413BDA">
      <w:pPr>
        <w:shd w:val="clear" w:color="auto" w:fill="FFFFFF"/>
        <w:rPr>
          <w:color w:val="000000"/>
          <w:szCs w:val="22"/>
          <w:lang w:val="sk-SK" w:eastAsia="de-DE"/>
        </w:rPr>
      </w:pPr>
    </w:p>
    <w:p w:rsidR="00C84D90" w:rsidRPr="00C7387E" w:rsidRDefault="00F925DC" w:rsidP="00413BDA">
      <w:pPr>
        <w:shd w:val="clear" w:color="auto" w:fill="FFFFFF"/>
        <w:rPr>
          <w:color w:val="000000"/>
          <w:szCs w:val="22"/>
          <w:lang w:val="sk-SK" w:eastAsia="de-DE"/>
        </w:rPr>
      </w:pPr>
      <w:r w:rsidRPr="00F925DC">
        <w:rPr>
          <w:color w:val="000000"/>
          <w:szCs w:val="22"/>
          <w:lang w:val="sk-SK" w:eastAsia="de-DE"/>
        </w:rPr>
        <w:t>U ľudí má metformín s okamžitým uvoľňovaním priaznivý vplyv na metabolizmus lipidov, nezávisle od svojho účinku na glykémiu. Preukázalo sa to pri podávaní terapeutických dávok v kontrolovaných stredne dlhodobých alebo dlhodobých klinických štúdiách: metformín s okamžitým uvoľňovaním znižuje hladiny celkového cholesterolu, LDL cholesterolu a triglyceridov. Podobný účinok sa nepreukázal pri podávaní liekových foriem s predĺženým uvoľňovaním, pravdepodobne z dôvodu večerného užívania. Môže sa vyskytnúť aj zvýšenie triglyceridov.</w:t>
      </w:r>
    </w:p>
    <w:p w:rsidR="00A90139" w:rsidRPr="00C7387E" w:rsidRDefault="00DF0804" w:rsidP="00413BDA">
      <w:pPr>
        <w:spacing w:before="120" w:after="120"/>
        <w:rPr>
          <w:u w:val="single"/>
          <w:lang w:val="sk-SK"/>
        </w:rPr>
      </w:pPr>
      <w:r>
        <w:rPr>
          <w:u w:val="single"/>
          <w:lang w:val="sk-SK"/>
        </w:rPr>
        <w:t>Klinická účinnosť</w:t>
      </w:r>
    </w:p>
    <w:p w:rsidR="00C84D90" w:rsidRPr="00C7387E" w:rsidRDefault="00F925DC" w:rsidP="00413BDA">
      <w:pPr>
        <w:shd w:val="clear" w:color="auto" w:fill="FFFFFF"/>
        <w:rPr>
          <w:color w:val="000000"/>
          <w:szCs w:val="22"/>
          <w:lang w:val="sk-SK" w:eastAsia="de-DE"/>
        </w:rPr>
      </w:pPr>
      <w:r w:rsidRPr="00F925DC">
        <w:rPr>
          <w:color w:val="000000"/>
          <w:szCs w:val="22"/>
          <w:lang w:val="sk-SK" w:eastAsia="de-DE"/>
        </w:rPr>
        <w:t>Prospektívna randomizovaná štúdia (UKPDS) preukázala dlhodobý prínos intenzívnej kontroly glykémie u pacientov s diabetom typu 2, ktorí boli liečení metformínom s okamžitým uvoľňovaním ako liečbou prvej voľby po zlyhaní diéty.</w:t>
      </w:r>
      <w:r w:rsidR="00C84D90" w:rsidRPr="00C7387E">
        <w:rPr>
          <w:color w:val="000000"/>
          <w:szCs w:val="22"/>
          <w:lang w:val="sk-SK" w:eastAsia="de-DE"/>
        </w:rPr>
        <w:t xml:space="preserve"> </w:t>
      </w:r>
      <w:r w:rsidR="00DF0804" w:rsidRPr="00D4385F">
        <w:rPr>
          <w:szCs w:val="22"/>
          <w:lang w:val="sk-SK"/>
        </w:rPr>
        <w:t>Analýza výsledkov u obéznych pacientov liečených metformín</w:t>
      </w:r>
      <w:r w:rsidR="00DF0804">
        <w:rPr>
          <w:szCs w:val="22"/>
          <w:lang w:val="sk-SK"/>
        </w:rPr>
        <w:t>o</w:t>
      </w:r>
      <w:r w:rsidR="00DF0804" w:rsidRPr="00D4385F">
        <w:rPr>
          <w:szCs w:val="22"/>
          <w:lang w:val="sk-SK"/>
        </w:rPr>
        <w:t>m po zlyhaní samotnej diéty ukázala</w:t>
      </w:r>
      <w:r w:rsidR="00C84D90" w:rsidRPr="00C7387E">
        <w:rPr>
          <w:color w:val="000000"/>
          <w:szCs w:val="22"/>
          <w:lang w:val="sk-SK" w:eastAsia="de-DE"/>
        </w:rPr>
        <w:t>:</w:t>
      </w:r>
      <w:r>
        <w:rPr>
          <w:color w:val="000000"/>
          <w:szCs w:val="22"/>
          <w:lang w:val="sk-SK" w:eastAsia="de-DE"/>
        </w:rPr>
        <w:t xml:space="preserve"> </w:t>
      </w:r>
    </w:p>
    <w:p w:rsidR="00C84D90" w:rsidRPr="00C7387E" w:rsidRDefault="00C84D90" w:rsidP="00413BDA">
      <w:pPr>
        <w:shd w:val="clear" w:color="auto" w:fill="FFFFFF"/>
        <w:rPr>
          <w:color w:val="000000"/>
          <w:szCs w:val="22"/>
          <w:lang w:val="sk-SK" w:eastAsia="de-DE"/>
        </w:rPr>
      </w:pPr>
    </w:p>
    <w:p w:rsidR="00FD28D5" w:rsidRDefault="00C84D90" w:rsidP="00413BDA">
      <w:pPr>
        <w:shd w:val="clear" w:color="auto" w:fill="FFFFFF"/>
        <w:ind w:left="284" w:hanging="284"/>
        <w:rPr>
          <w:color w:val="000000"/>
          <w:szCs w:val="22"/>
          <w:lang w:val="sk-SK" w:eastAsia="de-DE"/>
        </w:rPr>
      </w:pPr>
      <w:r w:rsidRPr="00C7387E">
        <w:rPr>
          <w:color w:val="000000"/>
          <w:szCs w:val="22"/>
          <w:lang w:val="sk-SK" w:eastAsia="de-DE"/>
        </w:rPr>
        <w:t>•</w:t>
      </w:r>
      <w:r w:rsidRPr="00C7387E">
        <w:rPr>
          <w:color w:val="000000"/>
          <w:szCs w:val="22"/>
          <w:lang w:val="sk-SK" w:eastAsia="de-DE"/>
        </w:rPr>
        <w:tab/>
      </w:r>
      <w:r w:rsidR="00FD28D5">
        <w:rPr>
          <w:szCs w:val="22"/>
          <w:lang w:val="sk-SK"/>
        </w:rPr>
        <w:t>signifikantné zníženie absolútneho rizika akýchkoľvek komplikácií spojených s diabetom v  skupine liečenej metformínom (29,8 prípadov/ 1000 pacientorokov) oproti skupine liečenej samotnou diétou (43,3 prípadov/ 1000 pacientorokov), p = 0,0023, a oproti skupinám liečeným kombináciou  so sulfonylmočovinou a monoterapiou inzulínom (40,1 prípadov/ 1000 pacientorokov), p = 0,0034</w:t>
      </w:r>
      <w:r w:rsidR="00FD28D5">
        <w:rPr>
          <w:color w:val="000000"/>
          <w:szCs w:val="22"/>
          <w:lang w:val="sk-SK" w:eastAsia="de-DE"/>
        </w:rPr>
        <w:t>.</w:t>
      </w:r>
    </w:p>
    <w:p w:rsidR="00FD28D5" w:rsidRDefault="00FD28D5" w:rsidP="00413BDA">
      <w:pPr>
        <w:shd w:val="clear" w:color="auto" w:fill="FFFFFF"/>
        <w:ind w:left="284" w:hanging="284"/>
        <w:rPr>
          <w:color w:val="000000"/>
          <w:szCs w:val="22"/>
          <w:lang w:val="sk-SK" w:eastAsia="de-DE"/>
        </w:rPr>
      </w:pPr>
      <w:r>
        <w:rPr>
          <w:color w:val="000000"/>
          <w:szCs w:val="22"/>
          <w:lang w:val="sk-SK" w:eastAsia="de-DE"/>
        </w:rPr>
        <w:t>•</w:t>
      </w:r>
      <w:r>
        <w:rPr>
          <w:color w:val="000000"/>
          <w:szCs w:val="22"/>
          <w:lang w:val="sk-SK" w:eastAsia="de-DE"/>
        </w:rPr>
        <w:tab/>
      </w:r>
      <w:r>
        <w:rPr>
          <w:szCs w:val="22"/>
          <w:lang w:val="sk-SK"/>
        </w:rPr>
        <w:t xml:space="preserve">signifikantnú redukciu absolútneho rizika mortality spojenej s diabetom: metformín </w:t>
      </w:r>
      <w:r>
        <w:rPr>
          <w:noProof/>
          <w:szCs w:val="22"/>
          <w:lang w:val="sk-SK"/>
        </w:rPr>
        <w:t>7,5</w:t>
      </w:r>
      <w:r>
        <w:rPr>
          <w:szCs w:val="22"/>
          <w:lang w:val="sk-SK"/>
        </w:rPr>
        <w:t> prípadov/1000 pacientorokov, diéta samotná 12,7 prípadov/1000 pacientorokov, p = 0,017</w:t>
      </w:r>
      <w:r>
        <w:rPr>
          <w:color w:val="000000"/>
          <w:szCs w:val="22"/>
          <w:lang w:val="sk-SK" w:eastAsia="de-DE"/>
        </w:rPr>
        <w:t>;</w:t>
      </w:r>
    </w:p>
    <w:p w:rsidR="00FD28D5" w:rsidRDefault="00FD28D5" w:rsidP="00413BDA">
      <w:pPr>
        <w:shd w:val="clear" w:color="auto" w:fill="FFFFFF"/>
        <w:ind w:left="284" w:hanging="284"/>
        <w:rPr>
          <w:color w:val="000000"/>
          <w:szCs w:val="22"/>
          <w:lang w:val="sk-SK" w:eastAsia="de-DE"/>
        </w:rPr>
      </w:pPr>
      <w:r>
        <w:rPr>
          <w:color w:val="000000"/>
          <w:szCs w:val="22"/>
          <w:lang w:val="sk-SK" w:eastAsia="de-DE"/>
        </w:rPr>
        <w:t>•</w:t>
      </w:r>
      <w:r>
        <w:rPr>
          <w:color w:val="000000"/>
          <w:szCs w:val="22"/>
          <w:lang w:val="sk-SK" w:eastAsia="de-DE"/>
        </w:rPr>
        <w:tab/>
      </w:r>
      <w:r>
        <w:rPr>
          <w:szCs w:val="22"/>
          <w:lang w:val="sk-SK"/>
        </w:rPr>
        <w:t>signifikantnú redukciu absolútneho rizika celkovej mortality: metformín 13,5 prípadov/1000 pacientorokov oproti skupine liečenej samotnou diétou 20,6 prípadov/1000 pacientorokov (p = 0,011) a oproti skupinám liečeným kombináciou so sulfonylmočovinou a monoterapiou inzulínom 18,9 prípadov/1000 pacientorokov, (p = 0,021)</w:t>
      </w:r>
      <w:r>
        <w:rPr>
          <w:color w:val="000000"/>
          <w:szCs w:val="22"/>
          <w:lang w:val="sk-SK" w:eastAsia="de-DE"/>
        </w:rPr>
        <w:t>;</w:t>
      </w:r>
    </w:p>
    <w:p w:rsidR="00FD28D5" w:rsidRDefault="00FD28D5" w:rsidP="00413BDA">
      <w:pPr>
        <w:shd w:val="clear" w:color="auto" w:fill="FFFFFF"/>
        <w:ind w:left="284" w:hanging="284"/>
        <w:rPr>
          <w:color w:val="000000"/>
          <w:szCs w:val="22"/>
          <w:lang w:val="sk-SK" w:eastAsia="de-DE"/>
        </w:rPr>
      </w:pPr>
      <w:r>
        <w:rPr>
          <w:color w:val="000000"/>
          <w:szCs w:val="22"/>
          <w:lang w:val="sk-SK" w:eastAsia="de-DE"/>
        </w:rPr>
        <w:t>•</w:t>
      </w:r>
      <w:r>
        <w:rPr>
          <w:color w:val="000000"/>
          <w:szCs w:val="22"/>
          <w:lang w:val="sk-SK" w:eastAsia="de-DE"/>
        </w:rPr>
        <w:tab/>
      </w:r>
      <w:r>
        <w:rPr>
          <w:szCs w:val="22"/>
          <w:lang w:val="sk-SK"/>
        </w:rPr>
        <w:t>signifikantnú redukciu absolútneho rizika infarktu myokardu: metformín 11 prípadov/1000 pacientorokov, diéta samotná 18 prípadov/1000 pacientorokov (p = 0,01).</w:t>
      </w:r>
    </w:p>
    <w:p w:rsidR="00FD28D5" w:rsidRDefault="00FD28D5" w:rsidP="00413BDA">
      <w:pPr>
        <w:shd w:val="clear" w:color="auto" w:fill="FFFFFF"/>
        <w:rPr>
          <w:color w:val="000000"/>
          <w:szCs w:val="22"/>
          <w:lang w:val="sk-SK" w:eastAsia="de-DE"/>
        </w:rPr>
      </w:pPr>
    </w:p>
    <w:p w:rsidR="00FD28D5" w:rsidRDefault="00FD28D5" w:rsidP="00413BDA">
      <w:pPr>
        <w:shd w:val="clear" w:color="auto" w:fill="FFFFFF"/>
        <w:rPr>
          <w:color w:val="000000"/>
          <w:szCs w:val="22"/>
          <w:lang w:val="sk-SK" w:eastAsia="de-DE"/>
        </w:rPr>
      </w:pPr>
      <w:r>
        <w:rPr>
          <w:szCs w:val="22"/>
          <w:lang w:val="sk-SK"/>
        </w:rPr>
        <w:t>Prínos týkajúci sa klinickej účinnosti metformínu používaného ako liek druhej voľby v kombinácii s derivátmi sulfonylmočoviny sa nepreukázal.</w:t>
      </w:r>
    </w:p>
    <w:p w:rsidR="004B3724" w:rsidRPr="004B3724" w:rsidRDefault="00FD28D5" w:rsidP="00413BDA">
      <w:pPr>
        <w:pStyle w:val="Nadpis3"/>
        <w:rPr>
          <w:b w:val="0"/>
          <w:szCs w:val="22"/>
          <w:lang w:val="sk-SK"/>
        </w:rPr>
      </w:pPr>
      <w:r w:rsidRPr="004B3724">
        <w:rPr>
          <w:b w:val="0"/>
          <w:szCs w:val="22"/>
          <w:lang w:val="sk-SK"/>
        </w:rPr>
        <w:t>U vybraných pacientov s diabetom typu 1 sa použila kombinácia metformínu a inzulínu, ale klinický prínos tejto kombinácie sa formálne nedokázal.</w:t>
      </w:r>
    </w:p>
    <w:p w:rsidR="00BE6F53" w:rsidRPr="00C7387E" w:rsidRDefault="004F0E90" w:rsidP="00413BDA">
      <w:pPr>
        <w:pStyle w:val="Nadpis3"/>
        <w:rPr>
          <w:lang w:val="sk-SK"/>
        </w:rPr>
      </w:pPr>
      <w:r w:rsidRPr="00C7387E">
        <w:rPr>
          <w:lang w:val="sk-SK"/>
        </w:rPr>
        <w:t>5.2</w:t>
      </w:r>
      <w:r w:rsidR="00983C85" w:rsidRPr="00C7387E">
        <w:rPr>
          <w:lang w:val="sk-SK"/>
        </w:rPr>
        <w:tab/>
      </w:r>
      <w:r w:rsidR="008651A0" w:rsidRPr="00C7387E">
        <w:rPr>
          <w:lang w:val="sk-SK"/>
        </w:rPr>
        <w:tab/>
      </w:r>
      <w:r w:rsidR="008651A0" w:rsidRPr="00C7387E">
        <w:rPr>
          <w:lang w:val="sk-SK"/>
        </w:rPr>
        <w:tab/>
      </w:r>
      <w:r w:rsidR="00677C44">
        <w:rPr>
          <w:lang w:val="sk-SK"/>
        </w:rPr>
        <w:t>Farmakokinetické vlastnosti</w:t>
      </w:r>
    </w:p>
    <w:p w:rsidR="00106490" w:rsidRPr="00C7387E" w:rsidRDefault="003904D4" w:rsidP="00413BDA">
      <w:pPr>
        <w:pStyle w:val="Nadpis6"/>
        <w:spacing w:before="120" w:after="120"/>
        <w:rPr>
          <w:i w:val="0"/>
          <w:u w:val="single"/>
          <w:lang w:val="sk-SK"/>
        </w:rPr>
      </w:pPr>
      <w:r w:rsidRPr="00C7387E">
        <w:rPr>
          <w:i w:val="0"/>
          <w:u w:val="single"/>
          <w:lang w:val="sk-SK"/>
        </w:rPr>
        <w:t>Absorp</w:t>
      </w:r>
      <w:r w:rsidR="00677C44">
        <w:rPr>
          <w:i w:val="0"/>
          <w:u w:val="single"/>
          <w:lang w:val="sk-SK"/>
        </w:rPr>
        <w:t>cia</w:t>
      </w:r>
    </w:p>
    <w:p w:rsidR="002F5DEC" w:rsidRPr="002F5DEC" w:rsidRDefault="002F5DEC" w:rsidP="00413BDA">
      <w:pPr>
        <w:shd w:val="clear" w:color="auto" w:fill="FFFFFF"/>
        <w:rPr>
          <w:color w:val="000000"/>
          <w:szCs w:val="22"/>
          <w:lang w:val="sk-SK" w:eastAsia="de-DE"/>
        </w:rPr>
      </w:pPr>
      <w:r w:rsidRPr="002F5DEC">
        <w:rPr>
          <w:color w:val="000000"/>
          <w:szCs w:val="22"/>
          <w:lang w:val="sk-SK" w:eastAsia="de-DE"/>
        </w:rPr>
        <w:t>Po jednorazovom perorálnom podaní 1500</w:t>
      </w:r>
      <w:r w:rsidRPr="002F5DEC">
        <w:rPr>
          <w:szCs w:val="22"/>
          <w:lang w:val="sk-SK"/>
        </w:rPr>
        <w:t> </w:t>
      </w:r>
      <w:r w:rsidRPr="002F5DEC">
        <w:rPr>
          <w:color w:val="000000"/>
          <w:szCs w:val="22"/>
          <w:lang w:val="sk-SK" w:eastAsia="de-DE"/>
        </w:rPr>
        <w:t xml:space="preserve"> mg metformínu (s predĺženým uvoľňovaním) sa dosahuje priemerná maximálna plazmatická koncentrácia 1193 ng/</w:t>
      </w:r>
      <w:r>
        <w:rPr>
          <w:color w:val="000000"/>
          <w:szCs w:val="22"/>
          <w:lang w:val="sk-SK" w:eastAsia="de-DE"/>
        </w:rPr>
        <w:t xml:space="preserve">ml priemerne po 5 hodinách, </w:t>
      </w:r>
      <w:r w:rsidRPr="002F5DEC">
        <w:rPr>
          <w:color w:val="000000"/>
          <w:szCs w:val="22"/>
          <w:lang w:val="sk-SK" w:eastAsia="de-DE"/>
        </w:rPr>
        <w:t xml:space="preserve">v rozmedzí </w:t>
      </w:r>
      <w:r>
        <w:rPr>
          <w:color w:val="000000"/>
          <w:szCs w:val="22"/>
          <w:lang w:val="sk-SK" w:eastAsia="de-DE"/>
        </w:rPr>
        <w:t>4 až 12 hodín.</w:t>
      </w:r>
    </w:p>
    <w:p w:rsidR="002F5DEC" w:rsidRPr="008335E3" w:rsidRDefault="002F5DEC" w:rsidP="00413BDA">
      <w:pPr>
        <w:shd w:val="clear" w:color="auto" w:fill="FFFFFF"/>
        <w:rPr>
          <w:color w:val="000000"/>
          <w:szCs w:val="22"/>
          <w:lang w:val="sk-SK" w:eastAsia="de-DE"/>
        </w:rPr>
      </w:pPr>
    </w:p>
    <w:p w:rsidR="00F42382" w:rsidRPr="008335E3" w:rsidRDefault="00F42382" w:rsidP="00413BDA">
      <w:pPr>
        <w:shd w:val="clear" w:color="auto" w:fill="FFFFFF"/>
        <w:rPr>
          <w:color w:val="000000"/>
          <w:szCs w:val="22"/>
          <w:lang w:val="sk-SK" w:eastAsia="de-DE"/>
        </w:rPr>
      </w:pPr>
      <w:r w:rsidRPr="008335E3">
        <w:rPr>
          <w:iCs/>
          <w:szCs w:val="22"/>
          <w:lang w:val="sk-SK"/>
        </w:rPr>
        <w:t xml:space="preserve">Preukázalo sa, že </w:t>
      </w:r>
      <w:r w:rsidRPr="008335E3">
        <w:rPr>
          <w:color w:val="000000"/>
          <w:szCs w:val="22"/>
          <w:lang w:val="sk-SK" w:eastAsia="de-DE"/>
        </w:rPr>
        <w:t>u zdravých jedincov po jedle a nalačno</w:t>
      </w:r>
      <w:r w:rsidRPr="008335E3">
        <w:rPr>
          <w:iCs/>
          <w:szCs w:val="22"/>
          <w:lang w:val="sk-SK"/>
        </w:rPr>
        <w:t xml:space="preserve"> </w:t>
      </w:r>
      <w:r w:rsidRPr="008335E3">
        <w:rPr>
          <w:color w:val="000000"/>
          <w:szCs w:val="22"/>
          <w:lang w:val="sk-SK" w:eastAsia="de-DE"/>
        </w:rPr>
        <w:t>je</w:t>
      </w:r>
      <w:r w:rsidRPr="008335E3">
        <w:rPr>
          <w:iCs/>
          <w:szCs w:val="22"/>
          <w:lang w:val="sk-SK"/>
        </w:rPr>
        <w:t xml:space="preserve"> metformín </w:t>
      </w:r>
      <w:r w:rsidR="008335E3" w:rsidRPr="008335E3">
        <w:rPr>
          <w:iCs/>
          <w:szCs w:val="22"/>
          <w:lang w:val="sk-SK"/>
        </w:rPr>
        <w:t>750</w:t>
      </w:r>
      <w:r w:rsidRPr="008335E3">
        <w:rPr>
          <w:color w:val="000000"/>
          <w:szCs w:val="22"/>
          <w:lang w:val="sk-SK" w:eastAsia="de-DE"/>
        </w:rPr>
        <w:t xml:space="preserve"> mg (s predĺženým uvoľňovaním) bioekvivalentný s </w:t>
      </w:r>
      <w:r w:rsidRPr="008335E3">
        <w:rPr>
          <w:iCs/>
          <w:szCs w:val="22"/>
          <w:lang w:val="sk-SK"/>
        </w:rPr>
        <w:t xml:space="preserve">metformínom </w:t>
      </w:r>
      <w:r w:rsidRPr="008335E3">
        <w:rPr>
          <w:color w:val="000000"/>
          <w:szCs w:val="22"/>
          <w:lang w:val="sk-SK" w:eastAsia="de-DE"/>
        </w:rPr>
        <w:t>500 mg (s predĺženým uvoľňovaním) pri podaní 1</w:t>
      </w:r>
      <w:r w:rsidR="008335E3" w:rsidRPr="008335E3">
        <w:rPr>
          <w:color w:val="000000"/>
          <w:szCs w:val="22"/>
          <w:lang w:val="sk-SK" w:eastAsia="de-DE"/>
        </w:rPr>
        <w:t>5</w:t>
      </w:r>
      <w:r w:rsidRPr="008335E3">
        <w:rPr>
          <w:color w:val="000000"/>
          <w:szCs w:val="22"/>
          <w:lang w:val="sk-SK" w:eastAsia="de-DE"/>
        </w:rPr>
        <w:t>00 mg dávky s ohľadom na c</w:t>
      </w:r>
      <w:r w:rsidRPr="008335E3">
        <w:rPr>
          <w:color w:val="000000"/>
          <w:szCs w:val="22"/>
          <w:vertAlign w:val="subscript"/>
          <w:lang w:val="sk-SK" w:eastAsia="de-DE"/>
        </w:rPr>
        <w:t>max</w:t>
      </w:r>
      <w:r w:rsidRPr="008335E3">
        <w:rPr>
          <w:color w:val="000000"/>
          <w:szCs w:val="22"/>
          <w:lang w:val="sk-SK" w:eastAsia="de-DE"/>
        </w:rPr>
        <w:t xml:space="preserve"> a AUC. </w:t>
      </w:r>
    </w:p>
    <w:p w:rsidR="00F42382" w:rsidRPr="008335E3" w:rsidRDefault="00F42382" w:rsidP="00413BDA">
      <w:pPr>
        <w:shd w:val="clear" w:color="auto" w:fill="FFFFFF"/>
        <w:rPr>
          <w:color w:val="000000"/>
          <w:szCs w:val="22"/>
          <w:lang w:val="sk-SK" w:eastAsia="de-DE"/>
        </w:rPr>
      </w:pPr>
    </w:p>
    <w:p w:rsidR="00C15E20" w:rsidRPr="00677C44" w:rsidRDefault="00D535B0" w:rsidP="00413BDA">
      <w:pPr>
        <w:shd w:val="clear" w:color="auto" w:fill="FFFFFF"/>
        <w:rPr>
          <w:color w:val="000000"/>
          <w:szCs w:val="22"/>
          <w:highlight w:val="yellow"/>
          <w:lang w:val="sk-SK" w:eastAsia="de-DE"/>
        </w:rPr>
      </w:pPr>
      <w:r w:rsidRPr="00E6322F">
        <w:rPr>
          <w:color w:val="000000"/>
          <w:szCs w:val="22"/>
          <w:lang w:val="sk-SK" w:eastAsia="de-DE"/>
        </w:rPr>
        <w:t xml:space="preserve">Podobne, ako v prípade liekových foriem s okamžitým uvoľňovaním, sa hodnota </w:t>
      </w:r>
      <w:r w:rsidR="00F42382" w:rsidRPr="00E6322F">
        <w:rPr>
          <w:color w:val="000000"/>
          <w:szCs w:val="22"/>
          <w:lang w:val="sk-SK" w:eastAsia="de-DE"/>
        </w:rPr>
        <w:t>c</w:t>
      </w:r>
      <w:r w:rsidR="00F42382" w:rsidRPr="00E6322F">
        <w:rPr>
          <w:color w:val="000000"/>
          <w:szCs w:val="22"/>
          <w:vertAlign w:val="subscript"/>
          <w:lang w:val="sk-SK" w:eastAsia="de-DE"/>
        </w:rPr>
        <w:t>max</w:t>
      </w:r>
      <w:r w:rsidRPr="00E6322F">
        <w:rPr>
          <w:color w:val="000000"/>
          <w:szCs w:val="22"/>
          <w:lang w:val="sk-SK" w:eastAsia="de-DE"/>
        </w:rPr>
        <w:t xml:space="preserve"> a AUC v rovnovážnom stave nezvyšovala proporcionálne s podanou dávkou. Krivka závislosti plazmatickej</w:t>
      </w:r>
      <w:r w:rsidRPr="00D535B0">
        <w:rPr>
          <w:color w:val="000000"/>
          <w:szCs w:val="22"/>
          <w:lang w:val="sk-SK" w:eastAsia="de-DE"/>
        </w:rPr>
        <w:t xml:space="preserve"> koncentrácie lieku od času (AUC) po jednorazovom perorálnom podaní 2000 mg tablety metformínu s predĺženým uvoľňovaním je podobná tej, ktorá sa pozorovala po podaní 1000 mg tabliet metformínu s okamžitým uvoľňovaním dvakrát denne.</w:t>
      </w:r>
    </w:p>
    <w:p w:rsidR="00C15E20" w:rsidRPr="00677C44" w:rsidRDefault="00C15E20" w:rsidP="00413BDA">
      <w:pPr>
        <w:shd w:val="clear" w:color="auto" w:fill="FFFFFF"/>
        <w:rPr>
          <w:color w:val="000000"/>
          <w:szCs w:val="22"/>
          <w:highlight w:val="yellow"/>
          <w:lang w:val="sk-SK" w:eastAsia="de-DE"/>
        </w:rPr>
      </w:pPr>
    </w:p>
    <w:p w:rsidR="00C15E20" w:rsidRPr="00677C44" w:rsidRDefault="00D535B0" w:rsidP="00413BDA">
      <w:pPr>
        <w:shd w:val="clear" w:color="auto" w:fill="FFFFFF"/>
        <w:rPr>
          <w:color w:val="000000"/>
          <w:szCs w:val="22"/>
          <w:highlight w:val="yellow"/>
          <w:lang w:val="sk-SK" w:eastAsia="de-DE"/>
        </w:rPr>
      </w:pPr>
      <w:r w:rsidRPr="00D535B0">
        <w:rPr>
          <w:color w:val="000000"/>
          <w:szCs w:val="22"/>
          <w:lang w:val="sk-SK" w:eastAsia="de-DE"/>
        </w:rPr>
        <w:t>Intrasubjektívna variabilita maximálnej plazmatickej koncentrácie (</w:t>
      </w:r>
      <w:r w:rsidR="00481B59" w:rsidRPr="00E6322F">
        <w:rPr>
          <w:color w:val="000000"/>
          <w:szCs w:val="22"/>
          <w:lang w:val="sk-SK" w:eastAsia="de-DE"/>
        </w:rPr>
        <w:t>c</w:t>
      </w:r>
      <w:r w:rsidR="00481B59" w:rsidRPr="00E6322F">
        <w:rPr>
          <w:color w:val="000000"/>
          <w:szCs w:val="22"/>
          <w:vertAlign w:val="subscript"/>
          <w:lang w:val="sk-SK" w:eastAsia="de-DE"/>
        </w:rPr>
        <w:t>max</w:t>
      </w:r>
      <w:r w:rsidRPr="00D535B0">
        <w:rPr>
          <w:color w:val="000000"/>
          <w:szCs w:val="22"/>
          <w:lang w:val="sk-SK" w:eastAsia="de-DE"/>
        </w:rPr>
        <w:t>) a AUC metformínu s predĺženým uvoľňovaním je porovnateľná s tou, ktorá sa pozorovala po podávaní tabliet metformínu s okamžitým uvoľňovaním.</w:t>
      </w:r>
    </w:p>
    <w:p w:rsidR="00C15E20" w:rsidRPr="00677C44" w:rsidRDefault="00C15E20" w:rsidP="00413BDA">
      <w:pPr>
        <w:shd w:val="clear" w:color="auto" w:fill="FFFFFF"/>
        <w:rPr>
          <w:color w:val="000000"/>
          <w:szCs w:val="22"/>
          <w:highlight w:val="yellow"/>
          <w:lang w:val="sk-SK" w:eastAsia="de-DE"/>
        </w:rPr>
      </w:pPr>
    </w:p>
    <w:p w:rsidR="00A8593A" w:rsidRPr="00D21A3D" w:rsidRDefault="00A8593A" w:rsidP="00413BDA">
      <w:pPr>
        <w:shd w:val="clear" w:color="auto" w:fill="FFFFFF"/>
        <w:rPr>
          <w:color w:val="000000"/>
          <w:lang w:val="sk-SK" w:eastAsia="de-DE"/>
        </w:rPr>
      </w:pPr>
      <w:r w:rsidRPr="00D21A3D">
        <w:rPr>
          <w:color w:val="000000"/>
          <w:lang w:val="sk-SK" w:eastAsia="de-DE"/>
        </w:rPr>
        <w:t>Keď sa tableta s predĺženým uvoľňovaním podá nalačno, hodnota AUC sa zníži o 30 % (</w:t>
      </w:r>
      <w:r w:rsidRPr="00D21A3D">
        <w:rPr>
          <w:color w:val="000000"/>
          <w:szCs w:val="22"/>
          <w:lang w:val="sk-SK" w:eastAsia="de-DE"/>
        </w:rPr>
        <w:t>c</w:t>
      </w:r>
      <w:r w:rsidRPr="00D21A3D">
        <w:rPr>
          <w:color w:val="000000"/>
          <w:szCs w:val="22"/>
          <w:vertAlign w:val="subscript"/>
          <w:lang w:val="sk-SK" w:eastAsia="de-DE"/>
        </w:rPr>
        <w:t>max</w:t>
      </w:r>
      <w:r w:rsidRPr="00D21A3D">
        <w:rPr>
          <w:color w:val="000000"/>
          <w:szCs w:val="22"/>
          <w:lang w:val="sk-SK" w:eastAsia="de-DE"/>
        </w:rPr>
        <w:t xml:space="preserve"> a </w:t>
      </w:r>
      <w:r w:rsidRPr="00413BDA">
        <w:rPr>
          <w:lang w:val="sk-SK"/>
        </w:rPr>
        <w:t>t</w:t>
      </w:r>
      <w:r w:rsidRPr="00413BDA">
        <w:rPr>
          <w:vertAlign w:val="subscript"/>
          <w:lang w:val="sk-SK"/>
        </w:rPr>
        <w:t xml:space="preserve">max </w:t>
      </w:r>
      <w:r w:rsidRPr="00413BDA">
        <w:rPr>
          <w:lang w:val="sk-SK"/>
        </w:rPr>
        <w:t>nie sú ovplyvnené).</w:t>
      </w:r>
    </w:p>
    <w:p w:rsidR="00A11864" w:rsidRPr="00677C44" w:rsidRDefault="00A11864" w:rsidP="00413BDA">
      <w:pPr>
        <w:shd w:val="clear" w:color="auto" w:fill="FFFFFF"/>
        <w:rPr>
          <w:color w:val="000000"/>
          <w:szCs w:val="22"/>
          <w:highlight w:val="yellow"/>
          <w:lang w:val="sk-SK" w:eastAsia="de-DE"/>
        </w:rPr>
      </w:pPr>
    </w:p>
    <w:p w:rsidR="00C15E20" w:rsidRPr="00677C44" w:rsidRDefault="00D535B0" w:rsidP="00413BDA">
      <w:pPr>
        <w:shd w:val="clear" w:color="auto" w:fill="FFFFFF"/>
        <w:rPr>
          <w:color w:val="000000"/>
          <w:szCs w:val="22"/>
          <w:highlight w:val="yellow"/>
          <w:lang w:val="sk-SK" w:eastAsia="de-DE"/>
        </w:rPr>
      </w:pPr>
      <w:r w:rsidRPr="00D535B0">
        <w:rPr>
          <w:color w:val="000000"/>
          <w:szCs w:val="22"/>
          <w:lang w:val="sk-SK" w:eastAsia="de-DE"/>
        </w:rPr>
        <w:t>Zloženie jedla takmer neovplyvňuje priemernú absorpciu metformínu v liekovej forme s predĺženým uvoľňovaním.</w:t>
      </w:r>
    </w:p>
    <w:p w:rsidR="00C15E20" w:rsidRPr="00677C44" w:rsidRDefault="00C15E20" w:rsidP="00413BDA">
      <w:pPr>
        <w:shd w:val="clear" w:color="auto" w:fill="FFFFFF"/>
        <w:rPr>
          <w:color w:val="000000"/>
          <w:szCs w:val="22"/>
          <w:highlight w:val="yellow"/>
          <w:lang w:val="sk-SK" w:eastAsia="de-DE"/>
        </w:rPr>
      </w:pPr>
    </w:p>
    <w:p w:rsidR="006C6D1A" w:rsidRPr="00C7387E" w:rsidRDefault="006C6D1A" w:rsidP="00413BDA">
      <w:pPr>
        <w:shd w:val="clear" w:color="auto" w:fill="FFFFFF"/>
        <w:rPr>
          <w:color w:val="000000"/>
          <w:szCs w:val="22"/>
          <w:lang w:val="sk-SK" w:eastAsia="de-DE"/>
        </w:rPr>
      </w:pPr>
      <w:r w:rsidRPr="00413BDA">
        <w:rPr>
          <w:szCs w:val="22"/>
          <w:lang w:val="sk-SK"/>
        </w:rPr>
        <w:t>Po opakovanom podávaní až 2000 mg metformínu vo fome tabliet s predĺženým uvoľňovaním sa nepozorovala žiadna kumulácia.</w:t>
      </w:r>
    </w:p>
    <w:p w:rsidR="00EB4B0C" w:rsidRPr="00C7387E" w:rsidRDefault="00EB4B0C" w:rsidP="00413BDA">
      <w:pPr>
        <w:keepNext/>
        <w:shd w:val="clear" w:color="auto" w:fill="FFFFFF"/>
        <w:rPr>
          <w:color w:val="000000"/>
          <w:szCs w:val="22"/>
          <w:lang w:val="sk-SK" w:eastAsia="de-DE"/>
        </w:rPr>
      </w:pPr>
    </w:p>
    <w:p w:rsidR="00106490" w:rsidRPr="00C7387E" w:rsidRDefault="00106490" w:rsidP="00413BDA">
      <w:pPr>
        <w:pStyle w:val="Nadpis6"/>
        <w:spacing w:before="120" w:after="120"/>
        <w:rPr>
          <w:i w:val="0"/>
          <w:u w:val="single"/>
          <w:lang w:val="sk-SK"/>
        </w:rPr>
      </w:pPr>
      <w:r w:rsidRPr="00C7387E">
        <w:rPr>
          <w:i w:val="0"/>
          <w:u w:val="single"/>
          <w:lang w:val="sk-SK"/>
        </w:rPr>
        <w:t>Distrib</w:t>
      </w:r>
      <w:r w:rsidR="00677C44">
        <w:rPr>
          <w:i w:val="0"/>
          <w:u w:val="single"/>
          <w:lang w:val="sk-SK"/>
        </w:rPr>
        <w:t>úcia</w:t>
      </w:r>
    </w:p>
    <w:p w:rsidR="00106490" w:rsidRPr="00C7387E" w:rsidRDefault="00677C44" w:rsidP="00413BDA">
      <w:pPr>
        <w:tabs>
          <w:tab w:val="left" w:pos="0"/>
        </w:tabs>
        <w:ind w:right="-2"/>
        <w:rPr>
          <w:lang w:val="sk-SK"/>
        </w:rPr>
      </w:pPr>
      <w:r w:rsidRPr="00D4385F">
        <w:rPr>
          <w:szCs w:val="22"/>
          <w:lang w:val="sk-SK"/>
        </w:rPr>
        <w:t>Väzba na plazmatické bielkoviny je zanedbateľná. Metformín preniká do erytrocytov. Najvyššia koncentrácia v celej krvi je nižšia ako v plazme a dosiahne sa približne v rovnakom čase. Erytrocyty sú pravdepodobne sekundárnou oblasťou distribúcie. Priemerný distribučný objem (V</w:t>
      </w:r>
      <w:r w:rsidRPr="00D4385F">
        <w:rPr>
          <w:szCs w:val="22"/>
          <w:vertAlign w:val="subscript"/>
          <w:lang w:val="sk-SK"/>
        </w:rPr>
        <w:t>d</w:t>
      </w:r>
      <w:r w:rsidRPr="00D4385F">
        <w:rPr>
          <w:szCs w:val="22"/>
          <w:lang w:val="sk-SK"/>
        </w:rPr>
        <w:t xml:space="preserve">) sa pohybuje medzi 63 - 276 </w:t>
      </w:r>
      <w:r w:rsidR="00396E3B">
        <w:rPr>
          <w:szCs w:val="22"/>
          <w:lang w:val="sk-SK"/>
        </w:rPr>
        <w:t>l</w:t>
      </w:r>
      <w:r w:rsidR="00C84D90" w:rsidRPr="00C7387E">
        <w:rPr>
          <w:lang w:val="sk-SK"/>
        </w:rPr>
        <w:t>.</w:t>
      </w:r>
    </w:p>
    <w:p w:rsidR="00106490" w:rsidRPr="005F63A4" w:rsidRDefault="00D535B0" w:rsidP="00413BDA">
      <w:pPr>
        <w:pStyle w:val="Nadpis6"/>
        <w:spacing w:before="120" w:after="120"/>
        <w:rPr>
          <w:i w:val="0"/>
          <w:u w:val="single"/>
          <w:lang w:val="sk-SK"/>
        </w:rPr>
      </w:pPr>
      <w:r w:rsidRPr="005F63A4">
        <w:rPr>
          <w:i w:val="0"/>
          <w:u w:val="single"/>
          <w:lang w:val="sk-SK"/>
        </w:rPr>
        <w:t>Biotransformácia</w:t>
      </w:r>
    </w:p>
    <w:p w:rsidR="00106490" w:rsidRPr="00C7387E" w:rsidRDefault="00677C44" w:rsidP="00413BDA">
      <w:pPr>
        <w:tabs>
          <w:tab w:val="left" w:pos="0"/>
        </w:tabs>
        <w:ind w:right="-2"/>
        <w:rPr>
          <w:lang w:val="sk-SK"/>
        </w:rPr>
      </w:pPr>
      <w:r w:rsidRPr="00677C44">
        <w:rPr>
          <w:lang w:val="sk-SK"/>
        </w:rPr>
        <w:t>Metformín sa vylučuje nezmenený močom. U ľudí sa nezistili žiadne metabolity.</w:t>
      </w:r>
    </w:p>
    <w:p w:rsidR="00106490" w:rsidRPr="00C7387E" w:rsidRDefault="00106490" w:rsidP="00413BDA">
      <w:pPr>
        <w:pStyle w:val="Nadpis6"/>
        <w:keepNext/>
        <w:spacing w:before="120" w:after="120"/>
        <w:rPr>
          <w:i w:val="0"/>
          <w:u w:val="single"/>
          <w:lang w:val="sk-SK"/>
        </w:rPr>
      </w:pPr>
      <w:r w:rsidRPr="00C7387E">
        <w:rPr>
          <w:i w:val="0"/>
          <w:u w:val="single"/>
          <w:lang w:val="sk-SK"/>
        </w:rPr>
        <w:t>Elimin</w:t>
      </w:r>
      <w:r w:rsidR="00677C44">
        <w:rPr>
          <w:i w:val="0"/>
          <w:u w:val="single"/>
          <w:lang w:val="sk-SK"/>
        </w:rPr>
        <w:t>ácia</w:t>
      </w:r>
    </w:p>
    <w:p w:rsidR="0096584F" w:rsidRPr="00D4385F" w:rsidRDefault="0096584F">
      <w:pPr>
        <w:rPr>
          <w:szCs w:val="22"/>
          <w:lang w:val="sk-SK"/>
        </w:rPr>
      </w:pPr>
      <w:r w:rsidRPr="00D4385F">
        <w:rPr>
          <w:szCs w:val="22"/>
          <w:lang w:val="sk-SK"/>
        </w:rPr>
        <w:t xml:space="preserve">Renálny klírens metformínu je &gt; 400 ml/min, čo indikuje, že metformín sa eliminuje glomerulárnou filtráciou a tubulárnou sekréciou. Po aplikácii perorálnej dávky je evidentný terminálny eliminačný polčas približne 6,5 hodiny. </w:t>
      </w:r>
    </w:p>
    <w:p w:rsidR="00AE40D4" w:rsidRPr="00C7387E" w:rsidRDefault="0096584F" w:rsidP="00413BDA">
      <w:pPr>
        <w:rPr>
          <w:lang w:val="sk-SK" w:eastAsia="de-DE"/>
        </w:rPr>
      </w:pPr>
      <w:r w:rsidRPr="00D4385F">
        <w:rPr>
          <w:szCs w:val="22"/>
          <w:lang w:val="sk-SK"/>
        </w:rPr>
        <w:t>Pri funkčnom poškodení obličiek sa znižuje renálny klírens proporčne ku kreatinínu a tak sa eliminačný polčas predlžuje, čo vedie k zvýšeniu hladín metformínu v plazme.</w:t>
      </w:r>
    </w:p>
    <w:p w:rsidR="00D535B0" w:rsidRPr="00D535B0" w:rsidRDefault="00D535B0" w:rsidP="00413BDA">
      <w:pPr>
        <w:keepNext/>
        <w:spacing w:before="120" w:after="120" w:line="276" w:lineRule="auto"/>
        <w:ind w:right="1418"/>
        <w:outlineLvl w:val="5"/>
        <w:rPr>
          <w:bCs/>
          <w:i/>
          <w:szCs w:val="22"/>
          <w:lang w:val="sk-SK" w:eastAsia="de-DE"/>
        </w:rPr>
      </w:pPr>
      <w:r w:rsidRPr="00D535B0">
        <w:rPr>
          <w:bCs/>
          <w:szCs w:val="22"/>
          <w:u w:val="single"/>
          <w:lang w:val="sk-SK"/>
        </w:rPr>
        <w:t>Charakteristika v osobitných skupinách pacientov</w:t>
      </w:r>
    </w:p>
    <w:p w:rsidR="00D535B0" w:rsidRPr="00D535B0" w:rsidRDefault="00D535B0">
      <w:pPr>
        <w:spacing w:line="276" w:lineRule="auto"/>
        <w:ind w:right="1418"/>
        <w:outlineLvl w:val="5"/>
        <w:rPr>
          <w:bCs/>
          <w:i/>
          <w:szCs w:val="22"/>
          <w:lang w:val="sk-SK" w:eastAsia="de-DE"/>
        </w:rPr>
      </w:pPr>
      <w:r w:rsidRPr="00D535B0">
        <w:rPr>
          <w:bCs/>
          <w:i/>
          <w:szCs w:val="22"/>
          <w:lang w:val="sk-SK" w:eastAsia="de-DE"/>
        </w:rPr>
        <w:t>Porucha funkcie obličiek</w:t>
      </w:r>
    </w:p>
    <w:p w:rsidR="00AE40D4" w:rsidRPr="00C7387E" w:rsidRDefault="00D535B0" w:rsidP="00413BDA">
      <w:pPr>
        <w:rPr>
          <w:lang w:val="sk-SK" w:eastAsia="de-DE"/>
        </w:rPr>
      </w:pPr>
      <w:r w:rsidRPr="00D535B0">
        <w:rPr>
          <w:szCs w:val="22"/>
          <w:lang w:val="sk-SK"/>
        </w:rPr>
        <w:t xml:space="preserve">Dostupné údaje u jedincov so stredne závažnou renálnou insuficienciou sú nedostatočné a v tejto podskupine sa nedá spoľahlivo určiť systémová expozícia metformínu v porovnaní s jedincami s normálnou funkciou obličiek. Preto sa má úprava dávky vykonať s prihliadnutím na klinickú účinnosť/znášanlivosť </w:t>
      </w:r>
      <w:r w:rsidRPr="00D535B0">
        <w:rPr>
          <w:lang w:val="sk-SK" w:eastAsia="de-DE"/>
        </w:rPr>
        <w:t>(pozri časť4.2).</w:t>
      </w:r>
    </w:p>
    <w:p w:rsidR="00791CC0" w:rsidRPr="00C7387E" w:rsidRDefault="008651A0" w:rsidP="00413BDA">
      <w:pPr>
        <w:pStyle w:val="Nadpis3"/>
        <w:rPr>
          <w:iCs/>
          <w:smallCaps/>
          <w:lang w:val="sk-SK"/>
        </w:rPr>
      </w:pPr>
      <w:r w:rsidRPr="00C7387E">
        <w:rPr>
          <w:lang w:val="sk-SK"/>
        </w:rPr>
        <w:t>5.3</w:t>
      </w:r>
      <w:r w:rsidRPr="00C7387E">
        <w:rPr>
          <w:lang w:val="sk-SK"/>
        </w:rPr>
        <w:tab/>
      </w:r>
      <w:r w:rsidR="0077308C" w:rsidRPr="00C7387E">
        <w:rPr>
          <w:lang w:val="sk-SK"/>
        </w:rPr>
        <w:tab/>
      </w:r>
      <w:r w:rsidR="0077308C" w:rsidRPr="00C7387E">
        <w:rPr>
          <w:lang w:val="sk-SK"/>
        </w:rPr>
        <w:tab/>
      </w:r>
      <w:r w:rsidR="0096584F">
        <w:rPr>
          <w:lang w:val="sk-SK"/>
        </w:rPr>
        <w:t>Predklinické údaje o bezpečnosti</w:t>
      </w:r>
    </w:p>
    <w:p w:rsidR="00792BC3" w:rsidRPr="00C7387E" w:rsidRDefault="00443A4B" w:rsidP="00413BDA">
      <w:pPr>
        <w:rPr>
          <w:lang w:val="sk-SK"/>
        </w:rPr>
      </w:pPr>
      <w:r w:rsidRPr="00443A4B">
        <w:rPr>
          <w:lang w:val="sk-SK"/>
        </w:rPr>
        <w:t>Predklinické údaje na základe obvyklých štúdií bezpečnosti, farmakológie, toxicity po opakovanom podávaní, genotoxicity, karcinogénneho potenciálu, reprodukčnej toxicity a vývinu neodhalili žiadne osobitné riziko pre ľudí.</w:t>
      </w:r>
    </w:p>
    <w:p w:rsidR="00106490" w:rsidRPr="00C7387E" w:rsidRDefault="00983C85" w:rsidP="00990566">
      <w:pPr>
        <w:pStyle w:val="Nadpis2"/>
        <w:rPr>
          <w:lang w:val="sk-SK"/>
        </w:rPr>
      </w:pPr>
      <w:r w:rsidRPr="00C7387E">
        <w:rPr>
          <w:lang w:val="sk-SK"/>
        </w:rPr>
        <w:t>6.</w:t>
      </w:r>
      <w:r w:rsidRPr="00C7387E">
        <w:rPr>
          <w:lang w:val="sk-SK"/>
        </w:rPr>
        <w:tab/>
      </w:r>
      <w:r w:rsidR="0096584F" w:rsidRPr="00D4385F">
        <w:rPr>
          <w:szCs w:val="22"/>
          <w:lang w:val="sk-SK"/>
        </w:rPr>
        <w:t>FARMACEUTICKÉ INFORMÁCIE</w:t>
      </w:r>
    </w:p>
    <w:p w:rsidR="00106490" w:rsidRPr="00C7387E" w:rsidRDefault="00983C85" w:rsidP="00990566">
      <w:pPr>
        <w:pStyle w:val="Nadpis3"/>
        <w:jc w:val="both"/>
        <w:rPr>
          <w:lang w:val="sk-SK"/>
        </w:rPr>
      </w:pPr>
      <w:r w:rsidRPr="00C7387E">
        <w:rPr>
          <w:lang w:val="sk-SK"/>
        </w:rPr>
        <w:t>6.1</w:t>
      </w:r>
      <w:r w:rsidR="008651A0" w:rsidRPr="00C7387E">
        <w:rPr>
          <w:lang w:val="sk-SK"/>
        </w:rPr>
        <w:tab/>
      </w:r>
      <w:r w:rsidR="008651A0" w:rsidRPr="00C7387E">
        <w:rPr>
          <w:lang w:val="sk-SK"/>
        </w:rPr>
        <w:tab/>
      </w:r>
      <w:r w:rsidRPr="00C7387E">
        <w:rPr>
          <w:lang w:val="sk-SK"/>
        </w:rPr>
        <w:tab/>
      </w:r>
      <w:r w:rsidR="0096584F">
        <w:rPr>
          <w:lang w:val="sk-SK"/>
        </w:rPr>
        <w:t>Zoznam pomocných látok</w:t>
      </w:r>
    </w:p>
    <w:sdt>
      <w:sdtPr>
        <w:rPr>
          <w:lang w:val="sk-SK"/>
        </w:rPr>
        <w:id w:val="798727304"/>
        <w:placeholder>
          <w:docPart w:val="DefaultPlaceholder_1082065158"/>
        </w:placeholder>
      </w:sdtPr>
      <w:sdtEndPr/>
      <w:sdtContent>
        <w:p w:rsidR="00D535B0" w:rsidRPr="00D535B0" w:rsidRDefault="005E776E" w:rsidP="00413BDA">
          <w:pPr>
            <w:tabs>
              <w:tab w:val="left" w:pos="0"/>
            </w:tabs>
            <w:ind w:right="-2"/>
            <w:rPr>
              <w:lang w:val="sk-SK"/>
            </w:rPr>
          </w:pPr>
          <w:r>
            <w:rPr>
              <w:lang w:val="sk-SK"/>
            </w:rPr>
            <w:t>stearan horečnatá</w:t>
          </w:r>
        </w:p>
        <w:p w:rsidR="00D535B0" w:rsidRPr="00D535B0" w:rsidRDefault="00D535B0" w:rsidP="00413BDA">
          <w:pPr>
            <w:tabs>
              <w:tab w:val="left" w:pos="0"/>
            </w:tabs>
            <w:ind w:right="-2"/>
            <w:rPr>
              <w:lang w:val="sk-SK"/>
            </w:rPr>
          </w:pPr>
          <w:r w:rsidRPr="00D535B0">
            <w:rPr>
              <w:lang w:val="sk-SK"/>
            </w:rPr>
            <w:t>oxid kremičitý</w:t>
          </w:r>
          <w:r w:rsidR="005E776E">
            <w:rPr>
              <w:lang w:val="sk-SK"/>
            </w:rPr>
            <w:t>,</w:t>
          </w:r>
          <w:r w:rsidRPr="00D535B0">
            <w:rPr>
              <w:lang w:val="sk-SK"/>
            </w:rPr>
            <w:t xml:space="preserve"> koloidný bezvodý</w:t>
          </w:r>
        </w:p>
        <w:p w:rsidR="00D535B0" w:rsidRPr="00D535B0" w:rsidRDefault="005E776E" w:rsidP="00413BDA">
          <w:pPr>
            <w:tabs>
              <w:tab w:val="left" w:pos="0"/>
            </w:tabs>
            <w:ind w:right="-2"/>
            <w:rPr>
              <w:lang w:val="sk-SK"/>
            </w:rPr>
          </w:pPr>
          <w:r w:rsidRPr="00D535B0">
            <w:rPr>
              <w:lang w:val="sk-SK"/>
            </w:rPr>
            <w:t>karmelóz</w:t>
          </w:r>
          <w:r>
            <w:rPr>
              <w:lang w:val="sk-SK"/>
            </w:rPr>
            <w:t>a, sodná soľ</w:t>
          </w:r>
        </w:p>
        <w:p w:rsidR="00D535B0" w:rsidRPr="00D535B0" w:rsidRDefault="00D535B0" w:rsidP="00413BDA">
          <w:pPr>
            <w:tabs>
              <w:tab w:val="left" w:pos="0"/>
            </w:tabs>
            <w:ind w:right="-2"/>
            <w:rPr>
              <w:lang w:val="sk-SK"/>
            </w:rPr>
          </w:pPr>
          <w:r w:rsidRPr="00D535B0">
            <w:rPr>
              <w:lang w:val="sk-SK"/>
            </w:rPr>
            <w:t>hypromelóza</w:t>
          </w:r>
        </w:p>
        <w:p w:rsidR="00D703CF" w:rsidRPr="00C7387E" w:rsidRDefault="00413BDA" w:rsidP="00413BDA">
          <w:pPr>
            <w:tabs>
              <w:tab w:val="left" w:pos="0"/>
            </w:tabs>
            <w:ind w:right="-2"/>
            <w:rPr>
              <w:lang w:val="sk-SK"/>
            </w:rPr>
          </w:pPr>
        </w:p>
      </w:sdtContent>
    </w:sdt>
    <w:p w:rsidR="004F0E90" w:rsidRPr="00C7387E" w:rsidRDefault="00983C85" w:rsidP="00413BDA">
      <w:pPr>
        <w:pStyle w:val="Nadpis3"/>
        <w:rPr>
          <w:lang w:val="sk-SK"/>
        </w:rPr>
      </w:pPr>
      <w:r w:rsidRPr="00C7387E">
        <w:rPr>
          <w:lang w:val="sk-SK"/>
        </w:rPr>
        <w:t>6.2</w:t>
      </w:r>
      <w:r w:rsidRPr="00C7387E">
        <w:rPr>
          <w:lang w:val="sk-SK"/>
        </w:rPr>
        <w:tab/>
      </w:r>
      <w:r w:rsidR="008651A0" w:rsidRPr="00C7387E">
        <w:rPr>
          <w:lang w:val="sk-SK"/>
        </w:rPr>
        <w:tab/>
      </w:r>
      <w:r w:rsidR="008651A0" w:rsidRPr="00C7387E">
        <w:rPr>
          <w:lang w:val="sk-SK"/>
        </w:rPr>
        <w:tab/>
      </w:r>
      <w:r w:rsidR="00106490" w:rsidRPr="00C7387E">
        <w:rPr>
          <w:lang w:val="sk-SK"/>
        </w:rPr>
        <w:t>In</w:t>
      </w:r>
      <w:r w:rsidR="0096584F">
        <w:rPr>
          <w:lang w:val="sk-SK"/>
        </w:rPr>
        <w:t>kompatibility</w:t>
      </w:r>
    </w:p>
    <w:p w:rsidR="00106490" w:rsidRPr="00C7387E" w:rsidRDefault="0096584F" w:rsidP="00413BDA">
      <w:pPr>
        <w:tabs>
          <w:tab w:val="left" w:pos="0"/>
        </w:tabs>
        <w:ind w:right="-2"/>
        <w:rPr>
          <w:lang w:val="sk-SK"/>
        </w:rPr>
      </w:pPr>
      <w:r>
        <w:rPr>
          <w:lang w:val="sk-SK"/>
        </w:rPr>
        <w:t>Neaplikovateľné</w:t>
      </w:r>
      <w:r w:rsidR="00AF6E83" w:rsidRPr="00C7387E">
        <w:rPr>
          <w:lang w:val="sk-SK"/>
        </w:rPr>
        <w:t>.</w:t>
      </w:r>
    </w:p>
    <w:p w:rsidR="00106490" w:rsidRPr="00C7387E" w:rsidRDefault="00983C85" w:rsidP="00413BDA">
      <w:pPr>
        <w:pStyle w:val="Nadpis3"/>
        <w:rPr>
          <w:lang w:val="sk-SK"/>
        </w:rPr>
      </w:pPr>
      <w:r w:rsidRPr="00C7387E">
        <w:rPr>
          <w:lang w:val="sk-SK"/>
        </w:rPr>
        <w:t>6.3</w:t>
      </w:r>
      <w:r w:rsidRPr="00C7387E">
        <w:rPr>
          <w:lang w:val="sk-SK"/>
        </w:rPr>
        <w:tab/>
      </w:r>
      <w:r w:rsidR="008651A0" w:rsidRPr="00C7387E">
        <w:rPr>
          <w:lang w:val="sk-SK"/>
        </w:rPr>
        <w:tab/>
      </w:r>
      <w:r w:rsidR="008651A0" w:rsidRPr="00C7387E">
        <w:rPr>
          <w:lang w:val="sk-SK"/>
        </w:rPr>
        <w:tab/>
      </w:r>
      <w:r w:rsidR="0096584F">
        <w:rPr>
          <w:lang w:val="sk-SK"/>
        </w:rPr>
        <w:t>Čas použiteľnosti</w:t>
      </w:r>
    </w:p>
    <w:sdt>
      <w:sdtPr>
        <w:rPr>
          <w:lang w:val="sk-SK"/>
        </w:rPr>
        <w:id w:val="2064748969"/>
        <w:placeholder>
          <w:docPart w:val="DefaultPlaceholder_1082065158"/>
        </w:placeholder>
      </w:sdtPr>
      <w:sdtEndPr/>
      <w:sdtContent>
        <w:p w:rsidR="006C528F" w:rsidRPr="00C7387E" w:rsidRDefault="00AE40D4" w:rsidP="00413BDA">
          <w:pPr>
            <w:rPr>
              <w:lang w:val="sk-SK"/>
            </w:rPr>
          </w:pPr>
          <w:r w:rsidRPr="00C7387E">
            <w:rPr>
              <w:lang w:val="sk-SK"/>
            </w:rPr>
            <w:t xml:space="preserve">3 </w:t>
          </w:r>
          <w:r w:rsidR="00845AE8">
            <w:rPr>
              <w:lang w:val="sk-SK"/>
            </w:rPr>
            <w:t>roky</w:t>
          </w:r>
        </w:p>
      </w:sdtContent>
    </w:sdt>
    <w:p w:rsidR="00106490" w:rsidRPr="00C7387E" w:rsidRDefault="00983C85" w:rsidP="00413BDA">
      <w:pPr>
        <w:pStyle w:val="Nadpis3"/>
        <w:rPr>
          <w:lang w:val="sk-SK"/>
        </w:rPr>
      </w:pPr>
      <w:r w:rsidRPr="00C7387E">
        <w:rPr>
          <w:lang w:val="sk-SK"/>
        </w:rPr>
        <w:t>6.4</w:t>
      </w:r>
      <w:r w:rsidRPr="00C7387E">
        <w:rPr>
          <w:lang w:val="sk-SK"/>
        </w:rPr>
        <w:tab/>
      </w:r>
      <w:r w:rsidR="008651A0" w:rsidRPr="00C7387E">
        <w:rPr>
          <w:lang w:val="sk-SK"/>
        </w:rPr>
        <w:tab/>
      </w:r>
      <w:r w:rsidR="008651A0" w:rsidRPr="00C7387E">
        <w:rPr>
          <w:lang w:val="sk-SK"/>
        </w:rPr>
        <w:tab/>
      </w:r>
      <w:r w:rsidR="00845AE8" w:rsidRPr="00845AE8">
        <w:rPr>
          <w:bCs w:val="0"/>
          <w:szCs w:val="22"/>
          <w:lang w:val="sk-SK"/>
        </w:rPr>
        <w:t>Špeciálne upozornenia na uchovávanie</w:t>
      </w:r>
    </w:p>
    <w:sdt>
      <w:sdtPr>
        <w:rPr>
          <w:lang w:val="sk-SK"/>
        </w:rPr>
        <w:id w:val="1934229487"/>
        <w:placeholder>
          <w:docPart w:val="DefaultPlaceholder_1082065158"/>
        </w:placeholder>
      </w:sdtPr>
      <w:sdtEndPr/>
      <w:sdtContent>
        <w:p w:rsidR="00106490" w:rsidRPr="00C7387E" w:rsidRDefault="00845AE8" w:rsidP="00413BDA">
          <w:pPr>
            <w:tabs>
              <w:tab w:val="left" w:pos="0"/>
            </w:tabs>
            <w:ind w:right="-2"/>
            <w:rPr>
              <w:lang w:val="sk-SK"/>
            </w:rPr>
          </w:pPr>
          <w:r w:rsidRPr="00D4385F">
            <w:rPr>
              <w:szCs w:val="22"/>
              <w:lang w:val="sk-SK"/>
            </w:rPr>
            <w:t>Tento liek nevyžaduje žiadne zvláštne podmienky na uchovávanie.</w:t>
          </w:r>
        </w:p>
      </w:sdtContent>
    </w:sdt>
    <w:p w:rsidR="00106490" w:rsidRPr="00C7387E" w:rsidRDefault="00983C85" w:rsidP="00413BDA">
      <w:pPr>
        <w:pStyle w:val="Nadpis3"/>
        <w:rPr>
          <w:lang w:val="sk-SK"/>
        </w:rPr>
      </w:pPr>
      <w:r w:rsidRPr="00C7387E">
        <w:rPr>
          <w:lang w:val="sk-SK"/>
        </w:rPr>
        <w:t>6.5</w:t>
      </w:r>
      <w:r w:rsidRPr="00C7387E">
        <w:rPr>
          <w:lang w:val="sk-SK"/>
        </w:rPr>
        <w:tab/>
      </w:r>
      <w:r w:rsidR="008651A0" w:rsidRPr="00C7387E">
        <w:rPr>
          <w:lang w:val="sk-SK"/>
        </w:rPr>
        <w:tab/>
      </w:r>
      <w:r w:rsidR="008651A0" w:rsidRPr="00C7387E">
        <w:rPr>
          <w:lang w:val="sk-SK"/>
        </w:rPr>
        <w:tab/>
      </w:r>
      <w:r w:rsidR="00845AE8" w:rsidRPr="00845AE8">
        <w:rPr>
          <w:bCs w:val="0"/>
          <w:szCs w:val="22"/>
          <w:lang w:val="sk-SK"/>
        </w:rPr>
        <w:t>Druh obalu a obsah balenia</w:t>
      </w:r>
    </w:p>
    <w:sdt>
      <w:sdtPr>
        <w:rPr>
          <w:lang w:val="sk-SK"/>
        </w:rPr>
        <w:id w:val="-860899916"/>
        <w:placeholder>
          <w:docPart w:val="DefaultPlaceholder_1082065158"/>
        </w:placeholder>
      </w:sdtPr>
      <w:sdtEndPr/>
      <w:sdtContent>
        <w:p w:rsidR="00AE40D4" w:rsidRPr="00C7387E" w:rsidRDefault="00E6542E" w:rsidP="00413BDA">
          <w:pPr>
            <w:tabs>
              <w:tab w:val="left" w:pos="0"/>
            </w:tabs>
            <w:ind w:right="-2"/>
            <w:rPr>
              <w:lang w:val="sk-SK"/>
            </w:rPr>
          </w:pPr>
          <w:r w:rsidRPr="00E6542E">
            <w:rPr>
              <w:lang w:val="sk-SK"/>
            </w:rPr>
            <w:t xml:space="preserve">15, 30, 60, 90 alebo 120 tabliet s predĺženým uvoľňovaním v </w:t>
          </w:r>
          <w:r w:rsidR="00396E3B">
            <w:rPr>
              <w:lang w:val="sk-SK"/>
            </w:rPr>
            <w:t>blistri</w:t>
          </w:r>
          <w:r w:rsidRPr="00E6542E">
            <w:rPr>
              <w:lang w:val="sk-SK"/>
            </w:rPr>
            <w:t xml:space="preserve"> zloženom z hliníkovej fólie a PVC.</w:t>
          </w:r>
        </w:p>
        <w:p w:rsidR="00AE40D4" w:rsidRPr="00C7387E" w:rsidRDefault="00AE40D4" w:rsidP="00413BDA">
          <w:pPr>
            <w:tabs>
              <w:tab w:val="left" w:pos="0"/>
            </w:tabs>
            <w:ind w:right="-2"/>
            <w:rPr>
              <w:lang w:val="sk-SK"/>
            </w:rPr>
          </w:pPr>
        </w:p>
        <w:p w:rsidR="00106490" w:rsidRPr="00C7387E" w:rsidRDefault="00845AE8" w:rsidP="00413BDA">
          <w:pPr>
            <w:tabs>
              <w:tab w:val="left" w:pos="0"/>
            </w:tabs>
            <w:ind w:right="-2"/>
            <w:rPr>
              <w:lang w:val="sk-SK"/>
            </w:rPr>
          </w:pPr>
          <w:r w:rsidRPr="00D4385F">
            <w:rPr>
              <w:szCs w:val="22"/>
              <w:lang w:val="sk-SK"/>
            </w:rPr>
            <w:t>Na trh nemusia byť uvedené všetky veľkosti balenia</w:t>
          </w:r>
          <w:r w:rsidR="00106490" w:rsidRPr="00C7387E">
            <w:rPr>
              <w:lang w:val="sk-SK"/>
            </w:rPr>
            <w:t>.</w:t>
          </w:r>
        </w:p>
      </w:sdtContent>
    </w:sdt>
    <w:p w:rsidR="00106490" w:rsidRPr="00C7387E" w:rsidRDefault="00983C85" w:rsidP="00413BDA">
      <w:pPr>
        <w:pStyle w:val="Nadpis3"/>
        <w:rPr>
          <w:lang w:val="sk-SK"/>
        </w:rPr>
      </w:pPr>
      <w:r w:rsidRPr="00C7387E">
        <w:rPr>
          <w:lang w:val="sk-SK"/>
        </w:rPr>
        <w:t>6.6</w:t>
      </w:r>
      <w:r w:rsidRPr="00C7387E">
        <w:rPr>
          <w:lang w:val="sk-SK"/>
        </w:rPr>
        <w:tab/>
      </w:r>
      <w:r w:rsidR="008651A0" w:rsidRPr="00C7387E">
        <w:rPr>
          <w:lang w:val="sk-SK"/>
        </w:rPr>
        <w:tab/>
      </w:r>
      <w:r w:rsidR="008651A0" w:rsidRPr="00C7387E">
        <w:rPr>
          <w:lang w:val="sk-SK"/>
        </w:rPr>
        <w:tab/>
      </w:r>
      <w:r w:rsidR="008001C2" w:rsidRPr="008001C2">
        <w:rPr>
          <w:lang w:val="sk-SK"/>
        </w:rPr>
        <w:t>Špeciálne opatrenia na likvidáciu a iné zaobchádzanie s liekom</w:t>
      </w:r>
    </w:p>
    <w:sdt>
      <w:sdtPr>
        <w:rPr>
          <w:lang w:val="sk-SK"/>
        </w:rPr>
        <w:id w:val="1735886397"/>
        <w:placeholder>
          <w:docPart w:val="DefaultPlaceholder_1082065158"/>
        </w:placeholder>
      </w:sdtPr>
      <w:sdtEndPr/>
      <w:sdtContent>
        <w:p w:rsidR="00106490" w:rsidRPr="00C7387E" w:rsidRDefault="00845AE8" w:rsidP="00413BDA">
          <w:pPr>
            <w:tabs>
              <w:tab w:val="left" w:pos="0"/>
            </w:tabs>
            <w:ind w:right="-2"/>
            <w:rPr>
              <w:lang w:val="sk-SK"/>
            </w:rPr>
          </w:pPr>
          <w:r>
            <w:rPr>
              <w:lang w:val="sk-SK"/>
            </w:rPr>
            <w:t>Všetok nepoužitý liek alebo odpad vzniknutý z lieku sa má zlikvidovať v súlade s národnými požiadavkami.</w:t>
          </w:r>
        </w:p>
      </w:sdtContent>
    </w:sdt>
    <w:p w:rsidR="00106490" w:rsidRPr="00C7387E" w:rsidRDefault="00983C85" w:rsidP="00413BDA">
      <w:pPr>
        <w:pStyle w:val="Nadpis2"/>
        <w:jc w:val="left"/>
        <w:rPr>
          <w:lang w:val="sk-SK"/>
        </w:rPr>
      </w:pPr>
      <w:r w:rsidRPr="00C7387E">
        <w:rPr>
          <w:lang w:val="sk-SK"/>
        </w:rPr>
        <w:t>7.</w:t>
      </w:r>
      <w:r w:rsidRPr="00C7387E">
        <w:rPr>
          <w:lang w:val="sk-SK"/>
        </w:rPr>
        <w:tab/>
      </w:r>
      <w:r w:rsidR="00845AE8" w:rsidRPr="00845AE8">
        <w:rPr>
          <w:lang w:val="sk-SK"/>
        </w:rPr>
        <w:t>DRŽITEĽ ROZHODNUTIA O REGISTRÁCII</w:t>
      </w:r>
    </w:p>
    <w:sdt>
      <w:sdtPr>
        <w:rPr>
          <w:szCs w:val="22"/>
          <w:lang w:val="sk-SK"/>
        </w:rPr>
        <w:id w:val="-1388481843"/>
        <w:placeholder>
          <w:docPart w:val="DefaultPlaceholder_1082065158"/>
        </w:placeholder>
      </w:sdtPr>
      <w:sdtEndPr/>
      <w:sdtContent>
        <w:p w:rsidR="00CF0FD3" w:rsidRPr="00C7387E" w:rsidRDefault="00CF0FD3">
          <w:pPr>
            <w:keepNext/>
            <w:rPr>
              <w:szCs w:val="22"/>
              <w:lang w:val="sk-SK"/>
            </w:rPr>
          </w:pPr>
          <w:r w:rsidRPr="00C7387E">
            <w:rPr>
              <w:szCs w:val="22"/>
              <w:lang w:val="sk-SK"/>
            </w:rPr>
            <w:t>B</w:t>
          </w:r>
          <w:r w:rsidR="00886938" w:rsidRPr="00C7387E">
            <w:rPr>
              <w:szCs w:val="22"/>
              <w:lang w:val="sk-SK"/>
            </w:rPr>
            <w:t>erlin</w:t>
          </w:r>
          <w:r w:rsidR="0099009A" w:rsidRPr="00C7387E">
            <w:rPr>
              <w:szCs w:val="22"/>
              <w:lang w:val="sk-SK"/>
            </w:rPr>
            <w:t>-C</w:t>
          </w:r>
          <w:r w:rsidR="00886938" w:rsidRPr="00C7387E">
            <w:rPr>
              <w:szCs w:val="22"/>
              <w:lang w:val="sk-SK"/>
            </w:rPr>
            <w:t>hemie</w:t>
          </w:r>
          <w:r w:rsidR="0099009A" w:rsidRPr="00C7387E">
            <w:rPr>
              <w:szCs w:val="22"/>
              <w:lang w:val="sk-SK"/>
            </w:rPr>
            <w:t> AG</w:t>
          </w:r>
        </w:p>
        <w:p w:rsidR="00CF0FD3" w:rsidRPr="00C7387E" w:rsidRDefault="00CF0FD3">
          <w:pPr>
            <w:keepNext/>
            <w:rPr>
              <w:szCs w:val="22"/>
              <w:lang w:val="sk-SK"/>
            </w:rPr>
          </w:pPr>
          <w:r w:rsidRPr="00C7387E">
            <w:rPr>
              <w:szCs w:val="22"/>
              <w:lang w:val="sk-SK"/>
            </w:rPr>
            <w:t>Glienicker Weg 125</w:t>
          </w:r>
        </w:p>
        <w:p w:rsidR="00CF0FD3" w:rsidRPr="00C7387E" w:rsidRDefault="00CF0FD3">
          <w:pPr>
            <w:rPr>
              <w:szCs w:val="22"/>
              <w:lang w:val="sk-SK"/>
            </w:rPr>
          </w:pPr>
          <w:r w:rsidRPr="00C7387E">
            <w:rPr>
              <w:szCs w:val="22"/>
              <w:lang w:val="sk-SK"/>
            </w:rPr>
            <w:t>12489 Berl</w:t>
          </w:r>
          <w:r w:rsidR="00323724">
            <w:rPr>
              <w:szCs w:val="22"/>
              <w:lang w:val="sk-SK"/>
            </w:rPr>
            <w:t>í</w:t>
          </w:r>
          <w:r w:rsidRPr="00C7387E">
            <w:rPr>
              <w:szCs w:val="22"/>
              <w:lang w:val="sk-SK"/>
            </w:rPr>
            <w:t>n</w:t>
          </w:r>
        </w:p>
        <w:p w:rsidR="00744869" w:rsidRPr="00E6542E" w:rsidRDefault="00323724" w:rsidP="00413BDA">
          <w:pPr>
            <w:rPr>
              <w:szCs w:val="22"/>
              <w:lang w:val="sk-SK"/>
            </w:rPr>
          </w:pPr>
          <w:r>
            <w:rPr>
              <w:szCs w:val="22"/>
              <w:lang w:val="sk-SK"/>
            </w:rPr>
            <w:t>Nemecko</w:t>
          </w:r>
        </w:p>
      </w:sdtContent>
    </w:sdt>
    <w:p w:rsidR="00396E3B" w:rsidRDefault="00396E3B" w:rsidP="00413BDA">
      <w:pPr>
        <w:pStyle w:val="Nadpis2"/>
        <w:jc w:val="left"/>
        <w:rPr>
          <w:lang w:val="sk-SK"/>
        </w:rPr>
      </w:pPr>
      <w:r w:rsidRPr="00C7387E">
        <w:rPr>
          <w:lang w:val="sk-SK"/>
        </w:rPr>
        <w:t>8.</w:t>
      </w:r>
      <w:r w:rsidRPr="00C7387E">
        <w:rPr>
          <w:lang w:val="sk-SK"/>
        </w:rPr>
        <w:tab/>
      </w:r>
      <w:r>
        <w:rPr>
          <w:lang w:val="sk-SK"/>
        </w:rPr>
        <w:t>REGISTRAČNÉ ČÍSLO</w:t>
      </w:r>
    </w:p>
    <w:p w:rsidR="00B052E4" w:rsidRPr="00413BDA" w:rsidRDefault="00B052E4" w:rsidP="00413BDA">
      <w:pPr>
        <w:rPr>
          <w:lang w:val="sk-SK"/>
        </w:rPr>
      </w:pPr>
      <w:r>
        <w:rPr>
          <w:lang w:val="sk-SK"/>
        </w:rPr>
        <w:t>18/0373/18-S</w:t>
      </w:r>
    </w:p>
    <w:p w:rsidR="00396E3B" w:rsidRDefault="00396E3B" w:rsidP="00413BDA">
      <w:pPr>
        <w:pStyle w:val="Nadpis2"/>
        <w:jc w:val="left"/>
        <w:rPr>
          <w:lang w:val="sk-SK"/>
        </w:rPr>
      </w:pPr>
      <w:r w:rsidRPr="00C7387E">
        <w:rPr>
          <w:lang w:val="sk-SK"/>
        </w:rPr>
        <w:t>9.</w:t>
      </w:r>
      <w:r w:rsidRPr="00C7387E">
        <w:rPr>
          <w:lang w:val="sk-SK"/>
        </w:rPr>
        <w:tab/>
      </w:r>
      <w:r>
        <w:rPr>
          <w:lang w:val="sk-SK"/>
        </w:rPr>
        <w:t>DÁTUM PRVEJ REGISTRÁCIE</w:t>
      </w:r>
      <w:r w:rsidRPr="0088352B">
        <w:rPr>
          <w:lang w:val="sk-SK"/>
        </w:rPr>
        <w:t>/PREDĹŽENIA REGISTRÁCIE</w:t>
      </w:r>
    </w:p>
    <w:p w:rsidR="00396E3B" w:rsidRDefault="00396E3B">
      <w:pPr>
        <w:rPr>
          <w:lang w:val="sk-SK"/>
        </w:rPr>
      </w:pPr>
      <w:r>
        <w:rPr>
          <w:lang w:val="sk-SK"/>
        </w:rPr>
        <w:t>Dátum prvej registrácie:</w:t>
      </w:r>
    </w:p>
    <w:p w:rsidR="00396E3B" w:rsidRPr="00C7387E" w:rsidRDefault="00396E3B" w:rsidP="00413BDA">
      <w:pPr>
        <w:pStyle w:val="Nadpis2"/>
        <w:jc w:val="left"/>
        <w:rPr>
          <w:lang w:val="sk-SK"/>
        </w:rPr>
      </w:pPr>
      <w:r w:rsidRPr="00C7387E">
        <w:rPr>
          <w:lang w:val="sk-SK"/>
        </w:rPr>
        <w:t>10.</w:t>
      </w:r>
      <w:r w:rsidRPr="00C7387E">
        <w:rPr>
          <w:lang w:val="sk-SK"/>
        </w:rPr>
        <w:tab/>
      </w:r>
      <w:r w:rsidRPr="0088352B">
        <w:rPr>
          <w:lang w:val="sk-SK"/>
        </w:rPr>
        <w:t>DÁTUM REVÍZIE</w:t>
      </w:r>
      <w:bookmarkStart w:id="0" w:name="_GoBack"/>
      <w:bookmarkEnd w:id="0"/>
      <w:r w:rsidRPr="0088352B">
        <w:rPr>
          <w:lang w:val="sk-SK"/>
        </w:rPr>
        <w:t xml:space="preserve"> TEXTU</w:t>
      </w:r>
    </w:p>
    <w:p w:rsidR="00396E3B" w:rsidRPr="00413BDA" w:rsidRDefault="005E776E">
      <w:pPr>
        <w:autoSpaceDE w:val="0"/>
        <w:autoSpaceDN w:val="0"/>
        <w:adjustRightInd w:val="0"/>
        <w:rPr>
          <w:szCs w:val="22"/>
          <w:lang w:val="sk-SK"/>
        </w:rPr>
      </w:pPr>
      <w:r w:rsidRPr="00413BDA">
        <w:rPr>
          <w:szCs w:val="22"/>
          <w:lang w:val="sk-SK"/>
        </w:rPr>
        <w:t>11/2018</w:t>
      </w:r>
    </w:p>
    <w:sectPr w:rsidR="00396E3B" w:rsidRPr="00413BDA" w:rsidSect="00593A81">
      <w:headerReference w:type="default" r:id="rId10"/>
      <w:footerReference w:type="default" r:id="rId1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C91" w:rsidRDefault="00630C91" w:rsidP="00081410">
      <w:r>
        <w:separator/>
      </w:r>
    </w:p>
  </w:endnote>
  <w:endnote w:type="continuationSeparator" w:id="0">
    <w:p w:rsidR="00630C91" w:rsidRDefault="00630C91" w:rsidP="00081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7816004"/>
      <w:docPartObj>
        <w:docPartGallery w:val="Page Numbers (Bottom of Page)"/>
        <w:docPartUnique/>
      </w:docPartObj>
    </w:sdtPr>
    <w:sdtEndPr/>
    <w:sdtContent>
      <w:p w:rsidR="0021350D" w:rsidRDefault="0021350D">
        <w:pPr>
          <w:pStyle w:val="Pta"/>
          <w:jc w:val="center"/>
        </w:pPr>
        <w:r w:rsidRPr="00413BDA">
          <w:rPr>
            <w:sz w:val="18"/>
            <w:szCs w:val="18"/>
          </w:rPr>
          <w:fldChar w:fldCharType="begin"/>
        </w:r>
        <w:r w:rsidRPr="00413BDA">
          <w:rPr>
            <w:sz w:val="18"/>
            <w:szCs w:val="18"/>
          </w:rPr>
          <w:instrText>PAGE   \* MERGEFORMAT</w:instrText>
        </w:r>
        <w:r w:rsidRPr="00413BDA">
          <w:rPr>
            <w:sz w:val="18"/>
            <w:szCs w:val="18"/>
          </w:rPr>
          <w:fldChar w:fldCharType="separate"/>
        </w:r>
        <w:r w:rsidR="00413BDA" w:rsidRPr="00413BDA">
          <w:rPr>
            <w:noProof/>
            <w:sz w:val="18"/>
            <w:szCs w:val="18"/>
            <w:lang w:val="sk-SK"/>
          </w:rPr>
          <w:t>1</w:t>
        </w:r>
        <w:r w:rsidRPr="00413BDA">
          <w:rPr>
            <w:sz w:val="18"/>
            <w:szCs w:val="18"/>
          </w:rPr>
          <w:fldChar w:fldCharType="end"/>
        </w:r>
      </w:p>
    </w:sdtContent>
  </w:sdt>
  <w:p w:rsidR="0021350D" w:rsidRDefault="0021350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C91" w:rsidRDefault="00630C91" w:rsidP="00081410">
      <w:r>
        <w:separator/>
      </w:r>
    </w:p>
  </w:footnote>
  <w:footnote w:type="continuationSeparator" w:id="0">
    <w:p w:rsidR="00630C91" w:rsidRDefault="00630C91" w:rsidP="000814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410" w:rsidRDefault="00081410">
    <w:pPr>
      <w:pStyle w:val="Hlavika"/>
      <w:rPr>
        <w:sz w:val="18"/>
        <w:szCs w:val="18"/>
        <w:lang w:val="sk-SK"/>
      </w:rPr>
    </w:pPr>
    <w:r>
      <w:rPr>
        <w:sz w:val="18"/>
        <w:szCs w:val="18"/>
        <w:lang w:val="sk-SK"/>
      </w:rPr>
      <w:t>Schválený text k rozhodnutiu o registrácii, ev. č.: 2017/06219-REG</w:t>
    </w:r>
  </w:p>
  <w:p w:rsidR="00240B2F" w:rsidRDefault="00240B2F">
    <w:pPr>
      <w:pStyle w:val="Hlavika"/>
      <w:rPr>
        <w:sz w:val="18"/>
        <w:szCs w:val="18"/>
        <w:lang w:val="sk-SK"/>
      </w:rPr>
    </w:pPr>
  </w:p>
  <w:p w:rsidR="00240B2F" w:rsidRPr="00081410" w:rsidRDefault="00240B2F">
    <w:pPr>
      <w:pStyle w:val="Hlavika"/>
      <w:rPr>
        <w:sz w:val="18"/>
        <w:szCs w:val="18"/>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6789F22"/>
    <w:lvl w:ilvl="0">
      <w:start w:val="1"/>
      <w:numFmt w:val="bullet"/>
      <w:pStyle w:val="Bezriadkovania"/>
      <w:lvlText w:val=""/>
      <w:lvlJc w:val="left"/>
      <w:pPr>
        <w:tabs>
          <w:tab w:val="num" w:pos="-992"/>
        </w:tabs>
        <w:ind w:left="-992" w:hanging="360"/>
      </w:pPr>
      <w:rPr>
        <w:rFonts w:ascii="Symbol" w:hAnsi="Symbol" w:hint="default"/>
      </w:rPr>
    </w:lvl>
  </w:abstractNum>
  <w:abstractNum w:abstractNumId="1" w15:restartNumberingAfterBreak="0">
    <w:nsid w:val="06A17230"/>
    <w:multiLevelType w:val="hybridMultilevel"/>
    <w:tmpl w:val="CF6266A4"/>
    <w:lvl w:ilvl="0" w:tplc="E966B4D6">
      <w:numFmt w:val="bullet"/>
      <w:lvlText w:val="•"/>
      <w:lvlJc w:val="left"/>
      <w:pPr>
        <w:ind w:left="930" w:hanging="570"/>
      </w:pPr>
      <w:rPr>
        <w:rFonts w:ascii="Times New Roman" w:eastAsia="Times New Roman" w:hAnsi="Times New Roman" w:cs="Times New Roman" w:hint="default"/>
      </w:rPr>
    </w:lvl>
    <w:lvl w:ilvl="1" w:tplc="17DE2396">
      <w:numFmt w:val="bullet"/>
      <w:lvlText w:val="-"/>
      <w:lvlJc w:val="left"/>
      <w:pPr>
        <w:ind w:left="1440" w:hanging="360"/>
      </w:pPr>
      <w:rPr>
        <w:rFonts w:ascii="Times New Roman" w:eastAsia="Times New Roman"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CF1E68"/>
    <w:multiLevelType w:val="hybridMultilevel"/>
    <w:tmpl w:val="2DAEC4B2"/>
    <w:lvl w:ilvl="0" w:tplc="4A749F8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F56749"/>
    <w:multiLevelType w:val="hybridMultilevel"/>
    <w:tmpl w:val="5F802542"/>
    <w:lvl w:ilvl="0" w:tplc="04090003">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9448FF"/>
    <w:multiLevelType w:val="hybridMultilevel"/>
    <w:tmpl w:val="8D4659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3A7351"/>
    <w:multiLevelType w:val="hybridMultilevel"/>
    <w:tmpl w:val="8F228A92"/>
    <w:lvl w:ilvl="0" w:tplc="04090001">
      <w:start w:val="1"/>
      <w:numFmt w:val="bullet"/>
      <w:lvlText w:val=""/>
      <w:lvlJc w:val="left"/>
      <w:pPr>
        <w:tabs>
          <w:tab w:val="num" w:pos="1710"/>
        </w:tabs>
        <w:ind w:left="1710" w:hanging="360"/>
      </w:pPr>
      <w:rPr>
        <w:rFonts w:ascii="Symbol" w:hAnsi="Symbol" w:hint="default"/>
      </w:rPr>
    </w:lvl>
    <w:lvl w:ilvl="1" w:tplc="04090003">
      <w:start w:val="1"/>
      <w:numFmt w:val="bullet"/>
      <w:lvlText w:val="o"/>
      <w:lvlJc w:val="left"/>
      <w:pPr>
        <w:tabs>
          <w:tab w:val="num" w:pos="2070"/>
        </w:tabs>
        <w:ind w:left="2070" w:hanging="360"/>
      </w:pPr>
      <w:rPr>
        <w:rFonts w:ascii="Courier New" w:hAnsi="Courier New" w:hint="default"/>
      </w:rPr>
    </w:lvl>
    <w:lvl w:ilvl="2" w:tplc="04090005">
      <w:start w:val="1"/>
      <w:numFmt w:val="bullet"/>
      <w:lvlText w:val=""/>
      <w:lvlJc w:val="left"/>
      <w:pPr>
        <w:tabs>
          <w:tab w:val="num" w:pos="2790"/>
        </w:tabs>
        <w:ind w:left="2790" w:hanging="360"/>
      </w:pPr>
      <w:rPr>
        <w:rFonts w:ascii="Wingdings" w:hAnsi="Wingdings" w:hint="default"/>
      </w:rPr>
    </w:lvl>
    <w:lvl w:ilvl="3" w:tplc="04090001">
      <w:start w:val="1"/>
      <w:numFmt w:val="bullet"/>
      <w:lvlText w:val=""/>
      <w:lvlJc w:val="left"/>
      <w:pPr>
        <w:tabs>
          <w:tab w:val="num" w:pos="3510"/>
        </w:tabs>
        <w:ind w:left="3510" w:hanging="360"/>
      </w:pPr>
      <w:rPr>
        <w:rFonts w:ascii="Symbol" w:hAnsi="Symbol" w:hint="default"/>
      </w:rPr>
    </w:lvl>
    <w:lvl w:ilvl="4" w:tplc="04090003">
      <w:start w:val="1"/>
      <w:numFmt w:val="bullet"/>
      <w:lvlText w:val="o"/>
      <w:lvlJc w:val="left"/>
      <w:pPr>
        <w:tabs>
          <w:tab w:val="num" w:pos="4230"/>
        </w:tabs>
        <w:ind w:left="4230" w:hanging="360"/>
      </w:pPr>
      <w:rPr>
        <w:rFonts w:ascii="Courier New" w:hAnsi="Courier New" w:hint="default"/>
      </w:rPr>
    </w:lvl>
    <w:lvl w:ilvl="5" w:tplc="04090005">
      <w:start w:val="1"/>
      <w:numFmt w:val="bullet"/>
      <w:lvlText w:val=""/>
      <w:lvlJc w:val="left"/>
      <w:pPr>
        <w:tabs>
          <w:tab w:val="num" w:pos="4950"/>
        </w:tabs>
        <w:ind w:left="4950" w:hanging="360"/>
      </w:pPr>
      <w:rPr>
        <w:rFonts w:ascii="Wingdings" w:hAnsi="Wingdings" w:hint="default"/>
      </w:rPr>
    </w:lvl>
    <w:lvl w:ilvl="6" w:tplc="04090001">
      <w:start w:val="1"/>
      <w:numFmt w:val="bullet"/>
      <w:lvlText w:val=""/>
      <w:lvlJc w:val="left"/>
      <w:pPr>
        <w:tabs>
          <w:tab w:val="num" w:pos="5670"/>
        </w:tabs>
        <w:ind w:left="5670" w:hanging="360"/>
      </w:pPr>
      <w:rPr>
        <w:rFonts w:ascii="Symbol" w:hAnsi="Symbol" w:hint="default"/>
      </w:rPr>
    </w:lvl>
    <w:lvl w:ilvl="7" w:tplc="04090003">
      <w:start w:val="1"/>
      <w:numFmt w:val="bullet"/>
      <w:lvlText w:val="o"/>
      <w:lvlJc w:val="left"/>
      <w:pPr>
        <w:tabs>
          <w:tab w:val="num" w:pos="6390"/>
        </w:tabs>
        <w:ind w:left="6390" w:hanging="360"/>
      </w:pPr>
      <w:rPr>
        <w:rFonts w:ascii="Courier New" w:hAnsi="Courier New" w:hint="default"/>
      </w:rPr>
    </w:lvl>
    <w:lvl w:ilvl="8" w:tplc="04090005">
      <w:start w:val="1"/>
      <w:numFmt w:val="bullet"/>
      <w:lvlText w:val=""/>
      <w:lvlJc w:val="left"/>
      <w:pPr>
        <w:tabs>
          <w:tab w:val="num" w:pos="7110"/>
        </w:tabs>
        <w:ind w:left="7110" w:hanging="360"/>
      </w:pPr>
      <w:rPr>
        <w:rFonts w:ascii="Wingdings" w:hAnsi="Wingdings" w:hint="default"/>
      </w:rPr>
    </w:lvl>
  </w:abstractNum>
  <w:abstractNum w:abstractNumId="6" w15:restartNumberingAfterBreak="0">
    <w:nsid w:val="27C857B0"/>
    <w:multiLevelType w:val="multilevel"/>
    <w:tmpl w:val="1812EBD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210583A"/>
    <w:multiLevelType w:val="hybridMultilevel"/>
    <w:tmpl w:val="E80228CC"/>
    <w:lvl w:ilvl="0" w:tplc="A1280DD8">
      <w:start w:val="1"/>
      <w:numFmt w:val="bullet"/>
      <w:pStyle w:val="Zoznamsodrkami"/>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BED7FB5"/>
    <w:multiLevelType w:val="multilevel"/>
    <w:tmpl w:val="2B76D61E"/>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upperLetter"/>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53633D15"/>
    <w:multiLevelType w:val="hybridMultilevel"/>
    <w:tmpl w:val="160E582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DC578E"/>
    <w:multiLevelType w:val="hybridMultilevel"/>
    <w:tmpl w:val="39A6F05E"/>
    <w:lvl w:ilvl="0" w:tplc="3D3C8542">
      <w:start w:val="1"/>
      <w:numFmt w:val="bullet"/>
      <w:lvlText w:val="o"/>
      <w:lvlJc w:val="left"/>
      <w:pPr>
        <w:ind w:left="1287" w:hanging="360"/>
      </w:pPr>
      <w:rPr>
        <w:rFonts w:ascii="Courier New" w:hAnsi="Courier New" w:hint="default"/>
      </w:rPr>
    </w:lvl>
    <w:lvl w:ilvl="1" w:tplc="04070003" w:tentative="1">
      <w:start w:val="1"/>
      <w:numFmt w:val="bullet"/>
      <w:lvlText w:val="o"/>
      <w:lvlJc w:val="left"/>
      <w:pPr>
        <w:ind w:left="2007" w:hanging="360"/>
      </w:pPr>
      <w:rPr>
        <w:rFonts w:ascii="Courier New" w:hAnsi="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1" w15:restartNumberingAfterBreak="0">
    <w:nsid w:val="5E093B4A"/>
    <w:multiLevelType w:val="hybridMultilevel"/>
    <w:tmpl w:val="81A295A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981960"/>
    <w:multiLevelType w:val="hybridMultilevel"/>
    <w:tmpl w:val="3A44C32C"/>
    <w:lvl w:ilvl="0" w:tplc="04070001">
      <w:start w:val="1"/>
      <w:numFmt w:val="bullet"/>
      <w:lvlText w:val=""/>
      <w:lvlJc w:val="left"/>
      <w:pPr>
        <w:ind w:left="720" w:hanging="360"/>
      </w:pPr>
      <w:rPr>
        <w:rFonts w:ascii="Symbol" w:hAnsi="Symbol" w:hint="default"/>
      </w:rPr>
    </w:lvl>
    <w:lvl w:ilvl="1" w:tplc="17DE2396">
      <w:numFmt w:val="bullet"/>
      <w:lvlText w:val="-"/>
      <w:lvlJc w:val="left"/>
      <w:pPr>
        <w:ind w:left="1440" w:hanging="360"/>
      </w:pPr>
      <w:rPr>
        <w:rFonts w:ascii="Times New Roman" w:eastAsia="Times New Roman" w:hAnsi="Times New Roman" w:cs="Times New Roman" w:hint="default"/>
      </w:rPr>
    </w:lvl>
    <w:lvl w:ilvl="2" w:tplc="4A749F88">
      <w:numFmt w:val="bullet"/>
      <w:lvlText w:val="•"/>
      <w:lvlJc w:val="left"/>
      <w:pPr>
        <w:ind w:left="2370" w:hanging="570"/>
      </w:pPr>
      <w:rPr>
        <w:rFonts w:ascii="Times New Roman" w:eastAsia="Times New Roman" w:hAnsi="Times New Roman" w:cs="Times New Roman"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3FD39E5"/>
    <w:multiLevelType w:val="multilevel"/>
    <w:tmpl w:val="1812EBD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BF5577C"/>
    <w:multiLevelType w:val="multilevel"/>
    <w:tmpl w:val="FC0E7310"/>
    <w:lvl w:ilvl="0">
      <w:start w:val="6"/>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upperLetter"/>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6D687942"/>
    <w:multiLevelType w:val="hybridMultilevel"/>
    <w:tmpl w:val="4F6A0D18"/>
    <w:lvl w:ilvl="0" w:tplc="04070003">
      <w:start w:val="1"/>
      <w:numFmt w:val="bullet"/>
      <w:lvlText w:val="o"/>
      <w:lvlJc w:val="left"/>
      <w:pPr>
        <w:ind w:left="786" w:hanging="360"/>
      </w:pPr>
      <w:rPr>
        <w:rFonts w:ascii="Courier New" w:hAnsi="Courier New" w:hint="default"/>
      </w:rPr>
    </w:lvl>
    <w:lvl w:ilvl="1" w:tplc="04070003">
      <w:start w:val="1"/>
      <w:numFmt w:val="bullet"/>
      <w:lvlText w:val="o"/>
      <w:lvlJc w:val="left"/>
      <w:pPr>
        <w:ind w:left="1506" w:hanging="360"/>
      </w:pPr>
      <w:rPr>
        <w:rFonts w:ascii="Courier New" w:hAnsi="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6E0C112C"/>
    <w:multiLevelType w:val="multilevel"/>
    <w:tmpl w:val="16E47FE2"/>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E3A42B7"/>
    <w:multiLevelType w:val="hybridMultilevel"/>
    <w:tmpl w:val="3DB84B14"/>
    <w:lvl w:ilvl="0" w:tplc="04070001">
      <w:start w:val="1"/>
      <w:numFmt w:val="bullet"/>
      <w:lvlText w:val=""/>
      <w:lvlJc w:val="left"/>
      <w:pPr>
        <w:ind w:left="720" w:hanging="360"/>
      </w:pPr>
      <w:rPr>
        <w:rFonts w:ascii="Symbol" w:hAnsi="Symbol" w:hint="default"/>
      </w:rPr>
    </w:lvl>
    <w:lvl w:ilvl="1" w:tplc="17DE2396">
      <w:numFmt w:val="bullet"/>
      <w:lvlText w:val="-"/>
      <w:lvlJc w:val="left"/>
      <w:pPr>
        <w:ind w:left="1440" w:hanging="360"/>
      </w:pPr>
      <w:rPr>
        <w:rFonts w:ascii="Times New Roman" w:eastAsia="Times New Roman" w:hAnsi="Times New Roman" w:cs="Times New Roman" w:hint="default"/>
      </w:rPr>
    </w:lvl>
    <w:lvl w:ilvl="2" w:tplc="4A749F88">
      <w:numFmt w:val="bullet"/>
      <w:lvlText w:val="•"/>
      <w:lvlJc w:val="left"/>
      <w:pPr>
        <w:ind w:left="2370" w:hanging="570"/>
      </w:pPr>
      <w:rPr>
        <w:rFonts w:ascii="Times New Roman" w:eastAsia="Times New Roman" w:hAnsi="Times New Roman" w:cs="Times New Roman"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F570D80"/>
    <w:multiLevelType w:val="hybridMultilevel"/>
    <w:tmpl w:val="4808B6B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4A749F88">
      <w:numFmt w:val="bullet"/>
      <w:lvlText w:val="•"/>
      <w:lvlJc w:val="left"/>
      <w:pPr>
        <w:ind w:left="2370" w:hanging="570"/>
      </w:pPr>
      <w:rPr>
        <w:rFonts w:ascii="Times New Roman" w:eastAsia="Times New Roman" w:hAnsi="Times New Roman" w:cs="Times New Roman"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7"/>
  </w:num>
  <w:num w:numId="10">
    <w:abstractNumId w:val="11"/>
  </w:num>
  <w:num w:numId="11">
    <w:abstractNumId w:val="3"/>
  </w:num>
  <w:num w:numId="12">
    <w:abstractNumId w:val="9"/>
  </w:num>
  <w:num w:numId="13">
    <w:abstractNumId w:val="5"/>
  </w:num>
  <w:num w:numId="14">
    <w:abstractNumId w:val="8"/>
  </w:num>
  <w:num w:numId="15">
    <w:abstractNumId w:val="14"/>
  </w:num>
  <w:num w:numId="16">
    <w:abstractNumId w:val="0"/>
  </w:num>
  <w:num w:numId="17">
    <w:abstractNumId w:val="15"/>
  </w:num>
  <w:num w:numId="18">
    <w:abstractNumId w:val="7"/>
  </w:num>
  <w:num w:numId="19">
    <w:abstractNumId w:val="10"/>
  </w:num>
  <w:num w:numId="20">
    <w:abstractNumId w:val="13"/>
  </w:num>
  <w:num w:numId="21">
    <w:abstractNumId w:val="6"/>
  </w:num>
  <w:num w:numId="22">
    <w:abstractNumId w:val="16"/>
  </w:num>
  <w:num w:numId="23">
    <w:abstractNumId w:val="18"/>
  </w:num>
  <w:num w:numId="24">
    <w:abstractNumId w:val="1"/>
  </w:num>
  <w:num w:numId="25">
    <w:abstractNumId w:val="4"/>
  </w:num>
  <w:num w:numId="26">
    <w:abstractNumId w:val="17"/>
  </w:num>
  <w:num w:numId="27">
    <w:abstractNumId w:val="12"/>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cumentProtection w:edit="forms" w:enforcement="0"/>
  <w:defaultTabStop w:val="142"/>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1CA"/>
    <w:rsid w:val="00003907"/>
    <w:rsid w:val="00020167"/>
    <w:rsid w:val="00022F98"/>
    <w:rsid w:val="000263D0"/>
    <w:rsid w:val="00031CAB"/>
    <w:rsid w:val="0005072E"/>
    <w:rsid w:val="000669E0"/>
    <w:rsid w:val="0006743D"/>
    <w:rsid w:val="00070E8E"/>
    <w:rsid w:val="00074829"/>
    <w:rsid w:val="00075047"/>
    <w:rsid w:val="00076189"/>
    <w:rsid w:val="00081410"/>
    <w:rsid w:val="0008275F"/>
    <w:rsid w:val="0008535F"/>
    <w:rsid w:val="000953A7"/>
    <w:rsid w:val="00095869"/>
    <w:rsid w:val="000A1AE3"/>
    <w:rsid w:val="000A1BCC"/>
    <w:rsid w:val="000B170C"/>
    <w:rsid w:val="000B26CA"/>
    <w:rsid w:val="000B49F3"/>
    <w:rsid w:val="000C1B10"/>
    <w:rsid w:val="000E01CA"/>
    <w:rsid w:val="000E1CDA"/>
    <w:rsid w:val="000F112A"/>
    <w:rsid w:val="000F2BF0"/>
    <w:rsid w:val="000F47FA"/>
    <w:rsid w:val="00106490"/>
    <w:rsid w:val="0011301F"/>
    <w:rsid w:val="00114636"/>
    <w:rsid w:val="00116DD1"/>
    <w:rsid w:val="001200EF"/>
    <w:rsid w:val="00130CDE"/>
    <w:rsid w:val="0013360A"/>
    <w:rsid w:val="0014270A"/>
    <w:rsid w:val="00143AD5"/>
    <w:rsid w:val="00156A2F"/>
    <w:rsid w:val="00160DB4"/>
    <w:rsid w:val="00164771"/>
    <w:rsid w:val="00176EFF"/>
    <w:rsid w:val="00182A82"/>
    <w:rsid w:val="0019383F"/>
    <w:rsid w:val="00196670"/>
    <w:rsid w:val="001A536C"/>
    <w:rsid w:val="001A7F92"/>
    <w:rsid w:val="001B2B91"/>
    <w:rsid w:val="001B4870"/>
    <w:rsid w:val="001B5F20"/>
    <w:rsid w:val="001C5BC1"/>
    <w:rsid w:val="001C5EB6"/>
    <w:rsid w:val="001C6C9C"/>
    <w:rsid w:val="001D0EB5"/>
    <w:rsid w:val="001D1DC6"/>
    <w:rsid w:val="001D6555"/>
    <w:rsid w:val="001D70D1"/>
    <w:rsid w:val="001E05E5"/>
    <w:rsid w:val="001E2DC9"/>
    <w:rsid w:val="001E43EC"/>
    <w:rsid w:val="001F2092"/>
    <w:rsid w:val="001F4C9F"/>
    <w:rsid w:val="00207D02"/>
    <w:rsid w:val="0021350D"/>
    <w:rsid w:val="00214CC6"/>
    <w:rsid w:val="0021647C"/>
    <w:rsid w:val="00225D2F"/>
    <w:rsid w:val="00225D33"/>
    <w:rsid w:val="00230FD2"/>
    <w:rsid w:val="0023182E"/>
    <w:rsid w:val="00240B2F"/>
    <w:rsid w:val="00240E95"/>
    <w:rsid w:val="00241BFB"/>
    <w:rsid w:val="00244C51"/>
    <w:rsid w:val="00262DB1"/>
    <w:rsid w:val="00266481"/>
    <w:rsid w:val="0026685E"/>
    <w:rsid w:val="00272BD8"/>
    <w:rsid w:val="00272D3A"/>
    <w:rsid w:val="00280B94"/>
    <w:rsid w:val="002832F5"/>
    <w:rsid w:val="002842D2"/>
    <w:rsid w:val="002865C3"/>
    <w:rsid w:val="00292B94"/>
    <w:rsid w:val="00296621"/>
    <w:rsid w:val="00296CFA"/>
    <w:rsid w:val="002A4D2D"/>
    <w:rsid w:val="002A6ADB"/>
    <w:rsid w:val="002B274D"/>
    <w:rsid w:val="002B345C"/>
    <w:rsid w:val="002B34F3"/>
    <w:rsid w:val="002B3744"/>
    <w:rsid w:val="002B66BC"/>
    <w:rsid w:val="002C3BFE"/>
    <w:rsid w:val="002D3646"/>
    <w:rsid w:val="002E0349"/>
    <w:rsid w:val="002E0F1E"/>
    <w:rsid w:val="002E5CD1"/>
    <w:rsid w:val="002E6DCD"/>
    <w:rsid w:val="002E7C2F"/>
    <w:rsid w:val="002F575E"/>
    <w:rsid w:val="002F5DEC"/>
    <w:rsid w:val="00306071"/>
    <w:rsid w:val="00315C21"/>
    <w:rsid w:val="0031600D"/>
    <w:rsid w:val="0032270F"/>
    <w:rsid w:val="00323724"/>
    <w:rsid w:val="0033121E"/>
    <w:rsid w:val="003470E5"/>
    <w:rsid w:val="00353D7E"/>
    <w:rsid w:val="00356C80"/>
    <w:rsid w:val="00362505"/>
    <w:rsid w:val="00363CEB"/>
    <w:rsid w:val="003677FA"/>
    <w:rsid w:val="003904D4"/>
    <w:rsid w:val="0039250C"/>
    <w:rsid w:val="003954FA"/>
    <w:rsid w:val="00396E3B"/>
    <w:rsid w:val="00397818"/>
    <w:rsid w:val="003A4F66"/>
    <w:rsid w:val="003B2317"/>
    <w:rsid w:val="003B589D"/>
    <w:rsid w:val="003D3B00"/>
    <w:rsid w:val="003E2D79"/>
    <w:rsid w:val="003F00AD"/>
    <w:rsid w:val="003F3905"/>
    <w:rsid w:val="003F52C9"/>
    <w:rsid w:val="004056C7"/>
    <w:rsid w:val="0041272E"/>
    <w:rsid w:val="00412792"/>
    <w:rsid w:val="00413BDA"/>
    <w:rsid w:val="00415A4D"/>
    <w:rsid w:val="00425F05"/>
    <w:rsid w:val="00426872"/>
    <w:rsid w:val="0043742B"/>
    <w:rsid w:val="00437DE1"/>
    <w:rsid w:val="00443A4B"/>
    <w:rsid w:val="004579FE"/>
    <w:rsid w:val="0046317F"/>
    <w:rsid w:val="00474DBB"/>
    <w:rsid w:val="00481B59"/>
    <w:rsid w:val="00492822"/>
    <w:rsid w:val="0049553B"/>
    <w:rsid w:val="004B25D2"/>
    <w:rsid w:val="004B3724"/>
    <w:rsid w:val="004C2096"/>
    <w:rsid w:val="004C2388"/>
    <w:rsid w:val="004C5473"/>
    <w:rsid w:val="004C5FC4"/>
    <w:rsid w:val="004D22AD"/>
    <w:rsid w:val="004D78AF"/>
    <w:rsid w:val="004E2F36"/>
    <w:rsid w:val="004E4F8E"/>
    <w:rsid w:val="004E5F06"/>
    <w:rsid w:val="004F0E90"/>
    <w:rsid w:val="004F2396"/>
    <w:rsid w:val="004F271B"/>
    <w:rsid w:val="005027A1"/>
    <w:rsid w:val="00505868"/>
    <w:rsid w:val="005073D8"/>
    <w:rsid w:val="00513EC4"/>
    <w:rsid w:val="00514CDD"/>
    <w:rsid w:val="005175E2"/>
    <w:rsid w:val="00524F74"/>
    <w:rsid w:val="00525395"/>
    <w:rsid w:val="00534865"/>
    <w:rsid w:val="005460F5"/>
    <w:rsid w:val="00552CCB"/>
    <w:rsid w:val="00555FBD"/>
    <w:rsid w:val="00565F2F"/>
    <w:rsid w:val="00593A81"/>
    <w:rsid w:val="005C6B68"/>
    <w:rsid w:val="005C79D5"/>
    <w:rsid w:val="005D39E1"/>
    <w:rsid w:val="005D5005"/>
    <w:rsid w:val="005D566E"/>
    <w:rsid w:val="005E776E"/>
    <w:rsid w:val="005F28D3"/>
    <w:rsid w:val="005F63A4"/>
    <w:rsid w:val="005F7404"/>
    <w:rsid w:val="00614191"/>
    <w:rsid w:val="00614461"/>
    <w:rsid w:val="00615CC7"/>
    <w:rsid w:val="00616D0B"/>
    <w:rsid w:val="00623B37"/>
    <w:rsid w:val="006242EC"/>
    <w:rsid w:val="00630C91"/>
    <w:rsid w:val="0063106F"/>
    <w:rsid w:val="0063143D"/>
    <w:rsid w:val="00631915"/>
    <w:rsid w:val="00641332"/>
    <w:rsid w:val="00644F60"/>
    <w:rsid w:val="0064786F"/>
    <w:rsid w:val="00667740"/>
    <w:rsid w:val="00677C44"/>
    <w:rsid w:val="00680970"/>
    <w:rsid w:val="00681377"/>
    <w:rsid w:val="00682FFD"/>
    <w:rsid w:val="00696361"/>
    <w:rsid w:val="00697CBC"/>
    <w:rsid w:val="006A1306"/>
    <w:rsid w:val="006A1C7F"/>
    <w:rsid w:val="006C3A5B"/>
    <w:rsid w:val="006C528F"/>
    <w:rsid w:val="006C629D"/>
    <w:rsid w:val="006C6D1A"/>
    <w:rsid w:val="006D3609"/>
    <w:rsid w:val="006D384E"/>
    <w:rsid w:val="006E4837"/>
    <w:rsid w:val="006E7492"/>
    <w:rsid w:val="007200D1"/>
    <w:rsid w:val="0072394F"/>
    <w:rsid w:val="0073502F"/>
    <w:rsid w:val="00743EEC"/>
    <w:rsid w:val="00744869"/>
    <w:rsid w:val="007450C2"/>
    <w:rsid w:val="00745A95"/>
    <w:rsid w:val="00747BD7"/>
    <w:rsid w:val="00771183"/>
    <w:rsid w:val="0077308C"/>
    <w:rsid w:val="0077619C"/>
    <w:rsid w:val="007765B4"/>
    <w:rsid w:val="00791CC0"/>
    <w:rsid w:val="00792BC3"/>
    <w:rsid w:val="007B149E"/>
    <w:rsid w:val="007C0DC8"/>
    <w:rsid w:val="007C28AD"/>
    <w:rsid w:val="007C64A5"/>
    <w:rsid w:val="007D17D0"/>
    <w:rsid w:val="007E5F98"/>
    <w:rsid w:val="007F7648"/>
    <w:rsid w:val="008001B4"/>
    <w:rsid w:val="008001C2"/>
    <w:rsid w:val="00800935"/>
    <w:rsid w:val="00806498"/>
    <w:rsid w:val="00812904"/>
    <w:rsid w:val="0081469A"/>
    <w:rsid w:val="0081622C"/>
    <w:rsid w:val="008218EB"/>
    <w:rsid w:val="008335E3"/>
    <w:rsid w:val="00835441"/>
    <w:rsid w:val="00845AE8"/>
    <w:rsid w:val="00852B41"/>
    <w:rsid w:val="00852B6C"/>
    <w:rsid w:val="008651A0"/>
    <w:rsid w:val="00876972"/>
    <w:rsid w:val="00881E5B"/>
    <w:rsid w:val="008850A6"/>
    <w:rsid w:val="008855B0"/>
    <w:rsid w:val="00886938"/>
    <w:rsid w:val="00895BB5"/>
    <w:rsid w:val="00897334"/>
    <w:rsid w:val="0089763E"/>
    <w:rsid w:val="008A0E92"/>
    <w:rsid w:val="008A6598"/>
    <w:rsid w:val="008B05BF"/>
    <w:rsid w:val="008B1D74"/>
    <w:rsid w:val="008B225C"/>
    <w:rsid w:val="008B32BE"/>
    <w:rsid w:val="008B57FD"/>
    <w:rsid w:val="008C4D8A"/>
    <w:rsid w:val="008C5CE1"/>
    <w:rsid w:val="008C5E00"/>
    <w:rsid w:val="008D03CF"/>
    <w:rsid w:val="008D4B93"/>
    <w:rsid w:val="008E25C8"/>
    <w:rsid w:val="008F0CE9"/>
    <w:rsid w:val="009034D9"/>
    <w:rsid w:val="00916D89"/>
    <w:rsid w:val="009218AC"/>
    <w:rsid w:val="00921B19"/>
    <w:rsid w:val="00927175"/>
    <w:rsid w:val="00927D9D"/>
    <w:rsid w:val="00945A39"/>
    <w:rsid w:val="00946E36"/>
    <w:rsid w:val="0095726E"/>
    <w:rsid w:val="0096584F"/>
    <w:rsid w:val="00967F5C"/>
    <w:rsid w:val="00971CA0"/>
    <w:rsid w:val="00983C85"/>
    <w:rsid w:val="0099009A"/>
    <w:rsid w:val="00990566"/>
    <w:rsid w:val="00991172"/>
    <w:rsid w:val="009926DD"/>
    <w:rsid w:val="009A165E"/>
    <w:rsid w:val="009A401E"/>
    <w:rsid w:val="009B1C4D"/>
    <w:rsid w:val="009D2121"/>
    <w:rsid w:val="009D62C7"/>
    <w:rsid w:val="009E0755"/>
    <w:rsid w:val="009F1CE6"/>
    <w:rsid w:val="009F25C6"/>
    <w:rsid w:val="00A1045B"/>
    <w:rsid w:val="00A11864"/>
    <w:rsid w:val="00A14F3D"/>
    <w:rsid w:val="00A1588F"/>
    <w:rsid w:val="00A2339D"/>
    <w:rsid w:val="00A26462"/>
    <w:rsid w:val="00A46B0D"/>
    <w:rsid w:val="00A71923"/>
    <w:rsid w:val="00A82121"/>
    <w:rsid w:val="00A8593A"/>
    <w:rsid w:val="00A90139"/>
    <w:rsid w:val="00A95F79"/>
    <w:rsid w:val="00AA106B"/>
    <w:rsid w:val="00AA2671"/>
    <w:rsid w:val="00AA666E"/>
    <w:rsid w:val="00AB079C"/>
    <w:rsid w:val="00AB33DF"/>
    <w:rsid w:val="00AB5B63"/>
    <w:rsid w:val="00AC5C04"/>
    <w:rsid w:val="00AC6F19"/>
    <w:rsid w:val="00AD79F1"/>
    <w:rsid w:val="00AE40D4"/>
    <w:rsid w:val="00AF5F77"/>
    <w:rsid w:val="00AF6E83"/>
    <w:rsid w:val="00B052E4"/>
    <w:rsid w:val="00B10512"/>
    <w:rsid w:val="00B115C8"/>
    <w:rsid w:val="00B4096B"/>
    <w:rsid w:val="00B46D4A"/>
    <w:rsid w:val="00B556A7"/>
    <w:rsid w:val="00B60EE2"/>
    <w:rsid w:val="00B62B72"/>
    <w:rsid w:val="00B6356C"/>
    <w:rsid w:val="00B65B50"/>
    <w:rsid w:val="00B74541"/>
    <w:rsid w:val="00B821E5"/>
    <w:rsid w:val="00B87DD3"/>
    <w:rsid w:val="00BA03DE"/>
    <w:rsid w:val="00BA1541"/>
    <w:rsid w:val="00BB0181"/>
    <w:rsid w:val="00BB10E7"/>
    <w:rsid w:val="00BB1BE7"/>
    <w:rsid w:val="00BB5C00"/>
    <w:rsid w:val="00BC02FD"/>
    <w:rsid w:val="00BC3942"/>
    <w:rsid w:val="00BC60D1"/>
    <w:rsid w:val="00BE3410"/>
    <w:rsid w:val="00BE4A5B"/>
    <w:rsid w:val="00BE5123"/>
    <w:rsid w:val="00BE6F53"/>
    <w:rsid w:val="00BF1741"/>
    <w:rsid w:val="00BF64EC"/>
    <w:rsid w:val="00C15E20"/>
    <w:rsid w:val="00C163FC"/>
    <w:rsid w:val="00C27DBA"/>
    <w:rsid w:val="00C30832"/>
    <w:rsid w:val="00C32C5F"/>
    <w:rsid w:val="00C43AC9"/>
    <w:rsid w:val="00C62028"/>
    <w:rsid w:val="00C65C6C"/>
    <w:rsid w:val="00C67FF9"/>
    <w:rsid w:val="00C71080"/>
    <w:rsid w:val="00C712BA"/>
    <w:rsid w:val="00C7387E"/>
    <w:rsid w:val="00C82E70"/>
    <w:rsid w:val="00C83026"/>
    <w:rsid w:val="00C84D90"/>
    <w:rsid w:val="00C86B43"/>
    <w:rsid w:val="00C93233"/>
    <w:rsid w:val="00CB00F7"/>
    <w:rsid w:val="00CB5AD7"/>
    <w:rsid w:val="00CC3481"/>
    <w:rsid w:val="00CC4EBD"/>
    <w:rsid w:val="00CD49FC"/>
    <w:rsid w:val="00CD4B94"/>
    <w:rsid w:val="00CE7292"/>
    <w:rsid w:val="00CF0FD3"/>
    <w:rsid w:val="00CF1DE4"/>
    <w:rsid w:val="00CF3F3F"/>
    <w:rsid w:val="00CF63EF"/>
    <w:rsid w:val="00D06FDE"/>
    <w:rsid w:val="00D22622"/>
    <w:rsid w:val="00D404BF"/>
    <w:rsid w:val="00D534D7"/>
    <w:rsid w:val="00D535B0"/>
    <w:rsid w:val="00D53694"/>
    <w:rsid w:val="00D543B4"/>
    <w:rsid w:val="00D61DF4"/>
    <w:rsid w:val="00D703CF"/>
    <w:rsid w:val="00D7303D"/>
    <w:rsid w:val="00D85080"/>
    <w:rsid w:val="00DA42EC"/>
    <w:rsid w:val="00DA4EDE"/>
    <w:rsid w:val="00DA6CCE"/>
    <w:rsid w:val="00DB2186"/>
    <w:rsid w:val="00DB52BF"/>
    <w:rsid w:val="00DB788C"/>
    <w:rsid w:val="00DC3FBB"/>
    <w:rsid w:val="00DC4AAE"/>
    <w:rsid w:val="00DC571A"/>
    <w:rsid w:val="00DD6DC6"/>
    <w:rsid w:val="00DF0804"/>
    <w:rsid w:val="00DF434A"/>
    <w:rsid w:val="00E10158"/>
    <w:rsid w:val="00E144B5"/>
    <w:rsid w:val="00E14E7C"/>
    <w:rsid w:val="00E159DA"/>
    <w:rsid w:val="00E1669D"/>
    <w:rsid w:val="00E16749"/>
    <w:rsid w:val="00E260E1"/>
    <w:rsid w:val="00E26587"/>
    <w:rsid w:val="00E2672F"/>
    <w:rsid w:val="00E278FA"/>
    <w:rsid w:val="00E3794B"/>
    <w:rsid w:val="00E44F3A"/>
    <w:rsid w:val="00E45446"/>
    <w:rsid w:val="00E51FAE"/>
    <w:rsid w:val="00E52995"/>
    <w:rsid w:val="00E6322F"/>
    <w:rsid w:val="00E6542E"/>
    <w:rsid w:val="00E71D8C"/>
    <w:rsid w:val="00E75176"/>
    <w:rsid w:val="00E8112E"/>
    <w:rsid w:val="00E84AEA"/>
    <w:rsid w:val="00E901E0"/>
    <w:rsid w:val="00E930CE"/>
    <w:rsid w:val="00E93ADA"/>
    <w:rsid w:val="00E94771"/>
    <w:rsid w:val="00E9772D"/>
    <w:rsid w:val="00EB30EC"/>
    <w:rsid w:val="00EB35BC"/>
    <w:rsid w:val="00EB412E"/>
    <w:rsid w:val="00EB4B0C"/>
    <w:rsid w:val="00EB5738"/>
    <w:rsid w:val="00EC1886"/>
    <w:rsid w:val="00EC43AC"/>
    <w:rsid w:val="00EC72E8"/>
    <w:rsid w:val="00ED2D37"/>
    <w:rsid w:val="00EE6B68"/>
    <w:rsid w:val="00EF4E27"/>
    <w:rsid w:val="00EF558C"/>
    <w:rsid w:val="00F010C0"/>
    <w:rsid w:val="00F33F74"/>
    <w:rsid w:val="00F42382"/>
    <w:rsid w:val="00F423FE"/>
    <w:rsid w:val="00F54974"/>
    <w:rsid w:val="00F57349"/>
    <w:rsid w:val="00F603FB"/>
    <w:rsid w:val="00F61D14"/>
    <w:rsid w:val="00F91EC6"/>
    <w:rsid w:val="00F925DC"/>
    <w:rsid w:val="00F97B6E"/>
    <w:rsid w:val="00FB349A"/>
    <w:rsid w:val="00FB6476"/>
    <w:rsid w:val="00FC2C33"/>
    <w:rsid w:val="00FD28D5"/>
    <w:rsid w:val="00FD6A55"/>
    <w:rsid w:val="00FE32C3"/>
    <w:rsid w:val="00FE72BD"/>
    <w:rsid w:val="00FF2629"/>
    <w:rsid w:val="00FF69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efaultImageDpi w14:val="96"/>
  <w15:docId w15:val="{7CE48CF4-C16D-4A35-A26E-F050611B8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aliases w:val="Text body"/>
    <w:qFormat/>
    <w:rsid w:val="00C30832"/>
    <w:rPr>
      <w:rFonts w:ascii="Times New Roman" w:hAnsi="Times New Roman" w:cs="Times New Roman"/>
      <w:sz w:val="22"/>
      <w:lang w:eastAsia="en-US"/>
    </w:rPr>
  </w:style>
  <w:style w:type="paragraph" w:styleId="Nadpis1">
    <w:name w:val="heading 1"/>
    <w:aliases w:val="Titel Pages"/>
    <w:basedOn w:val="Normlny"/>
    <w:next w:val="Normlny"/>
    <w:link w:val="Nadpis1Char"/>
    <w:uiPriority w:val="9"/>
    <w:qFormat/>
    <w:rsid w:val="002842D2"/>
    <w:pPr>
      <w:keepNext/>
      <w:spacing w:before="240" w:after="60" w:line="276" w:lineRule="auto"/>
      <w:jc w:val="center"/>
      <w:outlineLvl w:val="0"/>
    </w:pPr>
    <w:rPr>
      <w:b/>
      <w:bCs/>
      <w:smallCaps/>
      <w:kern w:val="32"/>
      <w:szCs w:val="32"/>
    </w:rPr>
  </w:style>
  <w:style w:type="paragraph" w:styleId="Nadpis2">
    <w:name w:val="heading 2"/>
    <w:aliases w:val="1st Level Section Headings,Headings"/>
    <w:basedOn w:val="Normlny"/>
    <w:next w:val="Normlny"/>
    <w:link w:val="Nadpis2Char"/>
    <w:uiPriority w:val="9"/>
    <w:unhideWhenUsed/>
    <w:qFormat/>
    <w:rsid w:val="00FC2C33"/>
    <w:pPr>
      <w:keepNext/>
      <w:tabs>
        <w:tab w:val="left" w:pos="567"/>
        <w:tab w:val="left" w:pos="9070"/>
      </w:tabs>
      <w:spacing w:before="480" w:after="240"/>
      <w:jc w:val="both"/>
      <w:outlineLvl w:val="1"/>
    </w:pPr>
    <w:rPr>
      <w:b/>
      <w:bCs/>
      <w:iCs/>
      <w:smallCaps/>
      <w:szCs w:val="28"/>
      <w:lang w:val="en-US"/>
    </w:rPr>
  </w:style>
  <w:style w:type="paragraph" w:styleId="Nadpis3">
    <w:name w:val="heading 3"/>
    <w:aliases w:val="2nd LevelSubheadings (smpc only),Subheadings (smpc only)"/>
    <w:basedOn w:val="Normlny"/>
    <w:next w:val="Normlny"/>
    <w:link w:val="Nadpis3Char"/>
    <w:uiPriority w:val="9"/>
    <w:unhideWhenUsed/>
    <w:qFormat/>
    <w:rsid w:val="0077308C"/>
    <w:pPr>
      <w:keepNext/>
      <w:spacing w:before="240" w:after="240"/>
      <w:outlineLvl w:val="2"/>
    </w:pPr>
    <w:rPr>
      <w:b/>
      <w:bCs/>
      <w:szCs w:val="26"/>
    </w:rPr>
  </w:style>
  <w:style w:type="paragraph" w:styleId="Nadpis4">
    <w:name w:val="heading 4"/>
    <w:aliases w:val="Subheadings (PL only)"/>
    <w:basedOn w:val="Normlny"/>
    <w:next w:val="Normlny"/>
    <w:link w:val="Nadpis4Char"/>
    <w:uiPriority w:val="9"/>
    <w:unhideWhenUsed/>
    <w:qFormat/>
    <w:rsid w:val="00A71923"/>
    <w:pPr>
      <w:keepNext/>
      <w:spacing w:before="120" w:after="120"/>
      <w:outlineLvl w:val="3"/>
    </w:pPr>
    <w:rPr>
      <w:b/>
      <w:bCs/>
      <w:szCs w:val="28"/>
    </w:rPr>
  </w:style>
  <w:style w:type="paragraph" w:styleId="Nadpis5">
    <w:name w:val="heading 5"/>
    <w:aliases w:val="3rd level Additional subheading,Additional subheading"/>
    <w:basedOn w:val="Normlny"/>
    <w:next w:val="Normlny"/>
    <w:link w:val="Nadpis5Char"/>
    <w:uiPriority w:val="9"/>
    <w:unhideWhenUsed/>
    <w:qFormat/>
    <w:rsid w:val="004D22AD"/>
    <w:pPr>
      <w:ind w:right="1418"/>
      <w:outlineLvl w:val="4"/>
    </w:pPr>
    <w:rPr>
      <w:bCs/>
      <w:iCs/>
      <w:szCs w:val="26"/>
      <w:u w:val="single"/>
    </w:rPr>
  </w:style>
  <w:style w:type="paragraph" w:styleId="Nadpis6">
    <w:name w:val="heading 6"/>
    <w:aliases w:val="4th Level Additional subheadings,additional subheading 2nd level"/>
    <w:basedOn w:val="Normlny"/>
    <w:next w:val="Normlny"/>
    <w:link w:val="Nadpis6Char"/>
    <w:uiPriority w:val="9"/>
    <w:unhideWhenUsed/>
    <w:qFormat/>
    <w:rsid w:val="004D22AD"/>
    <w:pPr>
      <w:spacing w:line="276" w:lineRule="auto"/>
      <w:ind w:right="1418"/>
      <w:outlineLvl w:val="5"/>
    </w:pPr>
    <w:rPr>
      <w:bCs/>
      <w:i/>
      <w:szCs w:val="22"/>
    </w:rPr>
  </w:style>
  <w:style w:type="paragraph" w:styleId="Nadpis7">
    <w:name w:val="heading 7"/>
    <w:aliases w:val="Additional subhaeding bold"/>
    <w:basedOn w:val="Normlny"/>
    <w:next w:val="Normlny"/>
    <w:link w:val="Nadpis7Char"/>
    <w:uiPriority w:val="9"/>
    <w:unhideWhenUsed/>
    <w:qFormat/>
    <w:rsid w:val="00BE3410"/>
    <w:pPr>
      <w:spacing w:after="120"/>
      <w:outlineLvl w:val="6"/>
    </w:pPr>
    <w:rPr>
      <w:b/>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Titel Pages Char"/>
    <w:basedOn w:val="Predvolenpsmoodseku"/>
    <w:link w:val="Nadpis1"/>
    <w:uiPriority w:val="9"/>
    <w:locked/>
    <w:rsid w:val="002842D2"/>
    <w:rPr>
      <w:rFonts w:ascii="Times New Roman" w:hAnsi="Times New Roman" w:cs="Times New Roman"/>
      <w:b/>
      <w:bCs/>
      <w:smallCaps/>
      <w:kern w:val="32"/>
      <w:sz w:val="22"/>
      <w:szCs w:val="32"/>
      <w:lang w:eastAsia="en-US"/>
    </w:rPr>
  </w:style>
  <w:style w:type="character" w:customStyle="1" w:styleId="Nadpis2Char">
    <w:name w:val="Nadpis 2 Char"/>
    <w:aliases w:val="1st Level Section Headings Char,Headings Char"/>
    <w:basedOn w:val="Predvolenpsmoodseku"/>
    <w:link w:val="Nadpis2"/>
    <w:uiPriority w:val="9"/>
    <w:locked/>
    <w:rsid w:val="00FC2C33"/>
    <w:rPr>
      <w:rFonts w:ascii="Times New Roman" w:hAnsi="Times New Roman" w:cs="Times New Roman"/>
      <w:b/>
      <w:bCs/>
      <w:iCs/>
      <w:smallCaps/>
      <w:sz w:val="22"/>
      <w:szCs w:val="28"/>
      <w:lang w:val="en-US" w:eastAsia="en-US"/>
    </w:rPr>
  </w:style>
  <w:style w:type="character" w:customStyle="1" w:styleId="Nadpis3Char">
    <w:name w:val="Nadpis 3 Char"/>
    <w:aliases w:val="2nd LevelSubheadings (smpc only) Char,Subheadings (smpc only) Char"/>
    <w:basedOn w:val="Predvolenpsmoodseku"/>
    <w:link w:val="Nadpis3"/>
    <w:uiPriority w:val="9"/>
    <w:locked/>
    <w:rsid w:val="0077308C"/>
    <w:rPr>
      <w:rFonts w:ascii="Times New Roman" w:hAnsi="Times New Roman" w:cs="Times New Roman"/>
      <w:b/>
      <w:bCs/>
      <w:sz w:val="22"/>
      <w:szCs w:val="26"/>
      <w:lang w:eastAsia="en-US"/>
    </w:rPr>
  </w:style>
  <w:style w:type="character" w:customStyle="1" w:styleId="Nadpis4Char">
    <w:name w:val="Nadpis 4 Char"/>
    <w:aliases w:val="Subheadings (PL only) Char"/>
    <w:basedOn w:val="Predvolenpsmoodseku"/>
    <w:link w:val="Nadpis4"/>
    <w:uiPriority w:val="9"/>
    <w:locked/>
    <w:rsid w:val="00A71923"/>
    <w:rPr>
      <w:rFonts w:ascii="Times New Roman" w:hAnsi="Times New Roman" w:cs="Times New Roman"/>
      <w:b/>
      <w:sz w:val="28"/>
      <w:lang w:val="x-none" w:eastAsia="en-US"/>
    </w:rPr>
  </w:style>
  <w:style w:type="character" w:customStyle="1" w:styleId="Nadpis5Char">
    <w:name w:val="Nadpis 5 Char"/>
    <w:aliases w:val="3rd level Additional subheading Char,Additional subheading Char"/>
    <w:basedOn w:val="Predvolenpsmoodseku"/>
    <w:link w:val="Nadpis5"/>
    <w:uiPriority w:val="9"/>
    <w:locked/>
    <w:rsid w:val="004D22AD"/>
    <w:rPr>
      <w:rFonts w:ascii="Times New Roman" w:hAnsi="Times New Roman" w:cs="Times New Roman"/>
      <w:sz w:val="26"/>
      <w:u w:val="single"/>
      <w:lang w:val="x-none" w:eastAsia="en-US"/>
    </w:rPr>
  </w:style>
  <w:style w:type="character" w:customStyle="1" w:styleId="Nadpis6Char">
    <w:name w:val="Nadpis 6 Char"/>
    <w:aliases w:val="4th Level Additional subheadings Char,additional subheading 2nd level Char"/>
    <w:basedOn w:val="Predvolenpsmoodseku"/>
    <w:link w:val="Nadpis6"/>
    <w:uiPriority w:val="9"/>
    <w:locked/>
    <w:rsid w:val="004D22AD"/>
    <w:rPr>
      <w:rFonts w:ascii="Times New Roman" w:hAnsi="Times New Roman" w:cs="Times New Roman"/>
      <w:i/>
      <w:sz w:val="22"/>
      <w:lang w:val="x-none" w:eastAsia="en-US"/>
    </w:rPr>
  </w:style>
  <w:style w:type="character" w:customStyle="1" w:styleId="Nadpis7Char">
    <w:name w:val="Nadpis 7 Char"/>
    <w:aliases w:val="Additional subhaeding bold Char"/>
    <w:basedOn w:val="Predvolenpsmoodseku"/>
    <w:link w:val="Nadpis7"/>
    <w:uiPriority w:val="9"/>
    <w:locked/>
    <w:rsid w:val="00BE3410"/>
    <w:rPr>
      <w:rFonts w:ascii="Times New Roman" w:hAnsi="Times New Roman" w:cs="Times New Roman"/>
      <w:b/>
      <w:sz w:val="24"/>
      <w:lang w:val="x-none" w:eastAsia="en-US"/>
    </w:rPr>
  </w:style>
  <w:style w:type="paragraph" w:styleId="Citcia">
    <w:name w:val="Quote"/>
    <w:basedOn w:val="Normlny"/>
    <w:next w:val="Normlny"/>
    <w:link w:val="CitciaChar"/>
    <w:uiPriority w:val="29"/>
    <w:qFormat/>
    <w:rsid w:val="000E01CA"/>
    <w:rPr>
      <w:i/>
      <w:iCs/>
      <w:color w:val="000000"/>
    </w:rPr>
  </w:style>
  <w:style w:type="character" w:customStyle="1" w:styleId="CitciaChar">
    <w:name w:val="Citácia Char"/>
    <w:basedOn w:val="Predvolenpsmoodseku"/>
    <w:link w:val="Citcia"/>
    <w:uiPriority w:val="29"/>
    <w:locked/>
    <w:rsid w:val="000E01CA"/>
    <w:rPr>
      <w:rFonts w:cs="Times New Roman"/>
      <w:i/>
      <w:color w:val="000000"/>
      <w:sz w:val="22"/>
      <w:lang w:val="x-none" w:eastAsia="en-US"/>
    </w:rPr>
  </w:style>
  <w:style w:type="paragraph" w:styleId="Bezriadkovania">
    <w:name w:val="No Spacing"/>
    <w:aliases w:val="Bullet Points"/>
    <w:uiPriority w:val="1"/>
    <w:qFormat/>
    <w:rsid w:val="004D22AD"/>
    <w:pPr>
      <w:numPr>
        <w:numId w:val="2"/>
      </w:numPr>
      <w:tabs>
        <w:tab w:val="left" w:pos="567"/>
      </w:tabs>
      <w:ind w:left="360" w:right="1418"/>
    </w:pPr>
    <w:rPr>
      <w:rFonts w:ascii="Times New Roman" w:hAnsi="Times New Roman" w:cs="Times New Roman"/>
      <w:sz w:val="22"/>
      <w:szCs w:val="22"/>
      <w:lang w:eastAsia="en-US"/>
    </w:rPr>
  </w:style>
  <w:style w:type="paragraph" w:styleId="Zoznamsodrkami">
    <w:name w:val="List Bullet"/>
    <w:basedOn w:val="Normlny"/>
    <w:uiPriority w:val="99"/>
    <w:rsid w:val="00106490"/>
    <w:pPr>
      <w:numPr>
        <w:numId w:val="9"/>
      </w:numPr>
      <w:tabs>
        <w:tab w:val="num" w:pos="-992"/>
        <w:tab w:val="num" w:pos="720"/>
        <w:tab w:val="num" w:pos="1080"/>
        <w:tab w:val="num" w:pos="1710"/>
      </w:tabs>
      <w:ind w:left="-992"/>
    </w:pPr>
    <w:rPr>
      <w:sz w:val="24"/>
      <w:szCs w:val="24"/>
      <w:lang w:val="en-GB"/>
    </w:rPr>
  </w:style>
  <w:style w:type="paragraph" w:styleId="Obyajntext">
    <w:name w:val="Plain Text"/>
    <w:basedOn w:val="Normlny"/>
    <w:link w:val="ObyajntextChar"/>
    <w:uiPriority w:val="99"/>
    <w:rsid w:val="004D22AD"/>
    <w:rPr>
      <w:rFonts w:cs="Tms Rmn"/>
      <w:lang w:val="en-GB" w:eastAsia="it-IT"/>
    </w:rPr>
  </w:style>
  <w:style w:type="character" w:customStyle="1" w:styleId="ObyajntextChar">
    <w:name w:val="Obyčajný text Char"/>
    <w:basedOn w:val="Predvolenpsmoodseku"/>
    <w:link w:val="Obyajntext"/>
    <w:uiPriority w:val="99"/>
    <w:locked/>
    <w:rsid w:val="004D22AD"/>
    <w:rPr>
      <w:rFonts w:ascii="Times New Roman" w:hAnsi="Times New Roman" w:cs="Times New Roman"/>
      <w:sz w:val="22"/>
      <w:lang w:val="en-GB" w:eastAsia="it-IT"/>
    </w:rPr>
  </w:style>
  <w:style w:type="paragraph" w:styleId="Nzov">
    <w:name w:val="Title"/>
    <w:basedOn w:val="Normlny"/>
    <w:next w:val="Normlny"/>
    <w:link w:val="NzovChar"/>
    <w:uiPriority w:val="10"/>
    <w:qFormat/>
    <w:rsid w:val="004D22AD"/>
    <w:pPr>
      <w:spacing w:before="240" w:after="60" w:line="276" w:lineRule="auto"/>
      <w:ind w:right="1418"/>
      <w:jc w:val="center"/>
      <w:outlineLvl w:val="0"/>
    </w:pPr>
    <w:rPr>
      <w:b/>
      <w:bCs/>
      <w:kern w:val="28"/>
      <w:sz w:val="24"/>
      <w:szCs w:val="32"/>
    </w:rPr>
  </w:style>
  <w:style w:type="character" w:customStyle="1" w:styleId="NzovChar">
    <w:name w:val="Názov Char"/>
    <w:basedOn w:val="Predvolenpsmoodseku"/>
    <w:link w:val="Nzov"/>
    <w:uiPriority w:val="10"/>
    <w:locked/>
    <w:rsid w:val="004D22AD"/>
    <w:rPr>
      <w:rFonts w:ascii="Times New Roman" w:hAnsi="Times New Roman" w:cs="Times New Roman"/>
      <w:b/>
      <w:kern w:val="28"/>
      <w:sz w:val="32"/>
      <w:lang w:val="x-none" w:eastAsia="en-US"/>
    </w:rPr>
  </w:style>
  <w:style w:type="character" w:styleId="Zstupntext">
    <w:name w:val="Placeholder Text"/>
    <w:basedOn w:val="Predvolenpsmoodseku"/>
    <w:uiPriority w:val="99"/>
    <w:semiHidden/>
    <w:rsid w:val="0019383F"/>
    <w:rPr>
      <w:color w:val="808080"/>
    </w:rPr>
  </w:style>
  <w:style w:type="paragraph" w:styleId="Textbubliny">
    <w:name w:val="Balloon Text"/>
    <w:basedOn w:val="Normlny"/>
    <w:link w:val="TextbublinyChar"/>
    <w:uiPriority w:val="99"/>
    <w:semiHidden/>
    <w:unhideWhenUsed/>
    <w:rsid w:val="0019383F"/>
    <w:rPr>
      <w:rFonts w:ascii="Tahoma" w:hAnsi="Tahoma" w:cs="Tahoma"/>
      <w:sz w:val="16"/>
      <w:szCs w:val="16"/>
    </w:rPr>
  </w:style>
  <w:style w:type="character" w:customStyle="1" w:styleId="TextbublinyChar">
    <w:name w:val="Text bubliny Char"/>
    <w:basedOn w:val="Predvolenpsmoodseku"/>
    <w:link w:val="Textbubliny"/>
    <w:uiPriority w:val="99"/>
    <w:semiHidden/>
    <w:rsid w:val="0019383F"/>
    <w:rPr>
      <w:rFonts w:ascii="Tahoma" w:hAnsi="Tahoma" w:cs="Tahoma"/>
      <w:sz w:val="16"/>
      <w:szCs w:val="16"/>
      <w:lang w:eastAsia="en-US"/>
    </w:rPr>
  </w:style>
  <w:style w:type="paragraph" w:styleId="Odsekzoznamu">
    <w:name w:val="List Paragraph"/>
    <w:basedOn w:val="Normlny"/>
    <w:uiPriority w:val="34"/>
    <w:qFormat/>
    <w:rsid w:val="00680970"/>
    <w:pPr>
      <w:ind w:left="720"/>
      <w:contextualSpacing/>
    </w:pPr>
  </w:style>
  <w:style w:type="character" w:styleId="Odkaznakomentr">
    <w:name w:val="annotation reference"/>
    <w:basedOn w:val="Predvolenpsmoodseku"/>
    <w:uiPriority w:val="99"/>
    <w:unhideWhenUsed/>
    <w:rsid w:val="007765B4"/>
    <w:rPr>
      <w:sz w:val="16"/>
      <w:szCs w:val="16"/>
    </w:rPr>
  </w:style>
  <w:style w:type="paragraph" w:styleId="Textkomentra">
    <w:name w:val="annotation text"/>
    <w:basedOn w:val="Normlny"/>
    <w:link w:val="TextkomentraChar"/>
    <w:uiPriority w:val="99"/>
    <w:unhideWhenUsed/>
    <w:rsid w:val="007765B4"/>
    <w:rPr>
      <w:sz w:val="20"/>
    </w:rPr>
  </w:style>
  <w:style w:type="character" w:customStyle="1" w:styleId="TextkomentraChar">
    <w:name w:val="Text komentára Char"/>
    <w:basedOn w:val="Predvolenpsmoodseku"/>
    <w:link w:val="Textkomentra"/>
    <w:uiPriority w:val="99"/>
    <w:rsid w:val="007765B4"/>
    <w:rPr>
      <w:rFonts w:ascii="Times New Roman" w:hAnsi="Times New Roman" w:cs="Times New Roman"/>
      <w:lang w:eastAsia="en-US"/>
    </w:rPr>
  </w:style>
  <w:style w:type="paragraph" w:styleId="Predmetkomentra">
    <w:name w:val="annotation subject"/>
    <w:basedOn w:val="Textkomentra"/>
    <w:next w:val="Textkomentra"/>
    <w:link w:val="PredmetkomentraChar"/>
    <w:uiPriority w:val="99"/>
    <w:semiHidden/>
    <w:unhideWhenUsed/>
    <w:rsid w:val="007765B4"/>
    <w:rPr>
      <w:b/>
      <w:bCs/>
    </w:rPr>
  </w:style>
  <w:style w:type="character" w:customStyle="1" w:styleId="PredmetkomentraChar">
    <w:name w:val="Predmet komentára Char"/>
    <w:basedOn w:val="TextkomentraChar"/>
    <w:link w:val="Predmetkomentra"/>
    <w:uiPriority w:val="99"/>
    <w:semiHidden/>
    <w:rsid w:val="007765B4"/>
    <w:rPr>
      <w:rFonts w:ascii="Times New Roman" w:hAnsi="Times New Roman" w:cs="Times New Roman"/>
      <w:b/>
      <w:bCs/>
      <w:lang w:eastAsia="en-US"/>
    </w:rPr>
  </w:style>
  <w:style w:type="paragraph" w:styleId="Normlnywebov">
    <w:name w:val="Normal (Web)"/>
    <w:basedOn w:val="Normlny"/>
    <w:uiPriority w:val="99"/>
    <w:semiHidden/>
    <w:unhideWhenUsed/>
    <w:rsid w:val="00B821E5"/>
    <w:pPr>
      <w:spacing w:before="100" w:beforeAutospacing="1" w:after="100" w:afterAutospacing="1"/>
    </w:pPr>
    <w:rPr>
      <w:sz w:val="24"/>
      <w:szCs w:val="24"/>
      <w:lang w:eastAsia="de-DE"/>
    </w:rPr>
  </w:style>
  <w:style w:type="paragraph" w:customStyle="1" w:styleId="Char6Char">
    <w:name w:val="Char6 Char"/>
    <w:basedOn w:val="Normlny"/>
    <w:uiPriority w:val="99"/>
    <w:rsid w:val="002832F5"/>
    <w:pPr>
      <w:spacing w:after="160" w:line="240" w:lineRule="exact"/>
    </w:pPr>
    <w:rPr>
      <w:rFonts w:ascii="Verdana" w:hAnsi="Verdana" w:cs="Verdana"/>
      <w:sz w:val="20"/>
      <w:lang w:val="en-GB"/>
    </w:rPr>
  </w:style>
  <w:style w:type="character" w:styleId="Hypertextovprepojenie">
    <w:name w:val="Hyperlink"/>
    <w:rsid w:val="000263D0"/>
    <w:rPr>
      <w:color w:val="0000FF"/>
      <w:u w:val="single"/>
    </w:rPr>
  </w:style>
  <w:style w:type="character" w:styleId="PouitHypertextovPrepojenie">
    <w:name w:val="FollowedHyperlink"/>
    <w:basedOn w:val="Predvolenpsmoodseku"/>
    <w:uiPriority w:val="99"/>
    <w:semiHidden/>
    <w:unhideWhenUsed/>
    <w:rsid w:val="000263D0"/>
    <w:rPr>
      <w:color w:val="800080" w:themeColor="followedHyperlink"/>
      <w:u w:val="single"/>
    </w:rPr>
  </w:style>
  <w:style w:type="paragraph" w:styleId="Revzia">
    <w:name w:val="Revision"/>
    <w:hidden/>
    <w:uiPriority w:val="99"/>
    <w:semiHidden/>
    <w:rsid w:val="00FB6476"/>
    <w:rPr>
      <w:rFonts w:ascii="Times New Roman" w:hAnsi="Times New Roman" w:cs="Times New Roman"/>
      <w:sz w:val="22"/>
      <w:lang w:eastAsia="en-US"/>
    </w:rPr>
  </w:style>
  <w:style w:type="paragraph" w:styleId="Hlavika">
    <w:name w:val="header"/>
    <w:basedOn w:val="Normlny"/>
    <w:link w:val="HlavikaChar"/>
    <w:uiPriority w:val="99"/>
    <w:unhideWhenUsed/>
    <w:rsid w:val="00081410"/>
    <w:pPr>
      <w:tabs>
        <w:tab w:val="center" w:pos="4536"/>
        <w:tab w:val="right" w:pos="9072"/>
      </w:tabs>
    </w:pPr>
  </w:style>
  <w:style w:type="character" w:customStyle="1" w:styleId="HlavikaChar">
    <w:name w:val="Hlavička Char"/>
    <w:basedOn w:val="Predvolenpsmoodseku"/>
    <w:link w:val="Hlavika"/>
    <w:uiPriority w:val="99"/>
    <w:rsid w:val="00081410"/>
    <w:rPr>
      <w:rFonts w:ascii="Times New Roman" w:hAnsi="Times New Roman" w:cs="Times New Roman"/>
      <w:sz w:val="22"/>
      <w:lang w:eastAsia="en-US"/>
    </w:rPr>
  </w:style>
  <w:style w:type="paragraph" w:styleId="Pta">
    <w:name w:val="footer"/>
    <w:basedOn w:val="Normlny"/>
    <w:link w:val="PtaChar"/>
    <w:uiPriority w:val="99"/>
    <w:unhideWhenUsed/>
    <w:rsid w:val="00081410"/>
    <w:pPr>
      <w:tabs>
        <w:tab w:val="center" w:pos="4536"/>
        <w:tab w:val="right" w:pos="9072"/>
      </w:tabs>
    </w:pPr>
  </w:style>
  <w:style w:type="character" w:customStyle="1" w:styleId="PtaChar">
    <w:name w:val="Päta Char"/>
    <w:basedOn w:val="Predvolenpsmoodseku"/>
    <w:link w:val="Pta"/>
    <w:uiPriority w:val="99"/>
    <w:rsid w:val="00081410"/>
    <w:rPr>
      <w:rFonts w:ascii="Times New Roman" w:hAnsi="Times New Roman" w:cs="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66651">
      <w:bodyDiv w:val="1"/>
      <w:marLeft w:val="0"/>
      <w:marRight w:val="0"/>
      <w:marTop w:val="0"/>
      <w:marBottom w:val="0"/>
      <w:divBdr>
        <w:top w:val="none" w:sz="0" w:space="0" w:color="auto"/>
        <w:left w:val="none" w:sz="0" w:space="0" w:color="auto"/>
        <w:bottom w:val="none" w:sz="0" w:space="0" w:color="auto"/>
        <w:right w:val="none" w:sz="0" w:space="0" w:color="auto"/>
      </w:divBdr>
      <w:divsChild>
        <w:div w:id="206139483">
          <w:marLeft w:val="0"/>
          <w:marRight w:val="0"/>
          <w:marTop w:val="0"/>
          <w:marBottom w:val="0"/>
          <w:divBdr>
            <w:top w:val="none" w:sz="0" w:space="0" w:color="auto"/>
            <w:left w:val="none" w:sz="0" w:space="0" w:color="auto"/>
            <w:bottom w:val="none" w:sz="0" w:space="0" w:color="auto"/>
            <w:right w:val="none" w:sz="0" w:space="0" w:color="auto"/>
          </w:divBdr>
          <w:divsChild>
            <w:div w:id="141045930">
              <w:marLeft w:val="0"/>
              <w:marRight w:val="0"/>
              <w:marTop w:val="0"/>
              <w:marBottom w:val="0"/>
              <w:divBdr>
                <w:top w:val="none" w:sz="0" w:space="0" w:color="auto"/>
                <w:left w:val="none" w:sz="0" w:space="0" w:color="auto"/>
                <w:bottom w:val="none" w:sz="0" w:space="0" w:color="auto"/>
                <w:right w:val="none" w:sz="0" w:space="0" w:color="auto"/>
              </w:divBdr>
              <w:divsChild>
                <w:div w:id="1786609306">
                  <w:marLeft w:val="0"/>
                  <w:marRight w:val="0"/>
                  <w:marTop w:val="0"/>
                  <w:marBottom w:val="0"/>
                  <w:divBdr>
                    <w:top w:val="none" w:sz="0" w:space="0" w:color="auto"/>
                    <w:left w:val="none" w:sz="0" w:space="0" w:color="auto"/>
                    <w:bottom w:val="none" w:sz="0" w:space="0" w:color="auto"/>
                    <w:right w:val="none" w:sz="0" w:space="0" w:color="auto"/>
                  </w:divBdr>
                  <w:divsChild>
                    <w:div w:id="39792829">
                      <w:marLeft w:val="0"/>
                      <w:marRight w:val="0"/>
                      <w:marTop w:val="0"/>
                      <w:marBottom w:val="0"/>
                      <w:divBdr>
                        <w:top w:val="none" w:sz="0" w:space="0" w:color="auto"/>
                        <w:left w:val="none" w:sz="0" w:space="0" w:color="auto"/>
                        <w:bottom w:val="none" w:sz="0" w:space="0" w:color="auto"/>
                        <w:right w:val="none" w:sz="0" w:space="0" w:color="auto"/>
                      </w:divBdr>
                      <w:divsChild>
                        <w:div w:id="1138691680">
                          <w:marLeft w:val="0"/>
                          <w:marRight w:val="0"/>
                          <w:marTop w:val="0"/>
                          <w:marBottom w:val="0"/>
                          <w:divBdr>
                            <w:top w:val="none" w:sz="0" w:space="0" w:color="auto"/>
                            <w:left w:val="none" w:sz="0" w:space="0" w:color="auto"/>
                            <w:bottom w:val="none" w:sz="0" w:space="0" w:color="auto"/>
                            <w:right w:val="none" w:sz="0" w:space="0" w:color="auto"/>
                          </w:divBdr>
                          <w:divsChild>
                            <w:div w:id="1865443073">
                              <w:marLeft w:val="0"/>
                              <w:marRight w:val="0"/>
                              <w:marTop w:val="0"/>
                              <w:marBottom w:val="0"/>
                              <w:divBdr>
                                <w:top w:val="none" w:sz="0" w:space="0" w:color="auto"/>
                                <w:left w:val="none" w:sz="0" w:space="0" w:color="auto"/>
                                <w:bottom w:val="none" w:sz="0" w:space="0" w:color="auto"/>
                                <w:right w:val="none" w:sz="0" w:space="0" w:color="auto"/>
                              </w:divBdr>
                              <w:divsChild>
                                <w:div w:id="134373365">
                                  <w:marLeft w:val="0"/>
                                  <w:marRight w:val="0"/>
                                  <w:marTop w:val="0"/>
                                  <w:marBottom w:val="0"/>
                                  <w:divBdr>
                                    <w:top w:val="none" w:sz="0" w:space="0" w:color="auto"/>
                                    <w:left w:val="none" w:sz="0" w:space="0" w:color="auto"/>
                                    <w:bottom w:val="none" w:sz="0" w:space="0" w:color="auto"/>
                                    <w:right w:val="none" w:sz="0" w:space="0" w:color="auto"/>
                                  </w:divBdr>
                                  <w:divsChild>
                                    <w:div w:id="1446998528">
                                      <w:marLeft w:val="0"/>
                                      <w:marRight w:val="0"/>
                                      <w:marTop w:val="0"/>
                                      <w:marBottom w:val="0"/>
                                      <w:divBdr>
                                        <w:top w:val="none" w:sz="0" w:space="0" w:color="auto"/>
                                        <w:left w:val="none" w:sz="0" w:space="0" w:color="auto"/>
                                        <w:bottom w:val="none" w:sz="0" w:space="0" w:color="auto"/>
                                        <w:right w:val="none" w:sz="0" w:space="0" w:color="auto"/>
                                      </w:divBdr>
                                      <w:divsChild>
                                        <w:div w:id="413283811">
                                          <w:marLeft w:val="0"/>
                                          <w:marRight w:val="0"/>
                                          <w:marTop w:val="0"/>
                                          <w:marBottom w:val="0"/>
                                          <w:divBdr>
                                            <w:top w:val="none" w:sz="0" w:space="0" w:color="auto"/>
                                            <w:left w:val="single" w:sz="6" w:space="0" w:color="999999"/>
                                            <w:bottom w:val="none" w:sz="0" w:space="0" w:color="auto"/>
                                            <w:right w:val="none" w:sz="0" w:space="0" w:color="auto"/>
                                          </w:divBdr>
                                          <w:divsChild>
                                            <w:div w:id="233130507">
                                              <w:marLeft w:val="0"/>
                                              <w:marRight w:val="0"/>
                                              <w:marTop w:val="150"/>
                                              <w:marBottom w:val="150"/>
                                              <w:divBdr>
                                                <w:top w:val="none" w:sz="0" w:space="0" w:color="auto"/>
                                                <w:left w:val="none" w:sz="0" w:space="0" w:color="auto"/>
                                                <w:bottom w:val="none" w:sz="0" w:space="0" w:color="auto"/>
                                                <w:right w:val="none" w:sz="0" w:space="0" w:color="auto"/>
                                              </w:divBdr>
                                              <w:divsChild>
                                                <w:div w:id="437868283">
                                                  <w:marLeft w:val="0"/>
                                                  <w:marRight w:val="0"/>
                                                  <w:marTop w:val="0"/>
                                                  <w:marBottom w:val="0"/>
                                                  <w:divBdr>
                                                    <w:top w:val="none" w:sz="0" w:space="0" w:color="auto"/>
                                                    <w:left w:val="none" w:sz="0" w:space="0" w:color="auto"/>
                                                    <w:bottom w:val="none" w:sz="0" w:space="0" w:color="auto"/>
                                                    <w:right w:val="none" w:sz="0" w:space="0" w:color="auto"/>
                                                  </w:divBdr>
                                                  <w:divsChild>
                                                    <w:div w:id="5239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458479">
      <w:bodyDiv w:val="1"/>
      <w:marLeft w:val="0"/>
      <w:marRight w:val="0"/>
      <w:marTop w:val="0"/>
      <w:marBottom w:val="0"/>
      <w:divBdr>
        <w:top w:val="none" w:sz="0" w:space="0" w:color="auto"/>
        <w:left w:val="none" w:sz="0" w:space="0" w:color="auto"/>
        <w:bottom w:val="none" w:sz="0" w:space="0" w:color="auto"/>
        <w:right w:val="none" w:sz="0" w:space="0" w:color="auto"/>
      </w:divBdr>
      <w:divsChild>
        <w:div w:id="590434767">
          <w:marLeft w:val="0"/>
          <w:marRight w:val="0"/>
          <w:marTop w:val="0"/>
          <w:marBottom w:val="0"/>
          <w:divBdr>
            <w:top w:val="none" w:sz="0" w:space="0" w:color="auto"/>
            <w:left w:val="none" w:sz="0" w:space="0" w:color="auto"/>
            <w:bottom w:val="none" w:sz="0" w:space="0" w:color="auto"/>
            <w:right w:val="none" w:sz="0" w:space="0" w:color="auto"/>
          </w:divBdr>
          <w:divsChild>
            <w:div w:id="1822850077">
              <w:marLeft w:val="0"/>
              <w:marRight w:val="0"/>
              <w:marTop w:val="0"/>
              <w:marBottom w:val="0"/>
              <w:divBdr>
                <w:top w:val="none" w:sz="0" w:space="0" w:color="auto"/>
                <w:left w:val="none" w:sz="0" w:space="0" w:color="auto"/>
                <w:bottom w:val="none" w:sz="0" w:space="0" w:color="auto"/>
                <w:right w:val="none" w:sz="0" w:space="0" w:color="auto"/>
              </w:divBdr>
              <w:divsChild>
                <w:div w:id="1323120450">
                  <w:marLeft w:val="0"/>
                  <w:marRight w:val="0"/>
                  <w:marTop w:val="0"/>
                  <w:marBottom w:val="0"/>
                  <w:divBdr>
                    <w:top w:val="none" w:sz="0" w:space="0" w:color="auto"/>
                    <w:left w:val="none" w:sz="0" w:space="0" w:color="auto"/>
                    <w:bottom w:val="none" w:sz="0" w:space="0" w:color="auto"/>
                    <w:right w:val="none" w:sz="0" w:space="0" w:color="auto"/>
                  </w:divBdr>
                  <w:divsChild>
                    <w:div w:id="1455520205">
                      <w:marLeft w:val="0"/>
                      <w:marRight w:val="0"/>
                      <w:marTop w:val="0"/>
                      <w:marBottom w:val="0"/>
                      <w:divBdr>
                        <w:top w:val="none" w:sz="0" w:space="0" w:color="auto"/>
                        <w:left w:val="none" w:sz="0" w:space="0" w:color="auto"/>
                        <w:bottom w:val="none" w:sz="0" w:space="0" w:color="auto"/>
                        <w:right w:val="none" w:sz="0" w:space="0" w:color="auto"/>
                      </w:divBdr>
                      <w:divsChild>
                        <w:div w:id="1776947367">
                          <w:marLeft w:val="0"/>
                          <w:marRight w:val="0"/>
                          <w:marTop w:val="0"/>
                          <w:marBottom w:val="0"/>
                          <w:divBdr>
                            <w:top w:val="none" w:sz="0" w:space="0" w:color="auto"/>
                            <w:left w:val="none" w:sz="0" w:space="0" w:color="auto"/>
                            <w:bottom w:val="none" w:sz="0" w:space="0" w:color="auto"/>
                            <w:right w:val="none" w:sz="0" w:space="0" w:color="auto"/>
                          </w:divBdr>
                          <w:divsChild>
                            <w:div w:id="1094745139">
                              <w:marLeft w:val="0"/>
                              <w:marRight w:val="0"/>
                              <w:marTop w:val="0"/>
                              <w:marBottom w:val="0"/>
                              <w:divBdr>
                                <w:top w:val="none" w:sz="0" w:space="0" w:color="auto"/>
                                <w:left w:val="none" w:sz="0" w:space="0" w:color="auto"/>
                                <w:bottom w:val="none" w:sz="0" w:space="0" w:color="auto"/>
                                <w:right w:val="none" w:sz="0" w:space="0" w:color="auto"/>
                              </w:divBdr>
                              <w:divsChild>
                                <w:div w:id="1386950541">
                                  <w:marLeft w:val="0"/>
                                  <w:marRight w:val="0"/>
                                  <w:marTop w:val="0"/>
                                  <w:marBottom w:val="0"/>
                                  <w:divBdr>
                                    <w:top w:val="none" w:sz="0" w:space="0" w:color="auto"/>
                                    <w:left w:val="none" w:sz="0" w:space="0" w:color="auto"/>
                                    <w:bottom w:val="none" w:sz="0" w:space="0" w:color="auto"/>
                                    <w:right w:val="none" w:sz="0" w:space="0" w:color="auto"/>
                                  </w:divBdr>
                                  <w:divsChild>
                                    <w:div w:id="909190552">
                                      <w:marLeft w:val="0"/>
                                      <w:marRight w:val="0"/>
                                      <w:marTop w:val="0"/>
                                      <w:marBottom w:val="0"/>
                                      <w:divBdr>
                                        <w:top w:val="none" w:sz="0" w:space="0" w:color="auto"/>
                                        <w:left w:val="none" w:sz="0" w:space="0" w:color="auto"/>
                                        <w:bottom w:val="none" w:sz="0" w:space="0" w:color="auto"/>
                                        <w:right w:val="none" w:sz="0" w:space="0" w:color="auto"/>
                                      </w:divBdr>
                                      <w:divsChild>
                                        <w:div w:id="1240948347">
                                          <w:marLeft w:val="0"/>
                                          <w:marRight w:val="0"/>
                                          <w:marTop w:val="0"/>
                                          <w:marBottom w:val="0"/>
                                          <w:divBdr>
                                            <w:top w:val="none" w:sz="0" w:space="0" w:color="auto"/>
                                            <w:left w:val="single" w:sz="6" w:space="0" w:color="999999"/>
                                            <w:bottom w:val="none" w:sz="0" w:space="0" w:color="auto"/>
                                            <w:right w:val="none" w:sz="0" w:space="0" w:color="auto"/>
                                          </w:divBdr>
                                          <w:divsChild>
                                            <w:div w:id="1493645781">
                                              <w:marLeft w:val="0"/>
                                              <w:marRight w:val="0"/>
                                              <w:marTop w:val="150"/>
                                              <w:marBottom w:val="150"/>
                                              <w:divBdr>
                                                <w:top w:val="none" w:sz="0" w:space="0" w:color="auto"/>
                                                <w:left w:val="none" w:sz="0" w:space="0" w:color="auto"/>
                                                <w:bottom w:val="none" w:sz="0" w:space="0" w:color="auto"/>
                                                <w:right w:val="none" w:sz="0" w:space="0" w:color="auto"/>
                                              </w:divBdr>
                                              <w:divsChild>
                                                <w:div w:id="1583299050">
                                                  <w:marLeft w:val="0"/>
                                                  <w:marRight w:val="0"/>
                                                  <w:marTop w:val="0"/>
                                                  <w:marBottom w:val="0"/>
                                                  <w:divBdr>
                                                    <w:top w:val="none" w:sz="0" w:space="0" w:color="auto"/>
                                                    <w:left w:val="none" w:sz="0" w:space="0" w:color="auto"/>
                                                    <w:bottom w:val="none" w:sz="0" w:space="0" w:color="auto"/>
                                                    <w:right w:val="none" w:sz="0" w:space="0" w:color="auto"/>
                                                  </w:divBdr>
                                                  <w:divsChild>
                                                    <w:div w:id="172039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0779221">
      <w:bodyDiv w:val="1"/>
      <w:marLeft w:val="0"/>
      <w:marRight w:val="0"/>
      <w:marTop w:val="0"/>
      <w:marBottom w:val="0"/>
      <w:divBdr>
        <w:top w:val="none" w:sz="0" w:space="0" w:color="auto"/>
        <w:left w:val="none" w:sz="0" w:space="0" w:color="auto"/>
        <w:bottom w:val="none" w:sz="0" w:space="0" w:color="auto"/>
        <w:right w:val="none" w:sz="0" w:space="0" w:color="auto"/>
      </w:divBdr>
      <w:divsChild>
        <w:div w:id="1359429396">
          <w:marLeft w:val="0"/>
          <w:marRight w:val="0"/>
          <w:marTop w:val="0"/>
          <w:marBottom w:val="0"/>
          <w:divBdr>
            <w:top w:val="none" w:sz="0" w:space="0" w:color="auto"/>
            <w:left w:val="none" w:sz="0" w:space="0" w:color="auto"/>
            <w:bottom w:val="none" w:sz="0" w:space="0" w:color="auto"/>
            <w:right w:val="none" w:sz="0" w:space="0" w:color="auto"/>
          </w:divBdr>
          <w:divsChild>
            <w:div w:id="400177241">
              <w:marLeft w:val="0"/>
              <w:marRight w:val="0"/>
              <w:marTop w:val="0"/>
              <w:marBottom w:val="0"/>
              <w:divBdr>
                <w:top w:val="none" w:sz="0" w:space="0" w:color="auto"/>
                <w:left w:val="none" w:sz="0" w:space="0" w:color="auto"/>
                <w:bottom w:val="none" w:sz="0" w:space="0" w:color="auto"/>
                <w:right w:val="none" w:sz="0" w:space="0" w:color="auto"/>
              </w:divBdr>
              <w:divsChild>
                <w:div w:id="1978873563">
                  <w:marLeft w:val="0"/>
                  <w:marRight w:val="0"/>
                  <w:marTop w:val="0"/>
                  <w:marBottom w:val="0"/>
                  <w:divBdr>
                    <w:top w:val="none" w:sz="0" w:space="0" w:color="auto"/>
                    <w:left w:val="none" w:sz="0" w:space="0" w:color="auto"/>
                    <w:bottom w:val="none" w:sz="0" w:space="0" w:color="auto"/>
                    <w:right w:val="none" w:sz="0" w:space="0" w:color="auto"/>
                  </w:divBdr>
                  <w:divsChild>
                    <w:div w:id="940838305">
                      <w:marLeft w:val="0"/>
                      <w:marRight w:val="0"/>
                      <w:marTop w:val="0"/>
                      <w:marBottom w:val="0"/>
                      <w:divBdr>
                        <w:top w:val="none" w:sz="0" w:space="0" w:color="auto"/>
                        <w:left w:val="none" w:sz="0" w:space="0" w:color="auto"/>
                        <w:bottom w:val="none" w:sz="0" w:space="0" w:color="auto"/>
                        <w:right w:val="none" w:sz="0" w:space="0" w:color="auto"/>
                      </w:divBdr>
                      <w:divsChild>
                        <w:div w:id="1099373691">
                          <w:marLeft w:val="0"/>
                          <w:marRight w:val="0"/>
                          <w:marTop w:val="0"/>
                          <w:marBottom w:val="0"/>
                          <w:divBdr>
                            <w:top w:val="none" w:sz="0" w:space="0" w:color="auto"/>
                            <w:left w:val="none" w:sz="0" w:space="0" w:color="auto"/>
                            <w:bottom w:val="none" w:sz="0" w:space="0" w:color="auto"/>
                            <w:right w:val="none" w:sz="0" w:space="0" w:color="auto"/>
                          </w:divBdr>
                          <w:divsChild>
                            <w:div w:id="953561930">
                              <w:marLeft w:val="0"/>
                              <w:marRight w:val="0"/>
                              <w:marTop w:val="0"/>
                              <w:marBottom w:val="0"/>
                              <w:divBdr>
                                <w:top w:val="none" w:sz="0" w:space="0" w:color="auto"/>
                                <w:left w:val="none" w:sz="0" w:space="0" w:color="auto"/>
                                <w:bottom w:val="none" w:sz="0" w:space="0" w:color="auto"/>
                                <w:right w:val="none" w:sz="0" w:space="0" w:color="auto"/>
                              </w:divBdr>
                              <w:divsChild>
                                <w:div w:id="2036417485">
                                  <w:marLeft w:val="0"/>
                                  <w:marRight w:val="0"/>
                                  <w:marTop w:val="0"/>
                                  <w:marBottom w:val="0"/>
                                  <w:divBdr>
                                    <w:top w:val="none" w:sz="0" w:space="0" w:color="auto"/>
                                    <w:left w:val="none" w:sz="0" w:space="0" w:color="auto"/>
                                    <w:bottom w:val="none" w:sz="0" w:space="0" w:color="auto"/>
                                    <w:right w:val="none" w:sz="0" w:space="0" w:color="auto"/>
                                  </w:divBdr>
                                  <w:divsChild>
                                    <w:div w:id="357049533">
                                      <w:marLeft w:val="0"/>
                                      <w:marRight w:val="0"/>
                                      <w:marTop w:val="0"/>
                                      <w:marBottom w:val="0"/>
                                      <w:divBdr>
                                        <w:top w:val="none" w:sz="0" w:space="0" w:color="auto"/>
                                        <w:left w:val="none" w:sz="0" w:space="0" w:color="auto"/>
                                        <w:bottom w:val="none" w:sz="0" w:space="0" w:color="auto"/>
                                        <w:right w:val="none" w:sz="0" w:space="0" w:color="auto"/>
                                      </w:divBdr>
                                      <w:divsChild>
                                        <w:div w:id="60758151">
                                          <w:marLeft w:val="0"/>
                                          <w:marRight w:val="0"/>
                                          <w:marTop w:val="0"/>
                                          <w:marBottom w:val="0"/>
                                          <w:divBdr>
                                            <w:top w:val="none" w:sz="0" w:space="0" w:color="auto"/>
                                            <w:left w:val="single" w:sz="6" w:space="0" w:color="999999"/>
                                            <w:bottom w:val="none" w:sz="0" w:space="0" w:color="auto"/>
                                            <w:right w:val="none" w:sz="0" w:space="0" w:color="auto"/>
                                          </w:divBdr>
                                          <w:divsChild>
                                            <w:div w:id="889614514">
                                              <w:marLeft w:val="0"/>
                                              <w:marRight w:val="0"/>
                                              <w:marTop w:val="150"/>
                                              <w:marBottom w:val="150"/>
                                              <w:divBdr>
                                                <w:top w:val="none" w:sz="0" w:space="0" w:color="auto"/>
                                                <w:left w:val="none" w:sz="0" w:space="0" w:color="auto"/>
                                                <w:bottom w:val="none" w:sz="0" w:space="0" w:color="auto"/>
                                                <w:right w:val="none" w:sz="0" w:space="0" w:color="auto"/>
                                              </w:divBdr>
                                              <w:divsChild>
                                                <w:div w:id="751052297">
                                                  <w:marLeft w:val="0"/>
                                                  <w:marRight w:val="0"/>
                                                  <w:marTop w:val="0"/>
                                                  <w:marBottom w:val="0"/>
                                                  <w:divBdr>
                                                    <w:top w:val="none" w:sz="0" w:space="0" w:color="auto"/>
                                                    <w:left w:val="none" w:sz="0" w:space="0" w:color="auto"/>
                                                    <w:bottom w:val="none" w:sz="0" w:space="0" w:color="auto"/>
                                                    <w:right w:val="none" w:sz="0" w:space="0" w:color="auto"/>
                                                  </w:divBdr>
                                                  <w:divsChild>
                                                    <w:div w:id="15419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3335277">
      <w:bodyDiv w:val="1"/>
      <w:marLeft w:val="0"/>
      <w:marRight w:val="0"/>
      <w:marTop w:val="0"/>
      <w:marBottom w:val="0"/>
      <w:divBdr>
        <w:top w:val="none" w:sz="0" w:space="0" w:color="auto"/>
        <w:left w:val="none" w:sz="0" w:space="0" w:color="auto"/>
        <w:bottom w:val="none" w:sz="0" w:space="0" w:color="auto"/>
        <w:right w:val="none" w:sz="0" w:space="0" w:color="auto"/>
      </w:divBdr>
      <w:divsChild>
        <w:div w:id="320356747">
          <w:marLeft w:val="0"/>
          <w:marRight w:val="0"/>
          <w:marTop w:val="0"/>
          <w:marBottom w:val="0"/>
          <w:divBdr>
            <w:top w:val="none" w:sz="0" w:space="0" w:color="auto"/>
            <w:left w:val="none" w:sz="0" w:space="0" w:color="auto"/>
            <w:bottom w:val="none" w:sz="0" w:space="0" w:color="auto"/>
            <w:right w:val="none" w:sz="0" w:space="0" w:color="auto"/>
          </w:divBdr>
          <w:divsChild>
            <w:div w:id="1505172656">
              <w:marLeft w:val="0"/>
              <w:marRight w:val="0"/>
              <w:marTop w:val="0"/>
              <w:marBottom w:val="0"/>
              <w:divBdr>
                <w:top w:val="none" w:sz="0" w:space="0" w:color="auto"/>
                <w:left w:val="none" w:sz="0" w:space="0" w:color="auto"/>
                <w:bottom w:val="none" w:sz="0" w:space="0" w:color="auto"/>
                <w:right w:val="none" w:sz="0" w:space="0" w:color="auto"/>
              </w:divBdr>
              <w:divsChild>
                <w:div w:id="1836873842">
                  <w:marLeft w:val="0"/>
                  <w:marRight w:val="0"/>
                  <w:marTop w:val="0"/>
                  <w:marBottom w:val="0"/>
                  <w:divBdr>
                    <w:top w:val="none" w:sz="0" w:space="0" w:color="auto"/>
                    <w:left w:val="none" w:sz="0" w:space="0" w:color="auto"/>
                    <w:bottom w:val="none" w:sz="0" w:space="0" w:color="auto"/>
                    <w:right w:val="none" w:sz="0" w:space="0" w:color="auto"/>
                  </w:divBdr>
                  <w:divsChild>
                    <w:div w:id="772095647">
                      <w:marLeft w:val="0"/>
                      <w:marRight w:val="0"/>
                      <w:marTop w:val="0"/>
                      <w:marBottom w:val="0"/>
                      <w:divBdr>
                        <w:top w:val="none" w:sz="0" w:space="0" w:color="auto"/>
                        <w:left w:val="none" w:sz="0" w:space="0" w:color="auto"/>
                        <w:bottom w:val="none" w:sz="0" w:space="0" w:color="auto"/>
                        <w:right w:val="none" w:sz="0" w:space="0" w:color="auto"/>
                      </w:divBdr>
                      <w:divsChild>
                        <w:div w:id="1930772449">
                          <w:marLeft w:val="0"/>
                          <w:marRight w:val="0"/>
                          <w:marTop w:val="0"/>
                          <w:marBottom w:val="0"/>
                          <w:divBdr>
                            <w:top w:val="none" w:sz="0" w:space="0" w:color="auto"/>
                            <w:left w:val="none" w:sz="0" w:space="0" w:color="auto"/>
                            <w:bottom w:val="none" w:sz="0" w:space="0" w:color="auto"/>
                            <w:right w:val="none" w:sz="0" w:space="0" w:color="auto"/>
                          </w:divBdr>
                          <w:divsChild>
                            <w:div w:id="2146308267">
                              <w:marLeft w:val="0"/>
                              <w:marRight w:val="0"/>
                              <w:marTop w:val="0"/>
                              <w:marBottom w:val="0"/>
                              <w:divBdr>
                                <w:top w:val="none" w:sz="0" w:space="0" w:color="auto"/>
                                <w:left w:val="none" w:sz="0" w:space="0" w:color="auto"/>
                                <w:bottom w:val="none" w:sz="0" w:space="0" w:color="auto"/>
                                <w:right w:val="none" w:sz="0" w:space="0" w:color="auto"/>
                              </w:divBdr>
                              <w:divsChild>
                                <w:div w:id="1989241763">
                                  <w:marLeft w:val="0"/>
                                  <w:marRight w:val="0"/>
                                  <w:marTop w:val="0"/>
                                  <w:marBottom w:val="0"/>
                                  <w:divBdr>
                                    <w:top w:val="none" w:sz="0" w:space="0" w:color="auto"/>
                                    <w:left w:val="none" w:sz="0" w:space="0" w:color="auto"/>
                                    <w:bottom w:val="none" w:sz="0" w:space="0" w:color="auto"/>
                                    <w:right w:val="none" w:sz="0" w:space="0" w:color="auto"/>
                                  </w:divBdr>
                                  <w:divsChild>
                                    <w:div w:id="213320197">
                                      <w:marLeft w:val="0"/>
                                      <w:marRight w:val="0"/>
                                      <w:marTop w:val="0"/>
                                      <w:marBottom w:val="0"/>
                                      <w:divBdr>
                                        <w:top w:val="none" w:sz="0" w:space="0" w:color="auto"/>
                                        <w:left w:val="none" w:sz="0" w:space="0" w:color="auto"/>
                                        <w:bottom w:val="none" w:sz="0" w:space="0" w:color="auto"/>
                                        <w:right w:val="none" w:sz="0" w:space="0" w:color="auto"/>
                                      </w:divBdr>
                                      <w:divsChild>
                                        <w:div w:id="1638871547">
                                          <w:marLeft w:val="0"/>
                                          <w:marRight w:val="0"/>
                                          <w:marTop w:val="0"/>
                                          <w:marBottom w:val="0"/>
                                          <w:divBdr>
                                            <w:top w:val="none" w:sz="0" w:space="0" w:color="auto"/>
                                            <w:left w:val="single" w:sz="6" w:space="0" w:color="999999"/>
                                            <w:bottom w:val="none" w:sz="0" w:space="0" w:color="auto"/>
                                            <w:right w:val="none" w:sz="0" w:space="0" w:color="auto"/>
                                          </w:divBdr>
                                          <w:divsChild>
                                            <w:div w:id="676468173">
                                              <w:marLeft w:val="0"/>
                                              <w:marRight w:val="0"/>
                                              <w:marTop w:val="150"/>
                                              <w:marBottom w:val="150"/>
                                              <w:divBdr>
                                                <w:top w:val="none" w:sz="0" w:space="0" w:color="auto"/>
                                                <w:left w:val="none" w:sz="0" w:space="0" w:color="auto"/>
                                                <w:bottom w:val="none" w:sz="0" w:space="0" w:color="auto"/>
                                                <w:right w:val="none" w:sz="0" w:space="0" w:color="auto"/>
                                              </w:divBdr>
                                              <w:divsChild>
                                                <w:div w:id="529727662">
                                                  <w:marLeft w:val="0"/>
                                                  <w:marRight w:val="0"/>
                                                  <w:marTop w:val="0"/>
                                                  <w:marBottom w:val="0"/>
                                                  <w:divBdr>
                                                    <w:top w:val="none" w:sz="0" w:space="0" w:color="auto"/>
                                                    <w:left w:val="none" w:sz="0" w:space="0" w:color="auto"/>
                                                    <w:bottom w:val="none" w:sz="0" w:space="0" w:color="auto"/>
                                                    <w:right w:val="none" w:sz="0" w:space="0" w:color="auto"/>
                                                  </w:divBdr>
                                                  <w:divsChild>
                                                    <w:div w:id="19441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2774638">
      <w:bodyDiv w:val="1"/>
      <w:marLeft w:val="0"/>
      <w:marRight w:val="0"/>
      <w:marTop w:val="0"/>
      <w:marBottom w:val="0"/>
      <w:divBdr>
        <w:top w:val="none" w:sz="0" w:space="0" w:color="auto"/>
        <w:left w:val="none" w:sz="0" w:space="0" w:color="auto"/>
        <w:bottom w:val="none" w:sz="0" w:space="0" w:color="auto"/>
        <w:right w:val="none" w:sz="0" w:space="0" w:color="auto"/>
      </w:divBdr>
      <w:divsChild>
        <w:div w:id="1846552719">
          <w:marLeft w:val="0"/>
          <w:marRight w:val="0"/>
          <w:marTop w:val="0"/>
          <w:marBottom w:val="0"/>
          <w:divBdr>
            <w:top w:val="none" w:sz="0" w:space="0" w:color="auto"/>
            <w:left w:val="none" w:sz="0" w:space="0" w:color="auto"/>
            <w:bottom w:val="none" w:sz="0" w:space="0" w:color="auto"/>
            <w:right w:val="none" w:sz="0" w:space="0" w:color="auto"/>
          </w:divBdr>
          <w:divsChild>
            <w:div w:id="603921690">
              <w:marLeft w:val="0"/>
              <w:marRight w:val="0"/>
              <w:marTop w:val="0"/>
              <w:marBottom w:val="0"/>
              <w:divBdr>
                <w:top w:val="none" w:sz="0" w:space="0" w:color="auto"/>
                <w:left w:val="none" w:sz="0" w:space="0" w:color="auto"/>
                <w:bottom w:val="none" w:sz="0" w:space="0" w:color="auto"/>
                <w:right w:val="none" w:sz="0" w:space="0" w:color="auto"/>
              </w:divBdr>
              <w:divsChild>
                <w:div w:id="1098407960">
                  <w:marLeft w:val="0"/>
                  <w:marRight w:val="0"/>
                  <w:marTop w:val="0"/>
                  <w:marBottom w:val="0"/>
                  <w:divBdr>
                    <w:top w:val="none" w:sz="0" w:space="0" w:color="auto"/>
                    <w:left w:val="none" w:sz="0" w:space="0" w:color="auto"/>
                    <w:bottom w:val="none" w:sz="0" w:space="0" w:color="auto"/>
                    <w:right w:val="none" w:sz="0" w:space="0" w:color="auto"/>
                  </w:divBdr>
                  <w:divsChild>
                    <w:div w:id="2137093820">
                      <w:marLeft w:val="0"/>
                      <w:marRight w:val="0"/>
                      <w:marTop w:val="0"/>
                      <w:marBottom w:val="0"/>
                      <w:divBdr>
                        <w:top w:val="none" w:sz="0" w:space="0" w:color="auto"/>
                        <w:left w:val="none" w:sz="0" w:space="0" w:color="auto"/>
                        <w:bottom w:val="none" w:sz="0" w:space="0" w:color="auto"/>
                        <w:right w:val="none" w:sz="0" w:space="0" w:color="auto"/>
                      </w:divBdr>
                      <w:divsChild>
                        <w:div w:id="1604650274">
                          <w:marLeft w:val="0"/>
                          <w:marRight w:val="0"/>
                          <w:marTop w:val="0"/>
                          <w:marBottom w:val="0"/>
                          <w:divBdr>
                            <w:top w:val="none" w:sz="0" w:space="0" w:color="auto"/>
                            <w:left w:val="none" w:sz="0" w:space="0" w:color="auto"/>
                            <w:bottom w:val="none" w:sz="0" w:space="0" w:color="auto"/>
                            <w:right w:val="none" w:sz="0" w:space="0" w:color="auto"/>
                          </w:divBdr>
                          <w:divsChild>
                            <w:div w:id="189955020">
                              <w:marLeft w:val="0"/>
                              <w:marRight w:val="0"/>
                              <w:marTop w:val="0"/>
                              <w:marBottom w:val="0"/>
                              <w:divBdr>
                                <w:top w:val="none" w:sz="0" w:space="0" w:color="auto"/>
                                <w:left w:val="none" w:sz="0" w:space="0" w:color="auto"/>
                                <w:bottom w:val="none" w:sz="0" w:space="0" w:color="auto"/>
                                <w:right w:val="none" w:sz="0" w:space="0" w:color="auto"/>
                              </w:divBdr>
                              <w:divsChild>
                                <w:div w:id="224532575">
                                  <w:marLeft w:val="0"/>
                                  <w:marRight w:val="0"/>
                                  <w:marTop w:val="0"/>
                                  <w:marBottom w:val="0"/>
                                  <w:divBdr>
                                    <w:top w:val="none" w:sz="0" w:space="0" w:color="auto"/>
                                    <w:left w:val="none" w:sz="0" w:space="0" w:color="auto"/>
                                    <w:bottom w:val="none" w:sz="0" w:space="0" w:color="auto"/>
                                    <w:right w:val="none" w:sz="0" w:space="0" w:color="auto"/>
                                  </w:divBdr>
                                  <w:divsChild>
                                    <w:div w:id="1243955642">
                                      <w:marLeft w:val="0"/>
                                      <w:marRight w:val="0"/>
                                      <w:marTop w:val="0"/>
                                      <w:marBottom w:val="0"/>
                                      <w:divBdr>
                                        <w:top w:val="none" w:sz="0" w:space="0" w:color="auto"/>
                                        <w:left w:val="none" w:sz="0" w:space="0" w:color="auto"/>
                                        <w:bottom w:val="none" w:sz="0" w:space="0" w:color="auto"/>
                                        <w:right w:val="none" w:sz="0" w:space="0" w:color="auto"/>
                                      </w:divBdr>
                                      <w:divsChild>
                                        <w:div w:id="355888591">
                                          <w:marLeft w:val="0"/>
                                          <w:marRight w:val="0"/>
                                          <w:marTop w:val="0"/>
                                          <w:marBottom w:val="0"/>
                                          <w:divBdr>
                                            <w:top w:val="none" w:sz="0" w:space="0" w:color="auto"/>
                                            <w:left w:val="single" w:sz="6" w:space="0" w:color="999999"/>
                                            <w:bottom w:val="none" w:sz="0" w:space="0" w:color="auto"/>
                                            <w:right w:val="none" w:sz="0" w:space="0" w:color="auto"/>
                                          </w:divBdr>
                                          <w:divsChild>
                                            <w:div w:id="117993123">
                                              <w:marLeft w:val="0"/>
                                              <w:marRight w:val="0"/>
                                              <w:marTop w:val="150"/>
                                              <w:marBottom w:val="150"/>
                                              <w:divBdr>
                                                <w:top w:val="none" w:sz="0" w:space="0" w:color="auto"/>
                                                <w:left w:val="none" w:sz="0" w:space="0" w:color="auto"/>
                                                <w:bottom w:val="none" w:sz="0" w:space="0" w:color="auto"/>
                                                <w:right w:val="none" w:sz="0" w:space="0" w:color="auto"/>
                                              </w:divBdr>
                                              <w:divsChild>
                                                <w:div w:id="1896699370">
                                                  <w:marLeft w:val="0"/>
                                                  <w:marRight w:val="0"/>
                                                  <w:marTop w:val="0"/>
                                                  <w:marBottom w:val="0"/>
                                                  <w:divBdr>
                                                    <w:top w:val="none" w:sz="0" w:space="0" w:color="auto"/>
                                                    <w:left w:val="none" w:sz="0" w:space="0" w:color="auto"/>
                                                    <w:bottom w:val="none" w:sz="0" w:space="0" w:color="auto"/>
                                                    <w:right w:val="none" w:sz="0" w:space="0" w:color="auto"/>
                                                  </w:divBdr>
                                                  <w:divsChild>
                                                    <w:div w:id="111039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0524632">
      <w:bodyDiv w:val="1"/>
      <w:marLeft w:val="0"/>
      <w:marRight w:val="0"/>
      <w:marTop w:val="0"/>
      <w:marBottom w:val="0"/>
      <w:divBdr>
        <w:top w:val="none" w:sz="0" w:space="0" w:color="auto"/>
        <w:left w:val="none" w:sz="0" w:space="0" w:color="auto"/>
        <w:bottom w:val="none" w:sz="0" w:space="0" w:color="auto"/>
        <w:right w:val="none" w:sz="0" w:space="0" w:color="auto"/>
      </w:divBdr>
      <w:divsChild>
        <w:div w:id="805316395">
          <w:marLeft w:val="0"/>
          <w:marRight w:val="0"/>
          <w:marTop w:val="0"/>
          <w:marBottom w:val="0"/>
          <w:divBdr>
            <w:top w:val="none" w:sz="0" w:space="0" w:color="auto"/>
            <w:left w:val="none" w:sz="0" w:space="0" w:color="auto"/>
            <w:bottom w:val="none" w:sz="0" w:space="0" w:color="auto"/>
            <w:right w:val="none" w:sz="0" w:space="0" w:color="auto"/>
          </w:divBdr>
          <w:divsChild>
            <w:div w:id="1566336459">
              <w:marLeft w:val="0"/>
              <w:marRight w:val="0"/>
              <w:marTop w:val="0"/>
              <w:marBottom w:val="0"/>
              <w:divBdr>
                <w:top w:val="none" w:sz="0" w:space="0" w:color="auto"/>
                <w:left w:val="none" w:sz="0" w:space="0" w:color="auto"/>
                <w:bottom w:val="none" w:sz="0" w:space="0" w:color="auto"/>
                <w:right w:val="none" w:sz="0" w:space="0" w:color="auto"/>
              </w:divBdr>
              <w:divsChild>
                <w:div w:id="1970012533">
                  <w:marLeft w:val="0"/>
                  <w:marRight w:val="0"/>
                  <w:marTop w:val="0"/>
                  <w:marBottom w:val="0"/>
                  <w:divBdr>
                    <w:top w:val="none" w:sz="0" w:space="0" w:color="auto"/>
                    <w:left w:val="none" w:sz="0" w:space="0" w:color="auto"/>
                    <w:bottom w:val="none" w:sz="0" w:space="0" w:color="auto"/>
                    <w:right w:val="none" w:sz="0" w:space="0" w:color="auto"/>
                  </w:divBdr>
                  <w:divsChild>
                    <w:div w:id="824593473">
                      <w:marLeft w:val="0"/>
                      <w:marRight w:val="0"/>
                      <w:marTop w:val="0"/>
                      <w:marBottom w:val="0"/>
                      <w:divBdr>
                        <w:top w:val="none" w:sz="0" w:space="0" w:color="auto"/>
                        <w:left w:val="none" w:sz="0" w:space="0" w:color="auto"/>
                        <w:bottom w:val="none" w:sz="0" w:space="0" w:color="auto"/>
                        <w:right w:val="none" w:sz="0" w:space="0" w:color="auto"/>
                      </w:divBdr>
                      <w:divsChild>
                        <w:div w:id="145174229">
                          <w:marLeft w:val="0"/>
                          <w:marRight w:val="0"/>
                          <w:marTop w:val="0"/>
                          <w:marBottom w:val="0"/>
                          <w:divBdr>
                            <w:top w:val="none" w:sz="0" w:space="0" w:color="auto"/>
                            <w:left w:val="none" w:sz="0" w:space="0" w:color="auto"/>
                            <w:bottom w:val="none" w:sz="0" w:space="0" w:color="auto"/>
                            <w:right w:val="none" w:sz="0" w:space="0" w:color="auto"/>
                          </w:divBdr>
                          <w:divsChild>
                            <w:div w:id="1424373010">
                              <w:marLeft w:val="0"/>
                              <w:marRight w:val="0"/>
                              <w:marTop w:val="0"/>
                              <w:marBottom w:val="0"/>
                              <w:divBdr>
                                <w:top w:val="none" w:sz="0" w:space="0" w:color="auto"/>
                                <w:left w:val="none" w:sz="0" w:space="0" w:color="auto"/>
                                <w:bottom w:val="none" w:sz="0" w:space="0" w:color="auto"/>
                                <w:right w:val="none" w:sz="0" w:space="0" w:color="auto"/>
                              </w:divBdr>
                              <w:divsChild>
                                <w:div w:id="492572905">
                                  <w:marLeft w:val="0"/>
                                  <w:marRight w:val="0"/>
                                  <w:marTop w:val="0"/>
                                  <w:marBottom w:val="0"/>
                                  <w:divBdr>
                                    <w:top w:val="none" w:sz="0" w:space="0" w:color="auto"/>
                                    <w:left w:val="none" w:sz="0" w:space="0" w:color="auto"/>
                                    <w:bottom w:val="none" w:sz="0" w:space="0" w:color="auto"/>
                                    <w:right w:val="none" w:sz="0" w:space="0" w:color="auto"/>
                                  </w:divBdr>
                                  <w:divsChild>
                                    <w:div w:id="61562690">
                                      <w:marLeft w:val="0"/>
                                      <w:marRight w:val="0"/>
                                      <w:marTop w:val="0"/>
                                      <w:marBottom w:val="0"/>
                                      <w:divBdr>
                                        <w:top w:val="none" w:sz="0" w:space="0" w:color="auto"/>
                                        <w:left w:val="none" w:sz="0" w:space="0" w:color="auto"/>
                                        <w:bottom w:val="none" w:sz="0" w:space="0" w:color="auto"/>
                                        <w:right w:val="none" w:sz="0" w:space="0" w:color="auto"/>
                                      </w:divBdr>
                                      <w:divsChild>
                                        <w:div w:id="755323843">
                                          <w:marLeft w:val="0"/>
                                          <w:marRight w:val="0"/>
                                          <w:marTop w:val="0"/>
                                          <w:marBottom w:val="0"/>
                                          <w:divBdr>
                                            <w:top w:val="none" w:sz="0" w:space="0" w:color="auto"/>
                                            <w:left w:val="single" w:sz="6" w:space="0" w:color="999999"/>
                                            <w:bottom w:val="none" w:sz="0" w:space="0" w:color="auto"/>
                                            <w:right w:val="none" w:sz="0" w:space="0" w:color="auto"/>
                                          </w:divBdr>
                                          <w:divsChild>
                                            <w:div w:id="1327981296">
                                              <w:marLeft w:val="0"/>
                                              <w:marRight w:val="0"/>
                                              <w:marTop w:val="150"/>
                                              <w:marBottom w:val="150"/>
                                              <w:divBdr>
                                                <w:top w:val="none" w:sz="0" w:space="0" w:color="auto"/>
                                                <w:left w:val="none" w:sz="0" w:space="0" w:color="auto"/>
                                                <w:bottom w:val="none" w:sz="0" w:space="0" w:color="auto"/>
                                                <w:right w:val="none" w:sz="0" w:space="0" w:color="auto"/>
                                              </w:divBdr>
                                              <w:divsChild>
                                                <w:div w:id="2049719295">
                                                  <w:marLeft w:val="0"/>
                                                  <w:marRight w:val="0"/>
                                                  <w:marTop w:val="0"/>
                                                  <w:marBottom w:val="0"/>
                                                  <w:divBdr>
                                                    <w:top w:val="none" w:sz="0" w:space="0" w:color="auto"/>
                                                    <w:left w:val="none" w:sz="0" w:space="0" w:color="auto"/>
                                                    <w:bottom w:val="none" w:sz="0" w:space="0" w:color="auto"/>
                                                    <w:right w:val="none" w:sz="0" w:space="0" w:color="auto"/>
                                                  </w:divBdr>
                                                  <w:divsChild>
                                                    <w:div w:id="14648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0236600">
      <w:bodyDiv w:val="1"/>
      <w:marLeft w:val="60"/>
      <w:marRight w:val="60"/>
      <w:marTop w:val="60"/>
      <w:marBottom w:val="15"/>
      <w:divBdr>
        <w:top w:val="none" w:sz="0" w:space="0" w:color="auto"/>
        <w:left w:val="none" w:sz="0" w:space="0" w:color="auto"/>
        <w:bottom w:val="none" w:sz="0" w:space="0" w:color="auto"/>
        <w:right w:val="none" w:sz="0" w:space="0" w:color="auto"/>
      </w:divBdr>
    </w:div>
    <w:div w:id="670177677">
      <w:bodyDiv w:val="1"/>
      <w:marLeft w:val="0"/>
      <w:marRight w:val="0"/>
      <w:marTop w:val="0"/>
      <w:marBottom w:val="0"/>
      <w:divBdr>
        <w:top w:val="none" w:sz="0" w:space="0" w:color="auto"/>
        <w:left w:val="none" w:sz="0" w:space="0" w:color="auto"/>
        <w:bottom w:val="none" w:sz="0" w:space="0" w:color="auto"/>
        <w:right w:val="none" w:sz="0" w:space="0" w:color="auto"/>
      </w:divBdr>
      <w:divsChild>
        <w:div w:id="198397908">
          <w:marLeft w:val="0"/>
          <w:marRight w:val="0"/>
          <w:marTop w:val="0"/>
          <w:marBottom w:val="0"/>
          <w:divBdr>
            <w:top w:val="none" w:sz="0" w:space="0" w:color="auto"/>
            <w:left w:val="none" w:sz="0" w:space="0" w:color="auto"/>
            <w:bottom w:val="none" w:sz="0" w:space="0" w:color="auto"/>
            <w:right w:val="none" w:sz="0" w:space="0" w:color="auto"/>
          </w:divBdr>
          <w:divsChild>
            <w:div w:id="280646328">
              <w:marLeft w:val="0"/>
              <w:marRight w:val="0"/>
              <w:marTop w:val="0"/>
              <w:marBottom w:val="0"/>
              <w:divBdr>
                <w:top w:val="none" w:sz="0" w:space="0" w:color="auto"/>
                <w:left w:val="none" w:sz="0" w:space="0" w:color="auto"/>
                <w:bottom w:val="none" w:sz="0" w:space="0" w:color="auto"/>
                <w:right w:val="none" w:sz="0" w:space="0" w:color="auto"/>
              </w:divBdr>
              <w:divsChild>
                <w:div w:id="497044139">
                  <w:marLeft w:val="0"/>
                  <w:marRight w:val="0"/>
                  <w:marTop w:val="0"/>
                  <w:marBottom w:val="0"/>
                  <w:divBdr>
                    <w:top w:val="none" w:sz="0" w:space="0" w:color="auto"/>
                    <w:left w:val="none" w:sz="0" w:space="0" w:color="auto"/>
                    <w:bottom w:val="none" w:sz="0" w:space="0" w:color="auto"/>
                    <w:right w:val="none" w:sz="0" w:space="0" w:color="auto"/>
                  </w:divBdr>
                  <w:divsChild>
                    <w:div w:id="1473404435">
                      <w:marLeft w:val="0"/>
                      <w:marRight w:val="0"/>
                      <w:marTop w:val="0"/>
                      <w:marBottom w:val="0"/>
                      <w:divBdr>
                        <w:top w:val="none" w:sz="0" w:space="0" w:color="auto"/>
                        <w:left w:val="none" w:sz="0" w:space="0" w:color="auto"/>
                        <w:bottom w:val="none" w:sz="0" w:space="0" w:color="auto"/>
                        <w:right w:val="none" w:sz="0" w:space="0" w:color="auto"/>
                      </w:divBdr>
                      <w:divsChild>
                        <w:div w:id="562647061">
                          <w:marLeft w:val="0"/>
                          <w:marRight w:val="0"/>
                          <w:marTop w:val="0"/>
                          <w:marBottom w:val="0"/>
                          <w:divBdr>
                            <w:top w:val="none" w:sz="0" w:space="0" w:color="auto"/>
                            <w:left w:val="none" w:sz="0" w:space="0" w:color="auto"/>
                            <w:bottom w:val="none" w:sz="0" w:space="0" w:color="auto"/>
                            <w:right w:val="none" w:sz="0" w:space="0" w:color="auto"/>
                          </w:divBdr>
                          <w:divsChild>
                            <w:div w:id="2016297512">
                              <w:marLeft w:val="0"/>
                              <w:marRight w:val="0"/>
                              <w:marTop w:val="0"/>
                              <w:marBottom w:val="0"/>
                              <w:divBdr>
                                <w:top w:val="none" w:sz="0" w:space="0" w:color="auto"/>
                                <w:left w:val="none" w:sz="0" w:space="0" w:color="auto"/>
                                <w:bottom w:val="none" w:sz="0" w:space="0" w:color="auto"/>
                                <w:right w:val="none" w:sz="0" w:space="0" w:color="auto"/>
                              </w:divBdr>
                              <w:divsChild>
                                <w:div w:id="278336556">
                                  <w:marLeft w:val="0"/>
                                  <w:marRight w:val="0"/>
                                  <w:marTop w:val="0"/>
                                  <w:marBottom w:val="0"/>
                                  <w:divBdr>
                                    <w:top w:val="none" w:sz="0" w:space="0" w:color="auto"/>
                                    <w:left w:val="none" w:sz="0" w:space="0" w:color="auto"/>
                                    <w:bottom w:val="none" w:sz="0" w:space="0" w:color="auto"/>
                                    <w:right w:val="none" w:sz="0" w:space="0" w:color="auto"/>
                                  </w:divBdr>
                                  <w:divsChild>
                                    <w:div w:id="44066070">
                                      <w:marLeft w:val="0"/>
                                      <w:marRight w:val="0"/>
                                      <w:marTop w:val="0"/>
                                      <w:marBottom w:val="0"/>
                                      <w:divBdr>
                                        <w:top w:val="none" w:sz="0" w:space="0" w:color="auto"/>
                                        <w:left w:val="none" w:sz="0" w:space="0" w:color="auto"/>
                                        <w:bottom w:val="none" w:sz="0" w:space="0" w:color="auto"/>
                                        <w:right w:val="none" w:sz="0" w:space="0" w:color="auto"/>
                                      </w:divBdr>
                                      <w:divsChild>
                                        <w:div w:id="2010981402">
                                          <w:marLeft w:val="0"/>
                                          <w:marRight w:val="0"/>
                                          <w:marTop w:val="0"/>
                                          <w:marBottom w:val="0"/>
                                          <w:divBdr>
                                            <w:top w:val="none" w:sz="0" w:space="0" w:color="auto"/>
                                            <w:left w:val="single" w:sz="6" w:space="0" w:color="999999"/>
                                            <w:bottom w:val="none" w:sz="0" w:space="0" w:color="auto"/>
                                            <w:right w:val="none" w:sz="0" w:space="0" w:color="auto"/>
                                          </w:divBdr>
                                          <w:divsChild>
                                            <w:div w:id="363482944">
                                              <w:marLeft w:val="0"/>
                                              <w:marRight w:val="0"/>
                                              <w:marTop w:val="150"/>
                                              <w:marBottom w:val="150"/>
                                              <w:divBdr>
                                                <w:top w:val="none" w:sz="0" w:space="0" w:color="auto"/>
                                                <w:left w:val="none" w:sz="0" w:space="0" w:color="auto"/>
                                                <w:bottom w:val="none" w:sz="0" w:space="0" w:color="auto"/>
                                                <w:right w:val="none" w:sz="0" w:space="0" w:color="auto"/>
                                              </w:divBdr>
                                              <w:divsChild>
                                                <w:div w:id="1922063564">
                                                  <w:marLeft w:val="0"/>
                                                  <w:marRight w:val="0"/>
                                                  <w:marTop w:val="0"/>
                                                  <w:marBottom w:val="0"/>
                                                  <w:divBdr>
                                                    <w:top w:val="none" w:sz="0" w:space="0" w:color="auto"/>
                                                    <w:left w:val="none" w:sz="0" w:space="0" w:color="auto"/>
                                                    <w:bottom w:val="none" w:sz="0" w:space="0" w:color="auto"/>
                                                    <w:right w:val="none" w:sz="0" w:space="0" w:color="auto"/>
                                                  </w:divBdr>
                                                  <w:divsChild>
                                                    <w:div w:id="133938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9936175">
      <w:bodyDiv w:val="1"/>
      <w:marLeft w:val="0"/>
      <w:marRight w:val="0"/>
      <w:marTop w:val="0"/>
      <w:marBottom w:val="0"/>
      <w:divBdr>
        <w:top w:val="none" w:sz="0" w:space="0" w:color="auto"/>
        <w:left w:val="none" w:sz="0" w:space="0" w:color="auto"/>
        <w:bottom w:val="none" w:sz="0" w:space="0" w:color="auto"/>
        <w:right w:val="none" w:sz="0" w:space="0" w:color="auto"/>
      </w:divBdr>
      <w:divsChild>
        <w:div w:id="1861821730">
          <w:marLeft w:val="0"/>
          <w:marRight w:val="0"/>
          <w:marTop w:val="0"/>
          <w:marBottom w:val="0"/>
          <w:divBdr>
            <w:top w:val="none" w:sz="0" w:space="0" w:color="auto"/>
            <w:left w:val="none" w:sz="0" w:space="0" w:color="auto"/>
            <w:bottom w:val="none" w:sz="0" w:space="0" w:color="auto"/>
            <w:right w:val="none" w:sz="0" w:space="0" w:color="auto"/>
          </w:divBdr>
          <w:divsChild>
            <w:div w:id="1483617880">
              <w:marLeft w:val="0"/>
              <w:marRight w:val="0"/>
              <w:marTop w:val="0"/>
              <w:marBottom w:val="0"/>
              <w:divBdr>
                <w:top w:val="none" w:sz="0" w:space="0" w:color="auto"/>
                <w:left w:val="none" w:sz="0" w:space="0" w:color="auto"/>
                <w:bottom w:val="none" w:sz="0" w:space="0" w:color="auto"/>
                <w:right w:val="none" w:sz="0" w:space="0" w:color="auto"/>
              </w:divBdr>
              <w:divsChild>
                <w:div w:id="493683534">
                  <w:marLeft w:val="0"/>
                  <w:marRight w:val="0"/>
                  <w:marTop w:val="0"/>
                  <w:marBottom w:val="0"/>
                  <w:divBdr>
                    <w:top w:val="none" w:sz="0" w:space="0" w:color="auto"/>
                    <w:left w:val="none" w:sz="0" w:space="0" w:color="auto"/>
                    <w:bottom w:val="none" w:sz="0" w:space="0" w:color="auto"/>
                    <w:right w:val="none" w:sz="0" w:space="0" w:color="auto"/>
                  </w:divBdr>
                  <w:divsChild>
                    <w:div w:id="367265636">
                      <w:marLeft w:val="0"/>
                      <w:marRight w:val="0"/>
                      <w:marTop w:val="0"/>
                      <w:marBottom w:val="0"/>
                      <w:divBdr>
                        <w:top w:val="none" w:sz="0" w:space="0" w:color="auto"/>
                        <w:left w:val="none" w:sz="0" w:space="0" w:color="auto"/>
                        <w:bottom w:val="none" w:sz="0" w:space="0" w:color="auto"/>
                        <w:right w:val="none" w:sz="0" w:space="0" w:color="auto"/>
                      </w:divBdr>
                      <w:divsChild>
                        <w:div w:id="1574775705">
                          <w:marLeft w:val="0"/>
                          <w:marRight w:val="0"/>
                          <w:marTop w:val="0"/>
                          <w:marBottom w:val="0"/>
                          <w:divBdr>
                            <w:top w:val="none" w:sz="0" w:space="0" w:color="auto"/>
                            <w:left w:val="none" w:sz="0" w:space="0" w:color="auto"/>
                            <w:bottom w:val="none" w:sz="0" w:space="0" w:color="auto"/>
                            <w:right w:val="none" w:sz="0" w:space="0" w:color="auto"/>
                          </w:divBdr>
                          <w:divsChild>
                            <w:div w:id="426852996">
                              <w:marLeft w:val="0"/>
                              <w:marRight w:val="0"/>
                              <w:marTop w:val="0"/>
                              <w:marBottom w:val="0"/>
                              <w:divBdr>
                                <w:top w:val="none" w:sz="0" w:space="0" w:color="auto"/>
                                <w:left w:val="none" w:sz="0" w:space="0" w:color="auto"/>
                                <w:bottom w:val="none" w:sz="0" w:space="0" w:color="auto"/>
                                <w:right w:val="none" w:sz="0" w:space="0" w:color="auto"/>
                              </w:divBdr>
                              <w:divsChild>
                                <w:div w:id="2013215242">
                                  <w:marLeft w:val="0"/>
                                  <w:marRight w:val="0"/>
                                  <w:marTop w:val="0"/>
                                  <w:marBottom w:val="0"/>
                                  <w:divBdr>
                                    <w:top w:val="none" w:sz="0" w:space="0" w:color="auto"/>
                                    <w:left w:val="none" w:sz="0" w:space="0" w:color="auto"/>
                                    <w:bottom w:val="none" w:sz="0" w:space="0" w:color="auto"/>
                                    <w:right w:val="none" w:sz="0" w:space="0" w:color="auto"/>
                                  </w:divBdr>
                                  <w:divsChild>
                                    <w:div w:id="735590650">
                                      <w:marLeft w:val="0"/>
                                      <w:marRight w:val="0"/>
                                      <w:marTop w:val="0"/>
                                      <w:marBottom w:val="0"/>
                                      <w:divBdr>
                                        <w:top w:val="none" w:sz="0" w:space="0" w:color="auto"/>
                                        <w:left w:val="none" w:sz="0" w:space="0" w:color="auto"/>
                                        <w:bottom w:val="none" w:sz="0" w:space="0" w:color="auto"/>
                                        <w:right w:val="none" w:sz="0" w:space="0" w:color="auto"/>
                                      </w:divBdr>
                                      <w:divsChild>
                                        <w:div w:id="572394758">
                                          <w:marLeft w:val="0"/>
                                          <w:marRight w:val="0"/>
                                          <w:marTop w:val="0"/>
                                          <w:marBottom w:val="0"/>
                                          <w:divBdr>
                                            <w:top w:val="none" w:sz="0" w:space="0" w:color="auto"/>
                                            <w:left w:val="single" w:sz="6" w:space="0" w:color="999999"/>
                                            <w:bottom w:val="none" w:sz="0" w:space="0" w:color="auto"/>
                                            <w:right w:val="none" w:sz="0" w:space="0" w:color="auto"/>
                                          </w:divBdr>
                                          <w:divsChild>
                                            <w:div w:id="794830204">
                                              <w:marLeft w:val="0"/>
                                              <w:marRight w:val="0"/>
                                              <w:marTop w:val="150"/>
                                              <w:marBottom w:val="150"/>
                                              <w:divBdr>
                                                <w:top w:val="none" w:sz="0" w:space="0" w:color="auto"/>
                                                <w:left w:val="none" w:sz="0" w:space="0" w:color="auto"/>
                                                <w:bottom w:val="none" w:sz="0" w:space="0" w:color="auto"/>
                                                <w:right w:val="none" w:sz="0" w:space="0" w:color="auto"/>
                                              </w:divBdr>
                                              <w:divsChild>
                                                <w:div w:id="1329865425">
                                                  <w:marLeft w:val="0"/>
                                                  <w:marRight w:val="0"/>
                                                  <w:marTop w:val="0"/>
                                                  <w:marBottom w:val="0"/>
                                                  <w:divBdr>
                                                    <w:top w:val="none" w:sz="0" w:space="0" w:color="auto"/>
                                                    <w:left w:val="none" w:sz="0" w:space="0" w:color="auto"/>
                                                    <w:bottom w:val="none" w:sz="0" w:space="0" w:color="auto"/>
                                                    <w:right w:val="none" w:sz="0" w:space="0" w:color="auto"/>
                                                  </w:divBdr>
                                                  <w:divsChild>
                                                    <w:div w:id="16544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1908504">
      <w:bodyDiv w:val="1"/>
      <w:marLeft w:val="0"/>
      <w:marRight w:val="0"/>
      <w:marTop w:val="0"/>
      <w:marBottom w:val="0"/>
      <w:divBdr>
        <w:top w:val="none" w:sz="0" w:space="0" w:color="auto"/>
        <w:left w:val="none" w:sz="0" w:space="0" w:color="auto"/>
        <w:bottom w:val="none" w:sz="0" w:space="0" w:color="auto"/>
        <w:right w:val="none" w:sz="0" w:space="0" w:color="auto"/>
      </w:divBdr>
      <w:divsChild>
        <w:div w:id="893539966">
          <w:marLeft w:val="0"/>
          <w:marRight w:val="0"/>
          <w:marTop w:val="0"/>
          <w:marBottom w:val="0"/>
          <w:divBdr>
            <w:top w:val="none" w:sz="0" w:space="0" w:color="auto"/>
            <w:left w:val="none" w:sz="0" w:space="0" w:color="auto"/>
            <w:bottom w:val="none" w:sz="0" w:space="0" w:color="auto"/>
            <w:right w:val="none" w:sz="0" w:space="0" w:color="auto"/>
          </w:divBdr>
          <w:divsChild>
            <w:div w:id="1910263791">
              <w:marLeft w:val="0"/>
              <w:marRight w:val="0"/>
              <w:marTop w:val="0"/>
              <w:marBottom w:val="0"/>
              <w:divBdr>
                <w:top w:val="none" w:sz="0" w:space="0" w:color="auto"/>
                <w:left w:val="none" w:sz="0" w:space="0" w:color="auto"/>
                <w:bottom w:val="none" w:sz="0" w:space="0" w:color="auto"/>
                <w:right w:val="none" w:sz="0" w:space="0" w:color="auto"/>
              </w:divBdr>
              <w:divsChild>
                <w:div w:id="349600766">
                  <w:marLeft w:val="0"/>
                  <w:marRight w:val="0"/>
                  <w:marTop w:val="0"/>
                  <w:marBottom w:val="0"/>
                  <w:divBdr>
                    <w:top w:val="none" w:sz="0" w:space="0" w:color="auto"/>
                    <w:left w:val="none" w:sz="0" w:space="0" w:color="auto"/>
                    <w:bottom w:val="none" w:sz="0" w:space="0" w:color="auto"/>
                    <w:right w:val="none" w:sz="0" w:space="0" w:color="auto"/>
                  </w:divBdr>
                  <w:divsChild>
                    <w:div w:id="110829063">
                      <w:marLeft w:val="0"/>
                      <w:marRight w:val="0"/>
                      <w:marTop w:val="0"/>
                      <w:marBottom w:val="0"/>
                      <w:divBdr>
                        <w:top w:val="none" w:sz="0" w:space="0" w:color="auto"/>
                        <w:left w:val="none" w:sz="0" w:space="0" w:color="auto"/>
                        <w:bottom w:val="none" w:sz="0" w:space="0" w:color="auto"/>
                        <w:right w:val="none" w:sz="0" w:space="0" w:color="auto"/>
                      </w:divBdr>
                      <w:divsChild>
                        <w:div w:id="1675567330">
                          <w:marLeft w:val="0"/>
                          <w:marRight w:val="0"/>
                          <w:marTop w:val="0"/>
                          <w:marBottom w:val="0"/>
                          <w:divBdr>
                            <w:top w:val="none" w:sz="0" w:space="0" w:color="auto"/>
                            <w:left w:val="none" w:sz="0" w:space="0" w:color="auto"/>
                            <w:bottom w:val="none" w:sz="0" w:space="0" w:color="auto"/>
                            <w:right w:val="none" w:sz="0" w:space="0" w:color="auto"/>
                          </w:divBdr>
                          <w:divsChild>
                            <w:div w:id="593637425">
                              <w:marLeft w:val="0"/>
                              <w:marRight w:val="0"/>
                              <w:marTop w:val="0"/>
                              <w:marBottom w:val="0"/>
                              <w:divBdr>
                                <w:top w:val="none" w:sz="0" w:space="0" w:color="auto"/>
                                <w:left w:val="none" w:sz="0" w:space="0" w:color="auto"/>
                                <w:bottom w:val="none" w:sz="0" w:space="0" w:color="auto"/>
                                <w:right w:val="none" w:sz="0" w:space="0" w:color="auto"/>
                              </w:divBdr>
                              <w:divsChild>
                                <w:div w:id="963000965">
                                  <w:marLeft w:val="0"/>
                                  <w:marRight w:val="0"/>
                                  <w:marTop w:val="0"/>
                                  <w:marBottom w:val="0"/>
                                  <w:divBdr>
                                    <w:top w:val="none" w:sz="0" w:space="0" w:color="auto"/>
                                    <w:left w:val="none" w:sz="0" w:space="0" w:color="auto"/>
                                    <w:bottom w:val="none" w:sz="0" w:space="0" w:color="auto"/>
                                    <w:right w:val="none" w:sz="0" w:space="0" w:color="auto"/>
                                  </w:divBdr>
                                  <w:divsChild>
                                    <w:div w:id="856118953">
                                      <w:marLeft w:val="0"/>
                                      <w:marRight w:val="0"/>
                                      <w:marTop w:val="0"/>
                                      <w:marBottom w:val="0"/>
                                      <w:divBdr>
                                        <w:top w:val="none" w:sz="0" w:space="0" w:color="auto"/>
                                        <w:left w:val="none" w:sz="0" w:space="0" w:color="auto"/>
                                        <w:bottom w:val="none" w:sz="0" w:space="0" w:color="auto"/>
                                        <w:right w:val="none" w:sz="0" w:space="0" w:color="auto"/>
                                      </w:divBdr>
                                      <w:divsChild>
                                        <w:div w:id="638534635">
                                          <w:marLeft w:val="0"/>
                                          <w:marRight w:val="0"/>
                                          <w:marTop w:val="0"/>
                                          <w:marBottom w:val="0"/>
                                          <w:divBdr>
                                            <w:top w:val="none" w:sz="0" w:space="0" w:color="auto"/>
                                            <w:left w:val="single" w:sz="6" w:space="0" w:color="999999"/>
                                            <w:bottom w:val="none" w:sz="0" w:space="0" w:color="auto"/>
                                            <w:right w:val="none" w:sz="0" w:space="0" w:color="auto"/>
                                          </w:divBdr>
                                          <w:divsChild>
                                            <w:div w:id="1795711878">
                                              <w:marLeft w:val="0"/>
                                              <w:marRight w:val="0"/>
                                              <w:marTop w:val="150"/>
                                              <w:marBottom w:val="150"/>
                                              <w:divBdr>
                                                <w:top w:val="none" w:sz="0" w:space="0" w:color="auto"/>
                                                <w:left w:val="none" w:sz="0" w:space="0" w:color="auto"/>
                                                <w:bottom w:val="none" w:sz="0" w:space="0" w:color="auto"/>
                                                <w:right w:val="none" w:sz="0" w:space="0" w:color="auto"/>
                                              </w:divBdr>
                                              <w:divsChild>
                                                <w:div w:id="468130313">
                                                  <w:marLeft w:val="0"/>
                                                  <w:marRight w:val="0"/>
                                                  <w:marTop w:val="0"/>
                                                  <w:marBottom w:val="0"/>
                                                  <w:divBdr>
                                                    <w:top w:val="none" w:sz="0" w:space="0" w:color="auto"/>
                                                    <w:left w:val="none" w:sz="0" w:space="0" w:color="auto"/>
                                                    <w:bottom w:val="none" w:sz="0" w:space="0" w:color="auto"/>
                                                    <w:right w:val="none" w:sz="0" w:space="0" w:color="auto"/>
                                                  </w:divBdr>
                                                  <w:divsChild>
                                                    <w:div w:id="120471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140607">
      <w:bodyDiv w:val="1"/>
      <w:marLeft w:val="0"/>
      <w:marRight w:val="0"/>
      <w:marTop w:val="0"/>
      <w:marBottom w:val="0"/>
      <w:divBdr>
        <w:top w:val="none" w:sz="0" w:space="0" w:color="auto"/>
        <w:left w:val="none" w:sz="0" w:space="0" w:color="auto"/>
        <w:bottom w:val="none" w:sz="0" w:space="0" w:color="auto"/>
        <w:right w:val="none" w:sz="0" w:space="0" w:color="auto"/>
      </w:divBdr>
      <w:divsChild>
        <w:div w:id="2009358505">
          <w:marLeft w:val="0"/>
          <w:marRight w:val="0"/>
          <w:marTop w:val="0"/>
          <w:marBottom w:val="0"/>
          <w:divBdr>
            <w:top w:val="none" w:sz="0" w:space="0" w:color="auto"/>
            <w:left w:val="none" w:sz="0" w:space="0" w:color="auto"/>
            <w:bottom w:val="none" w:sz="0" w:space="0" w:color="auto"/>
            <w:right w:val="none" w:sz="0" w:space="0" w:color="auto"/>
          </w:divBdr>
          <w:divsChild>
            <w:div w:id="16204514">
              <w:marLeft w:val="0"/>
              <w:marRight w:val="0"/>
              <w:marTop w:val="0"/>
              <w:marBottom w:val="0"/>
              <w:divBdr>
                <w:top w:val="none" w:sz="0" w:space="0" w:color="auto"/>
                <w:left w:val="none" w:sz="0" w:space="0" w:color="auto"/>
                <w:bottom w:val="none" w:sz="0" w:space="0" w:color="auto"/>
                <w:right w:val="none" w:sz="0" w:space="0" w:color="auto"/>
              </w:divBdr>
              <w:divsChild>
                <w:div w:id="1138306598">
                  <w:marLeft w:val="0"/>
                  <w:marRight w:val="0"/>
                  <w:marTop w:val="0"/>
                  <w:marBottom w:val="0"/>
                  <w:divBdr>
                    <w:top w:val="none" w:sz="0" w:space="0" w:color="auto"/>
                    <w:left w:val="none" w:sz="0" w:space="0" w:color="auto"/>
                    <w:bottom w:val="none" w:sz="0" w:space="0" w:color="auto"/>
                    <w:right w:val="none" w:sz="0" w:space="0" w:color="auto"/>
                  </w:divBdr>
                  <w:divsChild>
                    <w:div w:id="1120030113">
                      <w:marLeft w:val="0"/>
                      <w:marRight w:val="0"/>
                      <w:marTop w:val="0"/>
                      <w:marBottom w:val="0"/>
                      <w:divBdr>
                        <w:top w:val="none" w:sz="0" w:space="0" w:color="auto"/>
                        <w:left w:val="none" w:sz="0" w:space="0" w:color="auto"/>
                        <w:bottom w:val="none" w:sz="0" w:space="0" w:color="auto"/>
                        <w:right w:val="none" w:sz="0" w:space="0" w:color="auto"/>
                      </w:divBdr>
                      <w:divsChild>
                        <w:div w:id="1510753476">
                          <w:marLeft w:val="0"/>
                          <w:marRight w:val="0"/>
                          <w:marTop w:val="0"/>
                          <w:marBottom w:val="0"/>
                          <w:divBdr>
                            <w:top w:val="none" w:sz="0" w:space="0" w:color="auto"/>
                            <w:left w:val="none" w:sz="0" w:space="0" w:color="auto"/>
                            <w:bottom w:val="none" w:sz="0" w:space="0" w:color="auto"/>
                            <w:right w:val="none" w:sz="0" w:space="0" w:color="auto"/>
                          </w:divBdr>
                          <w:divsChild>
                            <w:div w:id="2134132436">
                              <w:marLeft w:val="0"/>
                              <w:marRight w:val="0"/>
                              <w:marTop w:val="0"/>
                              <w:marBottom w:val="0"/>
                              <w:divBdr>
                                <w:top w:val="none" w:sz="0" w:space="0" w:color="auto"/>
                                <w:left w:val="none" w:sz="0" w:space="0" w:color="auto"/>
                                <w:bottom w:val="none" w:sz="0" w:space="0" w:color="auto"/>
                                <w:right w:val="none" w:sz="0" w:space="0" w:color="auto"/>
                              </w:divBdr>
                              <w:divsChild>
                                <w:div w:id="386997573">
                                  <w:marLeft w:val="0"/>
                                  <w:marRight w:val="0"/>
                                  <w:marTop w:val="0"/>
                                  <w:marBottom w:val="0"/>
                                  <w:divBdr>
                                    <w:top w:val="none" w:sz="0" w:space="0" w:color="auto"/>
                                    <w:left w:val="none" w:sz="0" w:space="0" w:color="auto"/>
                                    <w:bottom w:val="none" w:sz="0" w:space="0" w:color="auto"/>
                                    <w:right w:val="none" w:sz="0" w:space="0" w:color="auto"/>
                                  </w:divBdr>
                                  <w:divsChild>
                                    <w:div w:id="1539931362">
                                      <w:marLeft w:val="0"/>
                                      <w:marRight w:val="0"/>
                                      <w:marTop w:val="0"/>
                                      <w:marBottom w:val="0"/>
                                      <w:divBdr>
                                        <w:top w:val="none" w:sz="0" w:space="0" w:color="auto"/>
                                        <w:left w:val="none" w:sz="0" w:space="0" w:color="auto"/>
                                        <w:bottom w:val="none" w:sz="0" w:space="0" w:color="auto"/>
                                        <w:right w:val="none" w:sz="0" w:space="0" w:color="auto"/>
                                      </w:divBdr>
                                      <w:divsChild>
                                        <w:div w:id="617879246">
                                          <w:marLeft w:val="0"/>
                                          <w:marRight w:val="0"/>
                                          <w:marTop w:val="0"/>
                                          <w:marBottom w:val="0"/>
                                          <w:divBdr>
                                            <w:top w:val="none" w:sz="0" w:space="0" w:color="auto"/>
                                            <w:left w:val="single" w:sz="6" w:space="0" w:color="999999"/>
                                            <w:bottom w:val="none" w:sz="0" w:space="0" w:color="auto"/>
                                            <w:right w:val="none" w:sz="0" w:space="0" w:color="auto"/>
                                          </w:divBdr>
                                          <w:divsChild>
                                            <w:div w:id="797995621">
                                              <w:marLeft w:val="0"/>
                                              <w:marRight w:val="0"/>
                                              <w:marTop w:val="150"/>
                                              <w:marBottom w:val="150"/>
                                              <w:divBdr>
                                                <w:top w:val="none" w:sz="0" w:space="0" w:color="auto"/>
                                                <w:left w:val="none" w:sz="0" w:space="0" w:color="auto"/>
                                                <w:bottom w:val="none" w:sz="0" w:space="0" w:color="auto"/>
                                                <w:right w:val="none" w:sz="0" w:space="0" w:color="auto"/>
                                              </w:divBdr>
                                              <w:divsChild>
                                                <w:div w:id="381289690">
                                                  <w:marLeft w:val="0"/>
                                                  <w:marRight w:val="0"/>
                                                  <w:marTop w:val="0"/>
                                                  <w:marBottom w:val="0"/>
                                                  <w:divBdr>
                                                    <w:top w:val="none" w:sz="0" w:space="0" w:color="auto"/>
                                                    <w:left w:val="none" w:sz="0" w:space="0" w:color="auto"/>
                                                    <w:bottom w:val="none" w:sz="0" w:space="0" w:color="auto"/>
                                                    <w:right w:val="none" w:sz="0" w:space="0" w:color="auto"/>
                                                  </w:divBdr>
                                                  <w:divsChild>
                                                    <w:div w:id="125451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952651">
      <w:bodyDiv w:val="1"/>
      <w:marLeft w:val="0"/>
      <w:marRight w:val="0"/>
      <w:marTop w:val="0"/>
      <w:marBottom w:val="0"/>
      <w:divBdr>
        <w:top w:val="none" w:sz="0" w:space="0" w:color="auto"/>
        <w:left w:val="none" w:sz="0" w:space="0" w:color="auto"/>
        <w:bottom w:val="none" w:sz="0" w:space="0" w:color="auto"/>
        <w:right w:val="none" w:sz="0" w:space="0" w:color="auto"/>
      </w:divBdr>
    </w:div>
    <w:div w:id="1202788827">
      <w:bodyDiv w:val="1"/>
      <w:marLeft w:val="0"/>
      <w:marRight w:val="0"/>
      <w:marTop w:val="0"/>
      <w:marBottom w:val="0"/>
      <w:divBdr>
        <w:top w:val="none" w:sz="0" w:space="0" w:color="auto"/>
        <w:left w:val="none" w:sz="0" w:space="0" w:color="auto"/>
        <w:bottom w:val="none" w:sz="0" w:space="0" w:color="auto"/>
        <w:right w:val="none" w:sz="0" w:space="0" w:color="auto"/>
      </w:divBdr>
      <w:divsChild>
        <w:div w:id="1817994916">
          <w:marLeft w:val="0"/>
          <w:marRight w:val="0"/>
          <w:marTop w:val="0"/>
          <w:marBottom w:val="0"/>
          <w:divBdr>
            <w:top w:val="none" w:sz="0" w:space="0" w:color="auto"/>
            <w:left w:val="none" w:sz="0" w:space="0" w:color="auto"/>
            <w:bottom w:val="none" w:sz="0" w:space="0" w:color="auto"/>
            <w:right w:val="none" w:sz="0" w:space="0" w:color="auto"/>
          </w:divBdr>
          <w:divsChild>
            <w:div w:id="1616057161">
              <w:marLeft w:val="0"/>
              <w:marRight w:val="0"/>
              <w:marTop w:val="0"/>
              <w:marBottom w:val="0"/>
              <w:divBdr>
                <w:top w:val="none" w:sz="0" w:space="0" w:color="auto"/>
                <w:left w:val="none" w:sz="0" w:space="0" w:color="auto"/>
                <w:bottom w:val="none" w:sz="0" w:space="0" w:color="auto"/>
                <w:right w:val="none" w:sz="0" w:space="0" w:color="auto"/>
              </w:divBdr>
              <w:divsChild>
                <w:div w:id="166988056">
                  <w:marLeft w:val="0"/>
                  <w:marRight w:val="0"/>
                  <w:marTop w:val="0"/>
                  <w:marBottom w:val="0"/>
                  <w:divBdr>
                    <w:top w:val="none" w:sz="0" w:space="0" w:color="auto"/>
                    <w:left w:val="none" w:sz="0" w:space="0" w:color="auto"/>
                    <w:bottom w:val="none" w:sz="0" w:space="0" w:color="auto"/>
                    <w:right w:val="none" w:sz="0" w:space="0" w:color="auto"/>
                  </w:divBdr>
                  <w:divsChild>
                    <w:div w:id="1499997810">
                      <w:marLeft w:val="0"/>
                      <w:marRight w:val="0"/>
                      <w:marTop w:val="0"/>
                      <w:marBottom w:val="0"/>
                      <w:divBdr>
                        <w:top w:val="none" w:sz="0" w:space="0" w:color="auto"/>
                        <w:left w:val="none" w:sz="0" w:space="0" w:color="auto"/>
                        <w:bottom w:val="none" w:sz="0" w:space="0" w:color="auto"/>
                        <w:right w:val="none" w:sz="0" w:space="0" w:color="auto"/>
                      </w:divBdr>
                      <w:divsChild>
                        <w:div w:id="1632710234">
                          <w:marLeft w:val="0"/>
                          <w:marRight w:val="0"/>
                          <w:marTop w:val="0"/>
                          <w:marBottom w:val="0"/>
                          <w:divBdr>
                            <w:top w:val="none" w:sz="0" w:space="0" w:color="auto"/>
                            <w:left w:val="none" w:sz="0" w:space="0" w:color="auto"/>
                            <w:bottom w:val="none" w:sz="0" w:space="0" w:color="auto"/>
                            <w:right w:val="none" w:sz="0" w:space="0" w:color="auto"/>
                          </w:divBdr>
                          <w:divsChild>
                            <w:div w:id="2019120023">
                              <w:marLeft w:val="0"/>
                              <w:marRight w:val="0"/>
                              <w:marTop w:val="0"/>
                              <w:marBottom w:val="0"/>
                              <w:divBdr>
                                <w:top w:val="none" w:sz="0" w:space="0" w:color="auto"/>
                                <w:left w:val="none" w:sz="0" w:space="0" w:color="auto"/>
                                <w:bottom w:val="none" w:sz="0" w:space="0" w:color="auto"/>
                                <w:right w:val="none" w:sz="0" w:space="0" w:color="auto"/>
                              </w:divBdr>
                              <w:divsChild>
                                <w:div w:id="20396236">
                                  <w:marLeft w:val="0"/>
                                  <w:marRight w:val="0"/>
                                  <w:marTop w:val="0"/>
                                  <w:marBottom w:val="0"/>
                                  <w:divBdr>
                                    <w:top w:val="none" w:sz="0" w:space="0" w:color="auto"/>
                                    <w:left w:val="none" w:sz="0" w:space="0" w:color="auto"/>
                                    <w:bottom w:val="none" w:sz="0" w:space="0" w:color="auto"/>
                                    <w:right w:val="none" w:sz="0" w:space="0" w:color="auto"/>
                                  </w:divBdr>
                                  <w:divsChild>
                                    <w:div w:id="1471092010">
                                      <w:marLeft w:val="0"/>
                                      <w:marRight w:val="0"/>
                                      <w:marTop w:val="0"/>
                                      <w:marBottom w:val="0"/>
                                      <w:divBdr>
                                        <w:top w:val="none" w:sz="0" w:space="0" w:color="auto"/>
                                        <w:left w:val="none" w:sz="0" w:space="0" w:color="auto"/>
                                        <w:bottom w:val="none" w:sz="0" w:space="0" w:color="auto"/>
                                        <w:right w:val="none" w:sz="0" w:space="0" w:color="auto"/>
                                      </w:divBdr>
                                      <w:divsChild>
                                        <w:div w:id="549344551">
                                          <w:marLeft w:val="0"/>
                                          <w:marRight w:val="0"/>
                                          <w:marTop w:val="0"/>
                                          <w:marBottom w:val="0"/>
                                          <w:divBdr>
                                            <w:top w:val="none" w:sz="0" w:space="0" w:color="auto"/>
                                            <w:left w:val="single" w:sz="6" w:space="0" w:color="999999"/>
                                            <w:bottom w:val="none" w:sz="0" w:space="0" w:color="auto"/>
                                            <w:right w:val="none" w:sz="0" w:space="0" w:color="auto"/>
                                          </w:divBdr>
                                          <w:divsChild>
                                            <w:div w:id="1595358700">
                                              <w:marLeft w:val="0"/>
                                              <w:marRight w:val="0"/>
                                              <w:marTop w:val="150"/>
                                              <w:marBottom w:val="150"/>
                                              <w:divBdr>
                                                <w:top w:val="none" w:sz="0" w:space="0" w:color="auto"/>
                                                <w:left w:val="none" w:sz="0" w:space="0" w:color="auto"/>
                                                <w:bottom w:val="none" w:sz="0" w:space="0" w:color="auto"/>
                                                <w:right w:val="none" w:sz="0" w:space="0" w:color="auto"/>
                                              </w:divBdr>
                                              <w:divsChild>
                                                <w:div w:id="1195922434">
                                                  <w:marLeft w:val="0"/>
                                                  <w:marRight w:val="0"/>
                                                  <w:marTop w:val="0"/>
                                                  <w:marBottom w:val="0"/>
                                                  <w:divBdr>
                                                    <w:top w:val="none" w:sz="0" w:space="0" w:color="auto"/>
                                                    <w:left w:val="none" w:sz="0" w:space="0" w:color="auto"/>
                                                    <w:bottom w:val="none" w:sz="0" w:space="0" w:color="auto"/>
                                                    <w:right w:val="none" w:sz="0" w:space="0" w:color="auto"/>
                                                  </w:divBdr>
                                                  <w:divsChild>
                                                    <w:div w:id="73512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9676103">
      <w:bodyDiv w:val="1"/>
      <w:marLeft w:val="0"/>
      <w:marRight w:val="0"/>
      <w:marTop w:val="0"/>
      <w:marBottom w:val="0"/>
      <w:divBdr>
        <w:top w:val="none" w:sz="0" w:space="0" w:color="auto"/>
        <w:left w:val="none" w:sz="0" w:space="0" w:color="auto"/>
        <w:bottom w:val="none" w:sz="0" w:space="0" w:color="auto"/>
        <w:right w:val="none" w:sz="0" w:space="0" w:color="auto"/>
      </w:divBdr>
      <w:divsChild>
        <w:div w:id="605819494">
          <w:marLeft w:val="0"/>
          <w:marRight w:val="0"/>
          <w:marTop w:val="0"/>
          <w:marBottom w:val="0"/>
          <w:divBdr>
            <w:top w:val="none" w:sz="0" w:space="0" w:color="auto"/>
            <w:left w:val="none" w:sz="0" w:space="0" w:color="auto"/>
            <w:bottom w:val="none" w:sz="0" w:space="0" w:color="auto"/>
            <w:right w:val="none" w:sz="0" w:space="0" w:color="auto"/>
          </w:divBdr>
          <w:divsChild>
            <w:div w:id="2115401303">
              <w:marLeft w:val="0"/>
              <w:marRight w:val="0"/>
              <w:marTop w:val="0"/>
              <w:marBottom w:val="0"/>
              <w:divBdr>
                <w:top w:val="none" w:sz="0" w:space="0" w:color="auto"/>
                <w:left w:val="none" w:sz="0" w:space="0" w:color="auto"/>
                <w:bottom w:val="none" w:sz="0" w:space="0" w:color="auto"/>
                <w:right w:val="none" w:sz="0" w:space="0" w:color="auto"/>
              </w:divBdr>
              <w:divsChild>
                <w:div w:id="938947627">
                  <w:marLeft w:val="0"/>
                  <w:marRight w:val="0"/>
                  <w:marTop w:val="0"/>
                  <w:marBottom w:val="0"/>
                  <w:divBdr>
                    <w:top w:val="none" w:sz="0" w:space="0" w:color="auto"/>
                    <w:left w:val="none" w:sz="0" w:space="0" w:color="auto"/>
                    <w:bottom w:val="none" w:sz="0" w:space="0" w:color="auto"/>
                    <w:right w:val="none" w:sz="0" w:space="0" w:color="auto"/>
                  </w:divBdr>
                  <w:divsChild>
                    <w:div w:id="945768201">
                      <w:marLeft w:val="0"/>
                      <w:marRight w:val="0"/>
                      <w:marTop w:val="0"/>
                      <w:marBottom w:val="0"/>
                      <w:divBdr>
                        <w:top w:val="none" w:sz="0" w:space="0" w:color="auto"/>
                        <w:left w:val="none" w:sz="0" w:space="0" w:color="auto"/>
                        <w:bottom w:val="none" w:sz="0" w:space="0" w:color="auto"/>
                        <w:right w:val="none" w:sz="0" w:space="0" w:color="auto"/>
                      </w:divBdr>
                      <w:divsChild>
                        <w:div w:id="1306861455">
                          <w:marLeft w:val="0"/>
                          <w:marRight w:val="0"/>
                          <w:marTop w:val="0"/>
                          <w:marBottom w:val="0"/>
                          <w:divBdr>
                            <w:top w:val="none" w:sz="0" w:space="0" w:color="auto"/>
                            <w:left w:val="none" w:sz="0" w:space="0" w:color="auto"/>
                            <w:bottom w:val="none" w:sz="0" w:space="0" w:color="auto"/>
                            <w:right w:val="none" w:sz="0" w:space="0" w:color="auto"/>
                          </w:divBdr>
                          <w:divsChild>
                            <w:div w:id="646739057">
                              <w:marLeft w:val="0"/>
                              <w:marRight w:val="0"/>
                              <w:marTop w:val="0"/>
                              <w:marBottom w:val="0"/>
                              <w:divBdr>
                                <w:top w:val="none" w:sz="0" w:space="0" w:color="auto"/>
                                <w:left w:val="none" w:sz="0" w:space="0" w:color="auto"/>
                                <w:bottom w:val="none" w:sz="0" w:space="0" w:color="auto"/>
                                <w:right w:val="none" w:sz="0" w:space="0" w:color="auto"/>
                              </w:divBdr>
                              <w:divsChild>
                                <w:div w:id="719717424">
                                  <w:marLeft w:val="0"/>
                                  <w:marRight w:val="0"/>
                                  <w:marTop w:val="0"/>
                                  <w:marBottom w:val="0"/>
                                  <w:divBdr>
                                    <w:top w:val="none" w:sz="0" w:space="0" w:color="auto"/>
                                    <w:left w:val="none" w:sz="0" w:space="0" w:color="auto"/>
                                    <w:bottom w:val="none" w:sz="0" w:space="0" w:color="auto"/>
                                    <w:right w:val="none" w:sz="0" w:space="0" w:color="auto"/>
                                  </w:divBdr>
                                  <w:divsChild>
                                    <w:div w:id="453211562">
                                      <w:marLeft w:val="0"/>
                                      <w:marRight w:val="0"/>
                                      <w:marTop w:val="0"/>
                                      <w:marBottom w:val="0"/>
                                      <w:divBdr>
                                        <w:top w:val="none" w:sz="0" w:space="0" w:color="auto"/>
                                        <w:left w:val="none" w:sz="0" w:space="0" w:color="auto"/>
                                        <w:bottom w:val="none" w:sz="0" w:space="0" w:color="auto"/>
                                        <w:right w:val="none" w:sz="0" w:space="0" w:color="auto"/>
                                      </w:divBdr>
                                      <w:divsChild>
                                        <w:div w:id="2052342649">
                                          <w:marLeft w:val="0"/>
                                          <w:marRight w:val="0"/>
                                          <w:marTop w:val="0"/>
                                          <w:marBottom w:val="0"/>
                                          <w:divBdr>
                                            <w:top w:val="none" w:sz="0" w:space="0" w:color="auto"/>
                                            <w:left w:val="single" w:sz="6" w:space="0" w:color="999999"/>
                                            <w:bottom w:val="none" w:sz="0" w:space="0" w:color="auto"/>
                                            <w:right w:val="none" w:sz="0" w:space="0" w:color="auto"/>
                                          </w:divBdr>
                                          <w:divsChild>
                                            <w:div w:id="516043336">
                                              <w:marLeft w:val="0"/>
                                              <w:marRight w:val="0"/>
                                              <w:marTop w:val="150"/>
                                              <w:marBottom w:val="150"/>
                                              <w:divBdr>
                                                <w:top w:val="none" w:sz="0" w:space="0" w:color="auto"/>
                                                <w:left w:val="none" w:sz="0" w:space="0" w:color="auto"/>
                                                <w:bottom w:val="none" w:sz="0" w:space="0" w:color="auto"/>
                                                <w:right w:val="none" w:sz="0" w:space="0" w:color="auto"/>
                                              </w:divBdr>
                                              <w:divsChild>
                                                <w:div w:id="1345592840">
                                                  <w:marLeft w:val="0"/>
                                                  <w:marRight w:val="0"/>
                                                  <w:marTop w:val="0"/>
                                                  <w:marBottom w:val="0"/>
                                                  <w:divBdr>
                                                    <w:top w:val="none" w:sz="0" w:space="0" w:color="auto"/>
                                                    <w:left w:val="none" w:sz="0" w:space="0" w:color="auto"/>
                                                    <w:bottom w:val="none" w:sz="0" w:space="0" w:color="auto"/>
                                                    <w:right w:val="none" w:sz="0" w:space="0" w:color="auto"/>
                                                  </w:divBdr>
                                                  <w:divsChild>
                                                    <w:div w:id="5594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1476536">
      <w:bodyDiv w:val="1"/>
      <w:marLeft w:val="0"/>
      <w:marRight w:val="0"/>
      <w:marTop w:val="0"/>
      <w:marBottom w:val="0"/>
      <w:divBdr>
        <w:top w:val="none" w:sz="0" w:space="0" w:color="auto"/>
        <w:left w:val="none" w:sz="0" w:space="0" w:color="auto"/>
        <w:bottom w:val="none" w:sz="0" w:space="0" w:color="auto"/>
        <w:right w:val="none" w:sz="0" w:space="0" w:color="auto"/>
      </w:divBdr>
      <w:divsChild>
        <w:div w:id="540358552">
          <w:marLeft w:val="0"/>
          <w:marRight w:val="0"/>
          <w:marTop w:val="0"/>
          <w:marBottom w:val="0"/>
          <w:divBdr>
            <w:top w:val="none" w:sz="0" w:space="0" w:color="auto"/>
            <w:left w:val="none" w:sz="0" w:space="0" w:color="auto"/>
            <w:bottom w:val="none" w:sz="0" w:space="0" w:color="auto"/>
            <w:right w:val="none" w:sz="0" w:space="0" w:color="auto"/>
          </w:divBdr>
          <w:divsChild>
            <w:div w:id="476454468">
              <w:marLeft w:val="0"/>
              <w:marRight w:val="0"/>
              <w:marTop w:val="0"/>
              <w:marBottom w:val="0"/>
              <w:divBdr>
                <w:top w:val="none" w:sz="0" w:space="0" w:color="auto"/>
                <w:left w:val="none" w:sz="0" w:space="0" w:color="auto"/>
                <w:bottom w:val="none" w:sz="0" w:space="0" w:color="auto"/>
                <w:right w:val="none" w:sz="0" w:space="0" w:color="auto"/>
              </w:divBdr>
              <w:divsChild>
                <w:div w:id="1854757445">
                  <w:marLeft w:val="0"/>
                  <w:marRight w:val="0"/>
                  <w:marTop w:val="0"/>
                  <w:marBottom w:val="0"/>
                  <w:divBdr>
                    <w:top w:val="none" w:sz="0" w:space="0" w:color="auto"/>
                    <w:left w:val="none" w:sz="0" w:space="0" w:color="auto"/>
                    <w:bottom w:val="none" w:sz="0" w:space="0" w:color="auto"/>
                    <w:right w:val="none" w:sz="0" w:space="0" w:color="auto"/>
                  </w:divBdr>
                  <w:divsChild>
                    <w:div w:id="2028477441">
                      <w:marLeft w:val="0"/>
                      <w:marRight w:val="0"/>
                      <w:marTop w:val="0"/>
                      <w:marBottom w:val="0"/>
                      <w:divBdr>
                        <w:top w:val="none" w:sz="0" w:space="0" w:color="auto"/>
                        <w:left w:val="none" w:sz="0" w:space="0" w:color="auto"/>
                        <w:bottom w:val="none" w:sz="0" w:space="0" w:color="auto"/>
                        <w:right w:val="none" w:sz="0" w:space="0" w:color="auto"/>
                      </w:divBdr>
                      <w:divsChild>
                        <w:div w:id="361251748">
                          <w:marLeft w:val="0"/>
                          <w:marRight w:val="0"/>
                          <w:marTop w:val="0"/>
                          <w:marBottom w:val="0"/>
                          <w:divBdr>
                            <w:top w:val="none" w:sz="0" w:space="0" w:color="auto"/>
                            <w:left w:val="none" w:sz="0" w:space="0" w:color="auto"/>
                            <w:bottom w:val="none" w:sz="0" w:space="0" w:color="auto"/>
                            <w:right w:val="none" w:sz="0" w:space="0" w:color="auto"/>
                          </w:divBdr>
                          <w:divsChild>
                            <w:div w:id="1895778303">
                              <w:marLeft w:val="0"/>
                              <w:marRight w:val="0"/>
                              <w:marTop w:val="0"/>
                              <w:marBottom w:val="0"/>
                              <w:divBdr>
                                <w:top w:val="none" w:sz="0" w:space="0" w:color="auto"/>
                                <w:left w:val="none" w:sz="0" w:space="0" w:color="auto"/>
                                <w:bottom w:val="none" w:sz="0" w:space="0" w:color="auto"/>
                                <w:right w:val="none" w:sz="0" w:space="0" w:color="auto"/>
                              </w:divBdr>
                              <w:divsChild>
                                <w:div w:id="492381303">
                                  <w:marLeft w:val="0"/>
                                  <w:marRight w:val="0"/>
                                  <w:marTop w:val="0"/>
                                  <w:marBottom w:val="0"/>
                                  <w:divBdr>
                                    <w:top w:val="none" w:sz="0" w:space="0" w:color="auto"/>
                                    <w:left w:val="none" w:sz="0" w:space="0" w:color="auto"/>
                                    <w:bottom w:val="none" w:sz="0" w:space="0" w:color="auto"/>
                                    <w:right w:val="none" w:sz="0" w:space="0" w:color="auto"/>
                                  </w:divBdr>
                                  <w:divsChild>
                                    <w:div w:id="331953240">
                                      <w:marLeft w:val="0"/>
                                      <w:marRight w:val="0"/>
                                      <w:marTop w:val="0"/>
                                      <w:marBottom w:val="0"/>
                                      <w:divBdr>
                                        <w:top w:val="none" w:sz="0" w:space="0" w:color="auto"/>
                                        <w:left w:val="none" w:sz="0" w:space="0" w:color="auto"/>
                                        <w:bottom w:val="none" w:sz="0" w:space="0" w:color="auto"/>
                                        <w:right w:val="none" w:sz="0" w:space="0" w:color="auto"/>
                                      </w:divBdr>
                                      <w:divsChild>
                                        <w:div w:id="2081518724">
                                          <w:marLeft w:val="0"/>
                                          <w:marRight w:val="0"/>
                                          <w:marTop w:val="0"/>
                                          <w:marBottom w:val="0"/>
                                          <w:divBdr>
                                            <w:top w:val="none" w:sz="0" w:space="0" w:color="auto"/>
                                            <w:left w:val="single" w:sz="6" w:space="0" w:color="999999"/>
                                            <w:bottom w:val="none" w:sz="0" w:space="0" w:color="auto"/>
                                            <w:right w:val="none" w:sz="0" w:space="0" w:color="auto"/>
                                          </w:divBdr>
                                          <w:divsChild>
                                            <w:div w:id="1595627042">
                                              <w:marLeft w:val="0"/>
                                              <w:marRight w:val="0"/>
                                              <w:marTop w:val="150"/>
                                              <w:marBottom w:val="150"/>
                                              <w:divBdr>
                                                <w:top w:val="none" w:sz="0" w:space="0" w:color="auto"/>
                                                <w:left w:val="none" w:sz="0" w:space="0" w:color="auto"/>
                                                <w:bottom w:val="none" w:sz="0" w:space="0" w:color="auto"/>
                                                <w:right w:val="none" w:sz="0" w:space="0" w:color="auto"/>
                                              </w:divBdr>
                                              <w:divsChild>
                                                <w:div w:id="63189511">
                                                  <w:marLeft w:val="0"/>
                                                  <w:marRight w:val="0"/>
                                                  <w:marTop w:val="0"/>
                                                  <w:marBottom w:val="0"/>
                                                  <w:divBdr>
                                                    <w:top w:val="none" w:sz="0" w:space="0" w:color="auto"/>
                                                    <w:left w:val="none" w:sz="0" w:space="0" w:color="auto"/>
                                                    <w:bottom w:val="none" w:sz="0" w:space="0" w:color="auto"/>
                                                    <w:right w:val="none" w:sz="0" w:space="0" w:color="auto"/>
                                                  </w:divBdr>
                                                  <w:divsChild>
                                                    <w:div w:id="105901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0616223">
      <w:bodyDiv w:val="1"/>
      <w:marLeft w:val="0"/>
      <w:marRight w:val="0"/>
      <w:marTop w:val="0"/>
      <w:marBottom w:val="0"/>
      <w:divBdr>
        <w:top w:val="none" w:sz="0" w:space="0" w:color="auto"/>
        <w:left w:val="none" w:sz="0" w:space="0" w:color="auto"/>
        <w:bottom w:val="none" w:sz="0" w:space="0" w:color="auto"/>
        <w:right w:val="none" w:sz="0" w:space="0" w:color="auto"/>
      </w:divBdr>
      <w:divsChild>
        <w:div w:id="1779450580">
          <w:marLeft w:val="0"/>
          <w:marRight w:val="0"/>
          <w:marTop w:val="0"/>
          <w:marBottom w:val="0"/>
          <w:divBdr>
            <w:top w:val="none" w:sz="0" w:space="0" w:color="auto"/>
            <w:left w:val="none" w:sz="0" w:space="0" w:color="auto"/>
            <w:bottom w:val="none" w:sz="0" w:space="0" w:color="auto"/>
            <w:right w:val="none" w:sz="0" w:space="0" w:color="auto"/>
          </w:divBdr>
          <w:divsChild>
            <w:div w:id="1391877953">
              <w:marLeft w:val="0"/>
              <w:marRight w:val="0"/>
              <w:marTop w:val="0"/>
              <w:marBottom w:val="0"/>
              <w:divBdr>
                <w:top w:val="none" w:sz="0" w:space="0" w:color="auto"/>
                <w:left w:val="none" w:sz="0" w:space="0" w:color="auto"/>
                <w:bottom w:val="none" w:sz="0" w:space="0" w:color="auto"/>
                <w:right w:val="none" w:sz="0" w:space="0" w:color="auto"/>
              </w:divBdr>
              <w:divsChild>
                <w:div w:id="287787522">
                  <w:marLeft w:val="0"/>
                  <w:marRight w:val="0"/>
                  <w:marTop w:val="0"/>
                  <w:marBottom w:val="0"/>
                  <w:divBdr>
                    <w:top w:val="none" w:sz="0" w:space="0" w:color="auto"/>
                    <w:left w:val="none" w:sz="0" w:space="0" w:color="auto"/>
                    <w:bottom w:val="none" w:sz="0" w:space="0" w:color="auto"/>
                    <w:right w:val="none" w:sz="0" w:space="0" w:color="auto"/>
                  </w:divBdr>
                  <w:divsChild>
                    <w:div w:id="1773433691">
                      <w:marLeft w:val="0"/>
                      <w:marRight w:val="0"/>
                      <w:marTop w:val="0"/>
                      <w:marBottom w:val="0"/>
                      <w:divBdr>
                        <w:top w:val="none" w:sz="0" w:space="0" w:color="auto"/>
                        <w:left w:val="none" w:sz="0" w:space="0" w:color="auto"/>
                        <w:bottom w:val="none" w:sz="0" w:space="0" w:color="auto"/>
                        <w:right w:val="none" w:sz="0" w:space="0" w:color="auto"/>
                      </w:divBdr>
                      <w:divsChild>
                        <w:div w:id="1050302820">
                          <w:marLeft w:val="0"/>
                          <w:marRight w:val="0"/>
                          <w:marTop w:val="0"/>
                          <w:marBottom w:val="0"/>
                          <w:divBdr>
                            <w:top w:val="none" w:sz="0" w:space="0" w:color="auto"/>
                            <w:left w:val="none" w:sz="0" w:space="0" w:color="auto"/>
                            <w:bottom w:val="none" w:sz="0" w:space="0" w:color="auto"/>
                            <w:right w:val="none" w:sz="0" w:space="0" w:color="auto"/>
                          </w:divBdr>
                          <w:divsChild>
                            <w:div w:id="224344346">
                              <w:marLeft w:val="0"/>
                              <w:marRight w:val="0"/>
                              <w:marTop w:val="0"/>
                              <w:marBottom w:val="0"/>
                              <w:divBdr>
                                <w:top w:val="none" w:sz="0" w:space="0" w:color="auto"/>
                                <w:left w:val="none" w:sz="0" w:space="0" w:color="auto"/>
                                <w:bottom w:val="none" w:sz="0" w:space="0" w:color="auto"/>
                                <w:right w:val="none" w:sz="0" w:space="0" w:color="auto"/>
                              </w:divBdr>
                              <w:divsChild>
                                <w:div w:id="1638099409">
                                  <w:marLeft w:val="0"/>
                                  <w:marRight w:val="0"/>
                                  <w:marTop w:val="0"/>
                                  <w:marBottom w:val="0"/>
                                  <w:divBdr>
                                    <w:top w:val="none" w:sz="0" w:space="0" w:color="auto"/>
                                    <w:left w:val="none" w:sz="0" w:space="0" w:color="auto"/>
                                    <w:bottom w:val="none" w:sz="0" w:space="0" w:color="auto"/>
                                    <w:right w:val="none" w:sz="0" w:space="0" w:color="auto"/>
                                  </w:divBdr>
                                  <w:divsChild>
                                    <w:div w:id="1598251918">
                                      <w:marLeft w:val="0"/>
                                      <w:marRight w:val="0"/>
                                      <w:marTop w:val="0"/>
                                      <w:marBottom w:val="0"/>
                                      <w:divBdr>
                                        <w:top w:val="none" w:sz="0" w:space="0" w:color="auto"/>
                                        <w:left w:val="none" w:sz="0" w:space="0" w:color="auto"/>
                                        <w:bottom w:val="none" w:sz="0" w:space="0" w:color="auto"/>
                                        <w:right w:val="none" w:sz="0" w:space="0" w:color="auto"/>
                                      </w:divBdr>
                                      <w:divsChild>
                                        <w:div w:id="593906539">
                                          <w:marLeft w:val="0"/>
                                          <w:marRight w:val="0"/>
                                          <w:marTop w:val="0"/>
                                          <w:marBottom w:val="0"/>
                                          <w:divBdr>
                                            <w:top w:val="none" w:sz="0" w:space="0" w:color="auto"/>
                                            <w:left w:val="single" w:sz="6" w:space="0" w:color="999999"/>
                                            <w:bottom w:val="none" w:sz="0" w:space="0" w:color="auto"/>
                                            <w:right w:val="none" w:sz="0" w:space="0" w:color="auto"/>
                                          </w:divBdr>
                                          <w:divsChild>
                                            <w:div w:id="185867480">
                                              <w:marLeft w:val="0"/>
                                              <w:marRight w:val="0"/>
                                              <w:marTop w:val="150"/>
                                              <w:marBottom w:val="150"/>
                                              <w:divBdr>
                                                <w:top w:val="none" w:sz="0" w:space="0" w:color="auto"/>
                                                <w:left w:val="none" w:sz="0" w:space="0" w:color="auto"/>
                                                <w:bottom w:val="none" w:sz="0" w:space="0" w:color="auto"/>
                                                <w:right w:val="none" w:sz="0" w:space="0" w:color="auto"/>
                                              </w:divBdr>
                                              <w:divsChild>
                                                <w:div w:id="868878587">
                                                  <w:marLeft w:val="0"/>
                                                  <w:marRight w:val="0"/>
                                                  <w:marTop w:val="0"/>
                                                  <w:marBottom w:val="0"/>
                                                  <w:divBdr>
                                                    <w:top w:val="none" w:sz="0" w:space="0" w:color="auto"/>
                                                    <w:left w:val="none" w:sz="0" w:space="0" w:color="auto"/>
                                                    <w:bottom w:val="none" w:sz="0" w:space="0" w:color="auto"/>
                                                    <w:right w:val="none" w:sz="0" w:space="0" w:color="auto"/>
                                                  </w:divBdr>
                                                  <w:divsChild>
                                                    <w:div w:id="18181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5388921">
      <w:bodyDiv w:val="1"/>
      <w:marLeft w:val="0"/>
      <w:marRight w:val="0"/>
      <w:marTop w:val="0"/>
      <w:marBottom w:val="0"/>
      <w:divBdr>
        <w:top w:val="none" w:sz="0" w:space="0" w:color="auto"/>
        <w:left w:val="none" w:sz="0" w:space="0" w:color="auto"/>
        <w:bottom w:val="none" w:sz="0" w:space="0" w:color="auto"/>
        <w:right w:val="none" w:sz="0" w:space="0" w:color="auto"/>
      </w:divBdr>
    </w:div>
    <w:div w:id="1913075566">
      <w:bodyDiv w:val="1"/>
      <w:marLeft w:val="0"/>
      <w:marRight w:val="0"/>
      <w:marTop w:val="0"/>
      <w:marBottom w:val="0"/>
      <w:divBdr>
        <w:top w:val="none" w:sz="0" w:space="0" w:color="auto"/>
        <w:left w:val="none" w:sz="0" w:space="0" w:color="auto"/>
        <w:bottom w:val="none" w:sz="0" w:space="0" w:color="auto"/>
        <w:right w:val="none" w:sz="0" w:space="0" w:color="auto"/>
      </w:divBdr>
      <w:divsChild>
        <w:div w:id="1029523854">
          <w:marLeft w:val="0"/>
          <w:marRight w:val="0"/>
          <w:marTop w:val="0"/>
          <w:marBottom w:val="0"/>
          <w:divBdr>
            <w:top w:val="none" w:sz="0" w:space="0" w:color="auto"/>
            <w:left w:val="none" w:sz="0" w:space="0" w:color="auto"/>
            <w:bottom w:val="none" w:sz="0" w:space="0" w:color="auto"/>
            <w:right w:val="none" w:sz="0" w:space="0" w:color="auto"/>
          </w:divBdr>
          <w:divsChild>
            <w:div w:id="302195866">
              <w:marLeft w:val="0"/>
              <w:marRight w:val="0"/>
              <w:marTop w:val="0"/>
              <w:marBottom w:val="0"/>
              <w:divBdr>
                <w:top w:val="none" w:sz="0" w:space="0" w:color="auto"/>
                <w:left w:val="none" w:sz="0" w:space="0" w:color="auto"/>
                <w:bottom w:val="none" w:sz="0" w:space="0" w:color="auto"/>
                <w:right w:val="none" w:sz="0" w:space="0" w:color="auto"/>
              </w:divBdr>
              <w:divsChild>
                <w:div w:id="2026128613">
                  <w:marLeft w:val="0"/>
                  <w:marRight w:val="0"/>
                  <w:marTop w:val="0"/>
                  <w:marBottom w:val="0"/>
                  <w:divBdr>
                    <w:top w:val="none" w:sz="0" w:space="0" w:color="auto"/>
                    <w:left w:val="none" w:sz="0" w:space="0" w:color="auto"/>
                    <w:bottom w:val="none" w:sz="0" w:space="0" w:color="auto"/>
                    <w:right w:val="none" w:sz="0" w:space="0" w:color="auto"/>
                  </w:divBdr>
                  <w:divsChild>
                    <w:div w:id="447434450">
                      <w:marLeft w:val="0"/>
                      <w:marRight w:val="0"/>
                      <w:marTop w:val="0"/>
                      <w:marBottom w:val="0"/>
                      <w:divBdr>
                        <w:top w:val="none" w:sz="0" w:space="0" w:color="auto"/>
                        <w:left w:val="none" w:sz="0" w:space="0" w:color="auto"/>
                        <w:bottom w:val="none" w:sz="0" w:space="0" w:color="auto"/>
                        <w:right w:val="none" w:sz="0" w:space="0" w:color="auto"/>
                      </w:divBdr>
                      <w:divsChild>
                        <w:div w:id="1872110555">
                          <w:marLeft w:val="0"/>
                          <w:marRight w:val="0"/>
                          <w:marTop w:val="0"/>
                          <w:marBottom w:val="0"/>
                          <w:divBdr>
                            <w:top w:val="none" w:sz="0" w:space="0" w:color="auto"/>
                            <w:left w:val="none" w:sz="0" w:space="0" w:color="auto"/>
                            <w:bottom w:val="none" w:sz="0" w:space="0" w:color="auto"/>
                            <w:right w:val="none" w:sz="0" w:space="0" w:color="auto"/>
                          </w:divBdr>
                          <w:divsChild>
                            <w:div w:id="2082748206">
                              <w:marLeft w:val="0"/>
                              <w:marRight w:val="0"/>
                              <w:marTop w:val="0"/>
                              <w:marBottom w:val="0"/>
                              <w:divBdr>
                                <w:top w:val="none" w:sz="0" w:space="0" w:color="auto"/>
                                <w:left w:val="none" w:sz="0" w:space="0" w:color="auto"/>
                                <w:bottom w:val="none" w:sz="0" w:space="0" w:color="auto"/>
                                <w:right w:val="none" w:sz="0" w:space="0" w:color="auto"/>
                              </w:divBdr>
                              <w:divsChild>
                                <w:div w:id="1691760911">
                                  <w:marLeft w:val="0"/>
                                  <w:marRight w:val="0"/>
                                  <w:marTop w:val="0"/>
                                  <w:marBottom w:val="0"/>
                                  <w:divBdr>
                                    <w:top w:val="none" w:sz="0" w:space="0" w:color="auto"/>
                                    <w:left w:val="none" w:sz="0" w:space="0" w:color="auto"/>
                                    <w:bottom w:val="none" w:sz="0" w:space="0" w:color="auto"/>
                                    <w:right w:val="none" w:sz="0" w:space="0" w:color="auto"/>
                                  </w:divBdr>
                                  <w:divsChild>
                                    <w:div w:id="1824807942">
                                      <w:marLeft w:val="0"/>
                                      <w:marRight w:val="0"/>
                                      <w:marTop w:val="0"/>
                                      <w:marBottom w:val="0"/>
                                      <w:divBdr>
                                        <w:top w:val="none" w:sz="0" w:space="0" w:color="auto"/>
                                        <w:left w:val="none" w:sz="0" w:space="0" w:color="auto"/>
                                        <w:bottom w:val="none" w:sz="0" w:space="0" w:color="auto"/>
                                        <w:right w:val="none" w:sz="0" w:space="0" w:color="auto"/>
                                      </w:divBdr>
                                      <w:divsChild>
                                        <w:div w:id="41096383">
                                          <w:marLeft w:val="0"/>
                                          <w:marRight w:val="0"/>
                                          <w:marTop w:val="0"/>
                                          <w:marBottom w:val="0"/>
                                          <w:divBdr>
                                            <w:top w:val="none" w:sz="0" w:space="0" w:color="auto"/>
                                            <w:left w:val="single" w:sz="6" w:space="0" w:color="999999"/>
                                            <w:bottom w:val="none" w:sz="0" w:space="0" w:color="auto"/>
                                            <w:right w:val="none" w:sz="0" w:space="0" w:color="auto"/>
                                          </w:divBdr>
                                          <w:divsChild>
                                            <w:div w:id="1625884426">
                                              <w:marLeft w:val="0"/>
                                              <w:marRight w:val="0"/>
                                              <w:marTop w:val="150"/>
                                              <w:marBottom w:val="150"/>
                                              <w:divBdr>
                                                <w:top w:val="none" w:sz="0" w:space="0" w:color="auto"/>
                                                <w:left w:val="none" w:sz="0" w:space="0" w:color="auto"/>
                                                <w:bottom w:val="none" w:sz="0" w:space="0" w:color="auto"/>
                                                <w:right w:val="none" w:sz="0" w:space="0" w:color="auto"/>
                                              </w:divBdr>
                                              <w:divsChild>
                                                <w:div w:id="913127017">
                                                  <w:marLeft w:val="0"/>
                                                  <w:marRight w:val="0"/>
                                                  <w:marTop w:val="0"/>
                                                  <w:marBottom w:val="0"/>
                                                  <w:divBdr>
                                                    <w:top w:val="none" w:sz="0" w:space="0" w:color="auto"/>
                                                    <w:left w:val="none" w:sz="0" w:space="0" w:color="auto"/>
                                                    <w:bottom w:val="none" w:sz="0" w:space="0" w:color="auto"/>
                                                    <w:right w:val="none" w:sz="0" w:space="0" w:color="auto"/>
                                                  </w:divBdr>
                                                  <w:divsChild>
                                                    <w:div w:id="27414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2807788">
      <w:bodyDiv w:val="1"/>
      <w:marLeft w:val="0"/>
      <w:marRight w:val="0"/>
      <w:marTop w:val="0"/>
      <w:marBottom w:val="0"/>
      <w:divBdr>
        <w:top w:val="none" w:sz="0" w:space="0" w:color="auto"/>
        <w:left w:val="none" w:sz="0" w:space="0" w:color="auto"/>
        <w:bottom w:val="none" w:sz="0" w:space="0" w:color="auto"/>
        <w:right w:val="none" w:sz="0" w:space="0" w:color="auto"/>
      </w:divBdr>
      <w:divsChild>
        <w:div w:id="912354768">
          <w:marLeft w:val="0"/>
          <w:marRight w:val="0"/>
          <w:marTop w:val="0"/>
          <w:marBottom w:val="0"/>
          <w:divBdr>
            <w:top w:val="none" w:sz="0" w:space="0" w:color="auto"/>
            <w:left w:val="none" w:sz="0" w:space="0" w:color="auto"/>
            <w:bottom w:val="none" w:sz="0" w:space="0" w:color="auto"/>
            <w:right w:val="none" w:sz="0" w:space="0" w:color="auto"/>
          </w:divBdr>
          <w:divsChild>
            <w:div w:id="1818568515">
              <w:marLeft w:val="0"/>
              <w:marRight w:val="0"/>
              <w:marTop w:val="0"/>
              <w:marBottom w:val="0"/>
              <w:divBdr>
                <w:top w:val="none" w:sz="0" w:space="0" w:color="auto"/>
                <w:left w:val="none" w:sz="0" w:space="0" w:color="auto"/>
                <w:bottom w:val="none" w:sz="0" w:space="0" w:color="auto"/>
                <w:right w:val="none" w:sz="0" w:space="0" w:color="auto"/>
              </w:divBdr>
              <w:divsChild>
                <w:div w:id="554976283">
                  <w:marLeft w:val="0"/>
                  <w:marRight w:val="0"/>
                  <w:marTop w:val="0"/>
                  <w:marBottom w:val="0"/>
                  <w:divBdr>
                    <w:top w:val="none" w:sz="0" w:space="0" w:color="auto"/>
                    <w:left w:val="none" w:sz="0" w:space="0" w:color="auto"/>
                    <w:bottom w:val="none" w:sz="0" w:space="0" w:color="auto"/>
                    <w:right w:val="none" w:sz="0" w:space="0" w:color="auto"/>
                  </w:divBdr>
                  <w:divsChild>
                    <w:div w:id="144467616">
                      <w:marLeft w:val="0"/>
                      <w:marRight w:val="0"/>
                      <w:marTop w:val="0"/>
                      <w:marBottom w:val="0"/>
                      <w:divBdr>
                        <w:top w:val="none" w:sz="0" w:space="0" w:color="auto"/>
                        <w:left w:val="none" w:sz="0" w:space="0" w:color="auto"/>
                        <w:bottom w:val="none" w:sz="0" w:space="0" w:color="auto"/>
                        <w:right w:val="none" w:sz="0" w:space="0" w:color="auto"/>
                      </w:divBdr>
                      <w:divsChild>
                        <w:div w:id="868180579">
                          <w:marLeft w:val="0"/>
                          <w:marRight w:val="0"/>
                          <w:marTop w:val="0"/>
                          <w:marBottom w:val="0"/>
                          <w:divBdr>
                            <w:top w:val="none" w:sz="0" w:space="0" w:color="auto"/>
                            <w:left w:val="none" w:sz="0" w:space="0" w:color="auto"/>
                            <w:bottom w:val="none" w:sz="0" w:space="0" w:color="auto"/>
                            <w:right w:val="none" w:sz="0" w:space="0" w:color="auto"/>
                          </w:divBdr>
                          <w:divsChild>
                            <w:div w:id="235669606">
                              <w:marLeft w:val="0"/>
                              <w:marRight w:val="0"/>
                              <w:marTop w:val="0"/>
                              <w:marBottom w:val="0"/>
                              <w:divBdr>
                                <w:top w:val="none" w:sz="0" w:space="0" w:color="auto"/>
                                <w:left w:val="none" w:sz="0" w:space="0" w:color="auto"/>
                                <w:bottom w:val="none" w:sz="0" w:space="0" w:color="auto"/>
                                <w:right w:val="none" w:sz="0" w:space="0" w:color="auto"/>
                              </w:divBdr>
                              <w:divsChild>
                                <w:div w:id="1809785175">
                                  <w:marLeft w:val="0"/>
                                  <w:marRight w:val="0"/>
                                  <w:marTop w:val="0"/>
                                  <w:marBottom w:val="0"/>
                                  <w:divBdr>
                                    <w:top w:val="none" w:sz="0" w:space="0" w:color="auto"/>
                                    <w:left w:val="none" w:sz="0" w:space="0" w:color="auto"/>
                                    <w:bottom w:val="none" w:sz="0" w:space="0" w:color="auto"/>
                                    <w:right w:val="none" w:sz="0" w:space="0" w:color="auto"/>
                                  </w:divBdr>
                                  <w:divsChild>
                                    <w:div w:id="1872180924">
                                      <w:marLeft w:val="0"/>
                                      <w:marRight w:val="0"/>
                                      <w:marTop w:val="0"/>
                                      <w:marBottom w:val="0"/>
                                      <w:divBdr>
                                        <w:top w:val="none" w:sz="0" w:space="0" w:color="auto"/>
                                        <w:left w:val="none" w:sz="0" w:space="0" w:color="auto"/>
                                        <w:bottom w:val="none" w:sz="0" w:space="0" w:color="auto"/>
                                        <w:right w:val="none" w:sz="0" w:space="0" w:color="auto"/>
                                      </w:divBdr>
                                      <w:divsChild>
                                        <w:div w:id="949624877">
                                          <w:marLeft w:val="0"/>
                                          <w:marRight w:val="0"/>
                                          <w:marTop w:val="0"/>
                                          <w:marBottom w:val="0"/>
                                          <w:divBdr>
                                            <w:top w:val="none" w:sz="0" w:space="0" w:color="auto"/>
                                            <w:left w:val="single" w:sz="6" w:space="0" w:color="999999"/>
                                            <w:bottom w:val="none" w:sz="0" w:space="0" w:color="auto"/>
                                            <w:right w:val="none" w:sz="0" w:space="0" w:color="auto"/>
                                          </w:divBdr>
                                          <w:divsChild>
                                            <w:div w:id="1607225915">
                                              <w:marLeft w:val="0"/>
                                              <w:marRight w:val="0"/>
                                              <w:marTop w:val="150"/>
                                              <w:marBottom w:val="150"/>
                                              <w:divBdr>
                                                <w:top w:val="none" w:sz="0" w:space="0" w:color="auto"/>
                                                <w:left w:val="none" w:sz="0" w:space="0" w:color="auto"/>
                                                <w:bottom w:val="none" w:sz="0" w:space="0" w:color="auto"/>
                                                <w:right w:val="none" w:sz="0" w:space="0" w:color="auto"/>
                                              </w:divBdr>
                                              <w:divsChild>
                                                <w:div w:id="1213231034">
                                                  <w:marLeft w:val="0"/>
                                                  <w:marRight w:val="0"/>
                                                  <w:marTop w:val="0"/>
                                                  <w:marBottom w:val="0"/>
                                                  <w:divBdr>
                                                    <w:top w:val="none" w:sz="0" w:space="0" w:color="auto"/>
                                                    <w:left w:val="none" w:sz="0" w:space="0" w:color="auto"/>
                                                    <w:bottom w:val="none" w:sz="0" w:space="0" w:color="auto"/>
                                                    <w:right w:val="none" w:sz="0" w:space="0" w:color="auto"/>
                                                  </w:divBdr>
                                                  <w:divsChild>
                                                    <w:div w:id="5298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3334453">
      <w:bodyDiv w:val="1"/>
      <w:marLeft w:val="0"/>
      <w:marRight w:val="0"/>
      <w:marTop w:val="0"/>
      <w:marBottom w:val="0"/>
      <w:divBdr>
        <w:top w:val="none" w:sz="0" w:space="0" w:color="auto"/>
        <w:left w:val="none" w:sz="0" w:space="0" w:color="auto"/>
        <w:bottom w:val="none" w:sz="0" w:space="0" w:color="auto"/>
        <w:right w:val="none" w:sz="0" w:space="0" w:color="auto"/>
      </w:divBdr>
      <w:divsChild>
        <w:div w:id="854542658">
          <w:marLeft w:val="0"/>
          <w:marRight w:val="0"/>
          <w:marTop w:val="0"/>
          <w:marBottom w:val="0"/>
          <w:divBdr>
            <w:top w:val="none" w:sz="0" w:space="0" w:color="auto"/>
            <w:left w:val="none" w:sz="0" w:space="0" w:color="auto"/>
            <w:bottom w:val="none" w:sz="0" w:space="0" w:color="auto"/>
            <w:right w:val="none" w:sz="0" w:space="0" w:color="auto"/>
          </w:divBdr>
          <w:divsChild>
            <w:div w:id="1678847541">
              <w:marLeft w:val="0"/>
              <w:marRight w:val="0"/>
              <w:marTop w:val="0"/>
              <w:marBottom w:val="0"/>
              <w:divBdr>
                <w:top w:val="none" w:sz="0" w:space="0" w:color="auto"/>
                <w:left w:val="none" w:sz="0" w:space="0" w:color="auto"/>
                <w:bottom w:val="none" w:sz="0" w:space="0" w:color="auto"/>
                <w:right w:val="none" w:sz="0" w:space="0" w:color="auto"/>
              </w:divBdr>
              <w:divsChild>
                <w:div w:id="1446651706">
                  <w:marLeft w:val="0"/>
                  <w:marRight w:val="0"/>
                  <w:marTop w:val="0"/>
                  <w:marBottom w:val="0"/>
                  <w:divBdr>
                    <w:top w:val="none" w:sz="0" w:space="0" w:color="auto"/>
                    <w:left w:val="none" w:sz="0" w:space="0" w:color="auto"/>
                    <w:bottom w:val="none" w:sz="0" w:space="0" w:color="auto"/>
                    <w:right w:val="none" w:sz="0" w:space="0" w:color="auto"/>
                  </w:divBdr>
                  <w:divsChild>
                    <w:div w:id="424766357">
                      <w:marLeft w:val="0"/>
                      <w:marRight w:val="0"/>
                      <w:marTop w:val="0"/>
                      <w:marBottom w:val="0"/>
                      <w:divBdr>
                        <w:top w:val="none" w:sz="0" w:space="0" w:color="auto"/>
                        <w:left w:val="none" w:sz="0" w:space="0" w:color="auto"/>
                        <w:bottom w:val="none" w:sz="0" w:space="0" w:color="auto"/>
                        <w:right w:val="none" w:sz="0" w:space="0" w:color="auto"/>
                      </w:divBdr>
                      <w:divsChild>
                        <w:div w:id="1293897851">
                          <w:marLeft w:val="0"/>
                          <w:marRight w:val="0"/>
                          <w:marTop w:val="0"/>
                          <w:marBottom w:val="0"/>
                          <w:divBdr>
                            <w:top w:val="none" w:sz="0" w:space="0" w:color="auto"/>
                            <w:left w:val="none" w:sz="0" w:space="0" w:color="auto"/>
                            <w:bottom w:val="none" w:sz="0" w:space="0" w:color="auto"/>
                            <w:right w:val="none" w:sz="0" w:space="0" w:color="auto"/>
                          </w:divBdr>
                          <w:divsChild>
                            <w:div w:id="1126118652">
                              <w:marLeft w:val="0"/>
                              <w:marRight w:val="0"/>
                              <w:marTop w:val="0"/>
                              <w:marBottom w:val="0"/>
                              <w:divBdr>
                                <w:top w:val="none" w:sz="0" w:space="0" w:color="auto"/>
                                <w:left w:val="none" w:sz="0" w:space="0" w:color="auto"/>
                                <w:bottom w:val="none" w:sz="0" w:space="0" w:color="auto"/>
                                <w:right w:val="none" w:sz="0" w:space="0" w:color="auto"/>
                              </w:divBdr>
                              <w:divsChild>
                                <w:div w:id="717700419">
                                  <w:marLeft w:val="0"/>
                                  <w:marRight w:val="0"/>
                                  <w:marTop w:val="0"/>
                                  <w:marBottom w:val="0"/>
                                  <w:divBdr>
                                    <w:top w:val="none" w:sz="0" w:space="0" w:color="auto"/>
                                    <w:left w:val="none" w:sz="0" w:space="0" w:color="auto"/>
                                    <w:bottom w:val="none" w:sz="0" w:space="0" w:color="auto"/>
                                    <w:right w:val="none" w:sz="0" w:space="0" w:color="auto"/>
                                  </w:divBdr>
                                  <w:divsChild>
                                    <w:div w:id="676074288">
                                      <w:marLeft w:val="0"/>
                                      <w:marRight w:val="0"/>
                                      <w:marTop w:val="0"/>
                                      <w:marBottom w:val="0"/>
                                      <w:divBdr>
                                        <w:top w:val="none" w:sz="0" w:space="0" w:color="auto"/>
                                        <w:left w:val="none" w:sz="0" w:space="0" w:color="auto"/>
                                        <w:bottom w:val="none" w:sz="0" w:space="0" w:color="auto"/>
                                        <w:right w:val="none" w:sz="0" w:space="0" w:color="auto"/>
                                      </w:divBdr>
                                      <w:divsChild>
                                        <w:div w:id="2052263064">
                                          <w:marLeft w:val="0"/>
                                          <w:marRight w:val="0"/>
                                          <w:marTop w:val="0"/>
                                          <w:marBottom w:val="0"/>
                                          <w:divBdr>
                                            <w:top w:val="none" w:sz="0" w:space="0" w:color="auto"/>
                                            <w:left w:val="single" w:sz="6" w:space="0" w:color="999999"/>
                                            <w:bottom w:val="none" w:sz="0" w:space="0" w:color="auto"/>
                                            <w:right w:val="none" w:sz="0" w:space="0" w:color="auto"/>
                                          </w:divBdr>
                                          <w:divsChild>
                                            <w:div w:id="336924486">
                                              <w:marLeft w:val="0"/>
                                              <w:marRight w:val="0"/>
                                              <w:marTop w:val="150"/>
                                              <w:marBottom w:val="150"/>
                                              <w:divBdr>
                                                <w:top w:val="none" w:sz="0" w:space="0" w:color="auto"/>
                                                <w:left w:val="none" w:sz="0" w:space="0" w:color="auto"/>
                                                <w:bottom w:val="none" w:sz="0" w:space="0" w:color="auto"/>
                                                <w:right w:val="none" w:sz="0" w:space="0" w:color="auto"/>
                                              </w:divBdr>
                                              <w:divsChild>
                                                <w:div w:id="321783365">
                                                  <w:marLeft w:val="0"/>
                                                  <w:marRight w:val="0"/>
                                                  <w:marTop w:val="0"/>
                                                  <w:marBottom w:val="0"/>
                                                  <w:divBdr>
                                                    <w:top w:val="none" w:sz="0" w:space="0" w:color="auto"/>
                                                    <w:left w:val="none" w:sz="0" w:space="0" w:color="auto"/>
                                                    <w:bottom w:val="none" w:sz="0" w:space="0" w:color="auto"/>
                                                    <w:right w:val="none" w:sz="0" w:space="0" w:color="auto"/>
                                                  </w:divBdr>
                                                  <w:divsChild>
                                                    <w:div w:id="74719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ENTELT\AppData\Roaming\Microsoft\Templates\SmPC%20standar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F6566F90DF413DADCB5BDC155EB4E5"/>
        <w:category>
          <w:name w:val="Allgemein"/>
          <w:gallery w:val="placeholder"/>
        </w:category>
        <w:types>
          <w:type w:val="bbPlcHdr"/>
        </w:types>
        <w:behaviors>
          <w:behavior w:val="content"/>
        </w:behaviors>
        <w:guid w:val="{C0A6D6F8-BB58-4CD1-93AF-1111C12439C7}"/>
      </w:docPartPr>
      <w:docPartBody>
        <w:p w:rsidR="00D42167" w:rsidRDefault="00FF306E" w:rsidP="00FF306E">
          <w:pPr>
            <w:pStyle w:val="68F6566F90DF413DADCB5BDC155EB4E5"/>
          </w:pPr>
          <w:r w:rsidRPr="00A77310">
            <w:rPr>
              <w:rStyle w:val="Zstupntext"/>
            </w:rPr>
            <w:t>[Abstract]</w:t>
          </w:r>
        </w:p>
      </w:docPartBody>
    </w:docPart>
    <w:docPart>
      <w:docPartPr>
        <w:name w:val="DefaultPlaceholder_1082065158"/>
        <w:category>
          <w:name w:val="Allgemein"/>
          <w:gallery w:val="placeholder"/>
        </w:category>
        <w:types>
          <w:type w:val="bbPlcHdr"/>
        </w:types>
        <w:behaviors>
          <w:behavior w:val="content"/>
        </w:behaviors>
        <w:guid w:val="{9E0A9473-3196-4BAC-BBC2-B3DE70644109}"/>
      </w:docPartPr>
      <w:docPartBody>
        <w:p w:rsidR="00D42167" w:rsidRDefault="00FF306E">
          <w:r w:rsidRPr="005E6B2C">
            <w:rPr>
              <w:rStyle w:val="Zstupn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06E"/>
    <w:rsid w:val="00010550"/>
    <w:rsid w:val="00060C39"/>
    <w:rsid w:val="002223C1"/>
    <w:rsid w:val="0091343A"/>
    <w:rsid w:val="00C8159B"/>
    <w:rsid w:val="00CB28E6"/>
    <w:rsid w:val="00D01367"/>
    <w:rsid w:val="00D42167"/>
    <w:rsid w:val="00DF60AF"/>
    <w:rsid w:val="00FF30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D01367"/>
    <w:rPr>
      <w:color w:val="808080"/>
    </w:rPr>
  </w:style>
  <w:style w:type="paragraph" w:customStyle="1" w:styleId="05088173E8734748843BF1CD3C6DAD0B">
    <w:name w:val="05088173E8734748843BF1CD3C6DAD0B"/>
    <w:rsid w:val="00FF306E"/>
  </w:style>
  <w:style w:type="paragraph" w:customStyle="1" w:styleId="B26B52B980E640A493B56476AF0F90BC">
    <w:name w:val="B26B52B980E640A493B56476AF0F90BC"/>
    <w:rsid w:val="00FF306E"/>
  </w:style>
  <w:style w:type="paragraph" w:customStyle="1" w:styleId="B46B173423C74601A64303B2086B6555">
    <w:name w:val="B46B173423C74601A64303B2086B6555"/>
    <w:rsid w:val="00FF306E"/>
  </w:style>
  <w:style w:type="paragraph" w:customStyle="1" w:styleId="89C140D451B242FFB8FC288697F42974">
    <w:name w:val="89C140D451B242FFB8FC288697F42974"/>
    <w:rsid w:val="00FF306E"/>
  </w:style>
  <w:style w:type="paragraph" w:customStyle="1" w:styleId="F9AAB87FB0994F71BBA0725AD4C0E6D2">
    <w:name w:val="F9AAB87FB0994F71BBA0725AD4C0E6D2"/>
    <w:rsid w:val="00FF306E"/>
  </w:style>
  <w:style w:type="paragraph" w:customStyle="1" w:styleId="6397BCC6048244CE9E145DFAA9B92263">
    <w:name w:val="6397BCC6048244CE9E145DFAA9B92263"/>
    <w:rsid w:val="00FF306E"/>
  </w:style>
  <w:style w:type="paragraph" w:customStyle="1" w:styleId="CC6AC5F284E34B8195E81ABBA3194FC1">
    <w:name w:val="CC6AC5F284E34B8195E81ABBA3194FC1"/>
    <w:rsid w:val="00FF306E"/>
  </w:style>
  <w:style w:type="paragraph" w:customStyle="1" w:styleId="68F6566F90DF413DADCB5BDC155EB4E5">
    <w:name w:val="68F6566F90DF413DADCB5BDC155EB4E5"/>
    <w:rsid w:val="00FF306E"/>
  </w:style>
  <w:style w:type="paragraph" w:customStyle="1" w:styleId="CAD81B9C933B4637868327BEBA559E62">
    <w:name w:val="CAD81B9C933B4637868327BEBA559E62"/>
    <w:rsid w:val="00FF306E"/>
  </w:style>
  <w:style w:type="paragraph" w:customStyle="1" w:styleId="F7A99C09D1A94B558E585CDF112D0745">
    <w:name w:val="F7A99C09D1A94B558E585CDF112D0745"/>
    <w:rsid w:val="00FF306E"/>
  </w:style>
  <w:style w:type="paragraph" w:customStyle="1" w:styleId="E9A96B132CE24733A500FB62B30CAF3E">
    <w:name w:val="E9A96B132CE24733A500FB62B30CAF3E"/>
    <w:rsid w:val="00FF306E"/>
  </w:style>
  <w:style w:type="paragraph" w:customStyle="1" w:styleId="0A55B74BB5C14193B9ED32935E40991C">
    <w:name w:val="0A55B74BB5C14193B9ED32935E40991C"/>
    <w:rsid w:val="00FF306E"/>
  </w:style>
  <w:style w:type="paragraph" w:customStyle="1" w:styleId="2CB7D9A9FBFF4C0D9E7D76885EDF087A">
    <w:name w:val="2CB7D9A9FBFF4C0D9E7D76885EDF087A"/>
    <w:rsid w:val="00FF306E"/>
  </w:style>
  <w:style w:type="paragraph" w:customStyle="1" w:styleId="A9D9654006074A47BAB9E4FDF3FFF419">
    <w:name w:val="A9D9654006074A47BAB9E4FDF3FFF419"/>
    <w:rsid w:val="00FF306E"/>
  </w:style>
  <w:style w:type="paragraph" w:customStyle="1" w:styleId="D0E6F0D0B9D74B0985FFB6AACC7DC1BD">
    <w:name w:val="D0E6F0D0B9D74B0985FFB6AACC7DC1BD"/>
    <w:rsid w:val="00FF306E"/>
  </w:style>
  <w:style w:type="paragraph" w:customStyle="1" w:styleId="54231D0F08C64C79AA1FF7C3A5E3D1F5">
    <w:name w:val="54231D0F08C64C79AA1FF7C3A5E3D1F5"/>
    <w:rsid w:val="00FF306E"/>
  </w:style>
  <w:style w:type="paragraph" w:customStyle="1" w:styleId="22F0659506D34C9C84F3E489AE5433C6">
    <w:name w:val="22F0659506D34C9C84F3E489AE5433C6"/>
    <w:rsid w:val="00FF306E"/>
  </w:style>
  <w:style w:type="paragraph" w:customStyle="1" w:styleId="3E7D3E5DC99F4EE6A482534596FC7238">
    <w:name w:val="3E7D3E5DC99F4EE6A482534596FC7238"/>
    <w:rsid w:val="00FF306E"/>
  </w:style>
  <w:style w:type="paragraph" w:customStyle="1" w:styleId="601EA49450A64D83B6638009DB1568C9">
    <w:name w:val="601EA49450A64D83B6638009DB1568C9"/>
    <w:rsid w:val="00FF306E"/>
  </w:style>
  <w:style w:type="paragraph" w:customStyle="1" w:styleId="4D55D06951FD45AC9627B84DAA601101">
    <w:name w:val="4D55D06951FD45AC9627B84DAA601101"/>
    <w:rsid w:val="00FF306E"/>
  </w:style>
  <w:style w:type="paragraph" w:customStyle="1" w:styleId="0BA4B531A06C4AE5B73C95E6E7B50CB9">
    <w:name w:val="0BA4B531A06C4AE5B73C95E6E7B50CB9"/>
    <w:rsid w:val="00FF306E"/>
  </w:style>
  <w:style w:type="paragraph" w:customStyle="1" w:styleId="0B11AA27A0FF4885956E1C19535195F4">
    <w:name w:val="0B11AA27A0FF4885956E1C19535195F4"/>
    <w:rsid w:val="00FF306E"/>
  </w:style>
  <w:style w:type="paragraph" w:customStyle="1" w:styleId="81D62287EB744247B50F3F29545BB843">
    <w:name w:val="81D62287EB744247B50F3F29545BB843"/>
    <w:rsid w:val="00FF306E"/>
  </w:style>
  <w:style w:type="paragraph" w:customStyle="1" w:styleId="DDFD17BAFCCE4260B7A0811D0014FC2B">
    <w:name w:val="DDFD17BAFCCE4260B7A0811D0014FC2B"/>
    <w:rsid w:val="00FF306E"/>
  </w:style>
  <w:style w:type="paragraph" w:customStyle="1" w:styleId="C6CCBD2D5C394AF89F0358563EA68833">
    <w:name w:val="C6CCBD2D5C394AF89F0358563EA68833"/>
    <w:rsid w:val="00FF306E"/>
  </w:style>
  <w:style w:type="paragraph" w:customStyle="1" w:styleId="533EE5C6821E4388B393782F7DDB1BE3">
    <w:name w:val="533EE5C6821E4388B393782F7DDB1BE3"/>
    <w:rsid w:val="00FF306E"/>
  </w:style>
  <w:style w:type="paragraph" w:customStyle="1" w:styleId="DD67E01A0A6444129640C5C8A198C17F">
    <w:name w:val="DD67E01A0A6444129640C5C8A198C17F"/>
    <w:rsid w:val="00FF306E"/>
  </w:style>
  <w:style w:type="paragraph" w:customStyle="1" w:styleId="72FBB31FDD0448A59FCC3788A02EFD46">
    <w:name w:val="72FBB31FDD0448A59FCC3788A02EFD46"/>
    <w:rsid w:val="00FF306E"/>
  </w:style>
  <w:style w:type="paragraph" w:customStyle="1" w:styleId="1C6C92AD9948451CBE3684ABE695C72B">
    <w:name w:val="1C6C92AD9948451CBE3684ABE695C72B"/>
    <w:rsid w:val="00FF306E"/>
  </w:style>
  <w:style w:type="paragraph" w:customStyle="1" w:styleId="0C77A570C743400DABD45F75C361B522">
    <w:name w:val="0C77A570C743400DABD45F75C361B522"/>
    <w:rsid w:val="00FF306E"/>
  </w:style>
  <w:style w:type="paragraph" w:customStyle="1" w:styleId="2A16A3033FDF49A8BB6D921771097B2F">
    <w:name w:val="2A16A3033FDF49A8BB6D921771097B2F"/>
    <w:rsid w:val="00FF306E"/>
  </w:style>
  <w:style w:type="paragraph" w:customStyle="1" w:styleId="596EE5C759AC435CA9C1CD68CE4C3E67">
    <w:name w:val="596EE5C759AC435CA9C1CD68CE4C3E67"/>
    <w:rsid w:val="00FF306E"/>
  </w:style>
  <w:style w:type="paragraph" w:customStyle="1" w:styleId="667253B6D2664848B80D5A244456A767">
    <w:name w:val="667253B6D2664848B80D5A244456A767"/>
    <w:rsid w:val="0091343A"/>
  </w:style>
  <w:style w:type="paragraph" w:customStyle="1" w:styleId="263BA30C0BDA4A07A868371B090CEA5A">
    <w:name w:val="263BA30C0BDA4A07A868371B090CEA5A"/>
    <w:rsid w:val="00060C39"/>
  </w:style>
  <w:style w:type="paragraph" w:customStyle="1" w:styleId="19904A97B4E5425080ED1AB66BD5918B">
    <w:name w:val="19904A97B4E5425080ED1AB66BD5918B"/>
    <w:rsid w:val="00060C39"/>
  </w:style>
  <w:style w:type="paragraph" w:customStyle="1" w:styleId="2E7839CABA574037A20277F565C8086D">
    <w:name w:val="2E7839CABA574037A20277F565C8086D"/>
    <w:rsid w:val="00060C39"/>
  </w:style>
  <w:style w:type="paragraph" w:customStyle="1" w:styleId="ECC1C12C126D4427AD49324D0D3AAA1D">
    <w:name w:val="ECC1C12C126D4427AD49324D0D3AAA1D"/>
    <w:rsid w:val="00060C39"/>
  </w:style>
  <w:style w:type="paragraph" w:customStyle="1" w:styleId="C8169AB025BE4785ACE0553065080D89">
    <w:name w:val="C8169AB025BE4785ACE0553065080D89"/>
    <w:rsid w:val="00060C39"/>
  </w:style>
  <w:style w:type="paragraph" w:customStyle="1" w:styleId="78C5E03ABE104F2F86C2BC8EFD9058DE">
    <w:name w:val="78C5E03ABE104F2F86C2BC8EFD9058DE"/>
    <w:rsid w:val="00060C39"/>
  </w:style>
  <w:style w:type="paragraph" w:customStyle="1" w:styleId="1D1B4544E1E74425BE8BD3C61DAFF9D5">
    <w:name w:val="1D1B4544E1E74425BE8BD3C61DAFF9D5"/>
    <w:rsid w:val="00010550"/>
  </w:style>
  <w:style w:type="paragraph" w:customStyle="1" w:styleId="15CCD26925474C859AFE462E734F9B90">
    <w:name w:val="15CCD26925474C859AFE462E734F9B90"/>
    <w:rsid w:val="00D01367"/>
    <w:pPr>
      <w:spacing w:after="160" w:line="259" w:lineRule="auto"/>
    </w:pPr>
    <w:rPr>
      <w:lang w:val="sk-SK" w:eastAsia="sk-SK"/>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Siofor SR</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B4B3B4-FC2D-460B-A77D-0D9BCED22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SmPC standard.dotm</Template>
  <TotalTime>155</TotalTime>
  <Pages>9</Pages>
  <Words>3181</Words>
  <Characters>18133</Characters>
  <Application>Microsoft Office Word</Application>
  <DocSecurity>0</DocSecurity>
  <Lines>151</Lines>
  <Paragraphs>42</Paragraphs>
  <ScaleCrop>false</ScaleCrop>
  <HeadingPairs>
    <vt:vector size="6" baseType="variant">
      <vt:variant>
        <vt:lpstr>Názov</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Berlin-Chemie AG/Menarini</Company>
  <LinksUpToDate>false</LinksUpToDate>
  <CharactersWithSpaces>21272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 Ghannam, Hatem</dc:creator>
  <cp:lastModifiedBy>Kristína Ráczová</cp:lastModifiedBy>
  <cp:revision>54</cp:revision>
  <cp:lastPrinted>2017-02-22T08:59:00Z</cp:lastPrinted>
  <dcterms:created xsi:type="dcterms:W3CDTF">2018-10-01T12:18:00Z</dcterms:created>
  <dcterms:modified xsi:type="dcterms:W3CDTF">2018-11-22T10:43:00Z</dcterms:modified>
</cp:coreProperties>
</file>