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B9E87" w14:textId="77777777" w:rsidR="00444697" w:rsidRPr="0074209D" w:rsidRDefault="00444697" w:rsidP="00DB5DD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731971A" w14:textId="3A199B5D" w:rsidR="00CD2733" w:rsidRPr="0074209D" w:rsidRDefault="00CD2733" w:rsidP="00CD273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b/>
          <w:bCs/>
          <w:spacing w:val="-1"/>
          <w:lang w:val="sk-SK"/>
        </w:rPr>
        <w:t>SÚHR</w:t>
      </w:r>
      <w:r w:rsidRPr="0074209D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74209D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CHARAKTERISTICKÝC</w:t>
      </w:r>
      <w:r w:rsidRPr="0074209D">
        <w:rPr>
          <w:rFonts w:ascii="Times New Roman" w:eastAsia="Times New Roman" w:hAnsi="Times New Roman" w:cs="Times New Roman"/>
          <w:b/>
          <w:bCs/>
          <w:lang w:val="sk-SK"/>
        </w:rPr>
        <w:t>H</w:t>
      </w:r>
      <w:r w:rsidRPr="0074209D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VLASTNOST</w:t>
      </w:r>
      <w:r w:rsidRPr="0074209D">
        <w:rPr>
          <w:rFonts w:ascii="Times New Roman" w:eastAsia="Times New Roman" w:hAnsi="Times New Roman" w:cs="Times New Roman"/>
          <w:b/>
          <w:bCs/>
          <w:lang w:val="sk-SK"/>
        </w:rPr>
        <w:t>Í</w:t>
      </w:r>
      <w:r w:rsidRPr="0074209D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LIE</w:t>
      </w:r>
      <w:r w:rsidRPr="0074209D">
        <w:rPr>
          <w:rFonts w:ascii="Times New Roman" w:eastAsia="Times New Roman" w:hAnsi="Times New Roman" w:cs="Times New Roman"/>
          <w:b/>
          <w:bCs/>
          <w:spacing w:val="1"/>
          <w:lang w:val="sk-SK"/>
        </w:rPr>
        <w:t>K</w:t>
      </w:r>
      <w:r w:rsidRPr="0074209D">
        <w:rPr>
          <w:rFonts w:ascii="Times New Roman" w:eastAsia="Times New Roman" w:hAnsi="Times New Roman" w:cs="Times New Roman"/>
          <w:b/>
          <w:bCs/>
          <w:lang w:val="sk-SK"/>
        </w:rPr>
        <w:t>U</w:t>
      </w:r>
    </w:p>
    <w:p w14:paraId="023CF55B" w14:textId="77777777" w:rsidR="00CD2733" w:rsidRDefault="00CD2733" w:rsidP="00CD2733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779D4373" w14:textId="77777777" w:rsidR="00CD2733" w:rsidRDefault="00CD2733" w:rsidP="00473F05">
      <w:pPr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1EEB9E8B" w14:textId="1E42739C" w:rsidR="00444697" w:rsidRPr="0074209D" w:rsidRDefault="00E65915" w:rsidP="00473F05">
      <w:pPr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b/>
          <w:bCs/>
          <w:lang w:val="sk-SK"/>
        </w:rPr>
        <w:t>1.</w:t>
      </w:r>
      <w:r w:rsidRPr="0074209D">
        <w:rPr>
          <w:rFonts w:ascii="Times New Roman" w:eastAsia="Times New Roman" w:hAnsi="Times New Roman" w:cs="Times New Roman"/>
          <w:b/>
          <w:bCs/>
          <w:lang w:val="sk-SK"/>
        </w:rPr>
        <w:tab/>
        <w:t>NÁZOV LIEKU</w:t>
      </w:r>
    </w:p>
    <w:p w14:paraId="1EEB9E8C" w14:textId="77777777" w:rsidR="00444697" w:rsidRPr="0074209D" w:rsidRDefault="00444697" w:rsidP="00473F05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14:paraId="1EEB9E8D" w14:textId="05B71745" w:rsidR="00444697" w:rsidRPr="0074209D" w:rsidRDefault="001E1235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Gefitinib Teva </w:t>
      </w:r>
      <w:r w:rsidR="00444697" w:rsidRPr="0074209D">
        <w:rPr>
          <w:rFonts w:ascii="Times New Roman" w:eastAsia="Times New Roman" w:hAnsi="Times New Roman" w:cs="Times New Roman"/>
          <w:lang w:val="sk-SK"/>
        </w:rPr>
        <w:t>250 mg fil</w:t>
      </w:r>
      <w:r w:rsidR="00444697" w:rsidRPr="0074209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E65915" w:rsidRPr="0074209D">
        <w:rPr>
          <w:rFonts w:ascii="Times New Roman" w:eastAsia="Times New Roman" w:hAnsi="Times New Roman" w:cs="Times New Roman"/>
          <w:spacing w:val="-4"/>
          <w:lang w:val="sk-SK"/>
        </w:rPr>
        <w:t>om obalené</w:t>
      </w:r>
      <w:r w:rsidR="00E65915" w:rsidRPr="0074209D">
        <w:rPr>
          <w:rFonts w:ascii="Times New Roman" w:eastAsia="Times New Roman" w:hAnsi="Times New Roman" w:cs="Times New Roman"/>
          <w:lang w:val="sk-SK"/>
        </w:rPr>
        <w:t xml:space="preserve"> tablety</w:t>
      </w:r>
    </w:p>
    <w:p w14:paraId="1EEB9E8E" w14:textId="77777777" w:rsidR="00444697" w:rsidRPr="0074209D" w:rsidRDefault="00444697" w:rsidP="00473F05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14:paraId="1EEB9E8F" w14:textId="77777777" w:rsidR="00444697" w:rsidRPr="0074209D" w:rsidRDefault="00444697" w:rsidP="00473F05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14:paraId="1EEB9E90" w14:textId="54EAE38A" w:rsidR="00444697" w:rsidRPr="0074209D" w:rsidRDefault="00E65915" w:rsidP="00473F05">
      <w:pPr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b/>
          <w:bCs/>
          <w:lang w:val="sk-SK"/>
        </w:rPr>
        <w:t>2.</w:t>
      </w:r>
      <w:r w:rsidRPr="0074209D">
        <w:rPr>
          <w:rFonts w:ascii="Times New Roman" w:eastAsia="Times New Roman" w:hAnsi="Times New Roman" w:cs="Times New Roman"/>
          <w:b/>
          <w:bCs/>
          <w:lang w:val="sk-SK"/>
        </w:rPr>
        <w:tab/>
        <w:t>KVALITATÍVNE A KVANTITATÍVNE ZLOŽENIE</w:t>
      </w:r>
    </w:p>
    <w:p w14:paraId="1EEB9E91" w14:textId="77777777" w:rsidR="00444697" w:rsidRPr="0074209D" w:rsidRDefault="00444697" w:rsidP="00473F05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14:paraId="1EEB9E92" w14:textId="2D829905" w:rsidR="00444697" w:rsidRPr="0074209D" w:rsidRDefault="00E65915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 xml:space="preserve">Každá </w:t>
      </w:r>
      <w:r w:rsidR="00EE0B6B">
        <w:rPr>
          <w:rFonts w:ascii="Times New Roman" w:eastAsia="Times New Roman" w:hAnsi="Times New Roman" w:cs="Times New Roman"/>
          <w:lang w:val="sk-SK"/>
        </w:rPr>
        <w:t xml:space="preserve">filmom obalená </w:t>
      </w:r>
      <w:r w:rsidRPr="0074209D">
        <w:rPr>
          <w:rFonts w:ascii="Times New Roman" w:eastAsia="Times New Roman" w:hAnsi="Times New Roman" w:cs="Times New Roman"/>
          <w:lang w:val="sk-SK"/>
        </w:rPr>
        <w:t>tablet</w:t>
      </w:r>
      <w:r w:rsidR="00076221" w:rsidRPr="0074209D">
        <w:rPr>
          <w:rFonts w:ascii="Times New Roman" w:eastAsia="Times New Roman" w:hAnsi="Times New Roman" w:cs="Times New Roman"/>
          <w:lang w:val="sk-SK"/>
        </w:rPr>
        <w:t>a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obsahuje 250 mg </w:t>
      </w:r>
      <w:r w:rsidR="00444697" w:rsidRPr="0074209D">
        <w:rPr>
          <w:rFonts w:ascii="Times New Roman" w:eastAsia="Times New Roman" w:hAnsi="Times New Roman" w:cs="Times New Roman"/>
          <w:lang w:val="sk-SK"/>
        </w:rPr>
        <w:t>gefitinib</w:t>
      </w:r>
      <w:r w:rsidRPr="0074209D">
        <w:rPr>
          <w:rFonts w:ascii="Times New Roman" w:eastAsia="Times New Roman" w:hAnsi="Times New Roman" w:cs="Times New Roman"/>
          <w:lang w:val="sk-SK"/>
        </w:rPr>
        <w:t>u</w:t>
      </w:r>
      <w:r w:rsidR="00444697" w:rsidRPr="0074209D">
        <w:rPr>
          <w:rFonts w:ascii="Times New Roman" w:eastAsia="Times New Roman" w:hAnsi="Times New Roman" w:cs="Times New Roman"/>
          <w:lang w:val="sk-SK"/>
        </w:rPr>
        <w:t>.</w:t>
      </w:r>
    </w:p>
    <w:p w14:paraId="1EEB9E93" w14:textId="77777777" w:rsidR="00444697" w:rsidRPr="0074209D" w:rsidRDefault="00444697" w:rsidP="00473F05">
      <w:pPr>
        <w:pStyle w:val="EMEAEnBodyText"/>
        <w:autoSpaceDE w:val="0"/>
        <w:autoSpaceDN w:val="0"/>
        <w:adjustRightInd w:val="0"/>
        <w:spacing w:before="0" w:after="0"/>
        <w:ind w:right="-20"/>
        <w:rPr>
          <w:position w:val="-1"/>
          <w:u w:val="single" w:color="000000"/>
          <w:lang w:val="sk-SK"/>
        </w:rPr>
      </w:pPr>
    </w:p>
    <w:p w14:paraId="1ED9CD29" w14:textId="77777777" w:rsidR="003C1CC9" w:rsidRDefault="00076221" w:rsidP="00473F05">
      <w:pPr>
        <w:pStyle w:val="EMEAEnBodyText"/>
        <w:autoSpaceDE w:val="0"/>
        <w:autoSpaceDN w:val="0"/>
        <w:adjustRightInd w:val="0"/>
        <w:spacing w:before="0" w:after="0"/>
        <w:ind w:right="-20"/>
        <w:rPr>
          <w:spacing w:val="1"/>
          <w:position w:val="-1"/>
          <w:lang w:val="sk-SK"/>
        </w:rPr>
      </w:pPr>
      <w:r w:rsidRPr="0074209D">
        <w:rPr>
          <w:position w:val="-1"/>
          <w:u w:val="single"/>
          <w:lang w:val="sk-SK"/>
        </w:rPr>
        <w:t>Pomocná látka so známym účinkom</w:t>
      </w:r>
      <w:r w:rsidR="00444697" w:rsidRPr="0074209D">
        <w:rPr>
          <w:position w:val="-1"/>
          <w:u w:val="single"/>
          <w:lang w:val="sk-SK"/>
        </w:rPr>
        <w:t>:</w:t>
      </w:r>
      <w:r w:rsidR="00444697" w:rsidRPr="0074209D">
        <w:rPr>
          <w:spacing w:val="1"/>
          <w:position w:val="-1"/>
          <w:lang w:val="sk-SK"/>
        </w:rPr>
        <w:t xml:space="preserve"> </w:t>
      </w:r>
    </w:p>
    <w:p w14:paraId="34C6220A" w14:textId="77777777" w:rsidR="003C1CC9" w:rsidRDefault="003C1CC9" w:rsidP="00473F05">
      <w:pPr>
        <w:pStyle w:val="EMEAEnBodyText"/>
        <w:autoSpaceDE w:val="0"/>
        <w:autoSpaceDN w:val="0"/>
        <w:adjustRightInd w:val="0"/>
        <w:spacing w:before="0" w:after="0"/>
        <w:ind w:right="-20"/>
        <w:rPr>
          <w:spacing w:val="1"/>
          <w:position w:val="-1"/>
          <w:lang w:val="sk-SK"/>
        </w:rPr>
      </w:pPr>
    </w:p>
    <w:p w14:paraId="1EEB9E94" w14:textId="24A04D67" w:rsidR="00444697" w:rsidRPr="0074209D" w:rsidRDefault="00076221" w:rsidP="00473F05">
      <w:pPr>
        <w:pStyle w:val="EMEAEnBodyText"/>
        <w:autoSpaceDE w:val="0"/>
        <w:autoSpaceDN w:val="0"/>
        <w:adjustRightInd w:val="0"/>
        <w:spacing w:before="0" w:after="0"/>
        <w:ind w:right="-20"/>
        <w:rPr>
          <w:iCs/>
          <w:u w:val="single"/>
          <w:lang w:val="sk-SK"/>
        </w:rPr>
      </w:pPr>
      <w:r w:rsidRPr="0074209D">
        <w:rPr>
          <w:position w:val="-1"/>
          <w:lang w:val="sk-SK"/>
        </w:rPr>
        <w:t>Každá</w:t>
      </w:r>
      <w:r w:rsidR="00444697" w:rsidRPr="0074209D">
        <w:rPr>
          <w:spacing w:val="-1"/>
          <w:position w:val="-1"/>
          <w:lang w:val="sk-SK"/>
        </w:rPr>
        <w:t xml:space="preserve"> </w:t>
      </w:r>
      <w:r w:rsidR="00EE0B6B">
        <w:rPr>
          <w:spacing w:val="-1"/>
          <w:position w:val="-1"/>
          <w:lang w:val="sk-SK"/>
        </w:rPr>
        <w:t xml:space="preserve">filmom obalená </w:t>
      </w:r>
      <w:r w:rsidR="00444697" w:rsidRPr="0074209D">
        <w:rPr>
          <w:position w:val="-1"/>
          <w:lang w:val="sk-SK"/>
        </w:rPr>
        <w:t>tablet</w:t>
      </w:r>
      <w:r w:rsidRPr="0074209D">
        <w:rPr>
          <w:position w:val="-1"/>
          <w:lang w:val="sk-SK"/>
        </w:rPr>
        <w:t>a</w:t>
      </w:r>
      <w:r w:rsidR="00444697" w:rsidRPr="0074209D">
        <w:rPr>
          <w:spacing w:val="-1"/>
          <w:position w:val="-1"/>
          <w:lang w:val="sk-SK"/>
        </w:rPr>
        <w:t xml:space="preserve"> </w:t>
      </w:r>
      <w:r w:rsidRPr="0074209D">
        <w:rPr>
          <w:position w:val="-1"/>
          <w:lang w:val="sk-SK"/>
        </w:rPr>
        <w:t>obsahuje</w:t>
      </w:r>
      <w:r w:rsidR="00444697" w:rsidRPr="0074209D">
        <w:rPr>
          <w:spacing w:val="-1"/>
          <w:position w:val="-1"/>
          <w:lang w:val="sk-SK"/>
        </w:rPr>
        <w:t xml:space="preserve"> </w:t>
      </w:r>
      <w:r w:rsidR="00293FB8" w:rsidRPr="0074209D">
        <w:rPr>
          <w:position w:val="-1"/>
          <w:lang w:val="sk-SK"/>
        </w:rPr>
        <w:t>162</w:t>
      </w:r>
      <w:r w:rsidRPr="0074209D">
        <w:rPr>
          <w:position w:val="-1"/>
          <w:lang w:val="sk-SK"/>
        </w:rPr>
        <w:t> mg laktózy (vo forme monohydrátu</w:t>
      </w:r>
      <w:r w:rsidR="00444697" w:rsidRPr="0074209D">
        <w:rPr>
          <w:position w:val="-1"/>
          <w:lang w:val="sk-SK"/>
        </w:rPr>
        <w:t>)</w:t>
      </w:r>
      <w:r w:rsidRPr="0074209D">
        <w:rPr>
          <w:position w:val="-1"/>
          <w:lang w:val="sk-SK"/>
        </w:rPr>
        <w:t>.</w:t>
      </w:r>
    </w:p>
    <w:p w14:paraId="1EEB9E95" w14:textId="6C075FB3" w:rsidR="00444697" w:rsidRDefault="003C1CC9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Každá filmom obalená tableta obsahuje 1,783 mg sodíka.</w:t>
      </w:r>
    </w:p>
    <w:p w14:paraId="3014A743" w14:textId="77777777" w:rsidR="003C1CC9" w:rsidRPr="0074209D" w:rsidRDefault="003C1CC9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14:paraId="1EEB9E96" w14:textId="5237DB68" w:rsidR="00444697" w:rsidRPr="0074209D" w:rsidRDefault="00076221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>Úplný zoznam pomocných látok, pozri časť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="00444697" w:rsidRPr="0074209D">
        <w:rPr>
          <w:rFonts w:ascii="Times New Roman" w:eastAsia="Times New Roman" w:hAnsi="Times New Roman" w:cs="Times New Roman"/>
          <w:lang w:val="sk-SK"/>
        </w:rPr>
        <w:t>6.1.</w:t>
      </w:r>
    </w:p>
    <w:p w14:paraId="1EEB9E97" w14:textId="77777777" w:rsidR="00444697" w:rsidRPr="0074209D" w:rsidRDefault="00444697" w:rsidP="00473F05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14:paraId="1EEB9E98" w14:textId="77777777" w:rsidR="00444697" w:rsidRPr="0074209D" w:rsidRDefault="00444697" w:rsidP="00473F05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14:paraId="1EEB9E99" w14:textId="38D16D48" w:rsidR="00444697" w:rsidRPr="0074209D" w:rsidRDefault="00444697" w:rsidP="00473F05">
      <w:pPr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b/>
          <w:bCs/>
          <w:lang w:val="sk-SK"/>
        </w:rPr>
        <w:t>3.</w:t>
      </w:r>
      <w:r w:rsidRPr="0074209D">
        <w:rPr>
          <w:rFonts w:ascii="Times New Roman" w:eastAsia="Times New Roman" w:hAnsi="Times New Roman" w:cs="Times New Roman"/>
          <w:b/>
          <w:bCs/>
          <w:lang w:val="sk-SK"/>
        </w:rPr>
        <w:tab/>
        <w:t>L</w:t>
      </w:r>
      <w:r w:rsidR="00076221" w:rsidRPr="0074209D">
        <w:rPr>
          <w:rFonts w:ascii="Times New Roman" w:eastAsia="Times New Roman" w:hAnsi="Times New Roman" w:cs="Times New Roman"/>
          <w:b/>
          <w:bCs/>
          <w:lang w:val="sk-SK"/>
        </w:rPr>
        <w:t>IEKOVÁ</w:t>
      </w:r>
      <w:r w:rsidRPr="0074209D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FORM</w:t>
      </w:r>
      <w:r w:rsidR="00076221" w:rsidRPr="0074209D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</w:t>
      </w:r>
    </w:p>
    <w:p w14:paraId="1EEB9E9A" w14:textId="77777777" w:rsidR="00444697" w:rsidRPr="0074209D" w:rsidRDefault="00444697" w:rsidP="00473F05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14:paraId="1EEB9E9B" w14:textId="372F01A6" w:rsidR="00444697" w:rsidRPr="0074209D" w:rsidRDefault="00444697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spacing w:val="1"/>
          <w:lang w:val="sk-SK"/>
        </w:rPr>
        <w:t>Fil</w:t>
      </w:r>
      <w:r w:rsidRPr="0074209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EE0B6B">
        <w:rPr>
          <w:rFonts w:ascii="Times New Roman" w:eastAsia="Times New Roman" w:hAnsi="Times New Roman" w:cs="Times New Roman"/>
          <w:spacing w:val="-4"/>
          <w:lang w:val="sk-SK"/>
        </w:rPr>
        <w:t>om obalená</w:t>
      </w:r>
      <w:r w:rsidR="00EE0B6B">
        <w:rPr>
          <w:rFonts w:ascii="Times New Roman" w:eastAsia="Times New Roman" w:hAnsi="Times New Roman" w:cs="Times New Roman"/>
          <w:lang w:val="sk-SK"/>
        </w:rPr>
        <w:t xml:space="preserve"> tableta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(tablet</w:t>
      </w:r>
      <w:r w:rsidR="00076221" w:rsidRPr="0074209D">
        <w:rPr>
          <w:rFonts w:ascii="Times New Roman" w:eastAsia="Times New Roman" w:hAnsi="Times New Roman" w:cs="Times New Roman"/>
          <w:lang w:val="sk-SK"/>
        </w:rPr>
        <w:t>a</w:t>
      </w:r>
      <w:r w:rsidRPr="0074209D">
        <w:rPr>
          <w:rFonts w:ascii="Times New Roman" w:eastAsia="Times New Roman" w:hAnsi="Times New Roman" w:cs="Times New Roman"/>
          <w:lang w:val="sk-SK"/>
        </w:rPr>
        <w:t>).</w:t>
      </w:r>
    </w:p>
    <w:p w14:paraId="1EEB9E9C" w14:textId="77777777" w:rsidR="00444697" w:rsidRPr="0074209D" w:rsidRDefault="00444697" w:rsidP="00473F05">
      <w:pPr>
        <w:spacing w:after="0" w:line="240" w:lineRule="auto"/>
        <w:ind w:right="-20"/>
        <w:rPr>
          <w:rFonts w:ascii="Times New Roman" w:hAnsi="Times New Roman" w:cs="Times New Roman"/>
          <w:highlight w:val="yellow"/>
          <w:lang w:val="sk-SK"/>
        </w:rPr>
      </w:pPr>
    </w:p>
    <w:p w14:paraId="1EEB9E9D" w14:textId="3DF07D6D" w:rsidR="00444697" w:rsidRPr="0074209D" w:rsidRDefault="00EE0B6B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H</w:t>
      </w:r>
      <w:r w:rsidR="00076221" w:rsidRPr="0074209D">
        <w:rPr>
          <w:rFonts w:ascii="Times New Roman" w:eastAsia="Times New Roman" w:hAnsi="Times New Roman" w:cs="Times New Roman"/>
          <w:lang w:val="sk-SK"/>
        </w:rPr>
        <w:t>nedé okrúhle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 xml:space="preserve">konvexné filmom obalené tablety s priemerom približne 11 mm a </w:t>
      </w:r>
      <w:r w:rsidR="00076221" w:rsidRPr="0074209D">
        <w:rPr>
          <w:rFonts w:ascii="Times New Roman" w:eastAsia="Times New Roman" w:hAnsi="Times New Roman" w:cs="Times New Roman"/>
          <w:lang w:val="sk-SK"/>
        </w:rPr>
        <w:t>s vyrazeným</w:t>
      </w:r>
      <w:r w:rsidR="00444697" w:rsidRPr="0074209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622E8C">
        <w:rPr>
          <w:rFonts w:ascii="Times New Roman" w:eastAsia="Times New Roman" w:hAnsi="Times New Roman" w:cs="Times New Roman"/>
          <w:spacing w:val="-1"/>
          <w:lang w:val="sk-SK"/>
        </w:rPr>
        <w:t>„</w:t>
      </w:r>
      <w:r w:rsidR="00076221" w:rsidRPr="0074209D">
        <w:rPr>
          <w:rFonts w:ascii="Times New Roman" w:eastAsia="Times New Roman" w:hAnsi="Times New Roman" w:cs="Times New Roman"/>
          <w:lang w:val="sk-SK"/>
        </w:rPr>
        <w:t>250</w:t>
      </w:r>
      <w:r w:rsidR="00622E8C">
        <w:rPr>
          <w:rFonts w:ascii="Times New Roman" w:eastAsia="Times New Roman" w:hAnsi="Times New Roman" w:cs="Times New Roman"/>
          <w:lang w:val="sk-SK"/>
        </w:rPr>
        <w:t>“</w:t>
      </w:r>
      <w:r w:rsidR="00076221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444697" w:rsidRPr="0074209D">
        <w:rPr>
          <w:rFonts w:ascii="Times New Roman" w:eastAsia="Times New Roman" w:hAnsi="Times New Roman" w:cs="Times New Roman"/>
          <w:lang w:val="sk-SK"/>
        </w:rPr>
        <w:t>n</w:t>
      </w:r>
      <w:r w:rsidR="00076221" w:rsidRPr="0074209D">
        <w:rPr>
          <w:rFonts w:ascii="Times New Roman" w:eastAsia="Times New Roman" w:hAnsi="Times New Roman" w:cs="Times New Roman"/>
          <w:lang w:val="sk-SK"/>
        </w:rPr>
        <w:t>a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076221" w:rsidRPr="0074209D">
        <w:rPr>
          <w:rFonts w:ascii="Times New Roman" w:eastAsia="Times New Roman" w:hAnsi="Times New Roman" w:cs="Times New Roman"/>
          <w:lang w:val="sk-SK"/>
        </w:rPr>
        <w:t xml:space="preserve">jednej strane 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a </w:t>
      </w:r>
      <w:r w:rsidR="00076221" w:rsidRPr="0074209D">
        <w:rPr>
          <w:rFonts w:ascii="Times New Roman" w:eastAsia="Times New Roman" w:hAnsi="Times New Roman" w:cs="Times New Roman"/>
          <w:lang w:val="sk-SK"/>
        </w:rPr>
        <w:t>hladké na druhej strane</w:t>
      </w:r>
      <w:r w:rsidR="00444697" w:rsidRPr="0074209D">
        <w:rPr>
          <w:rFonts w:ascii="Times New Roman" w:eastAsia="Times New Roman" w:hAnsi="Times New Roman" w:cs="Times New Roman"/>
          <w:lang w:val="sk-SK"/>
        </w:rPr>
        <w:t>.</w:t>
      </w:r>
    </w:p>
    <w:p w14:paraId="1EEB9E9E" w14:textId="77777777" w:rsidR="00444697" w:rsidRPr="0074209D" w:rsidRDefault="00444697" w:rsidP="00473F05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14:paraId="1EEB9E9F" w14:textId="77777777" w:rsidR="00444697" w:rsidRPr="0074209D" w:rsidRDefault="00444697" w:rsidP="00473F05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14:paraId="1EEB9EA0" w14:textId="4D1FBC05" w:rsidR="00444697" w:rsidRPr="0074209D" w:rsidRDefault="00444697" w:rsidP="00473F05">
      <w:pPr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b/>
          <w:bCs/>
          <w:lang w:val="sk-SK"/>
        </w:rPr>
        <w:t>4.</w:t>
      </w:r>
      <w:r w:rsidRPr="0074209D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="00076221" w:rsidRPr="0074209D">
        <w:rPr>
          <w:rFonts w:ascii="Times New Roman" w:eastAsia="Times New Roman" w:hAnsi="Times New Roman" w:cs="Times New Roman"/>
          <w:b/>
          <w:bCs/>
          <w:spacing w:val="-1"/>
          <w:lang w:val="sk-SK"/>
        </w:rPr>
        <w:t>KLINICKÉ ÚDAJE</w:t>
      </w:r>
    </w:p>
    <w:p w14:paraId="1EEB9EA1" w14:textId="77777777" w:rsidR="00444697" w:rsidRPr="0074209D" w:rsidRDefault="00444697" w:rsidP="00473F05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14:paraId="1EEB9EA2" w14:textId="30F5EB31" w:rsidR="00444697" w:rsidRPr="0074209D" w:rsidRDefault="001E1235" w:rsidP="00473F05">
      <w:pPr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b/>
          <w:bCs/>
          <w:lang w:val="sk-SK"/>
        </w:rPr>
        <w:t>4.1</w:t>
      </w:r>
      <w:r w:rsidRPr="0074209D">
        <w:rPr>
          <w:rFonts w:ascii="Times New Roman" w:eastAsia="Times New Roman" w:hAnsi="Times New Roman" w:cs="Times New Roman"/>
          <w:b/>
          <w:bCs/>
          <w:lang w:val="sk-SK"/>
        </w:rPr>
        <w:tab/>
        <w:t>T</w:t>
      </w:r>
      <w:r w:rsidR="00444697" w:rsidRPr="0074209D">
        <w:rPr>
          <w:rFonts w:ascii="Times New Roman" w:eastAsia="Times New Roman" w:hAnsi="Times New Roman" w:cs="Times New Roman"/>
          <w:b/>
          <w:bCs/>
          <w:lang w:val="sk-SK"/>
        </w:rPr>
        <w:t>erapeutic</w:t>
      </w:r>
      <w:r w:rsidRPr="0074209D">
        <w:rPr>
          <w:rFonts w:ascii="Times New Roman" w:eastAsia="Times New Roman" w:hAnsi="Times New Roman" w:cs="Times New Roman"/>
          <w:b/>
          <w:bCs/>
          <w:lang w:val="sk-SK"/>
        </w:rPr>
        <w:t>ké indikácie</w:t>
      </w:r>
    </w:p>
    <w:p w14:paraId="1EEB9EA3" w14:textId="77777777" w:rsidR="00444697" w:rsidRPr="0074209D" w:rsidRDefault="00444697" w:rsidP="00473F05">
      <w:pPr>
        <w:spacing w:after="0" w:line="240" w:lineRule="auto"/>
        <w:ind w:right="-20"/>
        <w:rPr>
          <w:rFonts w:ascii="Times New Roman" w:hAnsi="Times New Roman" w:cs="Times New Roman"/>
          <w:highlight w:val="yellow"/>
          <w:lang w:val="sk-SK"/>
        </w:rPr>
      </w:pPr>
    </w:p>
    <w:p w14:paraId="1EEB9EA4" w14:textId="08BD7AAE" w:rsidR="00444697" w:rsidRPr="0074209D" w:rsidRDefault="001E1235" w:rsidP="00473F05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spacing w:val="-1"/>
          <w:lang w:val="sk-SK"/>
        </w:rPr>
        <w:t>Gefitinib Teva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lang w:val="sk-SK"/>
        </w:rPr>
        <w:t>je indikovaný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lang w:val="sk-SK"/>
        </w:rPr>
        <w:t>ako monoterapia</w:t>
      </w:r>
      <w:r w:rsidR="00225838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lang w:val="sk-SK"/>
        </w:rPr>
        <w:t>na liečbu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B14E5F" w:rsidRPr="0074209D">
        <w:rPr>
          <w:rFonts w:ascii="Times New Roman" w:eastAsia="Times New Roman" w:hAnsi="Times New Roman" w:cs="Times New Roman"/>
          <w:lang w:val="sk-SK"/>
        </w:rPr>
        <w:t>dospelých pacientov s lokálne pokročilým alebo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metastatic</w:t>
      </w:r>
      <w:r w:rsidR="00B14E5F" w:rsidRPr="0074209D">
        <w:rPr>
          <w:rFonts w:ascii="Times New Roman" w:eastAsia="Times New Roman" w:hAnsi="Times New Roman" w:cs="Times New Roman"/>
          <w:lang w:val="sk-SK"/>
        </w:rPr>
        <w:t>kým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n</w:t>
      </w:r>
      <w:r w:rsidR="00B14E5F" w:rsidRPr="0074209D">
        <w:rPr>
          <w:rFonts w:ascii="Times New Roman" w:eastAsia="Times New Roman" w:hAnsi="Times New Roman" w:cs="Times New Roman"/>
          <w:lang w:val="sk-SK"/>
        </w:rPr>
        <w:t>emalobunkovým karcinómom pľúc (NSCLC) s aktivujúcimi mutáciami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EGF</w:t>
      </w:r>
      <w:r w:rsidR="00444697" w:rsidRPr="0074209D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444697" w:rsidRPr="0074209D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="00B14E5F" w:rsidRPr="0074209D">
        <w:rPr>
          <w:rFonts w:ascii="Times New Roman" w:eastAsia="Times New Roman" w:hAnsi="Times New Roman" w:cs="Times New Roman"/>
          <w:lang w:val="sk-SK"/>
        </w:rPr>
        <w:t>TK (pozri časť</w:t>
      </w:r>
      <w:r w:rsidR="00444697" w:rsidRPr="0074209D">
        <w:rPr>
          <w:rFonts w:ascii="Times New Roman" w:eastAsia="Times New Roman" w:hAnsi="Times New Roman" w:cs="Times New Roman"/>
          <w:lang w:val="sk-SK"/>
        </w:rPr>
        <w:t> 4.4).</w:t>
      </w:r>
    </w:p>
    <w:p w14:paraId="1EEB9EA5" w14:textId="77777777" w:rsidR="00444697" w:rsidRPr="0074209D" w:rsidRDefault="00444697" w:rsidP="00473F05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14:paraId="1EEB9EA6" w14:textId="22EB1A51" w:rsidR="00444697" w:rsidRPr="0074209D" w:rsidRDefault="00444697" w:rsidP="00473F05">
      <w:pPr>
        <w:spacing w:after="0" w:line="240" w:lineRule="auto"/>
        <w:ind w:left="567" w:right="-20" w:hanging="567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b/>
          <w:bCs/>
          <w:lang w:val="sk-SK"/>
        </w:rPr>
        <w:t>4.2</w:t>
      </w:r>
      <w:r w:rsidRPr="0074209D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="00B14E5F" w:rsidRPr="0074209D">
        <w:rPr>
          <w:rFonts w:ascii="Times New Roman" w:eastAsia="Times New Roman" w:hAnsi="Times New Roman" w:cs="Times New Roman"/>
          <w:b/>
          <w:bCs/>
          <w:spacing w:val="2"/>
          <w:lang w:val="sk-SK"/>
        </w:rPr>
        <w:t>Dávkovanie a spôsob podávania</w:t>
      </w:r>
    </w:p>
    <w:p w14:paraId="1EEB9EA7" w14:textId="77777777" w:rsidR="00444697" w:rsidRPr="0074209D" w:rsidRDefault="00444697" w:rsidP="00473F05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14:paraId="1EEB9EA8" w14:textId="39182023" w:rsidR="00444697" w:rsidRPr="0074209D" w:rsidRDefault="00B14E5F" w:rsidP="00473F05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>Liečba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lang w:val="sk-SK"/>
        </w:rPr>
        <w:t>Gefitinibom Teva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spacing w:val="-1"/>
          <w:lang w:val="sk-SK"/>
        </w:rPr>
        <w:t>má byť iniciovaná a kontrolovaná lekárom, ktorý má skúsenosti s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používaním protinádorovej liečby</w:t>
      </w:r>
      <w:r w:rsidR="00444697" w:rsidRPr="0074209D">
        <w:rPr>
          <w:rFonts w:ascii="Times New Roman" w:eastAsia="Times New Roman" w:hAnsi="Times New Roman" w:cs="Times New Roman"/>
          <w:lang w:val="sk-SK"/>
        </w:rPr>
        <w:t>.</w:t>
      </w:r>
    </w:p>
    <w:p w14:paraId="1EEB9EA9" w14:textId="77777777" w:rsidR="00444697" w:rsidRPr="0074209D" w:rsidRDefault="00444697" w:rsidP="00473F05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14:paraId="1EEB9EAA" w14:textId="3D6D67BA" w:rsidR="00444697" w:rsidRPr="0074209D" w:rsidRDefault="00B14E5F" w:rsidP="00473F05">
      <w:pPr>
        <w:keepNext/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u w:val="single" w:color="000000"/>
          <w:lang w:val="sk-SK"/>
        </w:rPr>
        <w:t>Dávkovanie</w:t>
      </w:r>
    </w:p>
    <w:p w14:paraId="1EEB9EAB" w14:textId="0F622C79" w:rsidR="00444697" w:rsidRPr="0074209D" w:rsidRDefault="00B14E5F" w:rsidP="00473F05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>Odporúčané dávkovanie</w:t>
      </w:r>
      <w:r w:rsidR="00444697" w:rsidRPr="0074209D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spacing w:val="2"/>
          <w:lang w:val="sk-SK"/>
        </w:rPr>
        <w:t>Gefitinibu Teva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lang w:val="sk-SK"/>
        </w:rPr>
        <w:t>je</w:t>
      </w:r>
      <w:r w:rsidR="00444697" w:rsidRPr="0074209D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lang w:val="sk-SK"/>
        </w:rPr>
        <w:t>jedna</w:t>
      </w:r>
      <w:r w:rsidR="00444697" w:rsidRPr="0074209D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444697" w:rsidRPr="0074209D">
        <w:rPr>
          <w:rFonts w:ascii="Times New Roman" w:eastAsia="Times New Roman" w:hAnsi="Times New Roman" w:cs="Times New Roman"/>
          <w:lang w:val="sk-SK"/>
        </w:rPr>
        <w:t>250 mg tablet</w:t>
      </w:r>
      <w:r w:rsidRPr="0074209D">
        <w:rPr>
          <w:rFonts w:ascii="Times New Roman" w:eastAsia="Times New Roman" w:hAnsi="Times New Roman" w:cs="Times New Roman"/>
          <w:lang w:val="sk-SK"/>
        </w:rPr>
        <w:t>a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lang w:val="sk-SK"/>
        </w:rPr>
        <w:t>raz denne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. </w:t>
      </w:r>
      <w:r w:rsidRPr="0074209D">
        <w:rPr>
          <w:rFonts w:ascii="Times New Roman" w:eastAsia="Times New Roman" w:hAnsi="Times New Roman" w:cs="Times New Roman"/>
          <w:lang w:val="sk-SK"/>
        </w:rPr>
        <w:t>Ak sa dávka vynechá, má sa užiť čo najskôr ako si pacient spomenie.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lang w:val="sk-SK"/>
        </w:rPr>
        <w:t>Ak do užitia nasledu</w:t>
      </w:r>
      <w:r w:rsidR="00540A0D">
        <w:rPr>
          <w:rFonts w:ascii="Times New Roman" w:eastAsia="Times New Roman" w:hAnsi="Times New Roman" w:cs="Times New Roman"/>
          <w:lang w:val="sk-SK"/>
        </w:rPr>
        <w:t>júcej dávky ostáva menej ako 12 </w:t>
      </w:r>
      <w:r w:rsidRPr="0074209D">
        <w:rPr>
          <w:rFonts w:ascii="Times New Roman" w:eastAsia="Times New Roman" w:hAnsi="Times New Roman" w:cs="Times New Roman"/>
          <w:lang w:val="sk-SK"/>
        </w:rPr>
        <w:t>hodín, pacient nemá užiť vynechanú dávku</w:t>
      </w:r>
      <w:r w:rsidR="00972C97" w:rsidRPr="0074209D">
        <w:rPr>
          <w:rFonts w:ascii="Times New Roman" w:eastAsia="Times New Roman" w:hAnsi="Times New Roman" w:cs="Times New Roman"/>
          <w:lang w:val="sk-SK"/>
        </w:rPr>
        <w:t>. Pacienti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972C97" w:rsidRPr="0074209D">
        <w:rPr>
          <w:rFonts w:ascii="Times New Roman" w:eastAsia="Times New Roman" w:hAnsi="Times New Roman" w:cs="Times New Roman"/>
          <w:lang w:val="sk-SK"/>
        </w:rPr>
        <w:t>nemajú užívať dvojnásobnú dávku (dve dávky naraz),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972C97" w:rsidRPr="0074209D">
        <w:rPr>
          <w:rFonts w:ascii="Times New Roman" w:eastAsia="Times New Roman" w:hAnsi="Times New Roman" w:cs="Times New Roman"/>
          <w:lang w:val="sk-SK"/>
        </w:rPr>
        <w:t>aby nahradili vynechanú dávku</w:t>
      </w:r>
      <w:r w:rsidR="00444697" w:rsidRPr="0074209D">
        <w:rPr>
          <w:rFonts w:ascii="Times New Roman" w:eastAsia="Times New Roman" w:hAnsi="Times New Roman" w:cs="Times New Roman"/>
          <w:lang w:val="sk-SK"/>
        </w:rPr>
        <w:t>.</w:t>
      </w:r>
    </w:p>
    <w:p w14:paraId="1EEB9EAC" w14:textId="77777777" w:rsidR="00444697" w:rsidRPr="0074209D" w:rsidRDefault="00444697" w:rsidP="00473F05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14:paraId="1EEB9EAD" w14:textId="5AFF08A8" w:rsidR="00444697" w:rsidRPr="0074209D" w:rsidRDefault="00972C97" w:rsidP="00473F05">
      <w:pPr>
        <w:keepNext/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i/>
          <w:lang w:val="sk-SK"/>
        </w:rPr>
        <w:t>P</w:t>
      </w:r>
      <w:r w:rsidR="00444697" w:rsidRPr="0074209D">
        <w:rPr>
          <w:rFonts w:ascii="Times New Roman" w:eastAsia="Times New Roman" w:hAnsi="Times New Roman" w:cs="Times New Roman"/>
          <w:i/>
          <w:lang w:val="sk-SK"/>
        </w:rPr>
        <w:t>ediatric</w:t>
      </w:r>
      <w:r w:rsidRPr="0074209D">
        <w:rPr>
          <w:rFonts w:ascii="Times New Roman" w:eastAsia="Times New Roman" w:hAnsi="Times New Roman" w:cs="Times New Roman"/>
          <w:i/>
          <w:lang w:val="sk-SK"/>
        </w:rPr>
        <w:t>ká populácia</w:t>
      </w:r>
    </w:p>
    <w:p w14:paraId="1EEB9EAE" w14:textId="05E85182" w:rsidR="00444697" w:rsidRPr="0074209D" w:rsidRDefault="00972C97" w:rsidP="00473F05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>Bezpečnosť a účinnosť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48416B" w:rsidRPr="0074209D">
        <w:rPr>
          <w:rFonts w:ascii="Times New Roman" w:eastAsia="Times New Roman" w:hAnsi="Times New Roman" w:cs="Times New Roman"/>
          <w:spacing w:val="-1"/>
          <w:lang w:val="sk-SK"/>
        </w:rPr>
        <w:t>gefitinib</w:t>
      </w:r>
      <w:r w:rsidRPr="0074209D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lang w:val="sk-SK"/>
        </w:rPr>
        <w:t>u detí a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dospievajúcich mladších ako </w:t>
      </w:r>
      <w:r w:rsidR="00444697" w:rsidRPr="0074209D">
        <w:rPr>
          <w:rFonts w:ascii="Times New Roman" w:eastAsia="Times New Roman" w:hAnsi="Times New Roman" w:cs="Times New Roman"/>
          <w:lang w:val="sk-SK"/>
        </w:rPr>
        <w:t>18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74209D">
        <w:rPr>
          <w:rFonts w:ascii="Times New Roman" w:eastAsia="Times New Roman" w:hAnsi="Times New Roman" w:cs="Times New Roman"/>
          <w:lang w:val="sk-SK"/>
        </w:rPr>
        <w:t>rokov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lang w:val="sk-SK"/>
        </w:rPr>
        <w:t>nebola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lang w:val="sk-SK"/>
        </w:rPr>
        <w:t>stanovená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. 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Použitie gefitinibu sa netýka </w:t>
      </w:r>
      <w:r w:rsidR="00540A0D">
        <w:rPr>
          <w:rFonts w:ascii="Times New Roman" w:eastAsia="Times New Roman" w:hAnsi="Times New Roman" w:cs="Times New Roman"/>
          <w:lang w:val="sk-SK"/>
        </w:rPr>
        <w:t>pediatrickej populác</w:t>
      </w:r>
      <w:r w:rsidR="00F414E6">
        <w:rPr>
          <w:rFonts w:ascii="Times New Roman" w:eastAsia="Times New Roman" w:hAnsi="Times New Roman" w:cs="Times New Roman"/>
          <w:lang w:val="sk-SK"/>
        </w:rPr>
        <w:t>ie v indikácii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>NSCLC.</w:t>
      </w:r>
    </w:p>
    <w:p w14:paraId="1EEB9EAF" w14:textId="77777777" w:rsidR="00444697" w:rsidRPr="0074209D" w:rsidRDefault="00444697" w:rsidP="00473F05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14:paraId="1EEB9EB0" w14:textId="759DD85B" w:rsidR="00444697" w:rsidRPr="0074209D" w:rsidRDefault="00972C97" w:rsidP="00473F05">
      <w:pPr>
        <w:keepNext/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i/>
          <w:lang w:val="sk-SK"/>
        </w:rPr>
        <w:t>Porucha funkcie pečene</w:t>
      </w:r>
    </w:p>
    <w:p w14:paraId="1EEB9EB1" w14:textId="4E08834E" w:rsidR="00444697" w:rsidRPr="0074209D" w:rsidRDefault="00972C97" w:rsidP="00473F05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>Pacienti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so stredne ťažkou až ťažkou poruchou funkcie pečene </w:t>
      </w:r>
      <w:r w:rsidR="00444697" w:rsidRPr="0074209D">
        <w:rPr>
          <w:rFonts w:ascii="Times New Roman" w:eastAsia="Times New Roman" w:hAnsi="Times New Roman" w:cs="Times New Roman"/>
          <w:lang w:val="sk-SK"/>
        </w:rPr>
        <w:t>(Chil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="005409F4">
        <w:rPr>
          <w:rFonts w:ascii="Times New Roman" w:eastAsia="Times New Roman" w:hAnsi="Times New Roman" w:cs="Times New Roman"/>
          <w:spacing w:val="-1"/>
          <w:lang w:val="sk-SK"/>
        </w:rPr>
        <w:t>ovo</w:t>
      </w:r>
      <w:r w:rsidR="00444697" w:rsidRPr="0074209D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="00444697" w:rsidRPr="0074209D">
        <w:rPr>
          <w:rFonts w:ascii="Times New Roman" w:eastAsia="Times New Roman" w:hAnsi="Times New Roman" w:cs="Times New Roman"/>
          <w:lang w:val="sk-SK"/>
        </w:rPr>
        <w:t>Pugh</w:t>
      </w:r>
      <w:r w:rsidR="005409F4">
        <w:rPr>
          <w:rFonts w:ascii="Times New Roman" w:eastAsia="Times New Roman" w:hAnsi="Times New Roman" w:cs="Times New Roman"/>
          <w:lang w:val="sk-SK"/>
        </w:rPr>
        <w:t>ovo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lang w:val="sk-SK"/>
        </w:rPr>
        <w:t>skóre B alebo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C) </w:t>
      </w:r>
      <w:r w:rsidR="00540A0D">
        <w:rPr>
          <w:rFonts w:ascii="Times New Roman" w:eastAsia="Times New Roman" w:hAnsi="Times New Roman" w:cs="Times New Roman"/>
          <w:lang w:val="sk-SK"/>
        </w:rPr>
        <w:t xml:space="preserve">majú z dôvodu cirhózy 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zvýšené plazmatické koncentrácie </w:t>
      </w:r>
      <w:r w:rsidR="00444697" w:rsidRPr="0074209D">
        <w:rPr>
          <w:rFonts w:ascii="Times New Roman" w:eastAsia="Times New Roman" w:hAnsi="Times New Roman" w:cs="Times New Roman"/>
          <w:lang w:val="sk-SK"/>
        </w:rPr>
        <w:t>gefitinib</w:t>
      </w:r>
      <w:r w:rsidRPr="0074209D">
        <w:rPr>
          <w:rFonts w:ascii="Times New Roman" w:eastAsia="Times New Roman" w:hAnsi="Times New Roman" w:cs="Times New Roman"/>
          <w:lang w:val="sk-SK"/>
        </w:rPr>
        <w:t>u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. </w:t>
      </w:r>
      <w:r w:rsidRPr="0074209D">
        <w:rPr>
          <w:rFonts w:ascii="Times New Roman" w:eastAsia="Times New Roman" w:hAnsi="Times New Roman" w:cs="Times New Roman"/>
          <w:lang w:val="sk-SK"/>
        </w:rPr>
        <w:t>U týchto pacientov sa má starostlivo sledovať výskyt</w:t>
      </w:r>
      <w:r w:rsidR="00F414E6">
        <w:rPr>
          <w:rFonts w:ascii="Times New Roman" w:eastAsia="Times New Roman" w:hAnsi="Times New Roman" w:cs="Times New Roman"/>
          <w:lang w:val="sk-SK"/>
        </w:rPr>
        <w:t xml:space="preserve"> nežiaducich udalostí</w:t>
      </w:r>
      <w:r w:rsidRPr="0074209D">
        <w:rPr>
          <w:rFonts w:ascii="Times New Roman" w:eastAsia="Times New Roman" w:hAnsi="Times New Roman" w:cs="Times New Roman"/>
          <w:lang w:val="sk-SK"/>
        </w:rPr>
        <w:t>. Plaz</w:t>
      </w:r>
      <w:r w:rsidR="00444697" w:rsidRPr="0074209D">
        <w:rPr>
          <w:rFonts w:ascii="Times New Roman" w:eastAsia="Times New Roman" w:hAnsi="Times New Roman" w:cs="Times New Roman"/>
          <w:lang w:val="sk-SK"/>
        </w:rPr>
        <w:t>ma</w:t>
      </w:r>
      <w:r w:rsidRPr="0074209D">
        <w:rPr>
          <w:rFonts w:ascii="Times New Roman" w:eastAsia="Times New Roman" w:hAnsi="Times New Roman" w:cs="Times New Roman"/>
          <w:lang w:val="sk-SK"/>
        </w:rPr>
        <w:t>tické koncentrácie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neboli zvýšené u pacientov </w:t>
      </w:r>
      <w:r w:rsidRPr="0074209D">
        <w:rPr>
          <w:rFonts w:ascii="Times New Roman" w:eastAsia="Times New Roman" w:hAnsi="Times New Roman" w:cs="Times New Roman"/>
          <w:lang w:val="sk-SK"/>
        </w:rPr>
        <w:lastRenderedPageBreak/>
        <w:t>so zvýšenými hodnotami aspartát</w:t>
      </w:r>
      <w:r w:rsidR="005409F4" w:rsidRPr="005409F4">
        <w:rPr>
          <w:rFonts w:ascii="Times New Roman" w:eastAsia="Times New Roman" w:hAnsi="Times New Roman" w:cs="Times New Roman"/>
          <w:lang w:val="sk-SK"/>
        </w:rPr>
        <w:t>aminotransferázy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(AST), alkalickej fosfatázy alebo bilirubí</w:t>
      </w:r>
      <w:r w:rsidR="00444697" w:rsidRPr="0074209D">
        <w:rPr>
          <w:rFonts w:ascii="Times New Roman" w:eastAsia="Times New Roman" w:hAnsi="Times New Roman" w:cs="Times New Roman"/>
          <w:lang w:val="sk-SK"/>
        </w:rPr>
        <w:t>n</w:t>
      </w:r>
      <w:r w:rsidRPr="0074209D">
        <w:rPr>
          <w:rFonts w:ascii="Times New Roman" w:eastAsia="Times New Roman" w:hAnsi="Times New Roman" w:cs="Times New Roman"/>
          <w:lang w:val="sk-SK"/>
        </w:rPr>
        <w:t>u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lang w:val="sk-SK"/>
        </w:rPr>
        <w:t>z dôvodu</w:t>
      </w:r>
      <w:r w:rsidR="00F414E6">
        <w:rPr>
          <w:rFonts w:ascii="Times New Roman" w:eastAsia="Times New Roman" w:hAnsi="Times New Roman" w:cs="Times New Roman"/>
          <w:lang w:val="sk-SK"/>
        </w:rPr>
        <w:t xml:space="preserve"> metastáz v pečeni</w:t>
      </w:r>
      <w:r w:rsidR="003F43B3" w:rsidRPr="0074209D">
        <w:rPr>
          <w:rFonts w:ascii="Times New Roman" w:eastAsia="Times New Roman" w:hAnsi="Times New Roman" w:cs="Times New Roman"/>
          <w:lang w:val="sk-SK"/>
        </w:rPr>
        <w:t xml:space="preserve"> (pozri časť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="00444697" w:rsidRPr="0074209D">
        <w:rPr>
          <w:rFonts w:ascii="Times New Roman" w:eastAsia="Times New Roman" w:hAnsi="Times New Roman" w:cs="Times New Roman"/>
          <w:lang w:val="sk-SK"/>
        </w:rPr>
        <w:t>5.2).</w:t>
      </w:r>
    </w:p>
    <w:p w14:paraId="1EEB9EB2" w14:textId="77777777" w:rsidR="00444697" w:rsidRPr="0074209D" w:rsidRDefault="00444697" w:rsidP="00473F05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14:paraId="1EEB9EB3" w14:textId="6A498054" w:rsidR="00444697" w:rsidRPr="0074209D" w:rsidRDefault="003F43B3" w:rsidP="00473F05">
      <w:pPr>
        <w:keepNext/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i/>
          <w:lang w:val="sk-SK"/>
        </w:rPr>
        <w:t>Porucha funkcie obličiek</w:t>
      </w:r>
    </w:p>
    <w:p w14:paraId="1EEB9EB4" w14:textId="372DC7FE" w:rsidR="00444697" w:rsidRPr="0074209D" w:rsidRDefault="009439E1" w:rsidP="00473F05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 xml:space="preserve">U pacientov s poruchou funkcie obličiek pri klírense kreatinínu </w:t>
      </w:r>
      <w:r w:rsidR="00444697" w:rsidRPr="0074209D">
        <w:rPr>
          <w:rFonts w:ascii="Times New Roman" w:eastAsia="Times New Roman" w:hAnsi="Times New Roman" w:cs="Times New Roman"/>
          <w:lang w:val="sk-SK"/>
        </w:rPr>
        <w:t>&gt; 20 ml/min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nie je potrebná úprava dávky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. 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Údaje o pacientoch s klírensom kreatinínu </w:t>
      </w:r>
      <w:r w:rsidR="00444697" w:rsidRPr="0074209D">
        <w:rPr>
          <w:rFonts w:ascii="Times New Roman" w:eastAsia="Symbol" w:hAnsi="Times New Roman" w:cs="Times New Roman"/>
          <w:lang w:val="sk-SK"/>
        </w:rPr>
        <w:t>≤ </w:t>
      </w:r>
      <w:r w:rsidR="00444697" w:rsidRPr="0074209D">
        <w:rPr>
          <w:rFonts w:ascii="Times New Roman" w:eastAsia="Times New Roman" w:hAnsi="Times New Roman" w:cs="Times New Roman"/>
          <w:lang w:val="sk-SK"/>
        </w:rPr>
        <w:t>20 ml/min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spacing w:val="-1"/>
          <w:lang w:val="sk-SK"/>
        </w:rPr>
        <w:t>sú obmedzené a u týchto pacientov je potrebné postupovať so zvýšenou opatrnosťou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(pozri časť</w:t>
      </w:r>
      <w:r w:rsidR="00444697" w:rsidRPr="0074209D">
        <w:rPr>
          <w:rFonts w:ascii="Times New Roman" w:eastAsia="Times New Roman" w:hAnsi="Times New Roman" w:cs="Times New Roman"/>
          <w:lang w:val="sk-SK"/>
        </w:rPr>
        <w:t> 5.2).</w:t>
      </w:r>
    </w:p>
    <w:p w14:paraId="1EEB9EB5" w14:textId="77777777" w:rsidR="00444697" w:rsidRPr="0074209D" w:rsidRDefault="00444697" w:rsidP="00473F05">
      <w:pPr>
        <w:spacing w:after="0" w:line="240" w:lineRule="auto"/>
        <w:ind w:right="-20"/>
        <w:rPr>
          <w:rFonts w:ascii="Times New Roman" w:hAnsi="Times New Roman" w:cs="Times New Roman"/>
          <w:lang w:val="sk-SK"/>
        </w:rPr>
      </w:pPr>
    </w:p>
    <w:p w14:paraId="1EEB9EB6" w14:textId="2021542D" w:rsidR="00444697" w:rsidRPr="0074209D" w:rsidRDefault="00C728CB">
      <w:pPr>
        <w:keepNext/>
        <w:spacing w:after="0" w:line="240" w:lineRule="auto"/>
        <w:ind w:right="-23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Staršie osoby</w:t>
      </w:r>
    </w:p>
    <w:p w14:paraId="1EEB9EB7" w14:textId="6086B35C" w:rsidR="00444697" w:rsidRPr="0074209D" w:rsidRDefault="009439E1" w:rsidP="00473F05">
      <w:pPr>
        <w:spacing w:after="0" w:line="240" w:lineRule="auto"/>
        <w:ind w:right="-23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>Nie je potrebná úprava dávky na základe veku pacienta (pozri časť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="00444697" w:rsidRPr="0074209D">
        <w:rPr>
          <w:rFonts w:ascii="Times New Roman" w:eastAsia="Times New Roman" w:hAnsi="Times New Roman" w:cs="Times New Roman"/>
          <w:lang w:val="sk-SK"/>
        </w:rPr>
        <w:t>5.2).</w:t>
      </w:r>
    </w:p>
    <w:p w14:paraId="1EEB9EB8" w14:textId="77777777" w:rsidR="00444697" w:rsidRPr="0074209D" w:rsidRDefault="00444697" w:rsidP="00473F05">
      <w:pPr>
        <w:spacing w:after="0" w:line="240" w:lineRule="auto"/>
        <w:ind w:right="-23"/>
        <w:rPr>
          <w:rFonts w:ascii="Times New Roman" w:hAnsi="Times New Roman" w:cs="Times New Roman"/>
          <w:lang w:val="sk-SK"/>
        </w:rPr>
      </w:pPr>
    </w:p>
    <w:p w14:paraId="1EEB9EB9" w14:textId="37A236D4" w:rsidR="00444697" w:rsidRPr="0074209D" w:rsidRDefault="005409F4">
      <w:pPr>
        <w:keepNext/>
        <w:spacing w:after="0" w:line="240" w:lineRule="auto"/>
        <w:ind w:right="-23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Pomalí</w:t>
      </w:r>
      <w:r w:rsidR="009439E1" w:rsidRPr="0074209D">
        <w:rPr>
          <w:rFonts w:ascii="Times New Roman" w:eastAsia="Times New Roman" w:hAnsi="Times New Roman" w:cs="Times New Roman"/>
          <w:i/>
          <w:lang w:val="sk-SK"/>
        </w:rPr>
        <w:t xml:space="preserve"> </w:t>
      </w:r>
      <w:r w:rsidR="00BA187D" w:rsidRPr="0074209D">
        <w:rPr>
          <w:rFonts w:ascii="Times New Roman" w:eastAsia="Times New Roman" w:hAnsi="Times New Roman" w:cs="Times New Roman"/>
          <w:i/>
          <w:lang w:val="sk-SK"/>
        </w:rPr>
        <w:t xml:space="preserve">metabolizéri </w:t>
      </w:r>
      <w:r w:rsidR="00444697" w:rsidRPr="0074209D">
        <w:rPr>
          <w:rFonts w:ascii="Times New Roman" w:eastAsia="Times New Roman" w:hAnsi="Times New Roman" w:cs="Times New Roman"/>
          <w:i/>
          <w:lang w:val="sk-SK"/>
        </w:rPr>
        <w:t>CYP2D6</w:t>
      </w:r>
    </w:p>
    <w:p w14:paraId="1EEB9EBA" w14:textId="651E47A4" w:rsidR="00444697" w:rsidRPr="0074209D" w:rsidRDefault="00C728CB" w:rsidP="00473F05">
      <w:pPr>
        <w:spacing w:after="0" w:line="240" w:lineRule="auto"/>
        <w:ind w:right="-23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U pacientov</w:t>
      </w:r>
      <w:r w:rsidR="005C0E3C" w:rsidRPr="0074209D">
        <w:rPr>
          <w:rFonts w:ascii="Times New Roman" w:eastAsia="Times New Roman" w:hAnsi="Times New Roman" w:cs="Times New Roman"/>
          <w:lang w:val="sk-SK"/>
        </w:rPr>
        <w:t xml:space="preserve"> so známym genotypom </w:t>
      </w:r>
      <w:r w:rsidR="005409F4">
        <w:rPr>
          <w:rFonts w:ascii="Times New Roman" w:eastAsia="Times New Roman" w:hAnsi="Times New Roman" w:cs="Times New Roman"/>
          <w:lang w:val="sk-SK"/>
        </w:rPr>
        <w:t>pomalých</w:t>
      </w:r>
      <w:r w:rsidR="005C0E3C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BA187D" w:rsidRPr="0074209D">
        <w:rPr>
          <w:rFonts w:ascii="Times New Roman" w:eastAsia="Times New Roman" w:hAnsi="Times New Roman" w:cs="Times New Roman"/>
          <w:lang w:val="sk-SK"/>
        </w:rPr>
        <w:t xml:space="preserve">metabolizérov 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CYP2D6 </w:t>
      </w:r>
      <w:r w:rsidR="00BA187D" w:rsidRPr="0074209D">
        <w:rPr>
          <w:rFonts w:ascii="Times New Roman" w:eastAsia="Times New Roman" w:hAnsi="Times New Roman" w:cs="Times New Roman"/>
          <w:lang w:val="sk-SK"/>
        </w:rPr>
        <w:t>nie je potrebné upravovať dávku, má sa však u nich starostlivo sledovať výskyt nežiaducich účinkov (pozri časť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="00444697" w:rsidRPr="0074209D">
        <w:rPr>
          <w:rFonts w:ascii="Times New Roman" w:eastAsia="Times New Roman" w:hAnsi="Times New Roman" w:cs="Times New Roman"/>
          <w:lang w:val="sk-SK"/>
        </w:rPr>
        <w:t>5.2).</w:t>
      </w:r>
    </w:p>
    <w:p w14:paraId="1EEB9EBB" w14:textId="77777777" w:rsidR="00444697" w:rsidRPr="0074209D" w:rsidRDefault="00444697" w:rsidP="00473F05">
      <w:pPr>
        <w:spacing w:after="0" w:line="240" w:lineRule="auto"/>
        <w:ind w:right="-23"/>
        <w:rPr>
          <w:rFonts w:ascii="Times New Roman" w:hAnsi="Times New Roman" w:cs="Times New Roman"/>
          <w:lang w:val="sk-SK"/>
        </w:rPr>
      </w:pPr>
    </w:p>
    <w:p w14:paraId="1EEB9EBC" w14:textId="5FAC1DEA" w:rsidR="00444697" w:rsidRPr="0074209D" w:rsidRDefault="00C728CB">
      <w:pPr>
        <w:keepNext/>
        <w:spacing w:after="0" w:line="240" w:lineRule="auto"/>
        <w:ind w:right="-23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Úprava dávkovania z dôvodu toxicity</w:t>
      </w:r>
    </w:p>
    <w:p w14:paraId="1EEB9EBD" w14:textId="36BDA114" w:rsidR="00444697" w:rsidRPr="0074209D" w:rsidRDefault="00522C49" w:rsidP="00473F05">
      <w:pPr>
        <w:spacing w:after="0" w:line="240" w:lineRule="auto"/>
        <w:ind w:right="-23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 xml:space="preserve">Pacientom, ktorí zle tolerujú hnačku alebo nežiaduce </w:t>
      </w:r>
      <w:r w:rsidR="00C728CB" w:rsidRPr="0074209D">
        <w:rPr>
          <w:rFonts w:ascii="Times New Roman" w:eastAsia="Times New Roman" w:hAnsi="Times New Roman" w:cs="Times New Roman"/>
          <w:lang w:val="sk-SK"/>
        </w:rPr>
        <w:t xml:space="preserve">kožné </w:t>
      </w:r>
      <w:r w:rsidRPr="0074209D">
        <w:rPr>
          <w:rFonts w:ascii="Times New Roman" w:eastAsia="Times New Roman" w:hAnsi="Times New Roman" w:cs="Times New Roman"/>
          <w:lang w:val="sk-SK"/>
        </w:rPr>
        <w:t>reakcie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lang w:val="sk-SK"/>
        </w:rPr>
        <w:t>sa m</w:t>
      </w:r>
      <w:r w:rsidR="00C728CB">
        <w:rPr>
          <w:rFonts w:ascii="Times New Roman" w:eastAsia="Times New Roman" w:hAnsi="Times New Roman" w:cs="Times New Roman"/>
          <w:lang w:val="sk-SK"/>
        </w:rPr>
        <w:t>ôže liečba na krátky čas prerušiť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(do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14</w:t>
      </w:r>
      <w:r w:rsidR="00444697" w:rsidRPr="0074209D">
        <w:rPr>
          <w:rFonts w:ascii="Times New Roman" w:eastAsia="Times New Roman" w:hAnsi="Times New Roman" w:cs="Times New Roman"/>
          <w:spacing w:val="-3"/>
          <w:lang w:val="sk-SK"/>
        </w:rPr>
        <w:t> </w:t>
      </w:r>
      <w:r w:rsidRPr="0074209D">
        <w:rPr>
          <w:rFonts w:ascii="Times New Roman" w:eastAsia="Times New Roman" w:hAnsi="Times New Roman" w:cs="Times New Roman"/>
          <w:lang w:val="sk-SK"/>
        </w:rPr>
        <w:t>dní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) </w:t>
      </w:r>
      <w:r w:rsidRPr="0074209D">
        <w:rPr>
          <w:rFonts w:ascii="Times New Roman" w:eastAsia="Times New Roman" w:hAnsi="Times New Roman" w:cs="Times New Roman"/>
          <w:lang w:val="sk-SK"/>
        </w:rPr>
        <w:t>a následne mô</w:t>
      </w:r>
      <w:r w:rsidR="00C728CB">
        <w:rPr>
          <w:rFonts w:ascii="Times New Roman" w:eastAsia="Times New Roman" w:hAnsi="Times New Roman" w:cs="Times New Roman"/>
          <w:lang w:val="sk-SK"/>
        </w:rPr>
        <w:t>že znovu pokračovať v dávke 250 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mg (pozri časť 4.8). </w:t>
      </w:r>
      <w:r w:rsidR="005409F4">
        <w:rPr>
          <w:rFonts w:ascii="Times New Roman" w:eastAsia="Times New Roman" w:hAnsi="Times New Roman" w:cs="Times New Roman"/>
          <w:lang w:val="sk-SK"/>
        </w:rPr>
        <w:t>U p</w:t>
      </w:r>
      <w:r w:rsidRPr="0074209D">
        <w:rPr>
          <w:rFonts w:ascii="Times New Roman" w:eastAsia="Times New Roman" w:hAnsi="Times New Roman" w:cs="Times New Roman"/>
          <w:lang w:val="sk-SK"/>
        </w:rPr>
        <w:t>aciento</w:t>
      </w:r>
      <w:r w:rsidR="005409F4">
        <w:rPr>
          <w:rFonts w:ascii="Times New Roman" w:eastAsia="Times New Roman" w:hAnsi="Times New Roman" w:cs="Times New Roman"/>
          <w:lang w:val="sk-SK"/>
        </w:rPr>
        <w:t>v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, ktorí netolerujú liečbu po tomto prerušení sa má </w:t>
      </w:r>
      <w:r w:rsidR="005409F4">
        <w:rPr>
          <w:rFonts w:ascii="Times New Roman" w:eastAsia="Times New Roman" w:hAnsi="Times New Roman" w:cs="Times New Roman"/>
          <w:lang w:val="sk-SK"/>
        </w:rPr>
        <w:t xml:space="preserve">liečba </w:t>
      </w:r>
      <w:r w:rsidRPr="0074209D">
        <w:rPr>
          <w:rFonts w:ascii="Times New Roman" w:eastAsia="Times New Roman" w:hAnsi="Times New Roman" w:cs="Times New Roman"/>
          <w:lang w:val="sk-SK"/>
        </w:rPr>
        <w:t>gefitinib</w:t>
      </w:r>
      <w:r w:rsidR="005409F4">
        <w:rPr>
          <w:rFonts w:ascii="Times New Roman" w:eastAsia="Times New Roman" w:hAnsi="Times New Roman" w:cs="Times New Roman"/>
          <w:lang w:val="sk-SK"/>
        </w:rPr>
        <w:t>om ukončiť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a má sa zvážiť alternatívna liečba.</w:t>
      </w:r>
    </w:p>
    <w:p w14:paraId="1EEB9EBE" w14:textId="77777777" w:rsidR="00444697" w:rsidRPr="0074209D" w:rsidRDefault="00444697" w:rsidP="00473F05">
      <w:pPr>
        <w:spacing w:after="0" w:line="240" w:lineRule="auto"/>
        <w:ind w:right="-23"/>
        <w:rPr>
          <w:rFonts w:ascii="Times New Roman" w:hAnsi="Times New Roman" w:cs="Times New Roman"/>
          <w:lang w:val="sk-SK"/>
        </w:rPr>
      </w:pPr>
    </w:p>
    <w:p w14:paraId="1EEB9EBF" w14:textId="3CEF2194" w:rsidR="00444697" w:rsidRPr="0074209D" w:rsidRDefault="00522C49" w:rsidP="00473F05">
      <w:pPr>
        <w:keepNext/>
        <w:spacing w:after="0" w:line="240" w:lineRule="auto"/>
        <w:ind w:right="-23"/>
        <w:rPr>
          <w:rFonts w:ascii="Times New Roman" w:hAnsi="Times New Roman" w:cs="Times New Roman"/>
          <w:u w:val="single"/>
          <w:lang w:val="sk-SK"/>
        </w:rPr>
      </w:pPr>
      <w:r w:rsidRPr="0074209D">
        <w:rPr>
          <w:rFonts w:ascii="Times New Roman" w:hAnsi="Times New Roman" w:cs="Times New Roman"/>
          <w:u w:val="single"/>
          <w:lang w:val="sk-SK"/>
        </w:rPr>
        <w:t>Spôsob podávania</w:t>
      </w:r>
    </w:p>
    <w:p w14:paraId="1EEB9EC0" w14:textId="6A1F0771" w:rsidR="00444697" w:rsidRPr="0074209D" w:rsidRDefault="00522C49" w:rsidP="00473F05">
      <w:pPr>
        <w:spacing w:after="0" w:line="240" w:lineRule="auto"/>
        <w:ind w:right="-23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>T</w:t>
      </w:r>
      <w:r w:rsidR="00444697" w:rsidRPr="0074209D">
        <w:rPr>
          <w:rFonts w:ascii="Times New Roman" w:eastAsia="Times New Roman" w:hAnsi="Times New Roman" w:cs="Times New Roman"/>
          <w:lang w:val="sk-SK"/>
        </w:rPr>
        <w:t>ablet</w:t>
      </w:r>
      <w:r w:rsidRPr="0074209D">
        <w:rPr>
          <w:rFonts w:ascii="Times New Roman" w:eastAsia="Times New Roman" w:hAnsi="Times New Roman" w:cs="Times New Roman"/>
          <w:lang w:val="sk-SK"/>
        </w:rPr>
        <w:t>a sa môže užívať perorálne s jedlom ale</w:t>
      </w:r>
      <w:r w:rsidR="00C728CB">
        <w:rPr>
          <w:rFonts w:ascii="Times New Roman" w:eastAsia="Times New Roman" w:hAnsi="Times New Roman" w:cs="Times New Roman"/>
          <w:lang w:val="sk-SK"/>
        </w:rPr>
        <w:t>bo bez jedla približne v rovnakom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čas</w:t>
      </w:r>
      <w:r w:rsidR="00C728CB">
        <w:rPr>
          <w:rFonts w:ascii="Times New Roman" w:eastAsia="Times New Roman" w:hAnsi="Times New Roman" w:cs="Times New Roman"/>
          <w:lang w:val="sk-SK"/>
        </w:rPr>
        <w:t>e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každý deň. T</w:t>
      </w:r>
      <w:r w:rsidR="00444697" w:rsidRPr="0074209D">
        <w:rPr>
          <w:rFonts w:ascii="Times New Roman" w:eastAsia="Times New Roman" w:hAnsi="Times New Roman" w:cs="Times New Roman"/>
          <w:lang w:val="sk-SK"/>
        </w:rPr>
        <w:t>ablet</w:t>
      </w:r>
      <w:r w:rsidR="00C728CB">
        <w:rPr>
          <w:rFonts w:ascii="Times New Roman" w:eastAsia="Times New Roman" w:hAnsi="Times New Roman" w:cs="Times New Roman"/>
          <w:lang w:val="sk-SK"/>
        </w:rPr>
        <w:t>a sa má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prehltnúť celá a zapiť trochou vody alebo ak nie je m</w:t>
      </w:r>
      <w:r w:rsidR="00E54A30" w:rsidRPr="0074209D">
        <w:rPr>
          <w:rFonts w:ascii="Times New Roman" w:eastAsia="Times New Roman" w:hAnsi="Times New Roman" w:cs="Times New Roman"/>
          <w:lang w:val="sk-SK"/>
        </w:rPr>
        <w:t xml:space="preserve">ožné užiť tabletu v celku, je možné rozpustiť ju v neperlivej vode a podať vo forme disperzie. </w:t>
      </w:r>
      <w:r w:rsidR="00444697" w:rsidRPr="0074209D">
        <w:rPr>
          <w:rFonts w:ascii="Times New Roman" w:eastAsia="Times New Roman" w:hAnsi="Times New Roman" w:cs="Times New Roman"/>
          <w:lang w:val="sk-SK"/>
        </w:rPr>
        <w:t>N</w:t>
      </w:r>
      <w:r w:rsidR="00E54A30" w:rsidRPr="0074209D">
        <w:rPr>
          <w:rFonts w:ascii="Times New Roman" w:eastAsia="Times New Roman" w:hAnsi="Times New Roman" w:cs="Times New Roman"/>
          <w:lang w:val="sk-SK"/>
        </w:rPr>
        <w:t>emajú sa používať žiadne iné tekutiny</w:t>
      </w:r>
      <w:r w:rsidR="00444697" w:rsidRPr="0074209D">
        <w:rPr>
          <w:rFonts w:ascii="Times New Roman" w:eastAsia="Times New Roman" w:hAnsi="Times New Roman" w:cs="Times New Roman"/>
          <w:lang w:val="sk-SK"/>
        </w:rPr>
        <w:t>.</w:t>
      </w:r>
      <w:r w:rsidR="00444697" w:rsidRPr="0074209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E54A30" w:rsidRPr="0074209D">
        <w:rPr>
          <w:rFonts w:ascii="Times New Roman" w:eastAsia="Times New Roman" w:hAnsi="Times New Roman" w:cs="Times New Roman"/>
          <w:spacing w:val="-3"/>
          <w:lang w:val="sk-SK"/>
        </w:rPr>
        <w:t>Tableta sa má vložiť do pohára s pitnou vodou naplneného do polovice bez predchádzajúceho drvenia. Občas je potrebné obsah zamiešať, pokiaľ sa tablet</w:t>
      </w:r>
      <w:r w:rsidR="004702CC" w:rsidRPr="0074209D">
        <w:rPr>
          <w:rFonts w:ascii="Times New Roman" w:eastAsia="Times New Roman" w:hAnsi="Times New Roman" w:cs="Times New Roman"/>
          <w:spacing w:val="-3"/>
          <w:lang w:val="sk-SK"/>
        </w:rPr>
        <w:t>a</w:t>
      </w:r>
      <w:r w:rsidR="00E54A30" w:rsidRPr="0074209D">
        <w:rPr>
          <w:rFonts w:ascii="Times New Roman" w:eastAsia="Times New Roman" w:hAnsi="Times New Roman" w:cs="Times New Roman"/>
          <w:spacing w:val="-3"/>
          <w:lang w:val="sk-SK"/>
        </w:rPr>
        <w:t xml:space="preserve"> nerozpustí </w:t>
      </w:r>
      <w:r w:rsidR="00444697" w:rsidRPr="0074209D">
        <w:rPr>
          <w:rFonts w:ascii="Times New Roman" w:eastAsia="Times New Roman" w:hAnsi="Times New Roman" w:cs="Times New Roman"/>
          <w:lang w:val="sk-SK"/>
        </w:rPr>
        <w:t>(</w:t>
      </w:r>
      <w:r w:rsidR="00E54A30" w:rsidRPr="0074209D">
        <w:rPr>
          <w:rFonts w:ascii="Times New Roman" w:eastAsia="Times New Roman" w:hAnsi="Times New Roman" w:cs="Times New Roman"/>
          <w:lang w:val="sk-SK"/>
        </w:rPr>
        <w:t>môže to trvať až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20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="00E54A30" w:rsidRPr="0074209D">
        <w:rPr>
          <w:rFonts w:ascii="Times New Roman" w:eastAsia="Times New Roman" w:hAnsi="Times New Roman" w:cs="Times New Roman"/>
          <w:lang w:val="sk-SK"/>
        </w:rPr>
        <w:t>minút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). </w:t>
      </w:r>
      <w:r w:rsidR="00E54A30" w:rsidRPr="0074209D">
        <w:rPr>
          <w:rFonts w:ascii="Times New Roman" w:eastAsia="Times New Roman" w:hAnsi="Times New Roman" w:cs="Times New Roman"/>
          <w:lang w:val="sk-SK"/>
        </w:rPr>
        <w:t>Disperziu po rozpustení ihneď vypite (t.j</w:t>
      </w:r>
      <w:r w:rsidR="00444697" w:rsidRPr="0074209D">
        <w:rPr>
          <w:rFonts w:ascii="Times New Roman" w:eastAsia="Times New Roman" w:hAnsi="Times New Roman" w:cs="Times New Roman"/>
          <w:lang w:val="sk-SK"/>
        </w:rPr>
        <w:t>.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E54A30" w:rsidRPr="0074209D">
        <w:rPr>
          <w:rFonts w:ascii="Times New Roman" w:eastAsia="Times New Roman" w:hAnsi="Times New Roman" w:cs="Times New Roman"/>
          <w:spacing w:val="-1"/>
          <w:lang w:val="sk-SK"/>
        </w:rPr>
        <w:t>do</w:t>
      </w:r>
      <w:r w:rsidR="00E54A30" w:rsidRPr="0074209D">
        <w:rPr>
          <w:rFonts w:ascii="Times New Roman" w:eastAsia="Times New Roman" w:hAnsi="Times New Roman" w:cs="Times New Roman"/>
          <w:lang w:val="sk-SK"/>
        </w:rPr>
        <w:t xml:space="preserve"> 60 minút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). </w:t>
      </w:r>
      <w:r w:rsidR="00E54A30" w:rsidRPr="0074209D">
        <w:rPr>
          <w:rFonts w:ascii="Times New Roman" w:eastAsia="Times New Roman" w:hAnsi="Times New Roman" w:cs="Times New Roman"/>
          <w:lang w:val="sk-SK"/>
        </w:rPr>
        <w:t>Pohár sa má vypláchnuť polovicou pohára vody, ktorá sa má tiež vypiť</w:t>
      </w:r>
      <w:r w:rsidR="00AA5F86" w:rsidRPr="0074209D">
        <w:rPr>
          <w:rFonts w:ascii="Times New Roman" w:eastAsia="Times New Roman" w:hAnsi="Times New Roman" w:cs="Times New Roman"/>
          <w:lang w:val="sk-SK"/>
        </w:rPr>
        <w:t xml:space="preserve">. </w:t>
      </w:r>
      <w:r w:rsidR="00E54A30" w:rsidRPr="0074209D">
        <w:rPr>
          <w:rFonts w:ascii="Times New Roman" w:eastAsia="Times New Roman" w:hAnsi="Times New Roman" w:cs="Times New Roman"/>
          <w:lang w:val="sk-SK"/>
        </w:rPr>
        <w:t>Disperzia sa môže podať aj cez nazogastrickú alebo gastro</w:t>
      </w:r>
      <w:r w:rsidR="00BE4A81">
        <w:rPr>
          <w:rFonts w:ascii="Times New Roman" w:eastAsia="Times New Roman" w:hAnsi="Times New Roman" w:cs="Times New Roman"/>
          <w:lang w:val="sk-SK"/>
        </w:rPr>
        <w:t>sto</w:t>
      </w:r>
      <w:r w:rsidR="00E54A30" w:rsidRPr="0074209D">
        <w:rPr>
          <w:rFonts w:ascii="Times New Roman" w:eastAsia="Times New Roman" w:hAnsi="Times New Roman" w:cs="Times New Roman"/>
          <w:lang w:val="sk-SK"/>
        </w:rPr>
        <w:t>mickú sondu</w:t>
      </w:r>
      <w:r w:rsidR="00444697" w:rsidRPr="0074209D">
        <w:rPr>
          <w:rFonts w:ascii="Times New Roman" w:eastAsia="Times New Roman" w:hAnsi="Times New Roman" w:cs="Times New Roman"/>
          <w:lang w:val="sk-SK"/>
        </w:rPr>
        <w:t>.</w:t>
      </w:r>
    </w:p>
    <w:p w14:paraId="1EEB9EC1" w14:textId="77777777" w:rsidR="00444697" w:rsidRPr="0074209D" w:rsidRDefault="00444697" w:rsidP="00473F05">
      <w:pPr>
        <w:spacing w:after="0" w:line="240" w:lineRule="auto"/>
        <w:ind w:right="-23"/>
        <w:rPr>
          <w:rFonts w:ascii="Times New Roman" w:hAnsi="Times New Roman" w:cs="Times New Roman"/>
          <w:lang w:val="sk-SK"/>
        </w:rPr>
      </w:pPr>
    </w:p>
    <w:p w14:paraId="1EEB9EC2" w14:textId="27051689" w:rsidR="00444697" w:rsidRPr="0074209D" w:rsidRDefault="00AA5F86" w:rsidP="00473F05">
      <w:pPr>
        <w:spacing w:after="0" w:line="240" w:lineRule="auto"/>
        <w:ind w:left="567" w:right="-23" w:hanging="567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b/>
          <w:bCs/>
          <w:lang w:val="sk-SK"/>
        </w:rPr>
        <w:t>4.3</w:t>
      </w:r>
      <w:r w:rsidRPr="0074209D">
        <w:rPr>
          <w:rFonts w:ascii="Times New Roman" w:eastAsia="Times New Roman" w:hAnsi="Times New Roman" w:cs="Times New Roman"/>
          <w:b/>
          <w:bCs/>
          <w:lang w:val="sk-SK"/>
        </w:rPr>
        <w:tab/>
        <w:t>Kontrai</w:t>
      </w:r>
      <w:r w:rsidR="00A4422D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74209D">
        <w:rPr>
          <w:rFonts w:ascii="Times New Roman" w:eastAsia="Times New Roman" w:hAnsi="Times New Roman" w:cs="Times New Roman"/>
          <w:b/>
          <w:bCs/>
          <w:lang w:val="sk-SK"/>
        </w:rPr>
        <w:t>dikácie</w:t>
      </w:r>
    </w:p>
    <w:p w14:paraId="1EEB9EC3" w14:textId="77777777" w:rsidR="00444697" w:rsidRPr="0074209D" w:rsidRDefault="00444697" w:rsidP="00473F05">
      <w:pPr>
        <w:spacing w:after="0" w:line="240" w:lineRule="auto"/>
        <w:ind w:right="-23"/>
        <w:rPr>
          <w:rFonts w:ascii="Times New Roman" w:hAnsi="Times New Roman" w:cs="Times New Roman"/>
          <w:lang w:val="sk-SK"/>
        </w:rPr>
      </w:pPr>
    </w:p>
    <w:p w14:paraId="1EEB9EC4" w14:textId="7428EA63" w:rsidR="00444697" w:rsidRPr="0074209D" w:rsidRDefault="00AA5F86" w:rsidP="00473F05">
      <w:pPr>
        <w:spacing w:after="0" w:line="240" w:lineRule="auto"/>
        <w:ind w:right="-23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>Precitlivenosť na liečivo alebo na ktorúkoľvek z pomocných látok uvedených v časti</w:t>
      </w:r>
      <w:r w:rsidR="00444697" w:rsidRPr="0074209D">
        <w:rPr>
          <w:rFonts w:ascii="Times New Roman" w:eastAsia="Times New Roman" w:hAnsi="Times New Roman" w:cs="Times New Roman"/>
          <w:lang w:val="sk-SK"/>
        </w:rPr>
        <w:t> 6.1.</w:t>
      </w:r>
    </w:p>
    <w:p w14:paraId="1EEB9EC5" w14:textId="0CD9684D" w:rsidR="00444697" w:rsidRPr="0074209D" w:rsidRDefault="00AA5F86" w:rsidP="00473F05">
      <w:pPr>
        <w:spacing w:after="0" w:line="240" w:lineRule="auto"/>
        <w:ind w:right="-23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>Dojčenie (pozri časť</w:t>
      </w:r>
      <w:r w:rsidR="00444697" w:rsidRPr="0074209D">
        <w:rPr>
          <w:rFonts w:ascii="Times New Roman" w:eastAsia="Times New Roman" w:hAnsi="Times New Roman" w:cs="Times New Roman"/>
          <w:spacing w:val="-3"/>
          <w:lang w:val="sk-SK"/>
        </w:rPr>
        <w:t> </w:t>
      </w:r>
      <w:r w:rsidR="00444697" w:rsidRPr="0074209D">
        <w:rPr>
          <w:rFonts w:ascii="Times New Roman" w:eastAsia="Times New Roman" w:hAnsi="Times New Roman" w:cs="Times New Roman"/>
          <w:lang w:val="sk-SK"/>
        </w:rPr>
        <w:t>4.6).</w:t>
      </w:r>
    </w:p>
    <w:p w14:paraId="1EEB9EC6" w14:textId="77777777" w:rsidR="00444697" w:rsidRPr="0074209D" w:rsidRDefault="00444697" w:rsidP="00473F05">
      <w:pPr>
        <w:spacing w:after="0" w:line="240" w:lineRule="auto"/>
        <w:ind w:right="-23"/>
        <w:rPr>
          <w:rFonts w:ascii="Times New Roman" w:eastAsia="Times New Roman" w:hAnsi="Times New Roman" w:cs="Times New Roman"/>
          <w:lang w:val="sk-SK"/>
        </w:rPr>
      </w:pPr>
    </w:p>
    <w:p w14:paraId="1EEB9EC7" w14:textId="23E65B20" w:rsidR="00444697" w:rsidRPr="0074209D" w:rsidRDefault="008B6280" w:rsidP="00473F05">
      <w:pPr>
        <w:spacing w:after="0" w:line="240" w:lineRule="auto"/>
        <w:ind w:left="567" w:right="-23" w:hanging="567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b/>
          <w:bCs/>
          <w:lang w:val="sk-SK"/>
        </w:rPr>
        <w:t>4.4</w:t>
      </w:r>
      <w:r w:rsidRPr="0074209D">
        <w:rPr>
          <w:rFonts w:ascii="Times New Roman" w:eastAsia="Times New Roman" w:hAnsi="Times New Roman" w:cs="Times New Roman"/>
          <w:b/>
          <w:bCs/>
          <w:lang w:val="sk-SK"/>
        </w:rPr>
        <w:tab/>
        <w:t>Osobitné upozornenia a opatrenia pri používaní</w:t>
      </w:r>
    </w:p>
    <w:p w14:paraId="1EEB9EC8" w14:textId="77777777" w:rsidR="00444697" w:rsidRPr="0074209D" w:rsidRDefault="00444697" w:rsidP="00473F05">
      <w:pPr>
        <w:spacing w:after="0" w:line="240" w:lineRule="auto"/>
        <w:ind w:right="-23"/>
        <w:rPr>
          <w:rFonts w:ascii="Times New Roman" w:hAnsi="Times New Roman" w:cs="Times New Roman"/>
          <w:lang w:val="sk-SK"/>
        </w:rPr>
      </w:pPr>
    </w:p>
    <w:p w14:paraId="1EEB9EC9" w14:textId="51C1A39E" w:rsidR="00444697" w:rsidRPr="0074209D" w:rsidRDefault="008B6280" w:rsidP="00473F05">
      <w:pPr>
        <w:spacing w:after="0" w:line="240" w:lineRule="auto"/>
        <w:ind w:right="-23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 xml:space="preserve">Pri zvažovaní použitia Gefitinibu </w:t>
      </w:r>
      <w:r w:rsidR="002A2168" w:rsidRPr="0074209D">
        <w:rPr>
          <w:rFonts w:ascii="Times New Roman" w:eastAsia="Times New Roman" w:hAnsi="Times New Roman" w:cs="Times New Roman"/>
          <w:lang w:val="sk-SK"/>
        </w:rPr>
        <w:t xml:space="preserve">Teva 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v liečbe lokálne pokročilého alebo </w:t>
      </w:r>
      <w:r w:rsidR="00444697" w:rsidRPr="0074209D">
        <w:rPr>
          <w:rFonts w:ascii="Times New Roman" w:eastAsia="Times New Roman" w:hAnsi="Times New Roman" w:cs="Times New Roman"/>
          <w:lang w:val="sk-SK"/>
        </w:rPr>
        <w:t>metastatic</w:t>
      </w:r>
      <w:r w:rsidRPr="0074209D">
        <w:rPr>
          <w:rFonts w:ascii="Times New Roman" w:eastAsia="Times New Roman" w:hAnsi="Times New Roman" w:cs="Times New Roman"/>
          <w:lang w:val="sk-SK"/>
        </w:rPr>
        <w:t>kého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NSCLC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je dôležité pokúsiť sa určiť u všetkých pacientov EGFR mutáciu v nádorovom tkanive</w:t>
      </w:r>
      <w:r w:rsidR="00444697" w:rsidRPr="0074209D">
        <w:rPr>
          <w:rFonts w:ascii="Times New Roman" w:eastAsia="Times New Roman" w:hAnsi="Times New Roman" w:cs="Times New Roman"/>
          <w:lang w:val="sk-SK"/>
        </w:rPr>
        <w:t>.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Ak vzorka nádorového tkaniva nie je hodnotiteľná, môže sa použiť vzorka cirkulujúcej nádorovej 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DNA (ctDNA) </w:t>
      </w:r>
      <w:r w:rsidRPr="0074209D">
        <w:rPr>
          <w:rFonts w:ascii="Times New Roman" w:eastAsia="Times New Roman" w:hAnsi="Times New Roman" w:cs="Times New Roman"/>
          <w:lang w:val="sk-SK"/>
        </w:rPr>
        <w:t>izolovaná z krvi (plazmy</w:t>
      </w:r>
      <w:r w:rsidR="00444697" w:rsidRPr="0074209D">
        <w:rPr>
          <w:rFonts w:ascii="Times New Roman" w:eastAsia="Times New Roman" w:hAnsi="Times New Roman" w:cs="Times New Roman"/>
          <w:lang w:val="sk-SK"/>
        </w:rPr>
        <w:t>).</w:t>
      </w:r>
    </w:p>
    <w:p w14:paraId="1EEB9ECA" w14:textId="77777777" w:rsidR="00444697" w:rsidRPr="0074209D" w:rsidRDefault="00444697" w:rsidP="00473F05">
      <w:pPr>
        <w:spacing w:after="0" w:line="240" w:lineRule="auto"/>
        <w:ind w:right="-23"/>
        <w:rPr>
          <w:rFonts w:ascii="Times New Roman" w:hAnsi="Times New Roman" w:cs="Times New Roman"/>
          <w:lang w:val="sk-SK"/>
        </w:rPr>
      </w:pPr>
    </w:p>
    <w:p w14:paraId="1EEB9ECB" w14:textId="5CB7458D" w:rsidR="00444697" w:rsidRPr="0074209D" w:rsidRDefault="00F376CB" w:rsidP="00473F05">
      <w:pPr>
        <w:spacing w:after="0" w:line="240" w:lineRule="auto"/>
        <w:ind w:right="-23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 xml:space="preserve">Na určenie stavu EGFR mutácie v nádorovom tkanive alebo ctDNA sa má použiť len robustný, spoľahlivý a senzitívny test (testy) </w:t>
      </w:r>
      <w:r w:rsidR="002A2168" w:rsidRPr="0074209D">
        <w:rPr>
          <w:rFonts w:ascii="Times New Roman" w:eastAsia="Times New Roman" w:hAnsi="Times New Roman" w:cs="Times New Roman"/>
          <w:lang w:val="sk-SK"/>
        </w:rPr>
        <w:t>s preukázaným prínosom, aby sa predišlo falošne negatívnym alebo falošne pozitívnym výsledkom (pozri časť</w:t>
      </w:r>
      <w:r w:rsidR="00444697" w:rsidRPr="0074209D">
        <w:rPr>
          <w:rFonts w:ascii="Times New Roman" w:eastAsia="Times New Roman" w:hAnsi="Times New Roman" w:cs="Times New Roman"/>
          <w:lang w:val="sk-SK"/>
        </w:rPr>
        <w:t> 5.1).</w:t>
      </w:r>
    </w:p>
    <w:p w14:paraId="1EEB9ECC" w14:textId="77777777" w:rsidR="00444697" w:rsidRPr="0074209D" w:rsidRDefault="00444697" w:rsidP="00473F05">
      <w:pPr>
        <w:spacing w:after="0" w:line="240" w:lineRule="auto"/>
        <w:ind w:right="-23"/>
        <w:rPr>
          <w:rFonts w:ascii="Times New Roman" w:hAnsi="Times New Roman" w:cs="Times New Roman"/>
          <w:lang w:val="sk-SK"/>
        </w:rPr>
      </w:pPr>
    </w:p>
    <w:p w14:paraId="1EEB9ECD" w14:textId="796406E1" w:rsidR="00444697" w:rsidRPr="0074209D" w:rsidRDefault="002A2168">
      <w:pPr>
        <w:keepNext/>
        <w:spacing w:after="0" w:line="240" w:lineRule="auto"/>
        <w:ind w:right="-23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i/>
          <w:lang w:val="sk-SK"/>
        </w:rPr>
        <w:t>Intersticiálna pľúcna choroba</w:t>
      </w:r>
      <w:r w:rsidR="00EC7D84" w:rsidRPr="0074209D">
        <w:rPr>
          <w:rFonts w:ascii="Times New Roman" w:eastAsia="Times New Roman" w:hAnsi="Times New Roman" w:cs="Times New Roman"/>
          <w:i/>
          <w:lang w:val="sk-SK"/>
        </w:rPr>
        <w:t xml:space="preserve"> (ILD</w:t>
      </w:r>
      <w:r w:rsidR="00444697" w:rsidRPr="0074209D">
        <w:rPr>
          <w:rFonts w:ascii="Times New Roman" w:eastAsia="Times New Roman" w:hAnsi="Times New Roman" w:cs="Times New Roman"/>
          <w:i/>
          <w:lang w:val="sk-SK"/>
        </w:rPr>
        <w:t>)</w:t>
      </w:r>
    </w:p>
    <w:p w14:paraId="1EEB9ECE" w14:textId="23D93FA1" w:rsidR="00444697" w:rsidRPr="0074209D" w:rsidRDefault="002A2168" w:rsidP="00473F05">
      <w:pPr>
        <w:spacing w:after="0" w:line="240" w:lineRule="auto"/>
        <w:ind w:right="-23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spacing w:val="-4"/>
          <w:lang w:val="sk-SK"/>
        </w:rPr>
        <w:t>U 1,3 % pacientov liečených gefi</w:t>
      </w:r>
      <w:r w:rsidR="006F20C6" w:rsidRPr="0074209D">
        <w:rPr>
          <w:rFonts w:ascii="Times New Roman" w:eastAsia="Times New Roman" w:hAnsi="Times New Roman" w:cs="Times New Roman"/>
          <w:spacing w:val="-4"/>
          <w:lang w:val="sk-SK"/>
        </w:rPr>
        <w:t>t</w:t>
      </w:r>
      <w:r w:rsidR="00EC7D84" w:rsidRPr="0074209D">
        <w:rPr>
          <w:rFonts w:ascii="Times New Roman" w:eastAsia="Times New Roman" w:hAnsi="Times New Roman" w:cs="Times New Roman"/>
          <w:spacing w:val="-4"/>
          <w:lang w:val="sk-SK"/>
        </w:rPr>
        <w:t>inibom sa zaznamenal výskyt ILD</w:t>
      </w:r>
      <w:r w:rsidRPr="0074209D">
        <w:rPr>
          <w:rFonts w:ascii="Times New Roman" w:eastAsia="Times New Roman" w:hAnsi="Times New Roman" w:cs="Times New Roman"/>
          <w:spacing w:val="-4"/>
          <w:lang w:val="sk-SK"/>
        </w:rPr>
        <w:t xml:space="preserve">, ktorej nástup môže byť akútny a v niektorých prípadoch sa môže skončiť fatálne </w:t>
      </w:r>
      <w:r w:rsidRPr="0074209D">
        <w:rPr>
          <w:rFonts w:ascii="Times New Roman" w:eastAsia="Times New Roman" w:hAnsi="Times New Roman" w:cs="Times New Roman"/>
          <w:lang w:val="sk-SK"/>
        </w:rPr>
        <w:t>(pozri časť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 4.8). </w:t>
      </w:r>
      <w:r w:rsidRPr="0074209D">
        <w:rPr>
          <w:rFonts w:ascii="Times New Roman" w:eastAsia="Times New Roman" w:hAnsi="Times New Roman" w:cs="Times New Roman"/>
          <w:lang w:val="sk-SK"/>
        </w:rPr>
        <w:t>Pokiaľ dôjde u pacienta k zhoršeniu respiračných príznakov, akými sú dyspnoe, kašeľ a horúčka, podávanie Gefitinibu Teva sa má prerušiť a pacient sa má bezodkladne vyšetriť. Ak sa pot</w:t>
      </w:r>
      <w:r w:rsidR="00EC7D84" w:rsidRPr="0074209D">
        <w:rPr>
          <w:rFonts w:ascii="Times New Roman" w:eastAsia="Times New Roman" w:hAnsi="Times New Roman" w:cs="Times New Roman"/>
          <w:lang w:val="sk-SK"/>
        </w:rPr>
        <w:t>vrdí ILD</w:t>
      </w:r>
      <w:r w:rsidR="00444697" w:rsidRPr="0074209D">
        <w:rPr>
          <w:rFonts w:ascii="Times New Roman" w:eastAsia="Times New Roman" w:hAnsi="Times New Roman" w:cs="Times New Roman"/>
          <w:lang w:val="sk-SK"/>
        </w:rPr>
        <w:t>,</w:t>
      </w:r>
      <w:r w:rsidR="00444697" w:rsidRPr="0074209D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B23ABB">
        <w:rPr>
          <w:rFonts w:ascii="Times New Roman" w:eastAsia="Times New Roman" w:hAnsi="Times New Roman" w:cs="Times New Roman"/>
          <w:spacing w:val="1"/>
          <w:lang w:val="sk-SK"/>
        </w:rPr>
        <w:t xml:space="preserve">podávanie </w:t>
      </w:r>
      <w:r w:rsidRPr="0074209D">
        <w:rPr>
          <w:rFonts w:ascii="Times New Roman" w:eastAsia="Times New Roman" w:hAnsi="Times New Roman" w:cs="Times New Roman"/>
          <w:spacing w:val="-1"/>
          <w:lang w:val="sk-SK"/>
        </w:rPr>
        <w:t>Gefitinib</w:t>
      </w:r>
      <w:r w:rsidR="00B23ABB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642118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Teva </w:t>
      </w:r>
      <w:r w:rsidRPr="0074209D">
        <w:rPr>
          <w:rFonts w:ascii="Times New Roman" w:eastAsia="Times New Roman" w:hAnsi="Times New Roman" w:cs="Times New Roman"/>
          <w:spacing w:val="-1"/>
          <w:lang w:val="sk-SK"/>
        </w:rPr>
        <w:t>sa m</w:t>
      </w:r>
      <w:r w:rsidR="00B23ABB">
        <w:rPr>
          <w:rFonts w:ascii="Times New Roman" w:eastAsia="Times New Roman" w:hAnsi="Times New Roman" w:cs="Times New Roman"/>
          <w:spacing w:val="-1"/>
          <w:lang w:val="sk-SK"/>
        </w:rPr>
        <w:t>usí ukončiť</w:t>
      </w:r>
      <w:r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a má sa začať s adekvátnou liečbou</w:t>
      </w:r>
      <w:r w:rsidR="00444697" w:rsidRPr="0074209D">
        <w:rPr>
          <w:rFonts w:ascii="Times New Roman" w:eastAsia="Times New Roman" w:hAnsi="Times New Roman" w:cs="Times New Roman"/>
          <w:lang w:val="sk-SK"/>
        </w:rPr>
        <w:t>.</w:t>
      </w:r>
    </w:p>
    <w:p w14:paraId="1EEB9ECF" w14:textId="77777777" w:rsidR="00444697" w:rsidRPr="0074209D" w:rsidRDefault="00444697" w:rsidP="00473F05">
      <w:pPr>
        <w:spacing w:after="0" w:line="240" w:lineRule="auto"/>
        <w:ind w:right="-23"/>
        <w:rPr>
          <w:rFonts w:ascii="Times New Roman" w:hAnsi="Times New Roman" w:cs="Times New Roman"/>
          <w:lang w:val="sk-SK"/>
        </w:rPr>
      </w:pPr>
    </w:p>
    <w:p w14:paraId="1EEB9ED0" w14:textId="32501812" w:rsidR="00444697" w:rsidRPr="0074209D" w:rsidRDefault="00CD2A80" w:rsidP="00473F05">
      <w:pPr>
        <w:spacing w:after="0" w:line="240" w:lineRule="auto"/>
        <w:ind w:right="-23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 xml:space="preserve">V </w:t>
      </w:r>
      <w:r w:rsidR="00305F99" w:rsidRPr="0074209D">
        <w:rPr>
          <w:rFonts w:ascii="Times New Roman" w:eastAsia="Times New Roman" w:hAnsi="Times New Roman" w:cs="Times New Roman"/>
          <w:lang w:val="sk-SK"/>
        </w:rPr>
        <w:t>japonskej farmakoepidemiologickej kontrolovanej prí</w:t>
      </w:r>
      <w:r>
        <w:rPr>
          <w:rFonts w:ascii="Times New Roman" w:eastAsia="Times New Roman" w:hAnsi="Times New Roman" w:cs="Times New Roman"/>
          <w:lang w:val="sk-SK"/>
        </w:rPr>
        <w:t>padovej štúdii</w:t>
      </w:r>
      <w:r w:rsidR="00760A3B">
        <w:rPr>
          <w:rFonts w:ascii="Times New Roman" w:eastAsia="Times New Roman" w:hAnsi="Times New Roman" w:cs="Times New Roman"/>
          <w:lang w:val="sk-SK"/>
        </w:rPr>
        <w:t xml:space="preserve"> u 3159 </w:t>
      </w:r>
      <w:r w:rsidR="00305F99" w:rsidRPr="0074209D">
        <w:rPr>
          <w:rFonts w:ascii="Times New Roman" w:eastAsia="Times New Roman" w:hAnsi="Times New Roman" w:cs="Times New Roman"/>
          <w:lang w:val="sk-SK"/>
        </w:rPr>
        <w:t>pacientov</w:t>
      </w:r>
      <w:r w:rsidR="00E25F0E" w:rsidRPr="0074209D">
        <w:rPr>
          <w:rFonts w:ascii="Times New Roman" w:eastAsia="Times New Roman" w:hAnsi="Times New Roman" w:cs="Times New Roman"/>
          <w:lang w:val="sk-SK"/>
        </w:rPr>
        <w:t xml:space="preserve"> s</w:t>
      </w:r>
      <w:r w:rsidR="00E25F0E" w:rsidRPr="0074209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="00444697" w:rsidRPr="0074209D">
        <w:rPr>
          <w:rFonts w:ascii="Times New Roman" w:eastAsia="Times New Roman" w:hAnsi="Times New Roman" w:cs="Times New Roman"/>
          <w:lang w:val="sk-SK"/>
        </w:rPr>
        <w:t>NSCLC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E25F0E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užívajúcich </w:t>
      </w:r>
      <w:r w:rsidR="00444697" w:rsidRPr="0074209D">
        <w:rPr>
          <w:rFonts w:ascii="Times New Roman" w:eastAsia="Times New Roman" w:hAnsi="Times New Roman" w:cs="Times New Roman"/>
          <w:lang w:val="sk-SK"/>
        </w:rPr>
        <w:t>gefitinib</w:t>
      </w:r>
      <w:r w:rsidR="00444697" w:rsidRPr="0074209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E25F0E" w:rsidRPr="0074209D">
        <w:rPr>
          <w:rFonts w:ascii="Times New Roman" w:eastAsia="Times New Roman" w:hAnsi="Times New Roman" w:cs="Times New Roman"/>
          <w:lang w:val="sk-SK"/>
        </w:rPr>
        <w:t>alebo che</w:t>
      </w:r>
      <w:r w:rsidR="00760A3B">
        <w:rPr>
          <w:rFonts w:ascii="Times New Roman" w:eastAsia="Times New Roman" w:hAnsi="Times New Roman" w:cs="Times New Roman"/>
          <w:lang w:val="sk-SK"/>
        </w:rPr>
        <w:t>moterapiu, sledovaných počas 12 </w:t>
      </w:r>
      <w:r w:rsidR="00E25F0E" w:rsidRPr="0074209D">
        <w:rPr>
          <w:rFonts w:ascii="Times New Roman" w:eastAsia="Times New Roman" w:hAnsi="Times New Roman" w:cs="Times New Roman"/>
          <w:lang w:val="sk-SK"/>
        </w:rPr>
        <w:t>týždňov, boli identifikované nasledu</w:t>
      </w:r>
      <w:r w:rsidR="004702CC" w:rsidRPr="0074209D">
        <w:rPr>
          <w:rFonts w:ascii="Times New Roman" w:eastAsia="Times New Roman" w:hAnsi="Times New Roman" w:cs="Times New Roman"/>
          <w:lang w:val="sk-SK"/>
        </w:rPr>
        <w:t>júce rizikové fak</w:t>
      </w:r>
      <w:r w:rsidR="00EC7D84" w:rsidRPr="0074209D">
        <w:rPr>
          <w:rFonts w:ascii="Times New Roman" w:eastAsia="Times New Roman" w:hAnsi="Times New Roman" w:cs="Times New Roman"/>
          <w:lang w:val="sk-SK"/>
        </w:rPr>
        <w:t>tory pre vznik ILD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(</w:t>
      </w:r>
      <w:r w:rsidR="00E25F0E" w:rsidRPr="0074209D">
        <w:rPr>
          <w:rFonts w:ascii="Times New Roman" w:eastAsia="Times New Roman" w:hAnsi="Times New Roman" w:cs="Times New Roman"/>
          <w:lang w:val="sk-SK"/>
        </w:rPr>
        <w:t xml:space="preserve">bez ohľadu na to, či pacient užíval 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gefitinib </w:t>
      </w:r>
      <w:r w:rsidR="00E25F0E" w:rsidRPr="0074209D">
        <w:rPr>
          <w:rFonts w:ascii="Times New Roman" w:eastAsia="Times New Roman" w:hAnsi="Times New Roman" w:cs="Times New Roman"/>
          <w:lang w:val="sk-SK"/>
        </w:rPr>
        <w:t xml:space="preserve">alebo </w:t>
      </w:r>
      <w:r w:rsidR="00E25F0E" w:rsidRPr="0074209D">
        <w:rPr>
          <w:rFonts w:ascii="Times New Roman" w:eastAsia="Times New Roman" w:hAnsi="Times New Roman" w:cs="Times New Roman"/>
          <w:lang w:val="sk-SK"/>
        </w:rPr>
        <w:lastRenderedPageBreak/>
        <w:t>chemoterapiu</w:t>
      </w:r>
      <w:r w:rsidR="00444697" w:rsidRPr="0074209D">
        <w:rPr>
          <w:rFonts w:ascii="Times New Roman" w:eastAsia="Times New Roman" w:hAnsi="Times New Roman" w:cs="Times New Roman"/>
          <w:lang w:val="sk-SK"/>
        </w:rPr>
        <w:t>)</w:t>
      </w:r>
      <w:r w:rsidR="00E25F0E" w:rsidRPr="0074209D">
        <w:rPr>
          <w:rFonts w:ascii="Times New Roman" w:eastAsia="Times New Roman" w:hAnsi="Times New Roman" w:cs="Times New Roman"/>
          <w:lang w:val="sk-SK"/>
        </w:rPr>
        <w:t xml:space="preserve">: fajčenie, </w:t>
      </w:r>
      <w:r w:rsidR="000113A5">
        <w:rPr>
          <w:rFonts w:ascii="Times New Roman" w:eastAsia="Times New Roman" w:hAnsi="Times New Roman" w:cs="Times New Roman"/>
          <w:lang w:val="sk-SK"/>
        </w:rPr>
        <w:t>slabý výkonnostný stav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(</w:t>
      </w:r>
      <w:r w:rsidR="00E25F0E" w:rsidRPr="0074209D">
        <w:rPr>
          <w:rFonts w:ascii="Times New Roman" w:eastAsia="Times New Roman" w:hAnsi="Times New Roman" w:cs="Times New Roman"/>
          <w:lang w:val="sk-SK"/>
        </w:rPr>
        <w:t xml:space="preserve">performance status, </w:t>
      </w:r>
      <w:r w:rsidR="00444697" w:rsidRPr="0074209D">
        <w:rPr>
          <w:rFonts w:ascii="Times New Roman" w:eastAsia="Times New Roman" w:hAnsi="Times New Roman" w:cs="Times New Roman"/>
          <w:lang w:val="sk-SK"/>
        </w:rPr>
        <w:t>P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="00444697" w:rsidRPr="0074209D">
        <w:rPr>
          <w:rFonts w:ascii="Times New Roman" w:eastAsia="Times New Roman" w:hAnsi="Times New Roman" w:cs="Times New Roman"/>
          <w:lang w:val="sk-SK"/>
        </w:rPr>
        <w:t>≥</w:t>
      </w:r>
      <w:r w:rsidR="00444697" w:rsidRPr="0074209D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="00444697" w:rsidRPr="0074209D">
        <w:rPr>
          <w:rFonts w:ascii="Times New Roman" w:eastAsia="Times New Roman" w:hAnsi="Times New Roman" w:cs="Times New Roman"/>
          <w:lang w:val="sk-SK"/>
        </w:rPr>
        <w:t>2),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E25F0E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dôkaz redukcie normálneho pľúcneho tkaniva na základe </w:t>
      </w:r>
      <w:r w:rsidR="00444697" w:rsidRPr="0074209D">
        <w:rPr>
          <w:rFonts w:ascii="Times New Roman" w:eastAsia="Times New Roman" w:hAnsi="Times New Roman" w:cs="Times New Roman"/>
          <w:lang w:val="sk-SK"/>
        </w:rPr>
        <w:t>CT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E25F0E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vyšetrenia </w:t>
      </w:r>
      <w:r w:rsidR="00444697" w:rsidRPr="0074209D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="00444697" w:rsidRPr="0074209D">
        <w:rPr>
          <w:rFonts w:ascii="Times New Roman" w:eastAsia="Times New Roman" w:hAnsi="Times New Roman" w:cs="Times New Roman"/>
          <w:lang w:val="sk-SK"/>
        </w:rPr>
        <w:t>≤</w:t>
      </w:r>
      <w:r w:rsidR="00444697" w:rsidRPr="0074209D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="00444697" w:rsidRPr="0074209D">
        <w:rPr>
          <w:rFonts w:ascii="Times New Roman" w:eastAsia="Times New Roman" w:hAnsi="Times New Roman" w:cs="Times New Roman"/>
          <w:lang w:val="sk-SK"/>
        </w:rPr>
        <w:t>50</w:t>
      </w:r>
      <w:r w:rsidR="00760A3B">
        <w:rPr>
          <w:rFonts w:ascii="Times New Roman" w:eastAsia="Times New Roman" w:hAnsi="Times New Roman" w:cs="Times New Roman"/>
          <w:lang w:val="sk-SK"/>
        </w:rPr>
        <w:t> </w:t>
      </w:r>
      <w:r w:rsidR="00444697" w:rsidRPr="0074209D">
        <w:rPr>
          <w:rFonts w:ascii="Times New Roman" w:eastAsia="Times New Roman" w:hAnsi="Times New Roman" w:cs="Times New Roman"/>
          <w:lang w:val="sk-SK"/>
        </w:rPr>
        <w:t>%),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E25F0E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nedávna diagnóza </w:t>
      </w:r>
      <w:r w:rsidR="00444697" w:rsidRPr="0074209D">
        <w:rPr>
          <w:rFonts w:ascii="Times New Roman" w:eastAsia="Times New Roman" w:hAnsi="Times New Roman" w:cs="Times New Roman"/>
          <w:lang w:val="sk-SK"/>
        </w:rPr>
        <w:t>NSCLC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E25F0E" w:rsidRPr="0074209D">
        <w:rPr>
          <w:rFonts w:ascii="Times New Roman" w:eastAsia="Times New Roman" w:hAnsi="Times New Roman" w:cs="Times New Roman"/>
          <w:lang w:val="sk-SK"/>
        </w:rPr>
        <w:t>(&lt; 6 mesiacov</w:t>
      </w:r>
      <w:r w:rsidR="00444697" w:rsidRPr="0074209D">
        <w:rPr>
          <w:rFonts w:ascii="Times New Roman" w:eastAsia="Times New Roman" w:hAnsi="Times New Roman" w:cs="Times New Roman"/>
          <w:lang w:val="sk-SK"/>
        </w:rPr>
        <w:t>),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444697" w:rsidRPr="0074209D">
        <w:rPr>
          <w:rFonts w:ascii="Times New Roman" w:eastAsia="Times New Roman" w:hAnsi="Times New Roman" w:cs="Times New Roman"/>
          <w:lang w:val="sk-SK"/>
        </w:rPr>
        <w:t>pr</w:t>
      </w:r>
      <w:r>
        <w:rPr>
          <w:rFonts w:ascii="Times New Roman" w:eastAsia="Times New Roman" w:hAnsi="Times New Roman" w:cs="Times New Roman"/>
          <w:spacing w:val="-2"/>
          <w:lang w:val="sk-SK"/>
        </w:rPr>
        <w:t>ítomná</w:t>
      </w:r>
      <w:r w:rsidR="00E25F0E" w:rsidRPr="0074209D">
        <w:rPr>
          <w:rFonts w:ascii="Times New Roman" w:eastAsia="Times New Roman" w:hAnsi="Times New Roman" w:cs="Times New Roman"/>
          <w:lang w:val="sk-SK"/>
        </w:rPr>
        <w:t xml:space="preserve"> intersticiálna </w:t>
      </w:r>
      <w:r w:rsidR="004702CC" w:rsidRPr="0074209D">
        <w:rPr>
          <w:rFonts w:ascii="Times New Roman" w:eastAsia="Times New Roman" w:hAnsi="Times New Roman" w:cs="Times New Roman"/>
          <w:lang w:val="sk-SK"/>
        </w:rPr>
        <w:t>pľúcna</w:t>
      </w:r>
      <w:r w:rsidR="00E25F0E" w:rsidRPr="0074209D">
        <w:rPr>
          <w:rFonts w:ascii="Times New Roman" w:eastAsia="Times New Roman" w:hAnsi="Times New Roman" w:cs="Times New Roman"/>
          <w:lang w:val="sk-SK"/>
        </w:rPr>
        <w:t xml:space="preserve"> choroba</w:t>
      </w:r>
      <w:r w:rsidR="00676572" w:rsidRPr="0074209D">
        <w:rPr>
          <w:rFonts w:ascii="Times New Roman" w:eastAsia="Times New Roman" w:hAnsi="Times New Roman" w:cs="Times New Roman"/>
          <w:lang w:val="sk-SK"/>
        </w:rPr>
        <w:t>, vyšší vek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(≥</w:t>
      </w:r>
      <w:r w:rsidR="00444697" w:rsidRPr="0074209D">
        <w:rPr>
          <w:rFonts w:ascii="Times New Roman" w:eastAsia="Times New Roman" w:hAnsi="Times New Roman" w:cs="Times New Roman"/>
          <w:spacing w:val="-3"/>
          <w:lang w:val="sk-SK"/>
        </w:rPr>
        <w:t> </w:t>
      </w:r>
      <w:r w:rsidR="00760A3B">
        <w:rPr>
          <w:rFonts w:ascii="Times New Roman" w:eastAsia="Times New Roman" w:hAnsi="Times New Roman" w:cs="Times New Roman"/>
          <w:lang w:val="sk-SK"/>
        </w:rPr>
        <w:t>55 </w:t>
      </w:r>
      <w:r w:rsidR="00676572" w:rsidRPr="0074209D">
        <w:rPr>
          <w:rFonts w:ascii="Times New Roman" w:eastAsia="Times New Roman" w:hAnsi="Times New Roman" w:cs="Times New Roman"/>
          <w:lang w:val="sk-SK"/>
        </w:rPr>
        <w:t>rokov) a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676572" w:rsidRPr="0074209D">
        <w:rPr>
          <w:rFonts w:ascii="Times New Roman" w:eastAsia="Times New Roman" w:hAnsi="Times New Roman" w:cs="Times New Roman"/>
          <w:lang w:val="sk-SK"/>
        </w:rPr>
        <w:t>súbežné ochorenie srdca</w:t>
      </w:r>
      <w:r w:rsidR="00444697" w:rsidRPr="0074209D">
        <w:rPr>
          <w:rFonts w:ascii="Times New Roman" w:eastAsia="Times New Roman" w:hAnsi="Times New Roman" w:cs="Times New Roman"/>
          <w:lang w:val="sk-SK"/>
        </w:rPr>
        <w:t>.</w:t>
      </w:r>
      <w:r w:rsidR="00444697" w:rsidRPr="0074209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676572" w:rsidRPr="0074209D">
        <w:rPr>
          <w:rFonts w:ascii="Times New Roman" w:eastAsia="Times New Roman" w:hAnsi="Times New Roman" w:cs="Times New Roman"/>
          <w:lang w:val="sk-SK"/>
        </w:rPr>
        <w:t>Zvýšené riziko</w:t>
      </w:r>
      <w:r w:rsidR="00EC7D84" w:rsidRPr="0074209D">
        <w:rPr>
          <w:rFonts w:ascii="Times New Roman" w:eastAsia="Times New Roman" w:hAnsi="Times New Roman" w:cs="Times New Roman"/>
          <w:lang w:val="sk-SK"/>
        </w:rPr>
        <w:t xml:space="preserve"> ILD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676572" w:rsidRPr="0074209D">
        <w:rPr>
          <w:rFonts w:ascii="Times New Roman" w:eastAsia="Times New Roman" w:hAnsi="Times New Roman" w:cs="Times New Roman"/>
          <w:lang w:val="sk-SK"/>
        </w:rPr>
        <w:t>pri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gefi</w:t>
      </w:r>
      <w:r w:rsidR="00444697" w:rsidRPr="0074209D">
        <w:rPr>
          <w:rFonts w:ascii="Times New Roman" w:eastAsia="Times New Roman" w:hAnsi="Times New Roman" w:cs="Times New Roman"/>
          <w:spacing w:val="-2"/>
          <w:lang w:val="sk-SK"/>
        </w:rPr>
        <w:t>t</w:t>
      </w:r>
      <w:r w:rsidR="00444697" w:rsidRPr="0074209D">
        <w:rPr>
          <w:rFonts w:ascii="Times New Roman" w:eastAsia="Times New Roman" w:hAnsi="Times New Roman" w:cs="Times New Roman"/>
          <w:lang w:val="sk-SK"/>
        </w:rPr>
        <w:t>inib</w:t>
      </w:r>
      <w:r w:rsidR="00676572" w:rsidRPr="0074209D">
        <w:rPr>
          <w:rFonts w:ascii="Times New Roman" w:eastAsia="Times New Roman" w:hAnsi="Times New Roman" w:cs="Times New Roman"/>
          <w:lang w:val="sk-SK"/>
        </w:rPr>
        <w:t>e v porovnaní s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676572" w:rsidRPr="0074209D">
        <w:rPr>
          <w:rFonts w:ascii="Times New Roman" w:eastAsia="Times New Roman" w:hAnsi="Times New Roman" w:cs="Times New Roman"/>
          <w:lang w:val="sk-SK"/>
        </w:rPr>
        <w:t>chemoterapiou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676572" w:rsidRPr="0074209D">
        <w:rPr>
          <w:rFonts w:ascii="Times New Roman" w:eastAsia="Times New Roman" w:hAnsi="Times New Roman" w:cs="Times New Roman"/>
          <w:lang w:val="sk-SK"/>
        </w:rPr>
        <w:t>bolo pozorované prevažne počas prvých 4 týždňov liečby (</w:t>
      </w:r>
      <w:r w:rsidR="00226E5A">
        <w:rPr>
          <w:rFonts w:ascii="Times New Roman" w:eastAsia="Times New Roman" w:hAnsi="Times New Roman" w:cs="Times New Roman"/>
          <w:lang w:val="sk-SK"/>
        </w:rPr>
        <w:t>upravený</w:t>
      </w:r>
      <w:r w:rsidR="00676572" w:rsidRPr="0074209D">
        <w:rPr>
          <w:rFonts w:ascii="Times New Roman" w:eastAsia="Times New Roman" w:hAnsi="Times New Roman" w:cs="Times New Roman"/>
          <w:lang w:val="sk-SK"/>
        </w:rPr>
        <w:t xml:space="preserve"> OR 3,8; 95</w:t>
      </w:r>
      <w:r w:rsidR="00760A3B">
        <w:rPr>
          <w:rFonts w:ascii="Times New Roman" w:eastAsia="Times New Roman" w:hAnsi="Times New Roman" w:cs="Times New Roman"/>
          <w:lang w:val="sk-SK"/>
        </w:rPr>
        <w:t> </w:t>
      </w:r>
      <w:r w:rsidR="00676572" w:rsidRPr="0074209D">
        <w:rPr>
          <w:rFonts w:ascii="Times New Roman" w:eastAsia="Times New Roman" w:hAnsi="Times New Roman" w:cs="Times New Roman"/>
          <w:lang w:val="sk-SK"/>
        </w:rPr>
        <w:t>% I</w:t>
      </w:r>
      <w:r w:rsidR="00226E5A">
        <w:rPr>
          <w:rFonts w:ascii="Times New Roman" w:eastAsia="Times New Roman" w:hAnsi="Times New Roman" w:cs="Times New Roman"/>
          <w:lang w:val="sk-SK"/>
        </w:rPr>
        <w:t>S</w:t>
      </w:r>
      <w:r w:rsidR="00676572" w:rsidRPr="0074209D">
        <w:rPr>
          <w:rFonts w:ascii="Times New Roman" w:eastAsia="Times New Roman" w:hAnsi="Times New Roman" w:cs="Times New Roman"/>
          <w:lang w:val="sk-SK"/>
        </w:rPr>
        <w:t> 1,9 až 7,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7); </w:t>
      </w:r>
      <w:r w:rsidR="00676572" w:rsidRPr="0074209D">
        <w:rPr>
          <w:rFonts w:ascii="Times New Roman" w:eastAsia="Times New Roman" w:hAnsi="Times New Roman" w:cs="Times New Roman"/>
          <w:lang w:val="sk-SK"/>
        </w:rPr>
        <w:t>neskôr bolo relatí</w:t>
      </w:r>
      <w:r w:rsidR="00444697" w:rsidRPr="0074209D">
        <w:rPr>
          <w:rFonts w:ascii="Times New Roman" w:eastAsia="Times New Roman" w:hAnsi="Times New Roman" w:cs="Times New Roman"/>
          <w:lang w:val="sk-SK"/>
        </w:rPr>
        <w:t>v</w:t>
      </w:r>
      <w:r w:rsidR="00676572" w:rsidRPr="0074209D">
        <w:rPr>
          <w:rFonts w:ascii="Times New Roman" w:eastAsia="Times New Roman" w:hAnsi="Times New Roman" w:cs="Times New Roman"/>
          <w:lang w:val="sk-SK"/>
        </w:rPr>
        <w:t>ne rizi</w:t>
      </w:r>
      <w:r w:rsidR="00444697" w:rsidRPr="0074209D">
        <w:rPr>
          <w:rFonts w:ascii="Times New Roman" w:eastAsia="Times New Roman" w:hAnsi="Times New Roman" w:cs="Times New Roman"/>
          <w:lang w:val="sk-SK"/>
        </w:rPr>
        <w:t>k</w:t>
      </w:r>
      <w:r w:rsidR="00676572" w:rsidRPr="0074209D">
        <w:rPr>
          <w:rFonts w:ascii="Times New Roman" w:eastAsia="Times New Roman" w:hAnsi="Times New Roman" w:cs="Times New Roman"/>
          <w:lang w:val="sk-SK"/>
        </w:rPr>
        <w:t>o nižšie (</w:t>
      </w:r>
      <w:r w:rsidR="00226E5A">
        <w:rPr>
          <w:rFonts w:ascii="Times New Roman" w:eastAsia="Times New Roman" w:hAnsi="Times New Roman" w:cs="Times New Roman"/>
          <w:lang w:val="sk-SK"/>
        </w:rPr>
        <w:t>upravený</w:t>
      </w:r>
      <w:r w:rsidR="00676572" w:rsidRPr="0074209D">
        <w:rPr>
          <w:rFonts w:ascii="Times New Roman" w:eastAsia="Times New Roman" w:hAnsi="Times New Roman" w:cs="Times New Roman"/>
          <w:lang w:val="sk-SK"/>
        </w:rPr>
        <w:t xml:space="preserve"> OR 2,5; 95</w:t>
      </w:r>
      <w:r w:rsidR="00760A3B">
        <w:rPr>
          <w:rFonts w:ascii="Times New Roman" w:eastAsia="Times New Roman" w:hAnsi="Times New Roman" w:cs="Times New Roman"/>
          <w:lang w:val="sk-SK"/>
        </w:rPr>
        <w:t> </w:t>
      </w:r>
      <w:r w:rsidR="00676572" w:rsidRPr="0074209D">
        <w:rPr>
          <w:rFonts w:ascii="Times New Roman" w:eastAsia="Times New Roman" w:hAnsi="Times New Roman" w:cs="Times New Roman"/>
          <w:lang w:val="sk-SK"/>
        </w:rPr>
        <w:t>% I</w:t>
      </w:r>
      <w:r w:rsidR="00226E5A">
        <w:rPr>
          <w:rFonts w:ascii="Times New Roman" w:eastAsia="Times New Roman" w:hAnsi="Times New Roman" w:cs="Times New Roman"/>
          <w:lang w:val="sk-SK"/>
        </w:rPr>
        <w:t>S</w:t>
      </w:r>
      <w:r w:rsidR="00676572" w:rsidRPr="0074209D">
        <w:rPr>
          <w:rFonts w:ascii="Times New Roman" w:eastAsia="Times New Roman" w:hAnsi="Times New Roman" w:cs="Times New Roman"/>
          <w:lang w:val="sk-SK"/>
        </w:rPr>
        <w:t> 1,1 až 5,</w:t>
      </w:r>
      <w:r w:rsidR="00444697" w:rsidRPr="0074209D">
        <w:rPr>
          <w:rFonts w:ascii="Times New Roman" w:eastAsia="Times New Roman" w:hAnsi="Times New Roman" w:cs="Times New Roman"/>
          <w:lang w:val="sk-SK"/>
        </w:rPr>
        <w:t>8).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183446" w:rsidRPr="0074209D">
        <w:rPr>
          <w:rFonts w:ascii="Times New Roman" w:eastAsia="Times New Roman" w:hAnsi="Times New Roman" w:cs="Times New Roman"/>
          <w:lang w:val="sk-SK"/>
        </w:rPr>
        <w:t>Rizi</w:t>
      </w:r>
      <w:r w:rsidR="00444697" w:rsidRPr="0074209D">
        <w:rPr>
          <w:rFonts w:ascii="Times New Roman" w:eastAsia="Times New Roman" w:hAnsi="Times New Roman" w:cs="Times New Roman"/>
          <w:lang w:val="sk-SK"/>
        </w:rPr>
        <w:t>k</w:t>
      </w:r>
      <w:r w:rsidR="00183446" w:rsidRPr="0074209D">
        <w:rPr>
          <w:rFonts w:ascii="Times New Roman" w:eastAsia="Times New Roman" w:hAnsi="Times New Roman" w:cs="Times New Roman"/>
          <w:lang w:val="sk-SK"/>
        </w:rPr>
        <w:t xml:space="preserve">o 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mortality </w:t>
      </w:r>
      <w:r w:rsidR="00183446" w:rsidRPr="0074209D">
        <w:rPr>
          <w:rFonts w:ascii="Times New Roman" w:eastAsia="Times New Roman" w:hAnsi="Times New Roman" w:cs="Times New Roman"/>
          <w:lang w:val="sk-SK"/>
        </w:rPr>
        <w:t>u pacient</w:t>
      </w:r>
      <w:r w:rsidR="006F20C6" w:rsidRPr="0074209D">
        <w:rPr>
          <w:rFonts w:ascii="Times New Roman" w:eastAsia="Times New Roman" w:hAnsi="Times New Roman" w:cs="Times New Roman"/>
          <w:lang w:val="sk-SK"/>
        </w:rPr>
        <w:t>o</w:t>
      </w:r>
      <w:r w:rsidR="00EC7D84" w:rsidRPr="0074209D">
        <w:rPr>
          <w:rFonts w:ascii="Times New Roman" w:eastAsia="Times New Roman" w:hAnsi="Times New Roman" w:cs="Times New Roman"/>
          <w:lang w:val="sk-SK"/>
        </w:rPr>
        <w:t>v, u ktorých došlo k vzniku ILD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183446" w:rsidRPr="0074209D">
        <w:rPr>
          <w:rFonts w:ascii="Times New Roman" w:eastAsia="Times New Roman" w:hAnsi="Times New Roman" w:cs="Times New Roman"/>
          <w:lang w:val="sk-SK"/>
        </w:rPr>
        <w:t>pri liečbe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>gefitinib</w:t>
      </w:r>
      <w:r w:rsidR="00183446" w:rsidRPr="0074209D">
        <w:rPr>
          <w:rFonts w:ascii="Times New Roman" w:eastAsia="Times New Roman" w:hAnsi="Times New Roman" w:cs="Times New Roman"/>
          <w:spacing w:val="-1"/>
          <w:lang w:val="sk-SK"/>
        </w:rPr>
        <w:t>om</w:t>
      </w:r>
      <w:r w:rsidR="00444697" w:rsidRPr="0074209D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="00183446" w:rsidRPr="0074209D">
        <w:rPr>
          <w:rFonts w:ascii="Times New Roman" w:eastAsia="Times New Roman" w:hAnsi="Times New Roman" w:cs="Times New Roman"/>
          <w:lang w:val="sk-SK"/>
        </w:rPr>
        <w:t>alebo chemoterapiou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183446" w:rsidRPr="0074209D">
        <w:rPr>
          <w:rFonts w:ascii="Times New Roman" w:eastAsia="Times New Roman" w:hAnsi="Times New Roman" w:cs="Times New Roman"/>
          <w:lang w:val="sk-SK"/>
        </w:rPr>
        <w:t>bolo vyššie u pacientov s nasledujúcimi rizikovými faktormi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: </w:t>
      </w:r>
      <w:r w:rsidR="00183446" w:rsidRPr="0074209D">
        <w:rPr>
          <w:rFonts w:ascii="Times New Roman" w:eastAsia="Times New Roman" w:hAnsi="Times New Roman" w:cs="Times New Roman"/>
          <w:lang w:val="sk-SK"/>
        </w:rPr>
        <w:t>fajčenie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, </w:t>
      </w:r>
      <w:r w:rsidR="00183446" w:rsidRPr="0074209D">
        <w:rPr>
          <w:rFonts w:ascii="Times New Roman" w:eastAsia="Times New Roman" w:hAnsi="Times New Roman" w:cs="Times New Roman"/>
          <w:lang w:val="sk-SK"/>
        </w:rPr>
        <w:t xml:space="preserve">dôkaz redukcie normálneho pľúcneho tkaniva na základe CT vyšetrenia </w:t>
      </w:r>
      <w:r w:rsidR="00444697" w:rsidRPr="0074209D">
        <w:rPr>
          <w:rFonts w:ascii="Times New Roman" w:eastAsia="Times New Roman" w:hAnsi="Times New Roman" w:cs="Times New Roman"/>
          <w:lang w:val="sk-SK"/>
        </w:rPr>
        <w:t>(≤</w:t>
      </w:r>
      <w:r w:rsidR="00444697" w:rsidRPr="0074209D">
        <w:rPr>
          <w:rFonts w:ascii="Times New Roman" w:eastAsia="Times New Roman" w:hAnsi="Times New Roman" w:cs="Times New Roman"/>
          <w:spacing w:val="-3"/>
          <w:lang w:val="sk-SK"/>
        </w:rPr>
        <w:t> </w:t>
      </w:r>
      <w:r w:rsidR="00760A3B">
        <w:rPr>
          <w:rFonts w:ascii="Times New Roman" w:eastAsia="Times New Roman" w:hAnsi="Times New Roman" w:cs="Times New Roman"/>
          <w:lang w:val="sk-SK"/>
        </w:rPr>
        <w:t>50 %), prítomná</w:t>
      </w:r>
      <w:r w:rsidR="00EC7D84" w:rsidRPr="0074209D">
        <w:rPr>
          <w:rFonts w:ascii="Times New Roman" w:eastAsia="Times New Roman" w:hAnsi="Times New Roman" w:cs="Times New Roman"/>
          <w:lang w:val="sk-SK"/>
        </w:rPr>
        <w:t xml:space="preserve"> ILD</w:t>
      </w:r>
      <w:r w:rsidR="00183446" w:rsidRPr="0074209D">
        <w:rPr>
          <w:rFonts w:ascii="Times New Roman" w:eastAsia="Times New Roman" w:hAnsi="Times New Roman" w:cs="Times New Roman"/>
          <w:lang w:val="sk-SK"/>
        </w:rPr>
        <w:t>, vyšší vek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444697" w:rsidRPr="0074209D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="00444697" w:rsidRPr="0074209D">
        <w:rPr>
          <w:rFonts w:ascii="Times New Roman" w:eastAsia="Times New Roman" w:hAnsi="Times New Roman" w:cs="Times New Roman"/>
          <w:lang w:val="sk-SK"/>
        </w:rPr>
        <w:t>≥</w:t>
      </w:r>
      <w:r w:rsidR="00444697" w:rsidRPr="0074209D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="00760A3B">
        <w:rPr>
          <w:rFonts w:ascii="Times New Roman" w:eastAsia="Times New Roman" w:hAnsi="Times New Roman" w:cs="Times New Roman"/>
          <w:lang w:val="sk-SK"/>
        </w:rPr>
        <w:t>65 </w:t>
      </w:r>
      <w:r w:rsidR="00183446" w:rsidRPr="0074209D">
        <w:rPr>
          <w:rFonts w:ascii="Times New Roman" w:eastAsia="Times New Roman" w:hAnsi="Times New Roman" w:cs="Times New Roman"/>
          <w:spacing w:val="-1"/>
          <w:lang w:val="sk-SK"/>
        </w:rPr>
        <w:t>rokov</w:t>
      </w:r>
      <w:r w:rsidR="00183446" w:rsidRPr="0074209D">
        <w:rPr>
          <w:rFonts w:ascii="Times New Roman" w:eastAsia="Times New Roman" w:hAnsi="Times New Roman" w:cs="Times New Roman"/>
          <w:lang w:val="sk-SK"/>
        </w:rPr>
        <w:t>) a rozsiahle plochy adherujúce k pleure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444697" w:rsidRPr="0074209D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="00444697" w:rsidRPr="0074209D">
        <w:rPr>
          <w:rFonts w:ascii="Times New Roman" w:eastAsia="Times New Roman" w:hAnsi="Times New Roman" w:cs="Times New Roman"/>
          <w:lang w:val="sk-SK"/>
        </w:rPr>
        <w:t>≥</w:t>
      </w:r>
      <w:r w:rsidR="00444697" w:rsidRPr="0074209D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>50</w:t>
      </w:r>
      <w:r w:rsidR="00760A3B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>%).</w:t>
      </w:r>
    </w:p>
    <w:p w14:paraId="1EEB9ED1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ED2" w14:textId="51B0F0FB" w:rsidR="00444697" w:rsidRPr="0074209D" w:rsidRDefault="004F7844" w:rsidP="00473F05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i/>
          <w:lang w:val="sk-SK"/>
        </w:rPr>
        <w:t>Hepatotoxicita a porucha</w:t>
      </w:r>
      <w:r w:rsidR="00EB2D75" w:rsidRPr="0074209D">
        <w:rPr>
          <w:rFonts w:ascii="Times New Roman" w:eastAsia="Times New Roman" w:hAnsi="Times New Roman" w:cs="Times New Roman"/>
          <w:i/>
          <w:lang w:val="sk-SK"/>
        </w:rPr>
        <w:t xml:space="preserve"> funkcie pečene</w:t>
      </w:r>
    </w:p>
    <w:p w14:paraId="1EEB9ED3" w14:textId="67A09DCE" w:rsidR="00444697" w:rsidRPr="0074209D" w:rsidRDefault="00174046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Pozorovali sa a</w:t>
      </w:r>
      <w:r w:rsidR="00EB2D75" w:rsidRPr="0074209D">
        <w:rPr>
          <w:rFonts w:ascii="Times New Roman" w:eastAsia="Times New Roman" w:hAnsi="Times New Roman" w:cs="Times New Roman"/>
          <w:lang w:val="sk-SK"/>
        </w:rPr>
        <w:t>bnormality pečeňových funkčných testov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(</w:t>
      </w:r>
      <w:r w:rsidR="00EB2D75" w:rsidRPr="0074209D">
        <w:rPr>
          <w:rFonts w:ascii="Times New Roman" w:eastAsia="Times New Roman" w:hAnsi="Times New Roman" w:cs="Times New Roman"/>
          <w:lang w:val="sk-SK"/>
        </w:rPr>
        <w:t>vrátane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EB2D75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zvýšenia </w:t>
      </w:r>
      <w:r w:rsidR="00EB2D75" w:rsidRPr="0074209D">
        <w:rPr>
          <w:rFonts w:ascii="Times New Roman" w:eastAsia="Times New Roman" w:hAnsi="Times New Roman" w:cs="Times New Roman"/>
          <w:lang w:val="sk-SK"/>
        </w:rPr>
        <w:t>alanínaminotransferázy, aspartátaminotransferázy, bilirubí</w:t>
      </w:r>
      <w:r w:rsidR="00444697" w:rsidRPr="0074209D">
        <w:rPr>
          <w:rFonts w:ascii="Times New Roman" w:eastAsia="Times New Roman" w:hAnsi="Times New Roman" w:cs="Times New Roman"/>
          <w:lang w:val="sk-SK"/>
        </w:rPr>
        <w:t>n</w:t>
      </w:r>
      <w:r w:rsidR="00EB2D75" w:rsidRPr="0074209D">
        <w:rPr>
          <w:rFonts w:ascii="Times New Roman" w:eastAsia="Times New Roman" w:hAnsi="Times New Roman" w:cs="Times New Roman"/>
          <w:lang w:val="sk-SK"/>
        </w:rPr>
        <w:t>u</w:t>
      </w:r>
      <w:r w:rsidR="00444697" w:rsidRPr="0074209D">
        <w:rPr>
          <w:rFonts w:ascii="Times New Roman" w:eastAsia="Times New Roman" w:hAnsi="Times New Roman" w:cs="Times New Roman"/>
          <w:lang w:val="sk-SK"/>
        </w:rPr>
        <w:t>)</w:t>
      </w:r>
      <w:r>
        <w:rPr>
          <w:rFonts w:ascii="Times New Roman" w:eastAsia="Times New Roman" w:hAnsi="Times New Roman" w:cs="Times New Roman"/>
          <w:lang w:val="sk-SK"/>
        </w:rPr>
        <w:t>,</w:t>
      </w:r>
      <w:r w:rsidR="00EB2D75" w:rsidRPr="0074209D">
        <w:rPr>
          <w:rFonts w:ascii="Times New Roman" w:eastAsia="Times New Roman" w:hAnsi="Times New Roman" w:cs="Times New Roman"/>
          <w:lang w:val="sk-SK"/>
        </w:rPr>
        <w:t xml:space="preserve"> menej často </w:t>
      </w:r>
      <w:r>
        <w:rPr>
          <w:rFonts w:ascii="Times New Roman" w:eastAsia="Times New Roman" w:hAnsi="Times New Roman" w:cs="Times New Roman"/>
          <w:lang w:val="sk-SK"/>
        </w:rPr>
        <w:t>sa pozorovala</w:t>
      </w:r>
      <w:r w:rsidR="00EB2D75" w:rsidRPr="0074209D">
        <w:rPr>
          <w:rFonts w:ascii="Times New Roman" w:eastAsia="Times New Roman" w:hAnsi="Times New Roman" w:cs="Times New Roman"/>
          <w:lang w:val="sk-SK"/>
        </w:rPr>
        <w:t xml:space="preserve"> hepatitída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EB2D75" w:rsidRPr="0074209D">
        <w:rPr>
          <w:rFonts w:ascii="Times New Roman" w:eastAsia="Times New Roman" w:hAnsi="Times New Roman" w:cs="Times New Roman"/>
          <w:lang w:val="sk-SK"/>
        </w:rPr>
        <w:t>(pozri časť</w:t>
      </w:r>
      <w:r w:rsidR="00444697" w:rsidRPr="0074209D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="00444697" w:rsidRPr="0074209D">
        <w:rPr>
          <w:rFonts w:ascii="Times New Roman" w:eastAsia="Times New Roman" w:hAnsi="Times New Roman" w:cs="Times New Roman"/>
          <w:lang w:val="sk-SK"/>
        </w:rPr>
        <w:t>4.8</w:t>
      </w:r>
      <w:r w:rsidR="00444697" w:rsidRPr="0074209D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. </w:t>
      </w:r>
      <w:r w:rsidR="004E5943" w:rsidRPr="0074209D">
        <w:rPr>
          <w:rFonts w:ascii="Times New Roman" w:eastAsia="Times New Roman" w:hAnsi="Times New Roman" w:cs="Times New Roman"/>
          <w:lang w:val="sk-SK"/>
        </w:rPr>
        <w:t xml:space="preserve">Existujú jednotlivé hlásenia zlyhania pečene, ktoré v niektorých prípadoch viedli k fatálnym koncom. Preto sa odporúča pravidelné testovanie funkcie pečene. 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Gefitinib </w:t>
      </w:r>
      <w:r w:rsidR="004E5943" w:rsidRPr="0074209D">
        <w:rPr>
          <w:rFonts w:ascii="Times New Roman" w:eastAsia="Times New Roman" w:hAnsi="Times New Roman" w:cs="Times New Roman"/>
          <w:lang w:val="sk-SK"/>
        </w:rPr>
        <w:t>sa má používať v príp</w:t>
      </w:r>
      <w:r w:rsidR="00A907AD">
        <w:rPr>
          <w:rFonts w:ascii="Times New Roman" w:eastAsia="Times New Roman" w:hAnsi="Times New Roman" w:cs="Times New Roman"/>
          <w:lang w:val="sk-SK"/>
        </w:rPr>
        <w:t xml:space="preserve">adoch </w:t>
      </w:r>
      <w:r>
        <w:rPr>
          <w:rFonts w:ascii="Times New Roman" w:eastAsia="Times New Roman" w:hAnsi="Times New Roman" w:cs="Times New Roman"/>
          <w:lang w:val="sk-SK"/>
        </w:rPr>
        <w:t>miernych</w:t>
      </w:r>
      <w:r w:rsidR="00A907AD">
        <w:rPr>
          <w:rFonts w:ascii="Times New Roman" w:eastAsia="Times New Roman" w:hAnsi="Times New Roman" w:cs="Times New Roman"/>
          <w:lang w:val="sk-SK"/>
        </w:rPr>
        <w:t xml:space="preserve"> až stredne závažných</w:t>
      </w:r>
      <w:r w:rsidR="004E5943" w:rsidRPr="0074209D">
        <w:rPr>
          <w:rFonts w:ascii="Times New Roman" w:eastAsia="Times New Roman" w:hAnsi="Times New Roman" w:cs="Times New Roman"/>
          <w:lang w:val="sk-SK"/>
        </w:rPr>
        <w:t xml:space="preserve"> zmien funkcie pečene so zvýšenou </w:t>
      </w:r>
      <w:r w:rsidR="004702CC" w:rsidRPr="0074209D">
        <w:rPr>
          <w:rFonts w:ascii="Times New Roman" w:eastAsia="Times New Roman" w:hAnsi="Times New Roman" w:cs="Times New Roman"/>
          <w:lang w:val="sk-SK"/>
        </w:rPr>
        <w:t>opatrnosťou. V</w:t>
      </w:r>
      <w:r w:rsidR="00A907AD">
        <w:rPr>
          <w:rFonts w:ascii="Times New Roman" w:eastAsia="Times New Roman" w:hAnsi="Times New Roman" w:cs="Times New Roman"/>
          <w:lang w:val="sk-SK"/>
        </w:rPr>
        <w:t xml:space="preserve"> prípade závažný</w:t>
      </w:r>
      <w:r w:rsidR="004E5943" w:rsidRPr="0074209D">
        <w:rPr>
          <w:rFonts w:ascii="Times New Roman" w:eastAsia="Times New Roman" w:hAnsi="Times New Roman" w:cs="Times New Roman"/>
          <w:lang w:val="sk-SK"/>
        </w:rPr>
        <w:t>ch zmien funkcie pečene sa má zvážiť ukončenie liečby</w:t>
      </w:r>
      <w:r w:rsidR="00444697" w:rsidRPr="0074209D">
        <w:rPr>
          <w:rFonts w:ascii="Times New Roman" w:eastAsia="Times New Roman" w:hAnsi="Times New Roman" w:cs="Times New Roman"/>
          <w:spacing w:val="1"/>
          <w:lang w:val="sk-SK"/>
        </w:rPr>
        <w:t>.</w:t>
      </w:r>
    </w:p>
    <w:p w14:paraId="1EEB9ED4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ED5" w14:textId="55ED5A85" w:rsidR="00444697" w:rsidRPr="0074209D" w:rsidRDefault="004E5943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>Ukázalo sa, že porucha funkcie pečene z dôvodu cirhózy vedie k zvýšeniu plazmatických koncentrácií gefitinibu (pozri časť</w:t>
      </w:r>
      <w:r w:rsidR="00444697" w:rsidRPr="0074209D">
        <w:rPr>
          <w:rFonts w:ascii="Times New Roman" w:eastAsia="Times New Roman" w:hAnsi="Times New Roman" w:cs="Times New Roman"/>
          <w:spacing w:val="-3"/>
          <w:lang w:val="sk-SK"/>
        </w:rPr>
        <w:t> </w:t>
      </w:r>
      <w:r w:rsidR="00444697" w:rsidRPr="0074209D">
        <w:rPr>
          <w:rFonts w:ascii="Times New Roman" w:eastAsia="Times New Roman" w:hAnsi="Times New Roman" w:cs="Times New Roman"/>
          <w:lang w:val="sk-SK"/>
        </w:rPr>
        <w:t>5.2).</w:t>
      </w:r>
    </w:p>
    <w:p w14:paraId="1EEB9ED6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ED7" w14:textId="24584DED" w:rsidR="00444697" w:rsidRPr="0074209D" w:rsidRDefault="00052710" w:rsidP="00473F05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i/>
          <w:lang w:val="sk-SK"/>
        </w:rPr>
        <w:t>Interakcie s inými liekmi</w:t>
      </w:r>
    </w:p>
    <w:p w14:paraId="1EEB9ED8" w14:textId="17D2D0E3" w:rsidR="00444697" w:rsidRPr="0074209D" w:rsidRDefault="00E53D24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Induktory 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>CYP3A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4 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môžu zvýšiť metabolizmus </w:t>
      </w:r>
      <w:r w:rsidR="00444697" w:rsidRPr="0074209D">
        <w:rPr>
          <w:rFonts w:ascii="Times New Roman" w:eastAsia="Times New Roman" w:hAnsi="Times New Roman" w:cs="Times New Roman"/>
          <w:lang w:val="sk-SK"/>
        </w:rPr>
        <w:t>gefitinib</w:t>
      </w:r>
      <w:r w:rsidRPr="0074209D">
        <w:rPr>
          <w:rFonts w:ascii="Times New Roman" w:eastAsia="Times New Roman" w:hAnsi="Times New Roman" w:cs="Times New Roman"/>
          <w:lang w:val="sk-SK"/>
        </w:rPr>
        <w:t>u a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znížiť plazmatické koncentrácie </w:t>
      </w:r>
      <w:r w:rsidR="00444697" w:rsidRPr="0074209D">
        <w:rPr>
          <w:rFonts w:ascii="Times New Roman" w:eastAsia="Times New Roman" w:hAnsi="Times New Roman" w:cs="Times New Roman"/>
          <w:lang w:val="sk-SK"/>
        </w:rPr>
        <w:t>gefitinib</w:t>
      </w:r>
      <w:r w:rsidRPr="0074209D">
        <w:rPr>
          <w:rFonts w:ascii="Times New Roman" w:eastAsia="Times New Roman" w:hAnsi="Times New Roman" w:cs="Times New Roman"/>
          <w:lang w:val="sk-SK"/>
        </w:rPr>
        <w:t>u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. 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Súbežné podávanie induktorov </w:t>
      </w:r>
      <w:r w:rsidR="00AE3E40" w:rsidRPr="0074209D">
        <w:rPr>
          <w:rFonts w:ascii="Times New Roman" w:eastAsia="Times New Roman" w:hAnsi="Times New Roman" w:cs="Times New Roman"/>
          <w:lang w:val="sk-SK"/>
        </w:rPr>
        <w:t xml:space="preserve">CYP3A4 (napr. fenytoín, karbamazepín, rifampicín, barbituráty alebo rastlinné prípravky obsahujúce </w:t>
      </w:r>
      <w:r w:rsidR="00174046">
        <w:rPr>
          <w:rFonts w:ascii="Times New Roman" w:eastAsia="Times New Roman" w:hAnsi="Times New Roman" w:cs="Times New Roman"/>
          <w:lang w:val="sk-SK"/>
        </w:rPr>
        <w:t>ľ</w:t>
      </w:r>
      <w:r w:rsidR="00AE3E40" w:rsidRPr="0074209D">
        <w:rPr>
          <w:rFonts w:ascii="Times New Roman" w:eastAsia="Times New Roman" w:hAnsi="Times New Roman" w:cs="Times New Roman"/>
          <w:lang w:val="sk-SK"/>
        </w:rPr>
        <w:t>ubovník bodkovaný (</w:t>
      </w:r>
      <w:r w:rsidR="00444697" w:rsidRPr="0074209D">
        <w:rPr>
          <w:rFonts w:ascii="Times New Roman" w:eastAsia="Times New Roman" w:hAnsi="Times New Roman" w:cs="Times New Roman"/>
          <w:i/>
          <w:lang w:val="sk-SK"/>
        </w:rPr>
        <w:t>Hypericum</w:t>
      </w:r>
      <w:r w:rsidR="00444697" w:rsidRPr="0074209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="00444697" w:rsidRPr="0074209D">
        <w:rPr>
          <w:rFonts w:ascii="Times New Roman" w:eastAsia="Times New Roman" w:hAnsi="Times New Roman" w:cs="Times New Roman"/>
          <w:i/>
          <w:lang w:val="sk-SK"/>
        </w:rPr>
        <w:t>perforatu</w:t>
      </w:r>
      <w:r w:rsidR="00444697" w:rsidRPr="0074209D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="00444697" w:rsidRPr="0074209D">
        <w:rPr>
          <w:rFonts w:ascii="Times New Roman" w:eastAsia="Times New Roman" w:hAnsi="Times New Roman" w:cs="Times New Roman"/>
          <w:lang w:val="sk-SK"/>
        </w:rPr>
        <w:t>)</w:t>
      </w:r>
      <w:r w:rsidR="00444697" w:rsidRPr="0074209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AE3E40" w:rsidRPr="0074209D">
        <w:rPr>
          <w:rFonts w:ascii="Times New Roman" w:eastAsia="Times New Roman" w:hAnsi="Times New Roman" w:cs="Times New Roman"/>
          <w:spacing w:val="-1"/>
          <w:lang w:val="sk-SK"/>
        </w:rPr>
        <w:t>ôže preto znížiť účinnosť liečby a takejto kombinácii sa má vyhnúť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(</w:t>
      </w:r>
      <w:r w:rsidR="00AE3E40" w:rsidRPr="0074209D">
        <w:rPr>
          <w:rFonts w:ascii="Times New Roman" w:eastAsia="Times New Roman" w:hAnsi="Times New Roman" w:cs="Times New Roman"/>
          <w:lang w:val="sk-SK"/>
        </w:rPr>
        <w:t>pozri časť</w:t>
      </w:r>
      <w:r w:rsidR="00444697" w:rsidRPr="0074209D">
        <w:rPr>
          <w:rFonts w:ascii="Times New Roman" w:eastAsia="Times New Roman" w:hAnsi="Times New Roman" w:cs="Times New Roman"/>
          <w:lang w:val="sk-SK"/>
        </w:rPr>
        <w:t> 4.5).</w:t>
      </w:r>
    </w:p>
    <w:p w14:paraId="1EEB9ED9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A6E9731" w14:textId="0DA46145" w:rsidR="00981276" w:rsidRPr="0074209D" w:rsidRDefault="00BA187D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 xml:space="preserve">U pacientov s genotypom </w:t>
      </w:r>
      <w:r w:rsidR="00174046">
        <w:rPr>
          <w:rFonts w:ascii="Times New Roman" w:eastAsia="Times New Roman" w:hAnsi="Times New Roman" w:cs="Times New Roman"/>
          <w:lang w:val="sk-SK"/>
        </w:rPr>
        <w:t>pomalých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metabolizérov 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CYP2D6 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môže liečba silnými inhibítormi </w:t>
      </w:r>
      <w:r w:rsidR="00444697" w:rsidRPr="0074209D">
        <w:rPr>
          <w:rFonts w:ascii="Times New Roman" w:eastAsia="Times New Roman" w:hAnsi="Times New Roman" w:cs="Times New Roman"/>
          <w:lang w:val="sk-SK"/>
        </w:rPr>
        <w:t>CYP3A4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viesť k zvýšeniu plazmatických koncentrácií </w:t>
      </w:r>
      <w:r w:rsidR="00444697" w:rsidRPr="0074209D">
        <w:rPr>
          <w:rFonts w:ascii="Times New Roman" w:eastAsia="Times New Roman" w:hAnsi="Times New Roman" w:cs="Times New Roman"/>
          <w:lang w:val="sk-SK"/>
        </w:rPr>
        <w:t>gefitinib</w:t>
      </w:r>
      <w:r w:rsidRPr="0074209D">
        <w:rPr>
          <w:rFonts w:ascii="Times New Roman" w:eastAsia="Times New Roman" w:hAnsi="Times New Roman" w:cs="Times New Roman"/>
          <w:lang w:val="sk-SK"/>
        </w:rPr>
        <w:t>u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. </w:t>
      </w:r>
      <w:r w:rsidR="00981276" w:rsidRPr="0074209D">
        <w:rPr>
          <w:rFonts w:ascii="Times New Roman" w:eastAsia="Times New Roman" w:hAnsi="Times New Roman" w:cs="Times New Roman"/>
          <w:lang w:val="sk-SK"/>
        </w:rPr>
        <w:t xml:space="preserve">Pri začatí liečby inhibítormi CYP3A4 majú byť pacienti starostlivo sledovaní </w:t>
      </w:r>
      <w:r w:rsidR="00A907AD">
        <w:rPr>
          <w:rFonts w:ascii="Times New Roman" w:eastAsia="Times New Roman" w:hAnsi="Times New Roman" w:cs="Times New Roman"/>
          <w:lang w:val="sk-SK"/>
        </w:rPr>
        <w:t>z dôvodu výskytu nežiaducich reakcií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gefitinib</w:t>
      </w:r>
      <w:r w:rsidR="00981276" w:rsidRPr="0074209D">
        <w:rPr>
          <w:rFonts w:ascii="Times New Roman" w:eastAsia="Times New Roman" w:hAnsi="Times New Roman" w:cs="Times New Roman"/>
          <w:lang w:val="sk-SK"/>
        </w:rPr>
        <w:t>u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(</w:t>
      </w:r>
      <w:r w:rsidR="00981276" w:rsidRPr="0074209D">
        <w:rPr>
          <w:rFonts w:ascii="Times New Roman" w:eastAsia="Times New Roman" w:hAnsi="Times New Roman" w:cs="Times New Roman"/>
          <w:lang w:val="sk-SK"/>
        </w:rPr>
        <w:t>pozri časť</w:t>
      </w:r>
      <w:r w:rsidR="00444697" w:rsidRPr="0074209D">
        <w:rPr>
          <w:rFonts w:ascii="Times New Roman" w:eastAsia="Times New Roman" w:hAnsi="Times New Roman" w:cs="Times New Roman"/>
          <w:lang w:val="sk-SK"/>
        </w:rPr>
        <w:t>4.5).</w:t>
      </w:r>
    </w:p>
    <w:p w14:paraId="7D2B229D" w14:textId="77777777" w:rsidR="00981276" w:rsidRPr="0074209D" w:rsidRDefault="00981276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EEB9EDC" w14:textId="76344E82" w:rsidR="00444697" w:rsidRPr="0074209D" w:rsidRDefault="001A66D2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541081">
        <w:rPr>
          <w:rFonts w:ascii="Times New Roman" w:eastAsia="Times New Roman" w:hAnsi="Times New Roman" w:cs="Times New Roman"/>
          <w:lang w:val="sk-SK"/>
        </w:rPr>
        <w:t>U niektorých pacientov užív</w:t>
      </w:r>
      <w:r w:rsidRPr="0074209D">
        <w:rPr>
          <w:rFonts w:ascii="Times New Roman" w:eastAsia="Times New Roman" w:hAnsi="Times New Roman" w:cs="Times New Roman"/>
          <w:lang w:val="sk-SK"/>
        </w:rPr>
        <w:t>ajúcich warfarín spolu s g</w:t>
      </w:r>
      <w:r w:rsidR="00541081">
        <w:rPr>
          <w:rFonts w:ascii="Times New Roman" w:eastAsia="Times New Roman" w:hAnsi="Times New Roman" w:cs="Times New Roman"/>
          <w:lang w:val="sk-SK"/>
        </w:rPr>
        <w:t>efitinibom bolo hlásené zvýšené hodnoty medzinárodného normalizovaného pomeru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541081">
        <w:rPr>
          <w:rFonts w:ascii="Times New Roman" w:eastAsia="Times New Roman" w:hAnsi="Times New Roman" w:cs="Times New Roman"/>
          <w:lang w:val="sk-SK"/>
        </w:rPr>
        <w:t>(</w:t>
      </w:r>
      <w:r w:rsidR="00981276" w:rsidRPr="0074209D">
        <w:rPr>
          <w:rFonts w:ascii="Times New Roman" w:eastAsia="Times New Roman" w:hAnsi="Times New Roman" w:cs="Times New Roman"/>
          <w:lang w:val="sk-SK"/>
        </w:rPr>
        <w:t>I</w:t>
      </w:r>
      <w:r w:rsidR="00444697" w:rsidRPr="0074209D">
        <w:rPr>
          <w:rFonts w:ascii="Times New Roman" w:eastAsia="Times New Roman" w:hAnsi="Times New Roman" w:cs="Times New Roman"/>
          <w:lang w:val="sk-SK"/>
        </w:rPr>
        <w:t>nternational normalised ratio (INR)</w:t>
      </w:r>
      <w:r w:rsidR="00541081">
        <w:rPr>
          <w:rFonts w:ascii="Times New Roman" w:eastAsia="Times New Roman" w:hAnsi="Times New Roman" w:cs="Times New Roman"/>
          <w:lang w:val="sk-SK"/>
        </w:rPr>
        <w:t>)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lang w:val="sk-SK"/>
        </w:rPr>
        <w:t>a/alebo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4702CC" w:rsidRPr="0074209D">
        <w:rPr>
          <w:rFonts w:ascii="Times New Roman" w:eastAsia="Times New Roman" w:hAnsi="Times New Roman" w:cs="Times New Roman"/>
          <w:lang w:val="sk-SK"/>
        </w:rPr>
        <w:t>prípady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krvácania (pozri časť</w:t>
      </w:r>
      <w:r w:rsidR="00444697" w:rsidRPr="0074209D">
        <w:rPr>
          <w:rFonts w:ascii="Times New Roman" w:eastAsia="Times New Roman" w:hAnsi="Times New Roman" w:cs="Times New Roman"/>
          <w:spacing w:val="-3"/>
          <w:lang w:val="sk-SK"/>
        </w:rPr>
        <w:t> 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4.5). U pacientov užívajúcich </w:t>
      </w:r>
      <w:r w:rsidR="00444697" w:rsidRPr="0074209D">
        <w:rPr>
          <w:rFonts w:ascii="Times New Roman" w:eastAsia="Times New Roman" w:hAnsi="Times New Roman" w:cs="Times New Roman"/>
          <w:lang w:val="sk-SK"/>
        </w:rPr>
        <w:t>wa</w:t>
      </w:r>
      <w:r w:rsidR="00444697" w:rsidRPr="0074209D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74209D">
        <w:rPr>
          <w:rFonts w:ascii="Times New Roman" w:eastAsia="Times New Roman" w:hAnsi="Times New Roman" w:cs="Times New Roman"/>
          <w:lang w:val="sk-SK"/>
        </w:rPr>
        <w:t>farí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n </w:t>
      </w:r>
      <w:r w:rsidRPr="0074209D">
        <w:rPr>
          <w:rFonts w:ascii="Times New Roman" w:eastAsia="Times New Roman" w:hAnsi="Times New Roman" w:cs="Times New Roman"/>
          <w:lang w:val="sk-SK"/>
        </w:rPr>
        <w:t>súbežne s g</w:t>
      </w:r>
      <w:r w:rsidR="00444697" w:rsidRPr="0074209D">
        <w:rPr>
          <w:rFonts w:ascii="Times New Roman" w:eastAsia="Times New Roman" w:hAnsi="Times New Roman" w:cs="Times New Roman"/>
          <w:lang w:val="sk-SK"/>
        </w:rPr>
        <w:t>efitinib</w:t>
      </w:r>
      <w:r w:rsidRPr="0074209D">
        <w:rPr>
          <w:rFonts w:ascii="Times New Roman" w:eastAsia="Times New Roman" w:hAnsi="Times New Roman" w:cs="Times New Roman"/>
          <w:lang w:val="sk-SK"/>
        </w:rPr>
        <w:t>om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lang w:val="sk-SK"/>
        </w:rPr>
        <w:t>sa majú pravidelne monitorovať zmeny protrombínového času (PT) alebo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INR.</w:t>
      </w:r>
    </w:p>
    <w:p w14:paraId="1EEB9EDD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EDE" w14:textId="3AE89290" w:rsidR="00444697" w:rsidRPr="0074209D" w:rsidRDefault="004702CC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 xml:space="preserve">Lieky, ktoré spôsobujú významné dlhodobé zvýšenie pH žalúdka, ako sú </w:t>
      </w:r>
      <w:r w:rsidR="009D4C3A" w:rsidRPr="0074209D">
        <w:rPr>
          <w:rFonts w:ascii="Times New Roman" w:eastAsia="Times New Roman" w:hAnsi="Times New Roman" w:cs="Times New Roman"/>
          <w:lang w:val="sk-SK"/>
        </w:rPr>
        <w:t>inhibítory protónovej pumpy a H</w:t>
      </w:r>
      <w:r w:rsidR="00444697" w:rsidRPr="0074209D">
        <w:rPr>
          <w:rFonts w:ascii="Times New Roman" w:eastAsia="Times New Roman" w:hAnsi="Times New Roman" w:cs="Times New Roman"/>
          <w:vertAlign w:val="subscript"/>
          <w:lang w:val="sk-SK"/>
        </w:rPr>
        <w:t>2</w:t>
      </w:r>
      <w:r w:rsidR="00444697" w:rsidRPr="0074209D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="009D4C3A" w:rsidRPr="0074209D">
        <w:rPr>
          <w:rFonts w:ascii="Times New Roman" w:eastAsia="Times New Roman" w:hAnsi="Times New Roman" w:cs="Times New Roman"/>
          <w:lang w:val="sk-SK"/>
        </w:rPr>
        <w:t>antagonisty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9D4C3A" w:rsidRPr="0074209D">
        <w:rPr>
          <w:rFonts w:ascii="Times New Roman" w:eastAsia="Times New Roman" w:hAnsi="Times New Roman" w:cs="Times New Roman"/>
          <w:lang w:val="sk-SK"/>
        </w:rPr>
        <w:t>môžu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9D4C3A" w:rsidRPr="0074209D">
        <w:rPr>
          <w:rFonts w:ascii="Times New Roman" w:eastAsia="Times New Roman" w:hAnsi="Times New Roman" w:cs="Times New Roman"/>
          <w:lang w:val="sk-SK"/>
        </w:rPr>
        <w:t>znižovať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bio</w:t>
      </w:r>
      <w:r w:rsidR="009D4C3A" w:rsidRPr="0074209D">
        <w:rPr>
          <w:rFonts w:ascii="Times New Roman" w:eastAsia="Times New Roman" w:hAnsi="Times New Roman" w:cs="Times New Roman"/>
          <w:lang w:val="sk-SK"/>
        </w:rPr>
        <w:t xml:space="preserve">logickú dostupnosť a koncentrácie </w:t>
      </w:r>
      <w:r w:rsidR="00444697" w:rsidRPr="0074209D">
        <w:rPr>
          <w:rFonts w:ascii="Times New Roman" w:eastAsia="Times New Roman" w:hAnsi="Times New Roman" w:cs="Times New Roman"/>
          <w:lang w:val="sk-SK"/>
        </w:rPr>
        <w:t>gefitinib</w:t>
      </w:r>
      <w:r w:rsidR="009D4C3A" w:rsidRPr="0074209D">
        <w:rPr>
          <w:rFonts w:ascii="Times New Roman" w:eastAsia="Times New Roman" w:hAnsi="Times New Roman" w:cs="Times New Roman"/>
          <w:lang w:val="sk-SK"/>
        </w:rPr>
        <w:t xml:space="preserve">u v plazme, a preto môžu znižovať účinnosť. </w:t>
      </w:r>
      <w:r w:rsidR="00444697" w:rsidRPr="0074209D">
        <w:rPr>
          <w:rFonts w:ascii="Times New Roman" w:eastAsia="Times New Roman" w:hAnsi="Times New Roman" w:cs="Times New Roman"/>
          <w:lang w:val="sk-SK"/>
        </w:rPr>
        <w:t>A</w:t>
      </w:r>
      <w:r w:rsidR="009D4C3A" w:rsidRPr="0074209D">
        <w:rPr>
          <w:rFonts w:ascii="Times New Roman" w:eastAsia="Times New Roman" w:hAnsi="Times New Roman" w:cs="Times New Roman"/>
          <w:lang w:val="sk-SK"/>
        </w:rPr>
        <w:t>k sa antacidá užívajú pravidelne v krátkom časovom odstupe od podania gef</w:t>
      </w:r>
      <w:r w:rsidR="00444697" w:rsidRPr="0074209D">
        <w:rPr>
          <w:rFonts w:ascii="Times New Roman" w:eastAsia="Times New Roman" w:hAnsi="Times New Roman" w:cs="Times New Roman"/>
          <w:lang w:val="sk-SK"/>
        </w:rPr>
        <w:t>itinib</w:t>
      </w:r>
      <w:r w:rsidR="009D4C3A" w:rsidRPr="0074209D">
        <w:rPr>
          <w:rFonts w:ascii="Times New Roman" w:eastAsia="Times New Roman" w:hAnsi="Times New Roman" w:cs="Times New Roman"/>
          <w:lang w:val="sk-SK"/>
        </w:rPr>
        <w:t>u,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444697" w:rsidRPr="0074209D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9D4C3A" w:rsidRPr="0074209D">
        <w:rPr>
          <w:rFonts w:ascii="Times New Roman" w:eastAsia="Times New Roman" w:hAnsi="Times New Roman" w:cs="Times New Roman"/>
          <w:spacing w:val="3"/>
          <w:lang w:val="sk-SK"/>
        </w:rPr>
        <w:t>ôžu</w:t>
      </w:r>
      <w:r w:rsidR="009D4C3A" w:rsidRPr="0074209D">
        <w:rPr>
          <w:rFonts w:ascii="Times New Roman" w:eastAsia="Times New Roman" w:hAnsi="Times New Roman" w:cs="Times New Roman"/>
          <w:lang w:val="sk-SK"/>
        </w:rPr>
        <w:t xml:space="preserve"> mať podobný účinok (pozri časti</w:t>
      </w:r>
      <w:r w:rsidR="00444697" w:rsidRPr="0074209D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="009D4C3A" w:rsidRPr="0074209D">
        <w:rPr>
          <w:rFonts w:ascii="Times New Roman" w:eastAsia="Times New Roman" w:hAnsi="Times New Roman" w:cs="Times New Roman"/>
          <w:lang w:val="sk-SK"/>
        </w:rPr>
        <w:t>4.5 a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5.2).</w:t>
      </w:r>
    </w:p>
    <w:p w14:paraId="1EEB9EDF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EE0" w14:textId="2AF65D77" w:rsidR="00444697" w:rsidRPr="0074209D" w:rsidRDefault="009D4C3A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 xml:space="preserve">Údaje z klinického skúšania </w:t>
      </w:r>
      <w:r w:rsidR="00324F42" w:rsidRPr="0074209D">
        <w:rPr>
          <w:rFonts w:ascii="Times New Roman" w:eastAsia="Times New Roman" w:hAnsi="Times New Roman" w:cs="Times New Roman"/>
          <w:lang w:val="sk-SK"/>
        </w:rPr>
        <w:t>fázy</w:t>
      </w:r>
      <w:r w:rsidR="00541081">
        <w:rPr>
          <w:rFonts w:ascii="Times New Roman" w:eastAsia="Times New Roman" w:hAnsi="Times New Roman" w:cs="Times New Roman"/>
          <w:lang w:val="sk-SK"/>
        </w:rPr>
        <w:t xml:space="preserve"> II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, </w:t>
      </w:r>
      <w:r w:rsidR="00324F42" w:rsidRPr="0074209D">
        <w:rPr>
          <w:rFonts w:ascii="Times New Roman" w:eastAsia="Times New Roman" w:hAnsi="Times New Roman" w:cs="Times New Roman"/>
          <w:lang w:val="sk-SK"/>
        </w:rPr>
        <w:t>kde sa súbežne užíval gefitinib a vinorelbín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324F42" w:rsidRPr="0074209D">
        <w:rPr>
          <w:rFonts w:ascii="Times New Roman" w:eastAsia="Times New Roman" w:hAnsi="Times New Roman" w:cs="Times New Roman"/>
          <w:lang w:val="sk-SK"/>
        </w:rPr>
        <w:t xml:space="preserve">naznačujú, že </w:t>
      </w:r>
      <w:r w:rsidR="00444697" w:rsidRPr="0074209D">
        <w:rPr>
          <w:rFonts w:ascii="Times New Roman" w:eastAsia="Times New Roman" w:hAnsi="Times New Roman" w:cs="Times New Roman"/>
          <w:lang w:val="sk-SK"/>
        </w:rPr>
        <w:t>gefitinib</w:t>
      </w:r>
      <w:r w:rsidR="00324F42" w:rsidRPr="0074209D">
        <w:rPr>
          <w:rFonts w:ascii="Times New Roman" w:eastAsia="Times New Roman" w:hAnsi="Times New Roman" w:cs="Times New Roman"/>
          <w:lang w:val="sk-SK"/>
        </w:rPr>
        <w:t xml:space="preserve"> môže spôsobiť exacerbáciu </w:t>
      </w:r>
      <w:r w:rsidR="00444697" w:rsidRPr="0074209D">
        <w:rPr>
          <w:rFonts w:ascii="Times New Roman" w:eastAsia="Times New Roman" w:hAnsi="Times New Roman" w:cs="Times New Roman"/>
          <w:lang w:val="sk-SK"/>
        </w:rPr>
        <w:t>neutropenic</w:t>
      </w:r>
      <w:r w:rsidR="00324F42" w:rsidRPr="0074209D">
        <w:rPr>
          <w:rFonts w:ascii="Times New Roman" w:eastAsia="Times New Roman" w:hAnsi="Times New Roman" w:cs="Times New Roman"/>
          <w:lang w:val="sk-SK"/>
        </w:rPr>
        <w:t>kého efek</w:t>
      </w:r>
      <w:r w:rsidR="00444697" w:rsidRPr="0074209D">
        <w:rPr>
          <w:rFonts w:ascii="Times New Roman" w:eastAsia="Times New Roman" w:hAnsi="Times New Roman" w:cs="Times New Roman"/>
          <w:lang w:val="sk-SK"/>
        </w:rPr>
        <w:t>t</w:t>
      </w:r>
      <w:r w:rsidR="00324F42" w:rsidRPr="0074209D">
        <w:rPr>
          <w:rFonts w:ascii="Times New Roman" w:eastAsia="Times New Roman" w:hAnsi="Times New Roman" w:cs="Times New Roman"/>
          <w:lang w:val="sk-SK"/>
        </w:rPr>
        <w:t>u vinorelbínu</w:t>
      </w:r>
      <w:r w:rsidR="00444697" w:rsidRPr="0074209D">
        <w:rPr>
          <w:rFonts w:ascii="Times New Roman" w:eastAsia="Times New Roman" w:hAnsi="Times New Roman" w:cs="Times New Roman"/>
          <w:lang w:val="sk-SK"/>
        </w:rPr>
        <w:t>.</w:t>
      </w:r>
    </w:p>
    <w:p w14:paraId="1EEB9EE1" w14:textId="77777777" w:rsidR="00444697" w:rsidRPr="0074209D" w:rsidRDefault="00444697" w:rsidP="00473F05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EE2" w14:textId="353B1356" w:rsidR="00444697" w:rsidRPr="0074209D" w:rsidRDefault="00BA307E" w:rsidP="00473F05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i/>
          <w:lang w:val="sk-SK"/>
        </w:rPr>
        <w:t>Laktóza</w:t>
      </w:r>
    </w:p>
    <w:p w14:paraId="1EEB9EE3" w14:textId="16596521" w:rsidR="00444697" w:rsidRPr="0074209D" w:rsidRDefault="00BA307E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spacing w:val="-1"/>
          <w:lang w:val="sk-SK"/>
        </w:rPr>
        <w:t>Gefitinib Teva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spacing w:val="-1"/>
          <w:lang w:val="sk-SK"/>
        </w:rPr>
        <w:t>obsahuje laktózu</w:t>
      </w:r>
      <w:r w:rsidRPr="0074209D">
        <w:rPr>
          <w:rFonts w:ascii="Times New Roman" w:eastAsia="Times New Roman" w:hAnsi="Times New Roman" w:cs="Times New Roman"/>
          <w:lang w:val="sk-SK"/>
        </w:rPr>
        <w:t>. Pacienti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so zriedkavými dedičnými problémami galaktózovej </w:t>
      </w:r>
      <w:r w:rsidR="00444697" w:rsidRPr="0074209D">
        <w:rPr>
          <w:rFonts w:ascii="Times New Roman" w:eastAsia="Times New Roman" w:hAnsi="Times New Roman" w:cs="Times New Roman"/>
          <w:lang w:val="sk-SK"/>
        </w:rPr>
        <w:t>intoleranc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ie, </w:t>
      </w:r>
      <w:r w:rsidR="00EE0B6B">
        <w:rPr>
          <w:rFonts w:ascii="Times New Roman" w:eastAsia="Times New Roman" w:hAnsi="Times New Roman" w:cs="Times New Roman"/>
          <w:lang w:val="sk-SK"/>
        </w:rPr>
        <w:t>celkovým deficitom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laktázy alebo glukózo</w:t>
      </w:r>
      <w:r w:rsidR="00444697" w:rsidRPr="0074209D">
        <w:rPr>
          <w:rFonts w:ascii="Times New Roman" w:eastAsia="Times New Roman" w:hAnsi="Times New Roman" w:cs="Times New Roman"/>
          <w:spacing w:val="-2"/>
          <w:lang w:val="sk-SK"/>
        </w:rPr>
        <w:t>-</w:t>
      </w:r>
      <w:r w:rsidR="00EE0B6B">
        <w:rPr>
          <w:rFonts w:ascii="Times New Roman" w:eastAsia="Times New Roman" w:hAnsi="Times New Roman" w:cs="Times New Roman"/>
          <w:lang w:val="sk-SK"/>
        </w:rPr>
        <w:t>galaktózovou malabsorbciou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lang w:val="sk-SK"/>
        </w:rPr>
        <w:t>nesmú užívať tento liek</w:t>
      </w:r>
      <w:r w:rsidR="00444697" w:rsidRPr="0074209D">
        <w:rPr>
          <w:rFonts w:ascii="Times New Roman" w:eastAsia="Times New Roman" w:hAnsi="Times New Roman" w:cs="Times New Roman"/>
          <w:lang w:val="sk-SK"/>
        </w:rPr>
        <w:t>.</w:t>
      </w:r>
    </w:p>
    <w:p w14:paraId="1EEB9EE4" w14:textId="77777777" w:rsidR="00444697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1EF33E9" w14:textId="30773E39" w:rsidR="003C1CC9" w:rsidRPr="003C1CC9" w:rsidRDefault="003C1CC9" w:rsidP="003C1CC9">
      <w:pPr>
        <w:keepNext/>
        <w:spacing w:after="0" w:line="240" w:lineRule="auto"/>
        <w:rPr>
          <w:rFonts w:ascii="Times New Roman" w:eastAsia="Times New Roman" w:hAnsi="Times New Roman" w:cs="Times New Roman"/>
          <w:i/>
          <w:lang w:val="sk-SK"/>
        </w:rPr>
      </w:pPr>
      <w:r w:rsidRPr="003C1CC9">
        <w:rPr>
          <w:rFonts w:ascii="Times New Roman" w:eastAsia="Times New Roman" w:hAnsi="Times New Roman" w:cs="Times New Roman"/>
          <w:i/>
          <w:lang w:val="sk-SK"/>
        </w:rPr>
        <w:t>Sodík</w:t>
      </w:r>
    </w:p>
    <w:p w14:paraId="00A7626A" w14:textId="11FDC8C1" w:rsidR="003C1CC9" w:rsidRDefault="003C1CC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Gefitinib Teva obsahuje menej ako 1 mmol sodíka (23 mg) v tablete, t.j. v podstate zanedbateľné množstvo sodíka.</w:t>
      </w:r>
    </w:p>
    <w:p w14:paraId="370ECE3C" w14:textId="77777777" w:rsidR="003C1CC9" w:rsidRPr="0074209D" w:rsidRDefault="003C1CC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EE5" w14:textId="49929D82" w:rsidR="00444697" w:rsidRPr="0074209D" w:rsidRDefault="00DD51C6" w:rsidP="00473F05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i/>
          <w:lang w:val="sk-SK"/>
        </w:rPr>
        <w:lastRenderedPageBreak/>
        <w:t>Ďalšie upozornenia pri užívaní</w:t>
      </w:r>
    </w:p>
    <w:p w14:paraId="1EEB9EE6" w14:textId="4FB4C524" w:rsidR="00444697" w:rsidRPr="0074209D" w:rsidRDefault="00DD51C6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>Pacienti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lang w:val="sk-SK"/>
        </w:rPr>
        <w:t>majú byť poučení o tom, aby okamžite vyhľadali lekársku pomoc v prípade, ak u nich dôjde k ťažkej alebo pretrvávajúcej hnačke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, 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nevoľnosti, vracaniu alebo anorexii, </w:t>
      </w:r>
      <w:r w:rsidR="004C3F3F" w:rsidRPr="004C3F3F">
        <w:rPr>
          <w:rFonts w:ascii="Times New Roman" w:eastAsia="MS Mincho" w:hAnsi="Times New Roman" w:cs="Times New Roman"/>
          <w:color w:val="000000"/>
          <w:lang w:val="sk-SK"/>
        </w:rPr>
        <w:t>keďže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tieto môžu nepriamo viesť k vzn</w:t>
      </w:r>
      <w:r w:rsidR="00541081">
        <w:rPr>
          <w:rFonts w:ascii="Times New Roman" w:eastAsia="Times New Roman" w:hAnsi="Times New Roman" w:cs="Times New Roman"/>
          <w:lang w:val="sk-SK"/>
        </w:rPr>
        <w:t>iku dehydratácie. Tieto príznaky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sa majú liečiť </w:t>
      </w:r>
      <w:r w:rsidR="00066E0D">
        <w:rPr>
          <w:rFonts w:ascii="Times New Roman" w:eastAsia="Times New Roman" w:hAnsi="Times New Roman" w:cs="Times New Roman"/>
          <w:lang w:val="sk-SK"/>
        </w:rPr>
        <w:t>tak, ako je to klinicky indikované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(pozri časť</w:t>
      </w:r>
      <w:r w:rsidR="00444697" w:rsidRPr="0074209D">
        <w:rPr>
          <w:rFonts w:ascii="Times New Roman" w:eastAsia="Times New Roman" w:hAnsi="Times New Roman" w:cs="Times New Roman"/>
          <w:spacing w:val="-4"/>
          <w:lang w:val="sk-SK"/>
        </w:rPr>
        <w:t> </w:t>
      </w:r>
      <w:r w:rsidR="00444697" w:rsidRPr="0074209D">
        <w:rPr>
          <w:rFonts w:ascii="Times New Roman" w:eastAsia="Times New Roman" w:hAnsi="Times New Roman" w:cs="Times New Roman"/>
          <w:lang w:val="sk-SK"/>
        </w:rPr>
        <w:t>4.8).</w:t>
      </w:r>
    </w:p>
    <w:p w14:paraId="1EEB9EE7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EE8" w14:textId="2B643C0B" w:rsidR="00444697" w:rsidRPr="0074209D" w:rsidRDefault="00066E0D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Pacientov s</w:t>
      </w:r>
      <w:r w:rsidR="004C3F3F">
        <w:rPr>
          <w:rFonts w:ascii="Times New Roman" w:eastAsia="Times New Roman" w:hAnsi="Times New Roman" w:cs="Times New Roman"/>
          <w:lang w:val="sk-SK"/>
        </w:rPr>
        <w:t xml:space="preserve"> prejavmi</w:t>
      </w:r>
      <w:r w:rsidR="00DF6137" w:rsidRPr="0074209D">
        <w:rPr>
          <w:rFonts w:ascii="Times New Roman" w:eastAsia="Times New Roman" w:hAnsi="Times New Roman" w:cs="Times New Roman"/>
          <w:lang w:val="sk-SK"/>
        </w:rPr>
        <w:t xml:space="preserve"> a príznakmi poukazujúcimi na keratitídu, akými sú akútny alebo zhoršený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: </w:t>
      </w:r>
      <w:r w:rsidR="00DF6137" w:rsidRPr="0074209D">
        <w:rPr>
          <w:rFonts w:ascii="Times New Roman" w:eastAsia="Times New Roman" w:hAnsi="Times New Roman" w:cs="Times New Roman"/>
          <w:lang w:val="sk-SK"/>
        </w:rPr>
        <w:t>zápal oka, slzenie, citlivosť na svetlo, rozmazané videnie, bolesť očí a/alebo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DF6137" w:rsidRPr="0074209D">
        <w:rPr>
          <w:rFonts w:ascii="Times New Roman" w:eastAsia="Times New Roman" w:hAnsi="Times New Roman" w:cs="Times New Roman"/>
          <w:lang w:val="sk-SK"/>
        </w:rPr>
        <w:t>červené oči, má bezodkladne vyšetriť špecialista oftalmológ</w:t>
      </w:r>
      <w:r w:rsidR="00444697" w:rsidRPr="0074209D">
        <w:rPr>
          <w:rFonts w:ascii="Times New Roman" w:eastAsia="Times New Roman" w:hAnsi="Times New Roman" w:cs="Times New Roman"/>
          <w:lang w:val="sk-SK"/>
        </w:rPr>
        <w:t>.</w:t>
      </w:r>
    </w:p>
    <w:p w14:paraId="1EEB9EE9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EEA" w14:textId="6C38E330" w:rsidR="00444697" w:rsidRPr="0074209D" w:rsidRDefault="00DF6137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>Ak sa potvrdí diagnóza ulceratívnej keratitídy, liečba s gefitinibom sa má prerušiť, a ak sa príznaky n</w:t>
      </w:r>
      <w:r w:rsidR="005A0BB4" w:rsidRPr="0074209D">
        <w:rPr>
          <w:rFonts w:ascii="Times New Roman" w:eastAsia="Times New Roman" w:hAnsi="Times New Roman" w:cs="Times New Roman"/>
          <w:lang w:val="sk-SK"/>
        </w:rPr>
        <w:t>ezlepšia alebo ak sa príznaky p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o opätovnom </w:t>
      </w:r>
      <w:r w:rsidR="007B61FB">
        <w:rPr>
          <w:rFonts w:ascii="Times New Roman" w:eastAsia="Times New Roman" w:hAnsi="Times New Roman" w:cs="Times New Roman"/>
          <w:lang w:val="sk-SK"/>
        </w:rPr>
        <w:t>začatí liečby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gefitinib</w:t>
      </w:r>
      <w:r w:rsidR="007B61FB">
        <w:rPr>
          <w:rFonts w:ascii="Times New Roman" w:eastAsia="Times New Roman" w:hAnsi="Times New Roman" w:cs="Times New Roman"/>
          <w:lang w:val="sk-SK"/>
        </w:rPr>
        <w:t>om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znovu vyskytnú</w:t>
      </w:r>
      <w:r w:rsidR="005A0BB4" w:rsidRPr="0074209D">
        <w:rPr>
          <w:rFonts w:ascii="Times New Roman" w:eastAsia="Times New Roman" w:hAnsi="Times New Roman" w:cs="Times New Roman"/>
          <w:lang w:val="sk-SK"/>
        </w:rPr>
        <w:t>, má sa zvážiť ukončenie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liečby.</w:t>
      </w:r>
    </w:p>
    <w:p w14:paraId="1EEB9EEB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EEC" w14:textId="6D13A87D" w:rsidR="00444697" w:rsidRPr="0074209D" w:rsidRDefault="003A5B58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>V</w:t>
      </w:r>
      <w:r w:rsidR="00066E0D">
        <w:rPr>
          <w:rFonts w:ascii="Times New Roman" w:eastAsia="Times New Roman" w:hAnsi="Times New Roman" w:cs="Times New Roman"/>
          <w:lang w:val="sk-SK"/>
        </w:rPr>
        <w:t>o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fáze </w:t>
      </w:r>
      <w:r w:rsidR="00066E0D" w:rsidRPr="0074209D">
        <w:rPr>
          <w:rFonts w:ascii="Times New Roman" w:eastAsia="Times New Roman" w:hAnsi="Times New Roman" w:cs="Times New Roman"/>
          <w:lang w:val="sk-SK"/>
        </w:rPr>
        <w:t xml:space="preserve">I/II </w:t>
      </w:r>
      <w:r w:rsidRPr="0074209D">
        <w:rPr>
          <w:rFonts w:ascii="Times New Roman" w:eastAsia="Times New Roman" w:hAnsi="Times New Roman" w:cs="Times New Roman"/>
          <w:lang w:val="sk-SK"/>
        </w:rPr>
        <w:t>klinického skúšania sledujúceho podávanie gefitinibu a radiačnej liečby pediatrickým pacientom s novodiagnostikovaným gliómom mozgového kmeňa alebo nekompletnou resekciou supratentoriálneho malígneho gliómu boli hlásené 4 prípady (1 fatálny) krvácania do centrálneho nervového systému (CNS) z celkového počtu 45 pacientov zaradených do skúšania. Ďalší prípad krvácania do CNS bol hlásený u dieťaťa s</w:t>
      </w:r>
      <w:r w:rsidR="00331BE6" w:rsidRPr="0074209D">
        <w:rPr>
          <w:rFonts w:ascii="Times New Roman" w:eastAsia="Times New Roman" w:hAnsi="Times New Roman" w:cs="Times New Roman"/>
          <w:lang w:val="sk-SK"/>
        </w:rPr>
        <w:t> </w:t>
      </w:r>
      <w:r w:rsidRPr="0074209D">
        <w:rPr>
          <w:rFonts w:ascii="Times New Roman" w:eastAsia="Times New Roman" w:hAnsi="Times New Roman" w:cs="Times New Roman"/>
          <w:lang w:val="sk-SK"/>
        </w:rPr>
        <w:t>epend</w:t>
      </w:r>
      <w:r w:rsidR="00331BE6" w:rsidRPr="0074209D">
        <w:rPr>
          <w:rFonts w:ascii="Times New Roman" w:eastAsia="Times New Roman" w:hAnsi="Times New Roman" w:cs="Times New Roman"/>
          <w:lang w:val="sk-SK"/>
        </w:rPr>
        <w:t xml:space="preserve">ymómom počas klinického skúšania s gefitinibom samotným. </w:t>
      </w:r>
      <w:r w:rsidR="00D734E2" w:rsidRPr="0074209D">
        <w:rPr>
          <w:rFonts w:ascii="Times New Roman" w:eastAsia="Times New Roman" w:hAnsi="Times New Roman" w:cs="Times New Roman"/>
          <w:lang w:val="sk-SK"/>
        </w:rPr>
        <w:t>Zvýšené riziko cerebrálnej hemorágie u dospelých pacientov s NSCLC užívajúcich gefitinib nebolo stanovené</w:t>
      </w:r>
      <w:r w:rsidR="00444697" w:rsidRPr="0074209D">
        <w:rPr>
          <w:rFonts w:ascii="Times New Roman" w:eastAsia="Times New Roman" w:hAnsi="Times New Roman" w:cs="Times New Roman"/>
          <w:lang w:val="sk-SK"/>
        </w:rPr>
        <w:t>.</w:t>
      </w:r>
    </w:p>
    <w:p w14:paraId="1EEB9EED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F794C90" w14:textId="5D709A8D" w:rsidR="00D515F1" w:rsidRPr="0074209D" w:rsidRDefault="00D515F1" w:rsidP="00D515F1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 xml:space="preserve">Perforácia gastrointestinálneho traktu bola hlásená u pacientov užívajúcich gefitinib. Vo väčšine prípadov je spojená s ďalšími známymi rizikovými faktormi, vrátane súbežného užívania liekov ako sú steroidy alebo NSAID, anamnéza gastrointestinálnej ulcerácie, vek, fajčenie alebo črevné metastázy v miestach perforácie. </w:t>
      </w:r>
    </w:p>
    <w:p w14:paraId="1EEB9EEF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EF0" w14:textId="0717B195" w:rsidR="00444697" w:rsidRPr="0074209D" w:rsidRDefault="00D73E8D" w:rsidP="00473F0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b/>
          <w:bCs/>
          <w:lang w:val="sk-SK"/>
        </w:rPr>
        <w:t>4.5</w:t>
      </w:r>
      <w:r w:rsidRPr="0074209D">
        <w:rPr>
          <w:rFonts w:ascii="Times New Roman" w:eastAsia="Times New Roman" w:hAnsi="Times New Roman" w:cs="Times New Roman"/>
          <w:b/>
          <w:bCs/>
          <w:lang w:val="sk-SK"/>
        </w:rPr>
        <w:tab/>
        <w:t>Liekové a iné interakcie</w:t>
      </w:r>
    </w:p>
    <w:p w14:paraId="1EEB9EF1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EF2" w14:textId="271C1051" w:rsidR="00444697" w:rsidRPr="0074209D" w:rsidRDefault="00D73E8D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>G</w:t>
      </w:r>
      <w:r w:rsidR="00444697" w:rsidRPr="0074209D">
        <w:rPr>
          <w:rFonts w:ascii="Times New Roman" w:eastAsia="Times New Roman" w:hAnsi="Times New Roman" w:cs="Times New Roman"/>
          <w:lang w:val="sk-SK"/>
        </w:rPr>
        <w:t>efitinib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sa metabolizuje prostredníctvom</w:t>
      </w:r>
      <w:r w:rsidR="00145438" w:rsidRPr="0074209D">
        <w:rPr>
          <w:rFonts w:ascii="Times New Roman" w:eastAsia="Times New Roman" w:hAnsi="Times New Roman" w:cs="Times New Roman"/>
          <w:lang w:val="sk-SK"/>
        </w:rPr>
        <w:t xml:space="preserve"> izoenzýmu CYP3A4 cytochrómu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P450 </w:t>
      </w:r>
      <w:r w:rsidR="00145438" w:rsidRPr="0074209D">
        <w:rPr>
          <w:rFonts w:ascii="Times New Roman" w:eastAsia="Times New Roman" w:hAnsi="Times New Roman" w:cs="Times New Roman"/>
          <w:lang w:val="sk-SK"/>
        </w:rPr>
        <w:t>(prevažne) a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145438" w:rsidRPr="0074209D">
        <w:rPr>
          <w:rFonts w:ascii="Times New Roman" w:eastAsia="Times New Roman" w:hAnsi="Times New Roman" w:cs="Times New Roman"/>
          <w:lang w:val="sk-SK"/>
        </w:rPr>
        <w:t>prostredníctvom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>CYP2D6.</w:t>
      </w:r>
    </w:p>
    <w:p w14:paraId="1EEB9EF3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EF4" w14:textId="2AFDD038" w:rsidR="00444697" w:rsidRPr="0074209D" w:rsidRDefault="00145438" w:rsidP="00473F05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i/>
          <w:lang w:val="sk-SK"/>
        </w:rPr>
        <w:t>Liečivá,</w:t>
      </w:r>
      <w:r w:rsidR="00444697" w:rsidRPr="0074209D">
        <w:rPr>
          <w:rFonts w:ascii="Times New Roman" w:eastAsia="Times New Roman" w:hAnsi="Times New Roman" w:cs="Times New Roman"/>
          <w:i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i/>
          <w:lang w:val="sk-SK"/>
        </w:rPr>
        <w:t xml:space="preserve">ktoré môžu zvýšiť plazmatické koncentrácie </w:t>
      </w:r>
      <w:r w:rsidR="00444697" w:rsidRPr="0074209D">
        <w:rPr>
          <w:rFonts w:ascii="Times New Roman" w:eastAsia="Times New Roman" w:hAnsi="Times New Roman" w:cs="Times New Roman"/>
          <w:i/>
          <w:lang w:val="sk-SK"/>
        </w:rPr>
        <w:t>gefitinib</w:t>
      </w:r>
      <w:r w:rsidRPr="0074209D">
        <w:rPr>
          <w:rFonts w:ascii="Times New Roman" w:eastAsia="Times New Roman" w:hAnsi="Times New Roman" w:cs="Times New Roman"/>
          <w:i/>
          <w:lang w:val="sk-SK"/>
        </w:rPr>
        <w:t>u</w:t>
      </w:r>
      <w:r w:rsidR="00444697" w:rsidRPr="0074209D">
        <w:rPr>
          <w:rFonts w:ascii="Times New Roman" w:eastAsia="Times New Roman" w:hAnsi="Times New Roman" w:cs="Times New Roman"/>
          <w:i/>
          <w:lang w:val="sk-SK"/>
        </w:rPr>
        <w:t xml:space="preserve"> </w:t>
      </w:r>
    </w:p>
    <w:p w14:paraId="1EEB9EF5" w14:textId="0A537136" w:rsidR="00444697" w:rsidRPr="0074209D" w:rsidRDefault="00145438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 xml:space="preserve">Štúdie </w:t>
      </w:r>
      <w:r w:rsidRPr="0074209D">
        <w:rPr>
          <w:rFonts w:ascii="Times New Roman" w:eastAsia="Times New Roman" w:hAnsi="Times New Roman" w:cs="Times New Roman"/>
          <w:i/>
          <w:lang w:val="sk-SK"/>
        </w:rPr>
        <w:t>i</w:t>
      </w:r>
      <w:r w:rsidR="00444697" w:rsidRPr="0074209D">
        <w:rPr>
          <w:rFonts w:ascii="Times New Roman" w:eastAsia="Times New Roman" w:hAnsi="Times New Roman" w:cs="Times New Roman"/>
          <w:i/>
          <w:lang w:val="sk-SK"/>
        </w:rPr>
        <w:t xml:space="preserve">n vitro 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preukázali, že gefitinib je substrátom 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>p</w:t>
      </w:r>
      <w:r w:rsidR="00444697" w:rsidRPr="0074209D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="00444697" w:rsidRPr="0074209D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="00444697" w:rsidRPr="0074209D">
        <w:rPr>
          <w:rFonts w:ascii="Times New Roman" w:eastAsia="Times New Roman" w:hAnsi="Times New Roman" w:cs="Times New Roman"/>
          <w:spacing w:val="3"/>
          <w:lang w:val="sk-SK"/>
        </w:rPr>
        <w:t>l</w:t>
      </w:r>
      <w:r w:rsidRPr="0074209D">
        <w:rPr>
          <w:rFonts w:ascii="Times New Roman" w:eastAsia="Times New Roman" w:hAnsi="Times New Roman" w:cs="Times New Roman"/>
          <w:lang w:val="sk-SK"/>
        </w:rPr>
        <w:t>ykoproteí</w:t>
      </w:r>
      <w:r w:rsidR="00444697" w:rsidRPr="0074209D">
        <w:rPr>
          <w:rFonts w:ascii="Times New Roman" w:eastAsia="Times New Roman" w:hAnsi="Times New Roman" w:cs="Times New Roman"/>
          <w:lang w:val="sk-SK"/>
        </w:rPr>
        <w:t>n</w:t>
      </w:r>
      <w:r w:rsidRPr="0074209D">
        <w:rPr>
          <w:rFonts w:ascii="Times New Roman" w:eastAsia="Times New Roman" w:hAnsi="Times New Roman" w:cs="Times New Roman"/>
          <w:lang w:val="sk-SK"/>
        </w:rPr>
        <w:t>u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(Pgp). 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Dostupné údaje nenaznačujú žiadne klinické dôsledky k týmto </w:t>
      </w:r>
      <w:r w:rsidR="00444697" w:rsidRPr="0074209D">
        <w:rPr>
          <w:rFonts w:ascii="Times New Roman" w:eastAsia="Times New Roman" w:hAnsi="Times New Roman" w:cs="Times New Roman"/>
          <w:i/>
          <w:lang w:val="sk-SK"/>
        </w:rPr>
        <w:t xml:space="preserve">in vitro </w:t>
      </w:r>
      <w:r w:rsidRPr="0074209D">
        <w:rPr>
          <w:rFonts w:ascii="Times New Roman" w:eastAsia="Times New Roman" w:hAnsi="Times New Roman" w:cs="Times New Roman"/>
          <w:spacing w:val="-1"/>
          <w:lang w:val="sk-SK"/>
        </w:rPr>
        <w:t>zisteniam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>.</w:t>
      </w:r>
    </w:p>
    <w:p w14:paraId="1EEB9EF6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EF7" w14:textId="28D61F6C" w:rsidR="00444697" w:rsidRPr="0074209D" w:rsidRDefault="00145438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>Látky inhibujúce CYP3A4 môžu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znížiť klírens </w:t>
      </w:r>
      <w:r w:rsidR="00444697" w:rsidRPr="0074209D">
        <w:rPr>
          <w:rFonts w:ascii="Times New Roman" w:eastAsia="Times New Roman" w:hAnsi="Times New Roman" w:cs="Times New Roman"/>
          <w:lang w:val="sk-SK"/>
        </w:rPr>
        <w:t>gefitinib</w:t>
      </w:r>
      <w:r w:rsidRPr="0074209D">
        <w:rPr>
          <w:rFonts w:ascii="Times New Roman" w:eastAsia="Times New Roman" w:hAnsi="Times New Roman" w:cs="Times New Roman"/>
          <w:lang w:val="sk-SK"/>
        </w:rPr>
        <w:t>u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. </w:t>
      </w:r>
      <w:r w:rsidR="00AA7EB6" w:rsidRPr="0074209D">
        <w:rPr>
          <w:rFonts w:ascii="Times New Roman" w:eastAsia="Times New Roman" w:hAnsi="Times New Roman" w:cs="Times New Roman"/>
          <w:lang w:val="sk-SK"/>
        </w:rPr>
        <w:t>Súbežné podávanie so silnými inhibítormi aktivity CYP3A4 (napr. ketokonazol, posakonazol, vorikonazol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, </w:t>
      </w:r>
      <w:r w:rsidR="00AA7EB6" w:rsidRPr="0074209D">
        <w:rPr>
          <w:rFonts w:ascii="Times New Roman" w:eastAsia="Times New Roman" w:hAnsi="Times New Roman" w:cs="Times New Roman"/>
          <w:lang w:val="sk-SK"/>
        </w:rPr>
        <w:t>inhibítory proteázy, klaritromycín, telitromycí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n) </w:t>
      </w:r>
      <w:r w:rsidR="00AA7EB6" w:rsidRPr="0074209D">
        <w:rPr>
          <w:rFonts w:ascii="Times New Roman" w:eastAsia="Times New Roman" w:hAnsi="Times New Roman" w:cs="Times New Roman"/>
          <w:lang w:val="sk-SK"/>
        </w:rPr>
        <w:t xml:space="preserve">môže zvýšiť plazmatické koncentrácie </w:t>
      </w:r>
      <w:r w:rsidR="00444697" w:rsidRPr="0074209D">
        <w:rPr>
          <w:rFonts w:ascii="Times New Roman" w:eastAsia="Times New Roman" w:hAnsi="Times New Roman" w:cs="Times New Roman"/>
          <w:lang w:val="sk-SK"/>
        </w:rPr>
        <w:t>gefitinib</w:t>
      </w:r>
      <w:r w:rsidR="00AA7EB6" w:rsidRPr="0074209D">
        <w:rPr>
          <w:rFonts w:ascii="Times New Roman" w:eastAsia="Times New Roman" w:hAnsi="Times New Roman" w:cs="Times New Roman"/>
          <w:lang w:val="sk-SK"/>
        </w:rPr>
        <w:t>u</w:t>
      </w:r>
      <w:r w:rsidR="005D1F14">
        <w:rPr>
          <w:rFonts w:ascii="Times New Roman" w:eastAsia="Times New Roman" w:hAnsi="Times New Roman" w:cs="Times New Roman"/>
          <w:lang w:val="sk-SK"/>
        </w:rPr>
        <w:t>. Z</w:t>
      </w:r>
      <w:r w:rsidR="00AA7EB6" w:rsidRPr="0074209D">
        <w:rPr>
          <w:rFonts w:ascii="Times New Roman" w:eastAsia="Times New Roman" w:hAnsi="Times New Roman" w:cs="Times New Roman"/>
          <w:lang w:val="sk-SK"/>
        </w:rPr>
        <w:t xml:space="preserve">výšenie môže byť klinicky významné, </w:t>
      </w:r>
      <w:r w:rsidR="007B61FB" w:rsidRPr="007B61FB">
        <w:rPr>
          <w:rFonts w:ascii="Times New Roman" w:eastAsia="Times New Roman" w:hAnsi="Times New Roman" w:cs="Times New Roman"/>
          <w:lang w:val="sk-SK"/>
        </w:rPr>
        <w:t>keďže</w:t>
      </w:r>
      <w:r w:rsidR="00AA7EB6" w:rsidRPr="0074209D">
        <w:rPr>
          <w:rFonts w:ascii="Times New Roman" w:eastAsia="Times New Roman" w:hAnsi="Times New Roman" w:cs="Times New Roman"/>
          <w:lang w:val="sk-SK"/>
        </w:rPr>
        <w:t xml:space="preserve"> nežiaduce reakcie </w:t>
      </w:r>
      <w:r w:rsidR="005A189A" w:rsidRPr="0074209D">
        <w:rPr>
          <w:rFonts w:ascii="Times New Roman" w:eastAsia="Times New Roman" w:hAnsi="Times New Roman" w:cs="Times New Roman"/>
          <w:lang w:val="sk-SK"/>
        </w:rPr>
        <w:t>súvisia s dávkou a expozíciou</w:t>
      </w:r>
      <w:r w:rsidR="005D1F14">
        <w:rPr>
          <w:rFonts w:ascii="Times New Roman" w:eastAsia="Times New Roman" w:hAnsi="Times New Roman" w:cs="Times New Roman"/>
          <w:lang w:val="sk-SK"/>
        </w:rPr>
        <w:t>. Z</w:t>
      </w:r>
      <w:r w:rsidR="005A189A" w:rsidRPr="0074209D">
        <w:rPr>
          <w:rFonts w:ascii="Times New Roman" w:eastAsia="Times New Roman" w:hAnsi="Times New Roman" w:cs="Times New Roman"/>
          <w:lang w:val="sk-SK"/>
        </w:rPr>
        <w:t xml:space="preserve">výšenie môže byť výraznejšie u jednotlivých pacientov s genotypom </w:t>
      </w:r>
      <w:r w:rsidR="007B61FB">
        <w:rPr>
          <w:rFonts w:ascii="Times New Roman" w:eastAsia="Times New Roman" w:hAnsi="Times New Roman" w:cs="Times New Roman"/>
          <w:lang w:val="sk-SK"/>
        </w:rPr>
        <w:t>pomalých</w:t>
      </w:r>
      <w:r w:rsidR="005A189A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CYP2D6 </w:t>
      </w:r>
      <w:r w:rsidR="005A189A" w:rsidRPr="0074209D">
        <w:rPr>
          <w:rFonts w:ascii="Times New Roman" w:eastAsia="Times New Roman" w:hAnsi="Times New Roman" w:cs="Times New Roman"/>
          <w:lang w:val="sk-SK"/>
        </w:rPr>
        <w:t>metabolizérov</w:t>
      </w:r>
      <w:r w:rsidR="00444697" w:rsidRPr="0074209D">
        <w:rPr>
          <w:rFonts w:ascii="Times New Roman" w:eastAsia="Times New Roman" w:hAnsi="Times New Roman" w:cs="Times New Roman"/>
          <w:lang w:val="sk-SK"/>
        </w:rPr>
        <w:t>.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444697" w:rsidRPr="0074209D">
        <w:rPr>
          <w:rFonts w:ascii="Times New Roman" w:eastAsia="Times New Roman" w:hAnsi="Times New Roman" w:cs="Times New Roman"/>
          <w:lang w:val="sk-SK"/>
        </w:rPr>
        <w:t>Pre</w:t>
      </w:r>
      <w:r w:rsidR="005A189A" w:rsidRPr="0074209D">
        <w:rPr>
          <w:rFonts w:ascii="Times New Roman" w:eastAsia="Times New Roman" w:hAnsi="Times New Roman" w:cs="Times New Roman"/>
          <w:lang w:val="sk-SK"/>
        </w:rPr>
        <w:t>dchádzajúca liečba itrakonazolom (silným inhibítorom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CYP3A4) </w:t>
      </w:r>
      <w:r w:rsidR="005A189A" w:rsidRPr="0074209D">
        <w:rPr>
          <w:rFonts w:ascii="Times New Roman" w:eastAsia="Times New Roman" w:hAnsi="Times New Roman" w:cs="Times New Roman"/>
          <w:lang w:val="sk-SK"/>
        </w:rPr>
        <w:t xml:space="preserve">mala za následok </w:t>
      </w:r>
      <w:r w:rsidR="00444697" w:rsidRPr="0074209D">
        <w:rPr>
          <w:rFonts w:ascii="Times New Roman" w:eastAsia="Times New Roman" w:hAnsi="Times New Roman" w:cs="Times New Roman"/>
          <w:lang w:val="sk-SK"/>
        </w:rPr>
        <w:t>80</w:t>
      </w:r>
      <w:r w:rsidR="005D1F14">
        <w:rPr>
          <w:rFonts w:ascii="Times New Roman" w:eastAsia="Times New Roman" w:hAnsi="Times New Roman" w:cs="Times New Roman"/>
          <w:lang w:val="sk-SK"/>
        </w:rPr>
        <w:t> </w:t>
      </w:r>
      <w:r w:rsidR="00444697" w:rsidRPr="0074209D">
        <w:rPr>
          <w:rFonts w:ascii="Times New Roman" w:eastAsia="Times New Roman" w:hAnsi="Times New Roman" w:cs="Times New Roman"/>
          <w:lang w:val="sk-SK"/>
        </w:rPr>
        <w:t>%</w:t>
      </w:r>
      <w:r w:rsidR="005A189A" w:rsidRPr="0074209D">
        <w:rPr>
          <w:rFonts w:ascii="Times New Roman" w:eastAsia="Times New Roman" w:hAnsi="Times New Roman" w:cs="Times New Roman"/>
          <w:lang w:val="sk-SK"/>
        </w:rPr>
        <w:t xml:space="preserve"> zvýšenie priemernej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5A189A" w:rsidRPr="0074209D">
        <w:rPr>
          <w:rFonts w:ascii="Times New Roman" w:eastAsia="Times New Roman" w:hAnsi="Times New Roman" w:cs="Times New Roman"/>
          <w:lang w:val="sk-SK"/>
        </w:rPr>
        <w:t>AUC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gefitinib</w:t>
      </w:r>
      <w:r w:rsidR="005A189A" w:rsidRPr="0074209D">
        <w:rPr>
          <w:rFonts w:ascii="Times New Roman" w:eastAsia="Times New Roman" w:hAnsi="Times New Roman" w:cs="Times New Roman"/>
          <w:lang w:val="sk-SK"/>
        </w:rPr>
        <w:t>u u zdravých dobrovoľníkov.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444487" w:rsidRPr="0074209D">
        <w:rPr>
          <w:rFonts w:ascii="Times New Roman" w:eastAsia="Times New Roman" w:hAnsi="Times New Roman" w:cs="Times New Roman"/>
          <w:lang w:val="sk-SK"/>
        </w:rPr>
        <w:t xml:space="preserve">V prípade súbežnej liečby so silnými inhibítormi 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CYP3A4 </w:t>
      </w:r>
      <w:r w:rsidR="00444487" w:rsidRPr="0074209D">
        <w:rPr>
          <w:rFonts w:ascii="Times New Roman" w:eastAsia="Times New Roman" w:hAnsi="Times New Roman" w:cs="Times New Roman"/>
          <w:lang w:val="sk-SK"/>
        </w:rPr>
        <w:t xml:space="preserve">sa má u pacientov starostlivo sledovať výskyt nežiaducich reakcií </w:t>
      </w:r>
      <w:r w:rsidR="00444697" w:rsidRPr="0074209D">
        <w:rPr>
          <w:rFonts w:ascii="Times New Roman" w:eastAsia="Times New Roman" w:hAnsi="Times New Roman" w:cs="Times New Roman"/>
          <w:lang w:val="sk-SK"/>
        </w:rPr>
        <w:t>gefitinib</w:t>
      </w:r>
      <w:r w:rsidR="00444487" w:rsidRPr="0074209D">
        <w:rPr>
          <w:rFonts w:ascii="Times New Roman" w:eastAsia="Times New Roman" w:hAnsi="Times New Roman" w:cs="Times New Roman"/>
          <w:lang w:val="sk-SK"/>
        </w:rPr>
        <w:t>u</w:t>
      </w:r>
      <w:r w:rsidR="00444697" w:rsidRPr="0074209D">
        <w:rPr>
          <w:rFonts w:ascii="Times New Roman" w:eastAsia="Times New Roman" w:hAnsi="Times New Roman" w:cs="Times New Roman"/>
          <w:lang w:val="sk-SK"/>
        </w:rPr>
        <w:t>.</w:t>
      </w:r>
    </w:p>
    <w:p w14:paraId="1EEB9EF8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EF9" w14:textId="398039CB" w:rsidR="00444697" w:rsidRPr="0074209D" w:rsidRDefault="00444487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>Neexistujú údaje o súbežnej liečbe s inhibí</w:t>
      </w:r>
      <w:r w:rsidR="00444697" w:rsidRPr="0074209D">
        <w:rPr>
          <w:rFonts w:ascii="Times New Roman" w:eastAsia="Times New Roman" w:hAnsi="Times New Roman" w:cs="Times New Roman"/>
          <w:lang w:val="sk-SK"/>
        </w:rPr>
        <w:t>tor</w:t>
      </w:r>
      <w:r w:rsidRPr="0074209D">
        <w:rPr>
          <w:rFonts w:ascii="Times New Roman" w:eastAsia="Times New Roman" w:hAnsi="Times New Roman" w:cs="Times New Roman"/>
          <w:lang w:val="sk-SK"/>
        </w:rPr>
        <w:t>mi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CYP2D6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, ale silné inhibítory tohto enzýmu môžu spôsobiť zvýšenie koncentrácií </w:t>
      </w:r>
      <w:r w:rsidR="003B39BD" w:rsidRPr="0074209D">
        <w:rPr>
          <w:rFonts w:ascii="Times New Roman" w:eastAsia="Times New Roman" w:hAnsi="Times New Roman" w:cs="Times New Roman"/>
          <w:lang w:val="sk-SK"/>
        </w:rPr>
        <w:t>gefitinibu, u </w:t>
      </w:r>
      <w:r w:rsidR="007B61FB">
        <w:rPr>
          <w:rFonts w:ascii="Times New Roman" w:eastAsia="Times New Roman" w:hAnsi="Times New Roman" w:cs="Times New Roman"/>
          <w:lang w:val="sk-SK"/>
        </w:rPr>
        <w:t>rýchlych</w:t>
      </w:r>
      <w:r w:rsidR="003B39BD" w:rsidRPr="0074209D">
        <w:rPr>
          <w:rFonts w:ascii="Times New Roman" w:eastAsia="Times New Roman" w:hAnsi="Times New Roman" w:cs="Times New Roman"/>
          <w:lang w:val="sk-SK"/>
        </w:rPr>
        <w:t xml:space="preserve"> metabolizérov CYP2D6 </w:t>
      </w:r>
      <w:r w:rsidR="00F67C1E" w:rsidRPr="0074209D">
        <w:rPr>
          <w:rFonts w:ascii="Times New Roman" w:eastAsia="Times New Roman" w:hAnsi="Times New Roman" w:cs="Times New Roman"/>
          <w:lang w:val="sk-SK"/>
        </w:rPr>
        <w:t>asi 2-násobne</w:t>
      </w:r>
      <w:r w:rsidR="00444697" w:rsidRPr="0074209D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444697" w:rsidRPr="0074209D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="00F67C1E" w:rsidRPr="0074209D">
        <w:rPr>
          <w:rFonts w:ascii="Times New Roman" w:eastAsia="Times New Roman" w:hAnsi="Times New Roman" w:cs="Times New Roman"/>
          <w:lang w:val="sk-SK"/>
        </w:rPr>
        <w:t>pozri časť</w:t>
      </w:r>
      <w:r w:rsidR="00444697" w:rsidRPr="0074209D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5.2). </w:t>
      </w:r>
      <w:r w:rsidR="00222ADC" w:rsidRPr="0074209D">
        <w:rPr>
          <w:rFonts w:ascii="Times New Roman" w:eastAsia="Times New Roman" w:hAnsi="Times New Roman" w:cs="Times New Roman"/>
          <w:lang w:val="sk-SK"/>
        </w:rPr>
        <w:t>Ak je začatá</w:t>
      </w:r>
      <w:r w:rsidR="00F67C1E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222ADC" w:rsidRPr="0074209D">
        <w:rPr>
          <w:rFonts w:ascii="Times New Roman" w:eastAsia="Times New Roman" w:hAnsi="Times New Roman" w:cs="Times New Roman"/>
          <w:lang w:val="sk-SK"/>
        </w:rPr>
        <w:t>súbežná liečba</w:t>
      </w:r>
      <w:r w:rsidR="005D1F14">
        <w:rPr>
          <w:rFonts w:ascii="Times New Roman" w:eastAsia="Times New Roman" w:hAnsi="Times New Roman" w:cs="Times New Roman"/>
          <w:lang w:val="sk-SK"/>
        </w:rPr>
        <w:t xml:space="preserve"> so silným</w:t>
      </w:r>
      <w:r w:rsidR="00F67C1E" w:rsidRPr="0074209D">
        <w:rPr>
          <w:rFonts w:ascii="Times New Roman" w:eastAsia="Times New Roman" w:hAnsi="Times New Roman" w:cs="Times New Roman"/>
          <w:lang w:val="sk-SK"/>
        </w:rPr>
        <w:t xml:space="preserve"> inhibítor</w:t>
      </w:r>
      <w:r w:rsidR="005D1F14">
        <w:rPr>
          <w:rFonts w:ascii="Times New Roman" w:eastAsia="Times New Roman" w:hAnsi="Times New Roman" w:cs="Times New Roman"/>
          <w:lang w:val="sk-SK"/>
        </w:rPr>
        <w:t>o</w:t>
      </w:r>
      <w:r w:rsidR="00F67C1E" w:rsidRPr="0074209D">
        <w:rPr>
          <w:rFonts w:ascii="Times New Roman" w:eastAsia="Times New Roman" w:hAnsi="Times New Roman" w:cs="Times New Roman"/>
          <w:lang w:val="sk-SK"/>
        </w:rPr>
        <w:t>m</w:t>
      </w:r>
      <w:r w:rsidR="005D1F14">
        <w:rPr>
          <w:rFonts w:ascii="Times New Roman" w:eastAsia="Times New Roman" w:hAnsi="Times New Roman" w:cs="Times New Roman"/>
          <w:lang w:val="sk-SK"/>
        </w:rPr>
        <w:t xml:space="preserve"> CYP2D6</w:t>
      </w:r>
      <w:r w:rsidR="00222ADC" w:rsidRPr="0074209D">
        <w:rPr>
          <w:rFonts w:ascii="Times New Roman" w:eastAsia="Times New Roman" w:hAnsi="Times New Roman" w:cs="Times New Roman"/>
          <w:lang w:val="sk-SK"/>
        </w:rPr>
        <w:t xml:space="preserve">, </w:t>
      </w:r>
      <w:r w:rsidR="00F67C1E" w:rsidRPr="0074209D">
        <w:rPr>
          <w:rFonts w:ascii="Times New Roman" w:eastAsia="Times New Roman" w:hAnsi="Times New Roman" w:cs="Times New Roman"/>
          <w:lang w:val="sk-SK"/>
        </w:rPr>
        <w:t xml:space="preserve">u pacientov </w:t>
      </w:r>
      <w:r w:rsidR="00222ADC" w:rsidRPr="0074209D">
        <w:rPr>
          <w:rFonts w:ascii="Times New Roman" w:eastAsia="Times New Roman" w:hAnsi="Times New Roman" w:cs="Times New Roman"/>
          <w:lang w:val="sk-SK"/>
        </w:rPr>
        <w:t xml:space="preserve">sa má </w:t>
      </w:r>
      <w:r w:rsidR="00F67C1E" w:rsidRPr="0074209D">
        <w:rPr>
          <w:rFonts w:ascii="Times New Roman" w:eastAsia="Times New Roman" w:hAnsi="Times New Roman" w:cs="Times New Roman"/>
          <w:lang w:val="sk-SK"/>
        </w:rPr>
        <w:t xml:space="preserve">starostlivo sledovať </w:t>
      </w:r>
      <w:r w:rsidR="00222ADC" w:rsidRPr="0074209D">
        <w:rPr>
          <w:rFonts w:ascii="Times New Roman" w:eastAsia="Times New Roman" w:hAnsi="Times New Roman" w:cs="Times New Roman"/>
          <w:lang w:val="sk-SK"/>
        </w:rPr>
        <w:t>výskyt nežiaducich reakcií</w:t>
      </w:r>
      <w:r w:rsidR="00444697" w:rsidRPr="0074209D">
        <w:rPr>
          <w:rFonts w:ascii="Times New Roman" w:eastAsia="Times New Roman" w:hAnsi="Times New Roman" w:cs="Times New Roman"/>
          <w:lang w:val="sk-SK"/>
        </w:rPr>
        <w:t>.</w:t>
      </w:r>
    </w:p>
    <w:p w14:paraId="1EEB9EFA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EFB" w14:textId="5290D920" w:rsidR="00444697" w:rsidRPr="0074209D" w:rsidRDefault="00222ADC" w:rsidP="00473F05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i/>
          <w:lang w:val="sk-SK"/>
        </w:rPr>
        <w:t>Liečivá, ktoré môžu znížiť plazmatické koncentrácie gefitinibu</w:t>
      </w:r>
    </w:p>
    <w:p w14:paraId="1EEB9EFC" w14:textId="0735E622" w:rsidR="00444697" w:rsidRPr="0074209D" w:rsidRDefault="00222ADC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>Látky, ktoré sú induktormi aktivity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CYP3A4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, môžu zvýšiť metabolizmus </w:t>
      </w:r>
      <w:r w:rsidR="00C843F1" w:rsidRPr="0074209D">
        <w:rPr>
          <w:rFonts w:ascii="Times New Roman" w:eastAsia="Times New Roman" w:hAnsi="Times New Roman" w:cs="Times New Roman"/>
          <w:lang w:val="sk-SK"/>
        </w:rPr>
        <w:t xml:space="preserve">a znížiť plazmatické koncentrácie </w:t>
      </w:r>
      <w:r w:rsidR="00444697" w:rsidRPr="0074209D">
        <w:rPr>
          <w:rFonts w:ascii="Times New Roman" w:eastAsia="Times New Roman" w:hAnsi="Times New Roman" w:cs="Times New Roman"/>
          <w:lang w:val="sk-SK"/>
        </w:rPr>
        <w:t>gefitinib</w:t>
      </w:r>
      <w:r w:rsidR="00C843F1" w:rsidRPr="0074209D">
        <w:rPr>
          <w:rFonts w:ascii="Times New Roman" w:eastAsia="Times New Roman" w:hAnsi="Times New Roman" w:cs="Times New Roman"/>
          <w:lang w:val="sk-SK"/>
        </w:rPr>
        <w:t>u, a </w:t>
      </w:r>
      <w:r w:rsidR="00444697" w:rsidRPr="0074209D">
        <w:rPr>
          <w:rFonts w:ascii="Times New Roman" w:eastAsia="Times New Roman" w:hAnsi="Times New Roman" w:cs="Times New Roman"/>
          <w:lang w:val="sk-SK"/>
        </w:rPr>
        <w:t>t</w:t>
      </w:r>
      <w:r w:rsidR="00C843F1" w:rsidRPr="0074209D">
        <w:rPr>
          <w:rFonts w:ascii="Times New Roman" w:eastAsia="Times New Roman" w:hAnsi="Times New Roman" w:cs="Times New Roman"/>
          <w:lang w:val="sk-SK"/>
        </w:rPr>
        <w:t xml:space="preserve">eda znížiť účinnosť </w:t>
      </w:r>
      <w:r w:rsidR="00444697" w:rsidRPr="0074209D">
        <w:rPr>
          <w:rFonts w:ascii="Times New Roman" w:eastAsia="Times New Roman" w:hAnsi="Times New Roman" w:cs="Times New Roman"/>
          <w:lang w:val="sk-SK"/>
        </w:rPr>
        <w:t>gefitinib</w:t>
      </w:r>
      <w:r w:rsidR="00C843F1" w:rsidRPr="0074209D">
        <w:rPr>
          <w:rFonts w:ascii="Times New Roman" w:eastAsia="Times New Roman" w:hAnsi="Times New Roman" w:cs="Times New Roman"/>
          <w:lang w:val="sk-SK"/>
        </w:rPr>
        <w:t>u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. </w:t>
      </w:r>
      <w:r w:rsidR="008B5200" w:rsidRPr="0074209D">
        <w:rPr>
          <w:rFonts w:ascii="Times New Roman" w:eastAsia="Times New Roman" w:hAnsi="Times New Roman" w:cs="Times New Roman"/>
          <w:lang w:val="sk-SK"/>
        </w:rPr>
        <w:t>Súbežnému podávaniu s liekmi, ktoré indukujú CYP3A4 (napr. fenytoín, karbamazepín, rifampicín, barbituráty alebo ľubovník bodkovaný -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444697" w:rsidRPr="0074209D">
        <w:rPr>
          <w:rFonts w:ascii="Times New Roman" w:eastAsia="Times New Roman" w:hAnsi="Times New Roman" w:cs="Times New Roman"/>
          <w:i/>
          <w:lang w:val="sk-SK"/>
        </w:rPr>
        <w:t>Hypericum perforatu</w:t>
      </w:r>
      <w:r w:rsidR="00444697" w:rsidRPr="0074209D">
        <w:rPr>
          <w:rFonts w:ascii="Times New Roman" w:eastAsia="Times New Roman" w:hAnsi="Times New Roman" w:cs="Times New Roman"/>
          <w:i/>
          <w:spacing w:val="-3"/>
          <w:lang w:val="sk-SK"/>
        </w:rPr>
        <w:t>m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) </w:t>
      </w:r>
      <w:r w:rsidR="008B5200" w:rsidRPr="0074209D">
        <w:rPr>
          <w:rFonts w:ascii="Times New Roman" w:eastAsia="Times New Roman" w:hAnsi="Times New Roman" w:cs="Times New Roman"/>
          <w:lang w:val="sk-SK"/>
        </w:rPr>
        <w:t xml:space="preserve">je potrebné </w:t>
      </w:r>
      <w:r w:rsidR="007B61FB">
        <w:rPr>
          <w:rFonts w:ascii="Times New Roman" w:eastAsia="Times New Roman" w:hAnsi="Times New Roman" w:cs="Times New Roman"/>
          <w:lang w:val="sk-SK"/>
        </w:rPr>
        <w:t xml:space="preserve">sa </w:t>
      </w:r>
      <w:r w:rsidR="008B5200" w:rsidRPr="0074209D">
        <w:rPr>
          <w:rFonts w:ascii="Times New Roman" w:eastAsia="Times New Roman" w:hAnsi="Times New Roman" w:cs="Times New Roman"/>
          <w:lang w:val="sk-SK"/>
        </w:rPr>
        <w:t>vyhnúť</w:t>
      </w:r>
      <w:r w:rsidR="00444697" w:rsidRPr="0074209D">
        <w:rPr>
          <w:rFonts w:ascii="Times New Roman" w:eastAsia="Times New Roman" w:hAnsi="Times New Roman" w:cs="Times New Roman"/>
          <w:lang w:val="sk-SK"/>
        </w:rPr>
        <w:t>. Pre</w:t>
      </w:r>
      <w:r w:rsidR="008B5200" w:rsidRPr="0074209D">
        <w:rPr>
          <w:rFonts w:ascii="Times New Roman" w:eastAsia="Times New Roman" w:hAnsi="Times New Roman" w:cs="Times New Roman"/>
          <w:lang w:val="sk-SK"/>
        </w:rPr>
        <w:t>dchádzajúca liečba rifampicí</w:t>
      </w:r>
      <w:r w:rsidR="00444697" w:rsidRPr="0074209D">
        <w:rPr>
          <w:rFonts w:ascii="Times New Roman" w:eastAsia="Times New Roman" w:hAnsi="Times New Roman" w:cs="Times New Roman"/>
          <w:lang w:val="sk-SK"/>
        </w:rPr>
        <w:t>n</w:t>
      </w:r>
      <w:r w:rsidR="008B5200" w:rsidRPr="0074209D">
        <w:rPr>
          <w:rFonts w:ascii="Times New Roman" w:eastAsia="Times New Roman" w:hAnsi="Times New Roman" w:cs="Times New Roman"/>
          <w:lang w:val="sk-SK"/>
        </w:rPr>
        <w:t>om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(</w:t>
      </w:r>
      <w:r w:rsidR="008B5200" w:rsidRPr="0074209D">
        <w:rPr>
          <w:rFonts w:ascii="Times New Roman" w:eastAsia="Times New Roman" w:hAnsi="Times New Roman" w:cs="Times New Roman"/>
          <w:lang w:val="sk-SK"/>
        </w:rPr>
        <w:t xml:space="preserve">silným </w:t>
      </w:r>
      <w:r w:rsidR="008B5200" w:rsidRPr="0074209D">
        <w:rPr>
          <w:rFonts w:ascii="Times New Roman" w:eastAsia="Times New Roman" w:hAnsi="Times New Roman" w:cs="Times New Roman"/>
          <w:lang w:val="sk-SK"/>
        </w:rPr>
        <w:lastRenderedPageBreak/>
        <w:t>induktorom CYP3A4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) </w:t>
      </w:r>
      <w:r w:rsidR="008B5200" w:rsidRPr="0074209D">
        <w:rPr>
          <w:rFonts w:ascii="Times New Roman" w:eastAsia="Times New Roman" w:hAnsi="Times New Roman" w:cs="Times New Roman"/>
          <w:lang w:val="sk-SK"/>
        </w:rPr>
        <w:t>znížila u zdravých dobrovoľníkov priemernú hodnotu AUC gefitinibu o </w:t>
      </w:r>
      <w:r w:rsidR="00444697" w:rsidRPr="0074209D">
        <w:rPr>
          <w:rFonts w:ascii="Times New Roman" w:eastAsia="Times New Roman" w:hAnsi="Times New Roman" w:cs="Times New Roman"/>
          <w:lang w:val="sk-SK"/>
        </w:rPr>
        <w:t>83</w:t>
      </w:r>
      <w:r w:rsidR="008B5200" w:rsidRPr="0074209D">
        <w:rPr>
          <w:rFonts w:ascii="Times New Roman" w:eastAsia="Times New Roman" w:hAnsi="Times New Roman" w:cs="Times New Roman"/>
          <w:lang w:val="sk-SK"/>
        </w:rPr>
        <w:t> % (pozri časť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="00444697" w:rsidRPr="0074209D">
        <w:rPr>
          <w:rFonts w:ascii="Times New Roman" w:eastAsia="Times New Roman" w:hAnsi="Times New Roman" w:cs="Times New Roman"/>
          <w:lang w:val="sk-SK"/>
        </w:rPr>
        <w:t>4.4).</w:t>
      </w:r>
    </w:p>
    <w:p w14:paraId="1EEB9EFD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EFE" w14:textId="0B84DB34" w:rsidR="00444697" w:rsidRPr="0074209D" w:rsidRDefault="00BD51A2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DB02C6">
        <w:rPr>
          <w:rFonts w:ascii="Times New Roman" w:eastAsia="Times New Roman" w:hAnsi="Times New Roman" w:cs="Times New Roman"/>
          <w:lang w:val="sk-SK"/>
        </w:rPr>
        <w:t>Látk</w:t>
      </w:r>
      <w:r w:rsidRPr="0074209D">
        <w:rPr>
          <w:rFonts w:ascii="Times New Roman" w:eastAsia="Times New Roman" w:hAnsi="Times New Roman" w:cs="Times New Roman"/>
          <w:lang w:val="sk-SK"/>
        </w:rPr>
        <w:t>y, ktoré spôsobujú významnú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3013CF" w:rsidRPr="0074209D">
        <w:rPr>
          <w:rFonts w:ascii="Times New Roman" w:eastAsia="Times New Roman" w:hAnsi="Times New Roman" w:cs="Times New Roman"/>
          <w:lang w:val="sk-SK"/>
        </w:rPr>
        <w:t>pretrvávajúcu eleváciu pH žalúdka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3013CF" w:rsidRPr="0074209D">
        <w:rPr>
          <w:rFonts w:ascii="Times New Roman" w:eastAsia="Times New Roman" w:hAnsi="Times New Roman" w:cs="Times New Roman"/>
          <w:lang w:val="sk-SK"/>
        </w:rPr>
        <w:t xml:space="preserve">môžu znížiť plazmatické koncentrácie gefitinibu a teda znížiť účinnosť </w:t>
      </w:r>
      <w:r w:rsidR="00444697" w:rsidRPr="0074209D">
        <w:rPr>
          <w:rFonts w:ascii="Times New Roman" w:eastAsia="Times New Roman" w:hAnsi="Times New Roman" w:cs="Times New Roman"/>
          <w:lang w:val="sk-SK"/>
        </w:rPr>
        <w:t>gefitinib</w:t>
      </w:r>
      <w:r w:rsidR="003013CF" w:rsidRPr="0074209D">
        <w:rPr>
          <w:rFonts w:ascii="Times New Roman" w:eastAsia="Times New Roman" w:hAnsi="Times New Roman" w:cs="Times New Roman"/>
          <w:lang w:val="sk-SK"/>
        </w:rPr>
        <w:t>u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. </w:t>
      </w:r>
      <w:r w:rsidR="00D22074" w:rsidRPr="0074209D">
        <w:rPr>
          <w:rFonts w:ascii="Times New Roman" w:eastAsia="Times New Roman" w:hAnsi="Times New Roman" w:cs="Times New Roman"/>
          <w:lang w:val="sk-SK"/>
        </w:rPr>
        <w:t>Vysoké dávky krátkodobo pôsobiacich antacíd môžu mať podobný účinok, ak sa užívajú pravidelne v krátkom časovom odstupe od užitia gefitinibu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. </w:t>
      </w:r>
      <w:r w:rsidR="00D22074" w:rsidRPr="0074209D">
        <w:rPr>
          <w:rFonts w:ascii="Times New Roman" w:eastAsia="Times New Roman" w:hAnsi="Times New Roman" w:cs="Times New Roman"/>
          <w:lang w:val="sk-SK"/>
        </w:rPr>
        <w:t xml:space="preserve">Súbežné podávanie </w:t>
      </w:r>
      <w:r w:rsidR="00444697" w:rsidRPr="0074209D">
        <w:rPr>
          <w:rFonts w:ascii="Times New Roman" w:eastAsia="Times New Roman" w:hAnsi="Times New Roman" w:cs="Times New Roman"/>
          <w:lang w:val="sk-SK"/>
        </w:rPr>
        <w:t>gefitinib</w:t>
      </w:r>
      <w:r w:rsidR="00D22074" w:rsidRPr="0074209D">
        <w:rPr>
          <w:rFonts w:ascii="Times New Roman" w:eastAsia="Times New Roman" w:hAnsi="Times New Roman" w:cs="Times New Roman"/>
          <w:lang w:val="sk-SK"/>
        </w:rPr>
        <w:t>u s ranitidínom zdravým dobrovoľníkom v dávkach spôsobujúcich pretrvávajúce zvýšenie pH žalúdka,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pH</w:t>
      </w:r>
      <w:r w:rsidR="00444697" w:rsidRPr="0074209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444697" w:rsidRPr="0074209D">
        <w:rPr>
          <w:rFonts w:ascii="Times New Roman" w:eastAsia="Times New Roman" w:hAnsi="Times New Roman" w:cs="Times New Roman"/>
          <w:spacing w:val="1"/>
          <w:lang w:val="sk-SK"/>
        </w:rPr>
        <w:t xml:space="preserve">≥ 5 </w:t>
      </w:r>
      <w:r w:rsidR="00D22074" w:rsidRPr="0074209D">
        <w:rPr>
          <w:rFonts w:ascii="Times New Roman" w:eastAsia="Times New Roman" w:hAnsi="Times New Roman" w:cs="Times New Roman"/>
          <w:spacing w:val="1"/>
          <w:lang w:val="sk-SK"/>
        </w:rPr>
        <w:t xml:space="preserve">malo za následok zníženie priemerného </w:t>
      </w:r>
      <w:r w:rsidR="00444697" w:rsidRPr="0074209D">
        <w:rPr>
          <w:rFonts w:ascii="Times New Roman" w:eastAsia="Times New Roman" w:hAnsi="Times New Roman" w:cs="Times New Roman"/>
          <w:lang w:val="sk-SK"/>
        </w:rPr>
        <w:t>AUC</w:t>
      </w:r>
      <w:r w:rsidR="00D22074" w:rsidRPr="0074209D">
        <w:rPr>
          <w:rFonts w:ascii="Times New Roman" w:eastAsia="Times New Roman" w:hAnsi="Times New Roman" w:cs="Times New Roman"/>
          <w:lang w:val="sk-SK"/>
        </w:rPr>
        <w:t xml:space="preserve"> gefitinibu o </w:t>
      </w:r>
      <w:r w:rsidR="00444697" w:rsidRPr="0074209D">
        <w:rPr>
          <w:rFonts w:ascii="Times New Roman" w:eastAsia="Times New Roman" w:hAnsi="Times New Roman" w:cs="Times New Roman"/>
          <w:lang w:val="sk-SK"/>
        </w:rPr>
        <w:t>47</w:t>
      </w:r>
      <w:r w:rsidR="00D22074" w:rsidRPr="0074209D">
        <w:rPr>
          <w:rFonts w:ascii="Times New Roman" w:eastAsia="Times New Roman" w:hAnsi="Times New Roman" w:cs="Times New Roman"/>
          <w:lang w:val="sk-SK"/>
        </w:rPr>
        <w:t> </w:t>
      </w:r>
      <w:r w:rsidR="00444697" w:rsidRPr="0074209D">
        <w:rPr>
          <w:rFonts w:ascii="Times New Roman" w:eastAsia="Times New Roman" w:hAnsi="Times New Roman" w:cs="Times New Roman"/>
          <w:lang w:val="sk-SK"/>
        </w:rPr>
        <w:t>%</w:t>
      </w:r>
      <w:r w:rsidR="00D22074" w:rsidRPr="0074209D">
        <w:rPr>
          <w:rFonts w:ascii="Times New Roman" w:eastAsia="Times New Roman" w:hAnsi="Times New Roman" w:cs="Times New Roman"/>
          <w:lang w:val="sk-SK"/>
        </w:rPr>
        <w:t xml:space="preserve"> (pozri časti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="00D22074" w:rsidRPr="0074209D">
        <w:rPr>
          <w:rFonts w:ascii="Times New Roman" w:eastAsia="Times New Roman" w:hAnsi="Times New Roman" w:cs="Times New Roman"/>
          <w:lang w:val="sk-SK"/>
        </w:rPr>
        <w:t>4.4 a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5.2).</w:t>
      </w:r>
    </w:p>
    <w:p w14:paraId="1EEB9EFF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00" w14:textId="2D4B12B4" w:rsidR="00444697" w:rsidRPr="0074209D" w:rsidRDefault="00D22074" w:rsidP="00473F05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i/>
          <w:lang w:val="sk-SK"/>
        </w:rPr>
        <w:t xml:space="preserve">Liečivá, ktorých plazmatická koncentrácia môže byť zmenená </w:t>
      </w:r>
      <w:r w:rsidR="00444697" w:rsidRPr="0074209D">
        <w:rPr>
          <w:rFonts w:ascii="Times New Roman" w:eastAsia="Times New Roman" w:hAnsi="Times New Roman" w:cs="Times New Roman"/>
          <w:i/>
          <w:lang w:val="sk-SK"/>
        </w:rPr>
        <w:t>gefitinib</w:t>
      </w:r>
      <w:r w:rsidRPr="0074209D">
        <w:rPr>
          <w:rFonts w:ascii="Times New Roman" w:eastAsia="Times New Roman" w:hAnsi="Times New Roman" w:cs="Times New Roman"/>
          <w:i/>
          <w:lang w:val="sk-SK"/>
        </w:rPr>
        <w:t>om</w:t>
      </w:r>
    </w:p>
    <w:p w14:paraId="1EEB9F01" w14:textId="39CA6178" w:rsidR="00444697" w:rsidRPr="0074209D" w:rsidRDefault="00D22074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 xml:space="preserve">Štúdie </w:t>
      </w:r>
      <w:r w:rsidRPr="0074209D">
        <w:rPr>
          <w:rFonts w:ascii="Times New Roman" w:eastAsia="Times New Roman" w:hAnsi="Times New Roman" w:cs="Times New Roman"/>
          <w:i/>
          <w:lang w:val="sk-SK"/>
        </w:rPr>
        <w:t>i</w:t>
      </w:r>
      <w:r w:rsidR="00444697" w:rsidRPr="0074209D">
        <w:rPr>
          <w:rFonts w:ascii="Times New Roman" w:eastAsia="Times New Roman" w:hAnsi="Times New Roman" w:cs="Times New Roman"/>
          <w:i/>
          <w:lang w:val="sk-SK"/>
        </w:rPr>
        <w:t xml:space="preserve">n vitro </w:t>
      </w:r>
      <w:r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preukázali, že 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gefitinib </w:t>
      </w:r>
      <w:r w:rsidRPr="0074209D">
        <w:rPr>
          <w:rFonts w:ascii="Times New Roman" w:eastAsia="Times New Roman" w:hAnsi="Times New Roman" w:cs="Times New Roman"/>
          <w:lang w:val="sk-SK"/>
        </w:rPr>
        <w:t>má obmedzený potenciál inhibovať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CYP2D6. </w:t>
      </w:r>
      <w:r w:rsidR="00ED429C" w:rsidRPr="0074209D">
        <w:rPr>
          <w:rFonts w:ascii="Times New Roman" w:eastAsia="Times New Roman" w:hAnsi="Times New Roman" w:cs="Times New Roman"/>
          <w:lang w:val="sk-SK"/>
        </w:rPr>
        <w:t xml:space="preserve">V klinickom skúšaní sa pacientom súbežne podával 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gefitinib </w:t>
      </w:r>
      <w:r w:rsidR="00ED429C" w:rsidRPr="0074209D">
        <w:rPr>
          <w:rFonts w:ascii="Times New Roman" w:eastAsia="Times New Roman" w:hAnsi="Times New Roman" w:cs="Times New Roman"/>
          <w:lang w:val="sk-SK"/>
        </w:rPr>
        <w:t xml:space="preserve">s </w:t>
      </w:r>
      <w:r w:rsidR="00444697" w:rsidRPr="0074209D">
        <w:rPr>
          <w:rFonts w:ascii="Times New Roman" w:eastAsia="Times New Roman" w:hAnsi="Times New Roman" w:cs="Times New Roman"/>
          <w:lang w:val="sk-SK"/>
        </w:rPr>
        <w:t>metoprolol</w:t>
      </w:r>
      <w:r w:rsidR="00ED429C" w:rsidRPr="0074209D">
        <w:rPr>
          <w:rFonts w:ascii="Times New Roman" w:eastAsia="Times New Roman" w:hAnsi="Times New Roman" w:cs="Times New Roman"/>
          <w:lang w:val="sk-SK"/>
        </w:rPr>
        <w:t>om (substrát CYP2D6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). </w:t>
      </w:r>
      <w:r w:rsidR="00ED429C" w:rsidRPr="0074209D">
        <w:rPr>
          <w:rFonts w:ascii="Times New Roman" w:eastAsia="Times New Roman" w:hAnsi="Times New Roman" w:cs="Times New Roman"/>
          <w:lang w:val="sk-SK"/>
        </w:rPr>
        <w:t>Malo to za následok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35</w:t>
      </w:r>
      <w:r w:rsidR="00ED429C" w:rsidRPr="0074209D">
        <w:rPr>
          <w:rFonts w:ascii="Times New Roman" w:eastAsia="Times New Roman" w:hAnsi="Times New Roman" w:cs="Times New Roman"/>
          <w:lang w:val="sk-SK"/>
        </w:rPr>
        <w:t> 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% </w:t>
      </w:r>
      <w:r w:rsidR="00ED429C" w:rsidRPr="0074209D">
        <w:rPr>
          <w:rFonts w:ascii="Times New Roman" w:eastAsia="Times New Roman" w:hAnsi="Times New Roman" w:cs="Times New Roman"/>
          <w:lang w:val="sk-SK"/>
        </w:rPr>
        <w:t xml:space="preserve">zvýšenie expozície </w:t>
      </w:r>
      <w:r w:rsidR="00444697" w:rsidRPr="0074209D">
        <w:rPr>
          <w:rFonts w:ascii="Times New Roman" w:eastAsia="Times New Roman" w:hAnsi="Times New Roman" w:cs="Times New Roman"/>
          <w:lang w:val="sk-SK"/>
        </w:rPr>
        <w:t>metoprolol</w:t>
      </w:r>
      <w:r w:rsidR="00ED429C" w:rsidRPr="0074209D">
        <w:rPr>
          <w:rFonts w:ascii="Times New Roman" w:eastAsia="Times New Roman" w:hAnsi="Times New Roman" w:cs="Times New Roman"/>
          <w:lang w:val="sk-SK"/>
        </w:rPr>
        <w:t>u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. </w:t>
      </w:r>
      <w:r w:rsidR="00ED429C" w:rsidRPr="0074209D">
        <w:rPr>
          <w:rFonts w:ascii="Times New Roman" w:eastAsia="Times New Roman" w:hAnsi="Times New Roman" w:cs="Times New Roman"/>
          <w:lang w:val="sk-SK"/>
        </w:rPr>
        <w:t xml:space="preserve">Takéto zvýšenie môže byť potenciálne relevantné pre substráty 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CYP2D6 </w:t>
      </w:r>
      <w:r w:rsidR="00ED429C" w:rsidRPr="0074209D">
        <w:rPr>
          <w:rFonts w:ascii="Times New Roman" w:eastAsia="Times New Roman" w:hAnsi="Times New Roman" w:cs="Times New Roman"/>
          <w:lang w:val="sk-SK"/>
        </w:rPr>
        <w:t>s úzkym t</w:t>
      </w:r>
      <w:r w:rsidR="00444697" w:rsidRPr="0074209D">
        <w:rPr>
          <w:rFonts w:ascii="Times New Roman" w:eastAsia="Times New Roman" w:hAnsi="Times New Roman" w:cs="Times New Roman"/>
          <w:lang w:val="sk-SK"/>
        </w:rPr>
        <w:t>erapeutic</w:t>
      </w:r>
      <w:r w:rsidR="00ED429C" w:rsidRPr="0074209D">
        <w:rPr>
          <w:rFonts w:ascii="Times New Roman" w:eastAsia="Times New Roman" w:hAnsi="Times New Roman" w:cs="Times New Roman"/>
          <w:lang w:val="sk-SK"/>
        </w:rPr>
        <w:t>kým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index</w:t>
      </w:r>
      <w:r w:rsidR="00ED429C" w:rsidRPr="0074209D">
        <w:rPr>
          <w:rFonts w:ascii="Times New Roman" w:eastAsia="Times New Roman" w:hAnsi="Times New Roman" w:cs="Times New Roman"/>
          <w:lang w:val="sk-SK"/>
        </w:rPr>
        <w:t>om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. </w:t>
      </w:r>
      <w:r w:rsidR="00ED429C" w:rsidRPr="0074209D">
        <w:rPr>
          <w:rFonts w:ascii="Times New Roman" w:eastAsia="Times New Roman" w:hAnsi="Times New Roman" w:cs="Times New Roman"/>
          <w:lang w:val="sk-SK"/>
        </w:rPr>
        <w:t xml:space="preserve">Ak sa zvažuje podávanie substrátov 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CYP2D6 </w:t>
      </w:r>
      <w:r w:rsidR="00ED429C" w:rsidRPr="0074209D">
        <w:rPr>
          <w:rFonts w:ascii="Times New Roman" w:eastAsia="Times New Roman" w:hAnsi="Times New Roman" w:cs="Times New Roman"/>
          <w:lang w:val="sk-SK"/>
        </w:rPr>
        <w:t>v kombinácii s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gefitinib</w:t>
      </w:r>
      <w:r w:rsidR="00ED429C" w:rsidRPr="0074209D">
        <w:rPr>
          <w:rFonts w:ascii="Times New Roman" w:eastAsia="Times New Roman" w:hAnsi="Times New Roman" w:cs="Times New Roman"/>
          <w:lang w:val="sk-SK"/>
        </w:rPr>
        <w:t>om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, </w:t>
      </w:r>
      <w:r w:rsidR="00ED429C" w:rsidRPr="0074209D">
        <w:rPr>
          <w:rFonts w:ascii="Times New Roman" w:eastAsia="Times New Roman" w:hAnsi="Times New Roman" w:cs="Times New Roman"/>
          <w:lang w:val="sk-SK"/>
        </w:rPr>
        <w:t xml:space="preserve">má sa zvážiť úprava dávky substrátu </w:t>
      </w:r>
      <w:r w:rsidR="00444697" w:rsidRPr="0074209D">
        <w:rPr>
          <w:rFonts w:ascii="Times New Roman" w:eastAsia="Times New Roman" w:hAnsi="Times New Roman" w:cs="Times New Roman"/>
          <w:lang w:val="sk-SK"/>
        </w:rPr>
        <w:t>CYP2D6</w:t>
      </w:r>
      <w:r w:rsidR="00ED429C" w:rsidRPr="0074209D">
        <w:rPr>
          <w:rFonts w:ascii="Times New Roman" w:eastAsia="Times New Roman" w:hAnsi="Times New Roman" w:cs="Times New Roman"/>
          <w:lang w:val="sk-SK"/>
        </w:rPr>
        <w:t xml:space="preserve">, a to najmä </w:t>
      </w:r>
      <w:r w:rsidR="00DB02C6">
        <w:rPr>
          <w:rFonts w:ascii="Times New Roman" w:eastAsia="Times New Roman" w:hAnsi="Times New Roman" w:cs="Times New Roman"/>
          <w:lang w:val="sk-SK"/>
        </w:rPr>
        <w:t>pri liekoch</w:t>
      </w:r>
      <w:r w:rsidR="00ED429C" w:rsidRPr="0074209D">
        <w:rPr>
          <w:rFonts w:ascii="Times New Roman" w:eastAsia="Times New Roman" w:hAnsi="Times New Roman" w:cs="Times New Roman"/>
          <w:lang w:val="sk-SK"/>
        </w:rPr>
        <w:t xml:space="preserve"> s úzkym terapeutickým oknom</w:t>
      </w:r>
      <w:r w:rsidR="00444697" w:rsidRPr="0074209D">
        <w:rPr>
          <w:rFonts w:ascii="Times New Roman" w:eastAsia="Times New Roman" w:hAnsi="Times New Roman" w:cs="Times New Roman"/>
          <w:lang w:val="sk-SK"/>
        </w:rPr>
        <w:t>.</w:t>
      </w:r>
    </w:p>
    <w:p w14:paraId="1EEB9F02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03" w14:textId="1B975CA6" w:rsidR="00444697" w:rsidRPr="0074209D" w:rsidRDefault="00444697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>Gefiti</w:t>
      </w:r>
      <w:r w:rsidR="00ED429C" w:rsidRPr="0074209D">
        <w:rPr>
          <w:rFonts w:ascii="Times New Roman" w:eastAsia="Times New Roman" w:hAnsi="Times New Roman" w:cs="Times New Roman"/>
          <w:lang w:val="sk-SK"/>
        </w:rPr>
        <w:t>nib inhibuje BCRP transportný proteín</w:t>
      </w:r>
      <w:r w:rsidRPr="0074209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i/>
          <w:lang w:val="sk-SK"/>
        </w:rPr>
        <w:t>in vitr</w:t>
      </w:r>
      <w:r w:rsidRPr="0074209D">
        <w:rPr>
          <w:rFonts w:ascii="Times New Roman" w:eastAsia="Times New Roman" w:hAnsi="Times New Roman" w:cs="Times New Roman"/>
          <w:i/>
          <w:spacing w:val="-3"/>
          <w:lang w:val="sk-SK"/>
        </w:rPr>
        <w:t>o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, </w:t>
      </w:r>
      <w:r w:rsidR="00ED429C" w:rsidRPr="0074209D">
        <w:rPr>
          <w:rFonts w:ascii="Times New Roman" w:eastAsia="Times New Roman" w:hAnsi="Times New Roman" w:cs="Times New Roman"/>
          <w:lang w:val="sk-SK"/>
        </w:rPr>
        <w:t>avšak klinická závažnosť tohto zistenia nie je známa</w:t>
      </w:r>
      <w:r w:rsidRPr="0074209D">
        <w:rPr>
          <w:rFonts w:ascii="Times New Roman" w:eastAsia="Times New Roman" w:hAnsi="Times New Roman" w:cs="Times New Roman"/>
          <w:lang w:val="sk-SK"/>
        </w:rPr>
        <w:t>.</w:t>
      </w:r>
    </w:p>
    <w:p w14:paraId="1EEB9F04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05" w14:textId="696AA300" w:rsidR="00444697" w:rsidRPr="0074209D" w:rsidRDefault="00ED429C" w:rsidP="00473F05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i/>
          <w:lang w:val="sk-SK"/>
        </w:rPr>
        <w:t>Ďalšie potenciálne interakcie</w:t>
      </w:r>
    </w:p>
    <w:p w14:paraId="1EEB9F06" w14:textId="3E151A6A" w:rsidR="00444697" w:rsidRPr="0074209D" w:rsidRDefault="00ED429C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>Elevácia INR a/alebo prípady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krvácania boli hlásené u niektorých pacientov súbežne </w:t>
      </w:r>
      <w:r w:rsidR="001E1C4B" w:rsidRPr="0074209D">
        <w:rPr>
          <w:rFonts w:ascii="Times New Roman" w:eastAsia="Times New Roman" w:hAnsi="Times New Roman" w:cs="Times New Roman"/>
          <w:lang w:val="sk-SK"/>
        </w:rPr>
        <w:t xml:space="preserve">užívajúcich </w:t>
      </w:r>
      <w:r w:rsidR="00444697" w:rsidRPr="0074209D">
        <w:rPr>
          <w:rFonts w:ascii="Times New Roman" w:eastAsia="Times New Roman" w:hAnsi="Times New Roman" w:cs="Times New Roman"/>
          <w:lang w:val="sk-SK"/>
        </w:rPr>
        <w:t>wa</w:t>
      </w:r>
      <w:r w:rsidR="00444697" w:rsidRPr="0074209D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444697" w:rsidRPr="0074209D">
        <w:rPr>
          <w:rFonts w:ascii="Times New Roman" w:eastAsia="Times New Roman" w:hAnsi="Times New Roman" w:cs="Times New Roman"/>
          <w:lang w:val="sk-SK"/>
        </w:rPr>
        <w:t>f</w:t>
      </w:r>
      <w:r w:rsidR="001E1C4B" w:rsidRPr="0074209D">
        <w:rPr>
          <w:rFonts w:ascii="Times New Roman" w:eastAsia="Times New Roman" w:hAnsi="Times New Roman" w:cs="Times New Roman"/>
          <w:lang w:val="sk-SK"/>
        </w:rPr>
        <w:t>arín (pozri časť</w:t>
      </w:r>
      <w:r w:rsidR="00444697" w:rsidRPr="0074209D">
        <w:rPr>
          <w:rFonts w:ascii="Times New Roman" w:eastAsia="Times New Roman" w:hAnsi="Times New Roman" w:cs="Times New Roman"/>
          <w:spacing w:val="-3"/>
          <w:lang w:val="sk-SK"/>
        </w:rPr>
        <w:t> </w:t>
      </w:r>
      <w:r w:rsidR="00444697" w:rsidRPr="0074209D">
        <w:rPr>
          <w:rFonts w:ascii="Times New Roman" w:eastAsia="Times New Roman" w:hAnsi="Times New Roman" w:cs="Times New Roman"/>
          <w:lang w:val="sk-SK"/>
        </w:rPr>
        <w:t>4.4).</w:t>
      </w:r>
    </w:p>
    <w:p w14:paraId="1EEB9F07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08" w14:textId="0C8859DD" w:rsidR="00444697" w:rsidRPr="0074209D" w:rsidRDefault="001E1C4B" w:rsidP="00473F05">
      <w:pPr>
        <w:keepNext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b/>
          <w:bCs/>
          <w:lang w:val="sk-SK"/>
        </w:rPr>
        <w:t>4.6</w:t>
      </w:r>
      <w:r w:rsidRPr="0074209D">
        <w:rPr>
          <w:rFonts w:ascii="Times New Roman" w:eastAsia="Times New Roman" w:hAnsi="Times New Roman" w:cs="Times New Roman"/>
          <w:b/>
          <w:bCs/>
          <w:lang w:val="sk-SK"/>
        </w:rPr>
        <w:tab/>
        <w:t>Fertilita</w:t>
      </w:r>
      <w:r w:rsidR="00444697" w:rsidRPr="0074209D">
        <w:rPr>
          <w:rFonts w:ascii="Times New Roman" w:eastAsia="Times New Roman" w:hAnsi="Times New Roman" w:cs="Times New Roman"/>
          <w:b/>
          <w:bCs/>
          <w:lang w:val="sk-SK"/>
        </w:rPr>
        <w:t xml:space="preserve">, </w:t>
      </w:r>
      <w:r w:rsidRPr="0074209D">
        <w:rPr>
          <w:rFonts w:ascii="Times New Roman" w:eastAsia="Times New Roman" w:hAnsi="Times New Roman" w:cs="Times New Roman"/>
          <w:b/>
          <w:bCs/>
          <w:spacing w:val="-3"/>
          <w:lang w:val="sk-SK"/>
        </w:rPr>
        <w:t>gravidita</w:t>
      </w:r>
      <w:r w:rsidRPr="0074209D">
        <w:rPr>
          <w:rFonts w:ascii="Times New Roman" w:eastAsia="Times New Roman" w:hAnsi="Times New Roman" w:cs="Times New Roman"/>
          <w:b/>
          <w:bCs/>
          <w:lang w:val="sk-SK"/>
        </w:rPr>
        <w:t xml:space="preserve"> a laktácia</w:t>
      </w:r>
    </w:p>
    <w:p w14:paraId="1EEB9F09" w14:textId="77777777" w:rsidR="00444697" w:rsidRPr="0074209D" w:rsidRDefault="00444697" w:rsidP="00473F05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0A" w14:textId="02ECA9B7" w:rsidR="00444697" w:rsidRPr="0074209D" w:rsidRDefault="001E1C4B">
      <w:pPr>
        <w:keepNext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4209D">
        <w:rPr>
          <w:rFonts w:ascii="Times New Roman" w:hAnsi="Times New Roman" w:cs="Times New Roman"/>
          <w:u w:val="single"/>
          <w:lang w:val="sk-SK"/>
        </w:rPr>
        <w:t>Ženy vo fertilnom veku</w:t>
      </w:r>
    </w:p>
    <w:p w14:paraId="1EEB9F0B" w14:textId="240A1E80" w:rsidR="00444697" w:rsidRPr="0074209D" w:rsidRDefault="001E1C4B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 xml:space="preserve">Ženy vo fertilnom veku </w:t>
      </w:r>
      <w:r w:rsidR="00DB02C6">
        <w:rPr>
          <w:rFonts w:ascii="Times New Roman" w:eastAsia="Times New Roman" w:hAnsi="Times New Roman" w:cs="Times New Roman"/>
          <w:lang w:val="sk-SK"/>
        </w:rPr>
        <w:t>musia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byť poučené, že počas liečby </w:t>
      </w:r>
      <w:r w:rsidR="00880B17" w:rsidRPr="0074209D">
        <w:rPr>
          <w:rFonts w:ascii="Times New Roman" w:eastAsia="Times New Roman" w:hAnsi="Times New Roman" w:cs="Times New Roman"/>
          <w:lang w:val="sk-SK"/>
        </w:rPr>
        <w:t xml:space="preserve">nesmú </w:t>
      </w:r>
      <w:r w:rsidRPr="0074209D">
        <w:rPr>
          <w:rFonts w:ascii="Times New Roman" w:eastAsia="Times New Roman" w:hAnsi="Times New Roman" w:cs="Times New Roman"/>
          <w:lang w:val="sk-SK"/>
        </w:rPr>
        <w:t>otehotn</w:t>
      </w:r>
      <w:r w:rsidR="00880B17" w:rsidRPr="0074209D">
        <w:rPr>
          <w:rFonts w:ascii="Times New Roman" w:eastAsia="Times New Roman" w:hAnsi="Times New Roman" w:cs="Times New Roman"/>
          <w:lang w:val="sk-SK"/>
        </w:rPr>
        <w:t>ieť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1EEB9F0C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0D" w14:textId="5F8D0952" w:rsidR="00444697" w:rsidRPr="0074209D" w:rsidRDefault="00880B17" w:rsidP="00473F05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u w:val="single" w:color="000000"/>
          <w:lang w:val="sk-SK"/>
        </w:rPr>
        <w:t>Gravidita</w:t>
      </w:r>
    </w:p>
    <w:p w14:paraId="1EEB9F0E" w14:textId="00E8EB95" w:rsidR="00444697" w:rsidRPr="0074209D" w:rsidRDefault="00880B17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>Nie sú k dispozícii údaje o použití gefitinibu u gravidných žien</w:t>
      </w:r>
      <w:r w:rsidR="00444697" w:rsidRPr="0074209D">
        <w:rPr>
          <w:rFonts w:ascii="Times New Roman" w:eastAsia="Times New Roman" w:hAnsi="Times New Roman" w:cs="Times New Roman"/>
          <w:lang w:val="sk-SK"/>
        </w:rPr>
        <w:t>.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spacing w:val="-1"/>
          <w:lang w:val="sk-SK"/>
        </w:rPr>
        <w:t>Štúdie na zvieratách preukázali reprodukčnú toxicitu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(pozri časť 5.3). Potenciá</w:t>
      </w:r>
      <w:r w:rsidR="00444697" w:rsidRPr="0074209D">
        <w:rPr>
          <w:rFonts w:ascii="Times New Roman" w:eastAsia="Times New Roman" w:hAnsi="Times New Roman" w:cs="Times New Roman"/>
          <w:lang w:val="sk-SK"/>
        </w:rPr>
        <w:t>l</w:t>
      </w:r>
      <w:r w:rsidRPr="0074209D">
        <w:rPr>
          <w:rFonts w:ascii="Times New Roman" w:eastAsia="Times New Roman" w:hAnsi="Times New Roman" w:cs="Times New Roman"/>
          <w:lang w:val="sk-SK"/>
        </w:rPr>
        <w:t>ne rizi</w:t>
      </w:r>
      <w:r w:rsidR="00444697" w:rsidRPr="0074209D">
        <w:rPr>
          <w:rFonts w:ascii="Times New Roman" w:eastAsia="Times New Roman" w:hAnsi="Times New Roman" w:cs="Times New Roman"/>
          <w:lang w:val="sk-SK"/>
        </w:rPr>
        <w:t>k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o pre ľudí nie je známe. </w:t>
      </w:r>
      <w:r w:rsidR="00D60486" w:rsidRPr="0074209D">
        <w:rPr>
          <w:rFonts w:ascii="Times New Roman" w:eastAsia="Times New Roman" w:hAnsi="Times New Roman" w:cs="Times New Roman"/>
          <w:lang w:val="sk-SK"/>
        </w:rPr>
        <w:t>Gefitinib Teva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D60486" w:rsidRPr="0074209D">
        <w:rPr>
          <w:rFonts w:ascii="Times New Roman" w:eastAsia="Times New Roman" w:hAnsi="Times New Roman" w:cs="Times New Roman"/>
          <w:spacing w:val="-1"/>
          <w:lang w:val="sk-SK"/>
        </w:rPr>
        <w:t>sa nemá užívať počas gravidity pokiaľ to nie je nevyhnutné</w:t>
      </w:r>
      <w:r w:rsidR="00444697" w:rsidRPr="0074209D">
        <w:rPr>
          <w:rFonts w:ascii="Times New Roman" w:eastAsia="Times New Roman" w:hAnsi="Times New Roman" w:cs="Times New Roman"/>
          <w:lang w:val="sk-SK"/>
        </w:rPr>
        <w:t>.</w:t>
      </w:r>
    </w:p>
    <w:p w14:paraId="1EEB9F0F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10" w14:textId="4AE3E5C5" w:rsidR="00444697" w:rsidRPr="0074209D" w:rsidRDefault="00880B17" w:rsidP="00473F05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u w:val="single" w:color="000000"/>
          <w:lang w:val="sk-SK"/>
        </w:rPr>
        <w:t>Dojčenie</w:t>
      </w:r>
    </w:p>
    <w:p w14:paraId="1EEB9F11" w14:textId="3340C92D" w:rsidR="00444697" w:rsidRPr="0074209D" w:rsidRDefault="00D60486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spacing w:val="-4"/>
          <w:lang w:val="sk-SK"/>
        </w:rPr>
        <w:t xml:space="preserve">Nie je známe, či sa gefitinib vylučuje do materského mlieka. 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Gefitinib </w:t>
      </w:r>
      <w:r w:rsidR="004E326B" w:rsidRPr="0074209D">
        <w:rPr>
          <w:rFonts w:ascii="Times New Roman" w:eastAsia="Times New Roman" w:hAnsi="Times New Roman" w:cs="Times New Roman"/>
          <w:lang w:val="sk-SK"/>
        </w:rPr>
        <w:t xml:space="preserve">a metabolity </w:t>
      </w:r>
      <w:r w:rsidR="00444697" w:rsidRPr="0074209D">
        <w:rPr>
          <w:rFonts w:ascii="Times New Roman" w:eastAsia="Times New Roman" w:hAnsi="Times New Roman" w:cs="Times New Roman"/>
          <w:lang w:val="sk-SK"/>
        </w:rPr>
        <w:t>gefitinib</w:t>
      </w:r>
      <w:r w:rsidR="004E326B" w:rsidRPr="0074209D">
        <w:rPr>
          <w:rFonts w:ascii="Times New Roman" w:eastAsia="Times New Roman" w:hAnsi="Times New Roman" w:cs="Times New Roman"/>
          <w:lang w:val="sk-SK"/>
        </w:rPr>
        <w:t>u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4E326B" w:rsidRPr="0074209D">
        <w:rPr>
          <w:rFonts w:ascii="Times New Roman" w:eastAsia="Times New Roman" w:hAnsi="Times New Roman" w:cs="Times New Roman"/>
          <w:lang w:val="sk-SK"/>
        </w:rPr>
        <w:t xml:space="preserve">sa vylučujú do mlieka </w:t>
      </w:r>
      <w:r w:rsidR="00DB02C6">
        <w:rPr>
          <w:rFonts w:ascii="Times New Roman" w:eastAsia="Times New Roman" w:hAnsi="Times New Roman" w:cs="Times New Roman"/>
          <w:lang w:val="sk-SK"/>
        </w:rPr>
        <w:t>laktujúcich</w:t>
      </w:r>
      <w:r w:rsidR="004E326B" w:rsidRPr="0074209D">
        <w:rPr>
          <w:rFonts w:ascii="Times New Roman" w:eastAsia="Times New Roman" w:hAnsi="Times New Roman" w:cs="Times New Roman"/>
          <w:lang w:val="sk-SK"/>
        </w:rPr>
        <w:t xml:space="preserve"> potkanov (pozri časť</w:t>
      </w:r>
      <w:r w:rsidR="00444697" w:rsidRPr="0074209D">
        <w:rPr>
          <w:rFonts w:ascii="Times New Roman" w:eastAsia="Times New Roman" w:hAnsi="Times New Roman" w:cs="Times New Roman"/>
          <w:spacing w:val="-3"/>
          <w:lang w:val="sk-SK"/>
        </w:rPr>
        <w:t> </w:t>
      </w:r>
      <w:r w:rsidR="00444697" w:rsidRPr="0074209D">
        <w:rPr>
          <w:rFonts w:ascii="Times New Roman" w:eastAsia="Times New Roman" w:hAnsi="Times New Roman" w:cs="Times New Roman"/>
          <w:lang w:val="sk-SK"/>
        </w:rPr>
        <w:t>5.3).</w:t>
      </w:r>
      <w:r w:rsidR="00444697" w:rsidRPr="0074209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444697" w:rsidRPr="0074209D">
        <w:rPr>
          <w:rFonts w:ascii="Times New Roman" w:eastAsia="Times New Roman" w:hAnsi="Times New Roman" w:cs="Times New Roman"/>
          <w:lang w:val="sk-SK"/>
        </w:rPr>
        <w:t>Gefitinib</w:t>
      </w:r>
      <w:r w:rsidR="00444697" w:rsidRPr="0074209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4E326B" w:rsidRPr="0074209D">
        <w:rPr>
          <w:rFonts w:ascii="Times New Roman" w:eastAsia="Times New Roman" w:hAnsi="Times New Roman" w:cs="Times New Roman"/>
          <w:lang w:val="sk-SK"/>
        </w:rPr>
        <w:t xml:space="preserve">je kontraindikovaný počas dojčenia, a preto sa dojčenie počas liečby </w:t>
      </w:r>
      <w:r w:rsidR="00444697" w:rsidRPr="0074209D">
        <w:rPr>
          <w:rFonts w:ascii="Times New Roman" w:eastAsia="Times New Roman" w:hAnsi="Times New Roman" w:cs="Times New Roman"/>
          <w:lang w:val="sk-SK"/>
        </w:rPr>
        <w:t>gefitinib</w:t>
      </w:r>
      <w:r w:rsidR="004E326B" w:rsidRPr="0074209D">
        <w:rPr>
          <w:rFonts w:ascii="Times New Roman" w:eastAsia="Times New Roman" w:hAnsi="Times New Roman" w:cs="Times New Roman"/>
          <w:lang w:val="sk-SK"/>
        </w:rPr>
        <w:t>om musí prerušiť (pozri časť</w:t>
      </w:r>
      <w:r w:rsidR="00444697" w:rsidRPr="0074209D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="00444697" w:rsidRPr="0074209D">
        <w:rPr>
          <w:rFonts w:ascii="Times New Roman" w:eastAsia="Times New Roman" w:hAnsi="Times New Roman" w:cs="Times New Roman"/>
          <w:lang w:val="sk-SK"/>
        </w:rPr>
        <w:t>4.3).</w:t>
      </w:r>
    </w:p>
    <w:p w14:paraId="1EEB9F12" w14:textId="77777777" w:rsidR="00444697" w:rsidRPr="0074209D" w:rsidRDefault="00444697" w:rsidP="00473F05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13" w14:textId="589231A2" w:rsidR="00444697" w:rsidRPr="0074209D" w:rsidRDefault="004E326B" w:rsidP="00473F0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b/>
          <w:bCs/>
          <w:lang w:val="sk-SK"/>
        </w:rPr>
        <w:t>4.7</w:t>
      </w:r>
      <w:r w:rsidRPr="0074209D">
        <w:rPr>
          <w:rFonts w:ascii="Times New Roman" w:eastAsia="Times New Roman" w:hAnsi="Times New Roman" w:cs="Times New Roman"/>
          <w:b/>
          <w:bCs/>
          <w:lang w:val="sk-SK"/>
        </w:rPr>
        <w:tab/>
        <w:t>Ovplyvnenie schopnosti viesť vozidlá a obsluhovať stroje</w:t>
      </w:r>
    </w:p>
    <w:p w14:paraId="1EEB9F14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15" w14:textId="6141C069" w:rsidR="00444697" w:rsidRPr="0074209D" w:rsidRDefault="004E326B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>Počas liečby gefitinibom bola hlásená asténia. Preto je potrebné zvýšiť opatrnosť počas vedenia vozid</w:t>
      </w:r>
      <w:r w:rsidR="00DB02C6">
        <w:rPr>
          <w:rFonts w:ascii="Times New Roman" w:eastAsia="Times New Roman" w:hAnsi="Times New Roman" w:cs="Times New Roman"/>
          <w:lang w:val="sk-SK"/>
        </w:rPr>
        <w:t>iel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či obsluhy strojov u pacientov, </w:t>
      </w:r>
      <w:r w:rsidR="00C52B49">
        <w:rPr>
          <w:rFonts w:ascii="Times New Roman" w:eastAsia="Times New Roman" w:hAnsi="Times New Roman" w:cs="Times New Roman"/>
          <w:lang w:val="sk-SK"/>
        </w:rPr>
        <w:t>u ktorých sa vyskytol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tento príznak. </w:t>
      </w:r>
    </w:p>
    <w:p w14:paraId="1EEB9F16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17" w14:textId="620CB021" w:rsidR="00444697" w:rsidRPr="0074209D" w:rsidRDefault="004E326B" w:rsidP="00473F0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b/>
          <w:bCs/>
          <w:lang w:val="sk-SK"/>
        </w:rPr>
        <w:t>4.8</w:t>
      </w:r>
      <w:r w:rsidRPr="0074209D">
        <w:rPr>
          <w:rFonts w:ascii="Times New Roman" w:eastAsia="Times New Roman" w:hAnsi="Times New Roman" w:cs="Times New Roman"/>
          <w:b/>
          <w:bCs/>
          <w:lang w:val="sk-SK"/>
        </w:rPr>
        <w:tab/>
        <w:t>Nežiaduce účinky</w:t>
      </w:r>
    </w:p>
    <w:p w14:paraId="1EEB9F18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19" w14:textId="0367854A" w:rsidR="00444697" w:rsidRPr="0074209D" w:rsidRDefault="004E326B">
      <w:pPr>
        <w:keepNext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74209D">
        <w:rPr>
          <w:rFonts w:ascii="Times New Roman" w:hAnsi="Times New Roman" w:cs="Times New Roman"/>
          <w:u w:val="single"/>
          <w:lang w:val="sk-SK"/>
        </w:rPr>
        <w:t>Súhrn bezpečnostného profilu</w:t>
      </w:r>
    </w:p>
    <w:p w14:paraId="1EEB9F1A" w14:textId="7BC4E721" w:rsidR="00444697" w:rsidRPr="0074209D" w:rsidRDefault="007B16C5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spacing w:val="-2"/>
          <w:lang w:val="sk-SK"/>
        </w:rPr>
        <w:t xml:space="preserve">V spoločnej </w:t>
      </w:r>
      <w:r w:rsidR="005B403B" w:rsidRPr="0074209D">
        <w:rPr>
          <w:rFonts w:ascii="Times New Roman" w:eastAsia="Times New Roman" w:hAnsi="Times New Roman" w:cs="Times New Roman"/>
          <w:spacing w:val="-2"/>
          <w:lang w:val="sk-SK"/>
        </w:rPr>
        <w:t xml:space="preserve">databáze </w:t>
      </w:r>
      <w:r w:rsidR="00B13027" w:rsidRPr="0074209D">
        <w:rPr>
          <w:rFonts w:ascii="Times New Roman" w:eastAsia="Times New Roman" w:hAnsi="Times New Roman" w:cs="Times New Roman"/>
          <w:spacing w:val="-2"/>
          <w:lang w:val="sk-SK"/>
        </w:rPr>
        <w:t>fázy</w:t>
      </w:r>
      <w:r w:rsidR="00DD14D7">
        <w:rPr>
          <w:rFonts w:ascii="Times New Roman" w:eastAsia="Times New Roman" w:hAnsi="Times New Roman" w:cs="Times New Roman"/>
          <w:spacing w:val="-2"/>
          <w:lang w:val="sk-SK"/>
        </w:rPr>
        <w:t xml:space="preserve"> III</w:t>
      </w:r>
      <w:r w:rsidR="00B13027" w:rsidRPr="0074209D">
        <w:rPr>
          <w:rFonts w:ascii="Times New Roman" w:eastAsia="Times New Roman" w:hAnsi="Times New Roman" w:cs="Times New Roman"/>
          <w:spacing w:val="-2"/>
          <w:lang w:val="sk-SK"/>
        </w:rPr>
        <w:t xml:space="preserve"> klinických skúšaní </w:t>
      </w:r>
      <w:r w:rsidR="005B403B" w:rsidRPr="0074209D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="005B403B" w:rsidRPr="0074209D">
        <w:rPr>
          <w:rFonts w:ascii="Times New Roman" w:eastAsia="Times New Roman" w:hAnsi="Times New Roman" w:cs="Times New Roman"/>
          <w:lang w:val="sk-SK"/>
        </w:rPr>
        <w:t>SEL, INTEREST a</w:t>
      </w:r>
      <w:r w:rsidR="00DD14D7">
        <w:rPr>
          <w:rFonts w:ascii="Times New Roman" w:eastAsia="Times New Roman" w:hAnsi="Times New Roman" w:cs="Times New Roman"/>
          <w:lang w:val="sk-SK"/>
        </w:rPr>
        <w:t xml:space="preserve"> IPASS (2462 </w:t>
      </w:r>
      <w:r w:rsidR="005B403B" w:rsidRPr="0074209D">
        <w:rPr>
          <w:rFonts w:ascii="Times New Roman" w:eastAsia="Times New Roman" w:hAnsi="Times New Roman" w:cs="Times New Roman"/>
          <w:lang w:val="sk-SK"/>
        </w:rPr>
        <w:t xml:space="preserve">pacientov liečených 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>gefitinib</w:t>
      </w:r>
      <w:r w:rsidR="005B403B" w:rsidRPr="0074209D">
        <w:rPr>
          <w:rFonts w:ascii="Times New Roman" w:eastAsia="Times New Roman" w:hAnsi="Times New Roman" w:cs="Times New Roman"/>
          <w:spacing w:val="-4"/>
          <w:lang w:val="sk-SK"/>
        </w:rPr>
        <w:t>om</w:t>
      </w:r>
      <w:r w:rsidR="00444697" w:rsidRPr="0074209D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="005B403B" w:rsidRPr="0074209D">
        <w:rPr>
          <w:rFonts w:ascii="Times New Roman" w:eastAsia="Times New Roman" w:hAnsi="Times New Roman" w:cs="Times New Roman"/>
          <w:spacing w:val="1"/>
          <w:lang w:val="sk-SK"/>
        </w:rPr>
        <w:t xml:space="preserve"> boli najčastejšie hlásenými nežiaducimi reakciami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, </w:t>
      </w:r>
      <w:r w:rsidR="005B403B" w:rsidRPr="0074209D">
        <w:rPr>
          <w:rFonts w:ascii="Times New Roman" w:eastAsia="Times New Roman" w:hAnsi="Times New Roman" w:cs="Times New Roman"/>
          <w:lang w:val="sk-SK"/>
        </w:rPr>
        <w:t>ktoré sa vyskytli u viac ako 20 % pacientov hnačka a kožné reakcie (vrátane vyrážky, akné, suchej kože a pruritu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). </w:t>
      </w:r>
      <w:r w:rsidR="005B403B" w:rsidRPr="0074209D">
        <w:rPr>
          <w:rFonts w:ascii="Times New Roman" w:eastAsia="Times New Roman" w:hAnsi="Times New Roman" w:cs="Times New Roman"/>
          <w:lang w:val="sk-SK"/>
        </w:rPr>
        <w:t>Nežiadu</w:t>
      </w:r>
      <w:r w:rsidR="00B13027" w:rsidRPr="0074209D">
        <w:rPr>
          <w:rFonts w:ascii="Times New Roman" w:eastAsia="Times New Roman" w:hAnsi="Times New Roman" w:cs="Times New Roman"/>
          <w:lang w:val="sk-SK"/>
        </w:rPr>
        <w:t>ce reakcie sa zvyčajne vyskyt</w:t>
      </w:r>
      <w:r w:rsidR="009D3FA1" w:rsidRPr="0074209D">
        <w:rPr>
          <w:rFonts w:ascii="Times New Roman" w:eastAsia="Times New Roman" w:hAnsi="Times New Roman" w:cs="Times New Roman"/>
          <w:lang w:val="sk-SK"/>
        </w:rPr>
        <w:t>ujú</w:t>
      </w:r>
      <w:r w:rsidR="00B13027" w:rsidRPr="0074209D">
        <w:rPr>
          <w:rFonts w:ascii="Times New Roman" w:eastAsia="Times New Roman" w:hAnsi="Times New Roman" w:cs="Times New Roman"/>
          <w:lang w:val="sk-SK"/>
        </w:rPr>
        <w:t xml:space="preserve"> počas prvého mesiaca liečby a vo všeobecnosti sú reverzibilné</w:t>
      </w:r>
      <w:r w:rsidR="00444697" w:rsidRPr="0074209D">
        <w:rPr>
          <w:rFonts w:ascii="Times New Roman" w:eastAsia="Times New Roman" w:hAnsi="Times New Roman" w:cs="Times New Roman"/>
          <w:lang w:val="sk-SK"/>
        </w:rPr>
        <w:t>.</w:t>
      </w:r>
    </w:p>
    <w:p w14:paraId="1EEB9F1B" w14:textId="6D5BA54B" w:rsidR="00444697" w:rsidRPr="0074209D" w:rsidRDefault="009D3FA1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 xml:space="preserve">Približne </w:t>
      </w:r>
      <w:r w:rsidR="00444697" w:rsidRPr="0074209D">
        <w:rPr>
          <w:rFonts w:ascii="Times New Roman" w:eastAsia="Times New Roman" w:hAnsi="Times New Roman" w:cs="Times New Roman"/>
          <w:lang w:val="sk-SK"/>
        </w:rPr>
        <w:t>8</w:t>
      </w:r>
      <w:r w:rsidRPr="0074209D">
        <w:rPr>
          <w:rFonts w:ascii="Times New Roman" w:eastAsia="Times New Roman" w:hAnsi="Times New Roman" w:cs="Times New Roman"/>
          <w:lang w:val="sk-SK"/>
        </w:rPr>
        <w:t> % pacientov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DD14D7">
        <w:rPr>
          <w:rFonts w:ascii="Times New Roman" w:eastAsia="Times New Roman" w:hAnsi="Times New Roman" w:cs="Times New Roman"/>
          <w:lang w:val="sk-SK"/>
        </w:rPr>
        <w:t>malo závažnú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nežiaducu reakciu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(</w:t>
      </w:r>
      <w:r w:rsidR="00DD14D7">
        <w:rPr>
          <w:rFonts w:ascii="Times New Roman" w:eastAsia="Times New Roman" w:hAnsi="Times New Roman" w:cs="Times New Roman"/>
          <w:lang w:val="sk-SK"/>
        </w:rPr>
        <w:t>všeobecné kritériá toxicity (</w:t>
      </w:r>
      <w:r w:rsidR="00444697" w:rsidRPr="0074209D">
        <w:rPr>
          <w:rFonts w:ascii="Times New Roman" w:eastAsia="Times New Roman" w:hAnsi="Times New Roman" w:cs="Times New Roman"/>
          <w:lang w:val="sk-SK"/>
        </w:rPr>
        <w:t>commo</w:t>
      </w:r>
      <w:r w:rsidR="00DD14D7">
        <w:rPr>
          <w:rFonts w:ascii="Times New Roman" w:eastAsia="Times New Roman" w:hAnsi="Times New Roman" w:cs="Times New Roman"/>
          <w:lang w:val="sk-SK"/>
        </w:rPr>
        <w:t xml:space="preserve">n toxicity criteria </w:t>
      </w:r>
      <w:r w:rsidRPr="0074209D">
        <w:rPr>
          <w:rFonts w:ascii="Times New Roman" w:eastAsia="Times New Roman" w:hAnsi="Times New Roman" w:cs="Times New Roman"/>
          <w:lang w:val="sk-SK"/>
        </w:rPr>
        <w:t>(CTC) stupeň 3 alebo 4). Približne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3</w:t>
      </w:r>
      <w:r w:rsidRPr="0074209D">
        <w:rPr>
          <w:rFonts w:ascii="Times New Roman" w:eastAsia="Times New Roman" w:hAnsi="Times New Roman" w:cs="Times New Roman"/>
          <w:lang w:val="sk-SK"/>
        </w:rPr>
        <w:t> % pacientov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spacing w:val="-1"/>
          <w:lang w:val="sk-SK"/>
        </w:rPr>
        <w:t>ukončilo liečbu kvôli nežiaducej reakcii</w:t>
      </w:r>
      <w:r w:rsidR="00444697" w:rsidRPr="0074209D">
        <w:rPr>
          <w:rFonts w:ascii="Times New Roman" w:eastAsia="Times New Roman" w:hAnsi="Times New Roman" w:cs="Times New Roman"/>
          <w:lang w:val="sk-SK"/>
        </w:rPr>
        <w:t>.</w:t>
      </w:r>
    </w:p>
    <w:p w14:paraId="1EEB9F1C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1D" w14:textId="0BC2754A" w:rsidR="00444697" w:rsidRPr="0074209D" w:rsidRDefault="009D3FA1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lastRenderedPageBreak/>
        <w:t>Intersticiálna choroba pľúc (ILD</w:t>
      </w:r>
      <w:r w:rsidR="00444697" w:rsidRPr="0074209D">
        <w:rPr>
          <w:rFonts w:ascii="Times New Roman" w:eastAsia="Times New Roman" w:hAnsi="Times New Roman" w:cs="Times New Roman"/>
          <w:lang w:val="sk-SK"/>
        </w:rPr>
        <w:t>)</w:t>
      </w:r>
      <w:r w:rsidR="00DD14D7">
        <w:rPr>
          <w:rFonts w:ascii="Times New Roman" w:eastAsia="Times New Roman" w:hAnsi="Times New Roman" w:cs="Times New Roman"/>
          <w:lang w:val="sk-SK"/>
        </w:rPr>
        <w:t>, často závažná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(CTC stupeň </w:t>
      </w:r>
      <w:r w:rsidRPr="0074209D">
        <w:rPr>
          <w:rFonts w:ascii="Times New Roman" w:eastAsia="Times New Roman" w:hAnsi="Times New Roman" w:cs="Times New Roman"/>
          <w:spacing w:val="-2"/>
          <w:lang w:val="sk-SK"/>
        </w:rPr>
        <w:t>3</w:t>
      </w:r>
      <w:r w:rsidRPr="0074209D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74209D">
        <w:rPr>
          <w:rFonts w:ascii="Times New Roman" w:eastAsia="Times New Roman" w:hAnsi="Times New Roman" w:cs="Times New Roman"/>
          <w:lang w:val="sk-SK"/>
        </w:rPr>
        <w:t>4)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Pr="0074209D">
        <w:rPr>
          <w:rFonts w:ascii="Times New Roman" w:eastAsia="Times New Roman" w:hAnsi="Times New Roman" w:cs="Times New Roman"/>
          <w:lang w:val="sk-SK"/>
        </w:rPr>
        <w:t>sa vyskytla u 1,</w:t>
      </w:r>
      <w:r w:rsidR="00444697" w:rsidRPr="0074209D">
        <w:rPr>
          <w:rFonts w:ascii="Times New Roman" w:eastAsia="Times New Roman" w:hAnsi="Times New Roman" w:cs="Times New Roman"/>
          <w:lang w:val="sk-SK"/>
        </w:rPr>
        <w:t>3</w:t>
      </w:r>
      <w:r w:rsidRPr="0074209D">
        <w:rPr>
          <w:rFonts w:ascii="Times New Roman" w:eastAsia="Times New Roman" w:hAnsi="Times New Roman" w:cs="Times New Roman"/>
          <w:lang w:val="sk-SK"/>
        </w:rPr>
        <w:t> % pacientov</w:t>
      </w:r>
      <w:r w:rsidR="00444697" w:rsidRPr="0074209D">
        <w:rPr>
          <w:rFonts w:ascii="Times New Roman" w:eastAsia="Times New Roman" w:hAnsi="Times New Roman" w:cs="Times New Roman"/>
          <w:lang w:val="sk-SK"/>
        </w:rPr>
        <w:t>.</w:t>
      </w:r>
      <w:r w:rsidR="00444697" w:rsidRPr="0074209D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7074D9" w:rsidRPr="0074209D">
        <w:rPr>
          <w:rFonts w:ascii="Times New Roman" w:eastAsia="Times New Roman" w:hAnsi="Times New Roman" w:cs="Times New Roman"/>
          <w:spacing w:val="1"/>
          <w:lang w:val="sk-SK"/>
        </w:rPr>
        <w:t>Boli hlásené prípady s fatálnym koncom</w:t>
      </w:r>
      <w:r w:rsidR="00444697" w:rsidRPr="0074209D">
        <w:rPr>
          <w:rFonts w:ascii="Times New Roman" w:eastAsia="Times New Roman" w:hAnsi="Times New Roman" w:cs="Times New Roman"/>
          <w:lang w:val="sk-SK"/>
        </w:rPr>
        <w:t>.</w:t>
      </w:r>
    </w:p>
    <w:p w14:paraId="1EEB9F1E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1F" w14:textId="0A6ECDDC" w:rsidR="00444697" w:rsidRPr="0074209D" w:rsidRDefault="005E38CF">
      <w:pPr>
        <w:keepNext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454F76">
        <w:rPr>
          <w:rFonts w:ascii="Times New Roman" w:hAnsi="Times New Roman" w:cs="Times New Roman"/>
          <w:u w:val="single"/>
          <w:lang w:val="sk-SK"/>
        </w:rPr>
        <w:t>Tabuľkov</w:t>
      </w:r>
      <w:r w:rsidRPr="0074209D">
        <w:rPr>
          <w:rFonts w:ascii="Times New Roman" w:hAnsi="Times New Roman" w:cs="Times New Roman"/>
          <w:u w:val="single"/>
          <w:lang w:val="sk-SK"/>
        </w:rPr>
        <w:t>ý zoznam</w:t>
      </w:r>
      <w:r w:rsidR="007074D9" w:rsidRPr="0074209D">
        <w:rPr>
          <w:rFonts w:ascii="Times New Roman" w:hAnsi="Times New Roman" w:cs="Times New Roman"/>
          <w:u w:val="single"/>
          <w:lang w:val="sk-SK"/>
        </w:rPr>
        <w:t xml:space="preserve"> nežiaducich reakcií</w:t>
      </w:r>
    </w:p>
    <w:p w14:paraId="1EEB9F20" w14:textId="1A27FD54" w:rsidR="00444697" w:rsidRPr="0074209D" w:rsidRDefault="00454F76" w:rsidP="00473F05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Bezpečnostný profil uvedený v t</w:t>
      </w:r>
      <w:r w:rsidR="00DD00F3" w:rsidRPr="0074209D">
        <w:rPr>
          <w:rFonts w:ascii="Times New Roman" w:eastAsia="Times New Roman" w:hAnsi="Times New Roman" w:cs="Times New Roman"/>
          <w:lang w:val="sk-SK"/>
        </w:rPr>
        <w:t>abuľke 1 vychádza z klinického vývojového programu gefi</w:t>
      </w:r>
      <w:r>
        <w:rPr>
          <w:rFonts w:ascii="Times New Roman" w:eastAsia="Times New Roman" w:hAnsi="Times New Roman" w:cs="Times New Roman"/>
          <w:lang w:val="sk-SK"/>
        </w:rPr>
        <w:t xml:space="preserve">tinibu a zo skúseností </w:t>
      </w:r>
      <w:r w:rsidR="00DD00F3" w:rsidRPr="0074209D">
        <w:rPr>
          <w:rFonts w:ascii="Times New Roman" w:eastAsia="Times New Roman" w:hAnsi="Times New Roman" w:cs="Times New Roman"/>
          <w:lang w:val="sk-SK"/>
        </w:rPr>
        <w:t xml:space="preserve">po uvedení </w:t>
      </w:r>
      <w:r>
        <w:rPr>
          <w:rFonts w:ascii="Times New Roman" w:eastAsia="Times New Roman" w:hAnsi="Times New Roman" w:cs="Times New Roman"/>
          <w:lang w:val="sk-SK"/>
        </w:rPr>
        <w:t xml:space="preserve">lieku </w:t>
      </w:r>
      <w:r w:rsidR="00DD00F3" w:rsidRPr="0074209D">
        <w:rPr>
          <w:rFonts w:ascii="Times New Roman" w:eastAsia="Times New Roman" w:hAnsi="Times New Roman" w:cs="Times New Roman"/>
          <w:lang w:val="sk-SK"/>
        </w:rPr>
        <w:t>na trh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. </w:t>
      </w:r>
      <w:r w:rsidR="00DD00F3" w:rsidRPr="0074209D">
        <w:rPr>
          <w:rFonts w:ascii="Times New Roman" w:eastAsia="Times New Roman" w:hAnsi="Times New Roman" w:cs="Times New Roman"/>
          <w:lang w:val="sk-SK"/>
        </w:rPr>
        <w:t>N</w:t>
      </w:r>
      <w:r w:rsidR="007A051C" w:rsidRPr="0074209D">
        <w:rPr>
          <w:rFonts w:ascii="Times New Roman" w:eastAsia="Times New Roman" w:hAnsi="Times New Roman" w:cs="Times New Roman"/>
          <w:lang w:val="sk-SK"/>
        </w:rPr>
        <w:t>ežiaduce reakcie boli zaradené v</w:t>
      </w:r>
      <w:r w:rsidR="00DD00F3" w:rsidRPr="0074209D">
        <w:rPr>
          <w:rFonts w:ascii="Times New Roman" w:eastAsia="Times New Roman" w:hAnsi="Times New Roman" w:cs="Times New Roman"/>
          <w:lang w:val="sk-SK"/>
        </w:rPr>
        <w:t> </w:t>
      </w:r>
      <w:r>
        <w:rPr>
          <w:rFonts w:ascii="Times New Roman" w:eastAsia="Times New Roman" w:hAnsi="Times New Roman" w:cs="Times New Roman"/>
          <w:lang w:val="sk-SK"/>
        </w:rPr>
        <w:t>t</w:t>
      </w:r>
      <w:r w:rsidR="007A051C" w:rsidRPr="0074209D">
        <w:rPr>
          <w:rFonts w:ascii="Times New Roman" w:eastAsia="Times New Roman" w:hAnsi="Times New Roman" w:cs="Times New Roman"/>
          <w:lang w:val="sk-SK"/>
        </w:rPr>
        <w:t>abuľke</w:t>
      </w:r>
      <w:r w:rsidR="00DD00F3" w:rsidRPr="0074209D">
        <w:rPr>
          <w:rFonts w:ascii="Times New Roman" w:eastAsia="Times New Roman" w:hAnsi="Times New Roman" w:cs="Times New Roman"/>
          <w:lang w:val="sk-SK"/>
        </w:rPr>
        <w:t xml:space="preserve"> 1 </w:t>
      </w:r>
      <w:r w:rsidR="007A051C" w:rsidRPr="0074209D">
        <w:rPr>
          <w:rFonts w:ascii="Times New Roman" w:eastAsia="Times New Roman" w:hAnsi="Times New Roman" w:cs="Times New Roman"/>
          <w:lang w:val="sk-SK"/>
        </w:rPr>
        <w:t xml:space="preserve">do kategórií podľa frekvencie </w:t>
      </w:r>
      <w:r w:rsidR="006D54AD" w:rsidRPr="0074209D">
        <w:rPr>
          <w:rFonts w:ascii="Times New Roman" w:eastAsia="Times New Roman" w:hAnsi="Times New Roman" w:cs="Times New Roman"/>
          <w:lang w:val="sk-SK"/>
        </w:rPr>
        <w:t xml:space="preserve">na základe </w:t>
      </w:r>
      <w:r w:rsidR="007A051C" w:rsidRPr="0074209D">
        <w:rPr>
          <w:rFonts w:ascii="Times New Roman" w:eastAsia="Times New Roman" w:hAnsi="Times New Roman" w:cs="Times New Roman"/>
          <w:lang w:val="sk-SK"/>
        </w:rPr>
        <w:t xml:space="preserve">výskytu </w:t>
      </w:r>
      <w:r w:rsidR="00A4422D">
        <w:rPr>
          <w:rFonts w:ascii="Times New Roman" w:eastAsia="Times New Roman" w:hAnsi="Times New Roman" w:cs="Times New Roman"/>
          <w:lang w:val="sk-SK"/>
        </w:rPr>
        <w:t>porovnateľných hlásení nežiadu</w:t>
      </w:r>
      <w:r>
        <w:rPr>
          <w:rFonts w:ascii="Times New Roman" w:eastAsia="Times New Roman" w:hAnsi="Times New Roman" w:cs="Times New Roman"/>
          <w:lang w:val="sk-SK"/>
        </w:rPr>
        <w:t>cich udalostí</w:t>
      </w:r>
      <w:r w:rsidR="006D54AD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 xml:space="preserve">v spoločnej databáze </w:t>
      </w:r>
      <w:r w:rsidR="006D54AD" w:rsidRPr="0074209D">
        <w:rPr>
          <w:rFonts w:ascii="Times New Roman" w:eastAsia="Times New Roman" w:hAnsi="Times New Roman" w:cs="Times New Roman"/>
          <w:lang w:val="sk-SK"/>
        </w:rPr>
        <w:t>fázy</w:t>
      </w:r>
      <w:r>
        <w:rPr>
          <w:rFonts w:ascii="Times New Roman" w:eastAsia="Times New Roman" w:hAnsi="Times New Roman" w:cs="Times New Roman"/>
          <w:lang w:val="sk-SK"/>
        </w:rPr>
        <w:t xml:space="preserve"> III</w:t>
      </w:r>
      <w:r w:rsidR="006D54AD" w:rsidRPr="0074209D">
        <w:rPr>
          <w:rFonts w:ascii="Times New Roman" w:eastAsia="Times New Roman" w:hAnsi="Times New Roman" w:cs="Times New Roman"/>
          <w:lang w:val="sk-SK"/>
        </w:rPr>
        <w:t xml:space="preserve"> klinických skúšaní ISEL, INTEREST a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6D54AD" w:rsidRPr="0074209D">
        <w:rPr>
          <w:rFonts w:ascii="Times New Roman" w:eastAsia="Times New Roman" w:hAnsi="Times New Roman" w:cs="Times New Roman"/>
          <w:lang w:val="sk-SK"/>
        </w:rPr>
        <w:t xml:space="preserve">IPASS </w:t>
      </w:r>
      <w:r>
        <w:rPr>
          <w:rFonts w:ascii="Times New Roman" w:eastAsia="Times New Roman" w:hAnsi="Times New Roman" w:cs="Times New Roman"/>
          <w:lang w:val="sk-SK"/>
        </w:rPr>
        <w:t>(2462 </w:t>
      </w:r>
      <w:r w:rsidR="006D54AD" w:rsidRPr="0074209D">
        <w:rPr>
          <w:rFonts w:ascii="Times New Roman" w:eastAsia="Times New Roman" w:hAnsi="Times New Roman" w:cs="Times New Roman"/>
          <w:lang w:val="sk-SK"/>
        </w:rPr>
        <w:t xml:space="preserve">pacientov liečených </w:t>
      </w:r>
      <w:r w:rsidR="00444697" w:rsidRPr="0074209D">
        <w:rPr>
          <w:rFonts w:ascii="Times New Roman" w:eastAsia="Times New Roman" w:hAnsi="Times New Roman" w:cs="Times New Roman"/>
          <w:lang w:val="sk-SK"/>
        </w:rPr>
        <w:t>gefitinib</w:t>
      </w:r>
      <w:r w:rsidR="006D54AD" w:rsidRPr="0074209D">
        <w:rPr>
          <w:rFonts w:ascii="Times New Roman" w:eastAsia="Times New Roman" w:hAnsi="Times New Roman" w:cs="Times New Roman"/>
          <w:lang w:val="sk-SK"/>
        </w:rPr>
        <w:t>om</w:t>
      </w:r>
      <w:r w:rsidR="00444697" w:rsidRPr="0074209D">
        <w:rPr>
          <w:rFonts w:ascii="Times New Roman" w:eastAsia="Times New Roman" w:hAnsi="Times New Roman" w:cs="Times New Roman"/>
          <w:lang w:val="sk-SK"/>
        </w:rPr>
        <w:t>).</w:t>
      </w:r>
    </w:p>
    <w:p w14:paraId="1EEB9F21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22" w14:textId="43A02A8A" w:rsidR="00444697" w:rsidRPr="0074209D" w:rsidRDefault="004945D4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>Frekvencie v</w:t>
      </w:r>
      <w:r w:rsidR="00454F76">
        <w:rPr>
          <w:rFonts w:ascii="Times New Roman" w:eastAsia="Times New Roman" w:hAnsi="Times New Roman" w:cs="Times New Roman"/>
          <w:lang w:val="sk-SK"/>
        </w:rPr>
        <w:t>ýskytu nežiaducich udalostí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EC7D84" w:rsidRPr="0074209D">
        <w:rPr>
          <w:rFonts w:ascii="Times New Roman" w:eastAsia="Times New Roman" w:hAnsi="Times New Roman" w:cs="Times New Roman"/>
          <w:lang w:val="sk-SK"/>
        </w:rPr>
        <w:t xml:space="preserve">sú definované ako: </w:t>
      </w:r>
      <w:r w:rsidR="00EC7D84" w:rsidRPr="0074209D">
        <w:rPr>
          <w:rFonts w:ascii="Times New Roman" w:eastAsia="Times New Roman" w:hAnsi="Times New Roman" w:cs="Times New Roman"/>
          <w:spacing w:val="-1"/>
          <w:lang w:val="sk-SK"/>
        </w:rPr>
        <w:t>veľmi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EC7D84" w:rsidRPr="0074209D">
        <w:rPr>
          <w:rFonts w:ascii="Times New Roman" w:eastAsia="Times New Roman" w:hAnsi="Times New Roman" w:cs="Times New Roman"/>
          <w:spacing w:val="-1"/>
          <w:lang w:val="sk-SK"/>
        </w:rPr>
        <w:t>časté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444697" w:rsidRPr="0074209D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="00444697" w:rsidRPr="0074209D">
        <w:rPr>
          <w:rFonts w:ascii="Times New Roman" w:eastAsia="Times New Roman" w:hAnsi="Times New Roman" w:cs="Times New Roman"/>
          <w:lang w:val="sk-SK"/>
        </w:rPr>
        <w:t>≥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> 1/10)</w:t>
      </w:r>
      <w:r w:rsidR="00444697" w:rsidRPr="0074209D">
        <w:rPr>
          <w:rFonts w:ascii="Times New Roman" w:eastAsia="Times New Roman" w:hAnsi="Times New Roman" w:cs="Times New Roman"/>
          <w:lang w:val="sk-SK"/>
        </w:rPr>
        <w:t>;</w:t>
      </w:r>
      <w:r w:rsidR="00EC7D84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časté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444697" w:rsidRPr="0074209D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="00444697" w:rsidRPr="0074209D">
        <w:rPr>
          <w:rFonts w:ascii="Times New Roman" w:eastAsia="Times New Roman" w:hAnsi="Times New Roman" w:cs="Times New Roman"/>
          <w:lang w:val="sk-SK"/>
        </w:rPr>
        <w:t>≥</w:t>
      </w:r>
      <w:r w:rsidR="00444697" w:rsidRPr="0074209D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>1/10</w:t>
      </w:r>
      <w:r w:rsidR="00444697" w:rsidRPr="0074209D">
        <w:rPr>
          <w:rFonts w:ascii="Times New Roman" w:eastAsia="Times New Roman" w:hAnsi="Times New Roman" w:cs="Times New Roman"/>
          <w:lang w:val="sk-SK"/>
        </w:rPr>
        <w:t>0</w:t>
      </w:r>
      <w:r w:rsidR="00EC7D84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až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444697" w:rsidRPr="0074209D">
        <w:rPr>
          <w:rFonts w:ascii="Times New Roman" w:eastAsia="Times New Roman" w:hAnsi="Times New Roman" w:cs="Times New Roman"/>
          <w:lang w:val="sk-SK"/>
        </w:rPr>
        <w:t>&lt; 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>1/10)</w:t>
      </w:r>
      <w:r w:rsidR="00444697" w:rsidRPr="0074209D">
        <w:rPr>
          <w:rFonts w:ascii="Times New Roman" w:eastAsia="Times New Roman" w:hAnsi="Times New Roman" w:cs="Times New Roman"/>
          <w:lang w:val="sk-SK"/>
        </w:rPr>
        <w:t>;</w:t>
      </w:r>
      <w:r w:rsidR="00EC7D84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menej časté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444697" w:rsidRPr="0074209D">
        <w:rPr>
          <w:rFonts w:ascii="Times New Roman" w:eastAsia="Times New Roman" w:hAnsi="Times New Roman" w:cs="Times New Roman"/>
          <w:lang w:val="sk-SK"/>
        </w:rPr>
        <w:t>(≥</w:t>
      </w:r>
      <w:r w:rsidR="00444697" w:rsidRPr="0074209D">
        <w:rPr>
          <w:rFonts w:ascii="Times New Roman" w:eastAsia="Times New Roman" w:hAnsi="Times New Roman" w:cs="Times New Roman"/>
          <w:spacing w:val="1"/>
          <w:lang w:val="sk-SK"/>
        </w:rPr>
        <w:t> </w:t>
      </w:r>
      <w:r w:rsidR="00EC7D84" w:rsidRPr="0074209D">
        <w:rPr>
          <w:rFonts w:ascii="Times New Roman" w:eastAsia="Times New Roman" w:hAnsi="Times New Roman" w:cs="Times New Roman"/>
          <w:lang w:val="sk-SK"/>
        </w:rPr>
        <w:t>1/1 000 až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&lt; 1/100);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EC7D84" w:rsidRPr="0074209D">
        <w:rPr>
          <w:rFonts w:ascii="Times New Roman" w:eastAsia="Times New Roman" w:hAnsi="Times New Roman" w:cs="Times New Roman"/>
          <w:lang w:val="sk-SK"/>
        </w:rPr>
        <w:t>zriedkavé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444697" w:rsidRPr="0074209D">
        <w:rPr>
          <w:rFonts w:ascii="Times New Roman" w:eastAsia="Times New Roman" w:hAnsi="Times New Roman" w:cs="Times New Roman"/>
          <w:lang w:val="sk-SK"/>
        </w:rPr>
        <w:t>(≥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="00EC7D84" w:rsidRPr="0074209D">
        <w:rPr>
          <w:rFonts w:ascii="Times New Roman" w:eastAsia="Times New Roman" w:hAnsi="Times New Roman" w:cs="Times New Roman"/>
          <w:lang w:val="sk-SK"/>
        </w:rPr>
        <w:t>1/10 000 až &lt; 1/1 000); veľmi zriedkavé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444697" w:rsidRPr="0074209D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="00EC7D84" w:rsidRPr="0074209D">
        <w:rPr>
          <w:rFonts w:ascii="Times New Roman" w:eastAsia="Times New Roman" w:hAnsi="Times New Roman" w:cs="Times New Roman"/>
          <w:lang w:val="sk-SK"/>
        </w:rPr>
        <w:t>&lt; 1/10 000), neznáme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(</w:t>
      </w:r>
      <w:r w:rsidR="00EC7D84" w:rsidRPr="0074209D">
        <w:rPr>
          <w:rFonts w:ascii="Times New Roman" w:eastAsia="Times New Roman" w:hAnsi="Times New Roman" w:cs="Times New Roman"/>
          <w:lang w:val="sk-SK"/>
        </w:rPr>
        <w:t>z dostupných údajov</w:t>
      </w:r>
      <w:r w:rsidR="00444697" w:rsidRPr="0074209D">
        <w:rPr>
          <w:rFonts w:ascii="Times New Roman" w:eastAsia="Times New Roman" w:hAnsi="Times New Roman" w:cs="Times New Roman"/>
          <w:lang w:val="sk-SK"/>
        </w:rPr>
        <w:t>).</w:t>
      </w:r>
    </w:p>
    <w:p w14:paraId="1EEB9F23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24" w14:textId="53DCDE3E" w:rsidR="00444697" w:rsidRPr="0074209D" w:rsidRDefault="00EC7D84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 xml:space="preserve">V rámci jednotlivých skupín frekvencií sú nežiaduce účinky usporiadané v poradí klesajúcej závažnosti </w:t>
      </w:r>
    </w:p>
    <w:p w14:paraId="1EEB9F25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26" w14:textId="71A16517" w:rsidR="00444697" w:rsidRPr="0074209D" w:rsidRDefault="0092077D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b/>
          <w:bCs/>
          <w:lang w:val="sk-SK"/>
        </w:rPr>
        <w:t>Tabuľka 1 Nežiaduce reakcie</w:t>
      </w:r>
    </w:p>
    <w:tbl>
      <w:tblPr>
        <w:tblW w:w="8833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4"/>
        <w:gridCol w:w="2944"/>
        <w:gridCol w:w="2945"/>
      </w:tblGrid>
      <w:tr w:rsidR="00444697" w:rsidRPr="0074209D" w14:paraId="1EEB9F28" w14:textId="77777777" w:rsidTr="00473F05">
        <w:trPr>
          <w:trHeight w:val="311"/>
          <w:tblHeader/>
        </w:trPr>
        <w:tc>
          <w:tcPr>
            <w:tcW w:w="8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27" w14:textId="43F189AF" w:rsidR="00444697" w:rsidRPr="0074209D" w:rsidRDefault="0092077D" w:rsidP="0092077D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Nežiaduce reakcie</w:t>
            </w:r>
            <w:r w:rsidR="00444697" w:rsidRPr="0074209D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 </w:t>
            </w:r>
            <w:r w:rsidRPr="0074209D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podľa </w:t>
            </w:r>
            <w:r w:rsidR="00C52B49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triedy orgánových systémov</w:t>
            </w:r>
            <w:r w:rsidRPr="0074209D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 xml:space="preserve"> a frekvencie</w:t>
            </w:r>
          </w:p>
        </w:tc>
      </w:tr>
      <w:tr w:rsidR="00444697" w:rsidRPr="0074209D" w14:paraId="1EEB9F2C" w14:textId="77777777" w:rsidTr="00473F05">
        <w:trPr>
          <w:trHeight w:val="548"/>
          <w:tblHeader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29" w14:textId="4EDCA70D" w:rsidR="00444697" w:rsidRPr="0074209D" w:rsidRDefault="0092077D" w:rsidP="00473F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Poruchy metabolizmu a výživy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2A" w14:textId="759B106D" w:rsidR="00444697" w:rsidRPr="0074209D" w:rsidRDefault="0092077D" w:rsidP="0092077D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veľmi časté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2B" w14:textId="243BD56B" w:rsidR="00444697" w:rsidRPr="0074209D" w:rsidRDefault="0092077D" w:rsidP="0092077D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mierna alebo stredne </w:t>
            </w:r>
            <w:r w:rsidR="00772F52">
              <w:rPr>
                <w:rFonts w:ascii="Times New Roman" w:eastAsia="Times New Roman" w:hAnsi="Times New Roman" w:cs="Times New Roman"/>
                <w:lang w:val="sk-SK"/>
              </w:rPr>
              <w:t>závažná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 a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>norexia (CTC</w:t>
            </w:r>
            <w:r w:rsidR="00B75D46" w:rsidRPr="0074209D">
              <w:rPr>
                <w:rFonts w:ascii="Times New Roman" w:eastAsia="Times New Roman" w:hAnsi="Times New Roman" w:cs="Times New Roman"/>
                <w:lang w:val="sk-SK"/>
              </w:rPr>
              <w:t> 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stupeň 1 </w:t>
            </w:r>
            <w:r w:rsidR="00F56A2E" w:rsidRPr="0074209D">
              <w:rPr>
                <w:rFonts w:ascii="Times New Roman" w:eastAsia="Times New Roman" w:hAnsi="Times New Roman" w:cs="Times New Roman"/>
                <w:lang w:val="sk-SK"/>
              </w:rPr>
              <w:t>alebo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 2)</w:t>
            </w:r>
          </w:p>
        </w:tc>
      </w:tr>
      <w:tr w:rsidR="00444697" w:rsidRPr="0074209D" w14:paraId="1EEB9F30" w14:textId="77777777" w:rsidTr="00473F05">
        <w:trPr>
          <w:trHeight w:val="828"/>
          <w:tblHeader/>
        </w:trPr>
        <w:tc>
          <w:tcPr>
            <w:tcW w:w="2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2D" w14:textId="3AE4355B" w:rsidR="00444697" w:rsidRPr="0074209D" w:rsidRDefault="0092077D" w:rsidP="00473F0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Poruchy oka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2E" w14:textId="0BD3E929" w:rsidR="00444697" w:rsidRPr="0074209D" w:rsidRDefault="00191939" w:rsidP="00473F05">
            <w:pPr>
              <w:keepNext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č</w:t>
            </w:r>
            <w:r w:rsidR="0092077D" w:rsidRPr="0074209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asté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2F" w14:textId="5031F40B" w:rsidR="00444697" w:rsidRPr="0074209D" w:rsidRDefault="00191939" w:rsidP="00473F05">
            <w:pPr>
              <w:keepNext/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k</w:t>
            </w:r>
            <w:r w:rsidR="0092077D" w:rsidRPr="0074209D">
              <w:rPr>
                <w:rFonts w:ascii="Times New Roman" w:eastAsia="Times New Roman" w:hAnsi="Times New Roman" w:cs="Times New Roman"/>
                <w:lang w:val="sk-SK"/>
              </w:rPr>
              <w:t>onjunk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>ti</w:t>
            </w:r>
            <w:r w:rsidR="00444697" w:rsidRPr="0074209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="0092077D" w:rsidRPr="0074209D">
              <w:rPr>
                <w:rFonts w:ascii="Times New Roman" w:eastAsia="Times New Roman" w:hAnsi="Times New Roman" w:cs="Times New Roman"/>
                <w:lang w:val="sk-SK"/>
              </w:rPr>
              <w:t>itída, blefaritída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="0092077D" w:rsidRPr="0074209D">
              <w:rPr>
                <w:rFonts w:ascii="Times New Roman" w:eastAsia="Times New Roman" w:hAnsi="Times New Roman" w:cs="Times New Roman"/>
                <w:lang w:val="sk-SK"/>
              </w:rPr>
              <w:t>a suché oko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>*, prevažne mierne (CTC stupeň 1)</w:t>
            </w:r>
          </w:p>
        </w:tc>
      </w:tr>
      <w:tr w:rsidR="00444697" w:rsidRPr="0074209D" w14:paraId="1EEB9F34" w14:textId="77777777" w:rsidTr="00473F05">
        <w:trPr>
          <w:trHeight w:val="800"/>
          <w:tblHeader/>
        </w:trPr>
        <w:tc>
          <w:tcPr>
            <w:tcW w:w="29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31" w14:textId="77777777" w:rsidR="00444697" w:rsidRPr="0074209D" w:rsidRDefault="0044469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32" w14:textId="5206DCB6" w:rsidR="00444697" w:rsidRPr="0074209D" w:rsidRDefault="00191939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="0092077D" w:rsidRPr="0074209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enej časté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33" w14:textId="4B2A13BC" w:rsidR="00444697" w:rsidRPr="0074209D" w:rsidRDefault="00191939" w:rsidP="00191939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erózia rohovky, reverz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>ib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>ilná a niekedy spojená s abnormálnym rastom mihalníc</w:t>
            </w:r>
          </w:p>
        </w:tc>
      </w:tr>
      <w:tr w:rsidR="00444697" w:rsidRPr="0074209D" w14:paraId="1EEB9F38" w14:textId="77777777" w:rsidTr="00473F05">
        <w:trPr>
          <w:trHeight w:val="268"/>
          <w:tblHeader/>
        </w:trPr>
        <w:tc>
          <w:tcPr>
            <w:tcW w:w="2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35" w14:textId="77777777" w:rsidR="00444697" w:rsidRPr="0074209D" w:rsidRDefault="0044469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36" w14:textId="77777777" w:rsidR="00444697" w:rsidRPr="0074209D" w:rsidRDefault="00444697" w:rsidP="00473F05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37" w14:textId="62FE482A" w:rsidR="00444697" w:rsidRPr="0074209D" w:rsidRDefault="00420630" w:rsidP="00473F05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keratitída (0,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>12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> 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>%)</w:t>
            </w:r>
          </w:p>
        </w:tc>
      </w:tr>
      <w:tr w:rsidR="00444697" w:rsidRPr="0074209D" w14:paraId="1EEB9F3C" w14:textId="77777777" w:rsidTr="00473F05">
        <w:trPr>
          <w:trHeight w:val="548"/>
          <w:tblHeader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39" w14:textId="0E55A50B" w:rsidR="00444697" w:rsidRPr="0074209D" w:rsidRDefault="00420630" w:rsidP="00473F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Poruchy ciev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3A" w14:textId="0A20EC5C" w:rsidR="00444697" w:rsidRPr="0074209D" w:rsidRDefault="0042063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časté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3B" w14:textId="0FC691E8" w:rsidR="00444697" w:rsidRPr="0074209D" w:rsidRDefault="00420630" w:rsidP="00420630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hemorágia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>ako napr. epistaxa a hematúria</w:t>
            </w:r>
          </w:p>
        </w:tc>
      </w:tr>
      <w:tr w:rsidR="00444697" w:rsidRPr="0074209D" w14:paraId="1EEB9F40" w14:textId="77777777" w:rsidTr="00473F05">
        <w:trPr>
          <w:trHeight w:val="1065"/>
          <w:tblHeader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3D" w14:textId="401B7CB9" w:rsidR="00444697" w:rsidRPr="0074209D" w:rsidRDefault="00420630" w:rsidP="00473F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Poruchy dýchacej sústavy, hrudníka a mediastína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3E" w14:textId="5AB804CD" w:rsidR="00444697" w:rsidRPr="0074209D" w:rsidRDefault="0042063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časté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3F" w14:textId="2677315B" w:rsidR="00444697" w:rsidRPr="0074209D" w:rsidRDefault="00420630" w:rsidP="00F56A2E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intersticiá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>l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>na pľúcna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>choroba (1,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>3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 %), často </w:t>
            </w:r>
            <w:r w:rsidR="00772F52">
              <w:rPr>
                <w:rFonts w:ascii="Times New Roman" w:eastAsia="Times New Roman" w:hAnsi="Times New Roman" w:cs="Times New Roman"/>
                <w:lang w:val="sk-SK"/>
              </w:rPr>
              <w:t>závažná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 (CTC stupeň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> 3</w:t>
            </w:r>
            <w:r w:rsidR="00444697" w:rsidRPr="0074209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-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4). </w:t>
            </w:r>
            <w:r w:rsidR="00F56A2E"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Boli hlásené prípady s fatálnym </w:t>
            </w:r>
            <w:r w:rsidR="00041C3D" w:rsidRPr="0074209D">
              <w:rPr>
                <w:rFonts w:ascii="Times New Roman" w:eastAsia="Times New Roman" w:hAnsi="Times New Roman" w:cs="Times New Roman"/>
                <w:lang w:val="sk-SK"/>
              </w:rPr>
              <w:t>koncom</w:t>
            </w:r>
          </w:p>
        </w:tc>
      </w:tr>
      <w:tr w:rsidR="00444697" w:rsidRPr="0074209D" w14:paraId="1EEB9F44" w14:textId="77777777" w:rsidTr="00473F05">
        <w:trPr>
          <w:trHeight w:val="548"/>
          <w:tblHeader/>
        </w:trPr>
        <w:tc>
          <w:tcPr>
            <w:tcW w:w="2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41" w14:textId="3554FB52" w:rsidR="00444697" w:rsidRPr="0074209D" w:rsidRDefault="00F56A2E" w:rsidP="00473F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Poruchy gastrointestinálneho traktu</w:t>
            </w:r>
          </w:p>
        </w:tc>
        <w:tc>
          <w:tcPr>
            <w:tcW w:w="294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42" w14:textId="7F141F68" w:rsidR="00444697" w:rsidRPr="0074209D" w:rsidRDefault="00F56A2E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veľmi časté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43" w14:textId="45AD2E79" w:rsidR="00444697" w:rsidRPr="0074209D" w:rsidRDefault="00F56A2E" w:rsidP="00F56A2E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hnačka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prevažne mierna alebo stredne </w:t>
            </w:r>
            <w:r w:rsidR="00772F52">
              <w:rPr>
                <w:rFonts w:ascii="Times New Roman" w:eastAsia="Times New Roman" w:hAnsi="Times New Roman" w:cs="Times New Roman"/>
                <w:lang w:val="sk-SK"/>
              </w:rPr>
              <w:t>závažná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 (CTC stupeň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 1 </w:t>
            </w:r>
            <w:r w:rsidRPr="0074209D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alebo </w:t>
            </w:r>
            <w:r w:rsidR="00454F76">
              <w:rPr>
                <w:rFonts w:ascii="Times New Roman" w:eastAsia="Times New Roman" w:hAnsi="Times New Roman" w:cs="Times New Roman"/>
                <w:lang w:val="sk-SK"/>
              </w:rPr>
              <w:t>2)</w:t>
            </w:r>
          </w:p>
        </w:tc>
      </w:tr>
      <w:tr w:rsidR="00444697" w:rsidRPr="0074209D" w14:paraId="1EEB9F48" w14:textId="77777777" w:rsidTr="00473F05">
        <w:trPr>
          <w:trHeight w:val="618"/>
          <w:tblHeader/>
        </w:trPr>
        <w:tc>
          <w:tcPr>
            <w:tcW w:w="2944" w:type="dxa"/>
            <w:vMerge/>
            <w:tcBorders>
              <w:left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45" w14:textId="77777777" w:rsidR="00444697" w:rsidRPr="0074209D" w:rsidRDefault="0044469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44" w:type="dxa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46" w14:textId="77777777" w:rsidR="00444697" w:rsidRPr="0074209D" w:rsidRDefault="00444697" w:rsidP="00473F05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47" w14:textId="1FDCBD90" w:rsidR="00444697" w:rsidRPr="0074209D" w:rsidRDefault="00F56A2E" w:rsidP="00F56A2E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vracanie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prevažne mierne alebo stredne </w:t>
            </w:r>
            <w:r w:rsidR="00BB6F8B">
              <w:rPr>
                <w:rFonts w:ascii="Times New Roman" w:eastAsia="Times New Roman" w:hAnsi="Times New Roman" w:cs="Times New Roman"/>
                <w:lang w:val="sk-SK"/>
              </w:rPr>
              <w:t>závažné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 (CTC stupeň 1 alebo</w:t>
            </w:r>
            <w:r w:rsidR="00454F76">
              <w:rPr>
                <w:rFonts w:ascii="Times New Roman" w:eastAsia="Times New Roman" w:hAnsi="Times New Roman" w:cs="Times New Roman"/>
                <w:lang w:val="sk-SK"/>
              </w:rPr>
              <w:t xml:space="preserve"> 2)</w:t>
            </w:r>
          </w:p>
        </w:tc>
      </w:tr>
      <w:tr w:rsidR="00444697" w:rsidRPr="0074209D" w14:paraId="1EEB9F4C" w14:textId="77777777" w:rsidTr="00473F05">
        <w:trPr>
          <w:trHeight w:val="590"/>
          <w:tblHeader/>
        </w:trPr>
        <w:tc>
          <w:tcPr>
            <w:tcW w:w="2944" w:type="dxa"/>
            <w:vMerge/>
            <w:tcBorders>
              <w:left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49" w14:textId="77777777" w:rsidR="00444697" w:rsidRPr="0074209D" w:rsidRDefault="0044469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44" w:type="dxa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4A" w14:textId="77777777" w:rsidR="00444697" w:rsidRPr="0074209D" w:rsidRDefault="00444697" w:rsidP="00473F05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4B" w14:textId="24200840" w:rsidR="00444697" w:rsidRPr="0074209D" w:rsidRDefault="00F56A2E" w:rsidP="00F56A2E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nauz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ea, 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>prevažne mierna (CTC stupeň</w:t>
            </w:r>
            <w:r w:rsidR="00454F76">
              <w:rPr>
                <w:rFonts w:ascii="Times New Roman" w:eastAsia="Times New Roman" w:hAnsi="Times New Roman" w:cs="Times New Roman"/>
                <w:lang w:val="sk-SK"/>
              </w:rPr>
              <w:t> 1)</w:t>
            </w:r>
          </w:p>
        </w:tc>
      </w:tr>
      <w:tr w:rsidR="00444697" w:rsidRPr="0074209D" w14:paraId="1EEB9F50" w14:textId="77777777" w:rsidTr="00473F05">
        <w:trPr>
          <w:trHeight w:val="576"/>
          <w:tblHeader/>
        </w:trPr>
        <w:tc>
          <w:tcPr>
            <w:tcW w:w="2944" w:type="dxa"/>
            <w:vMerge/>
            <w:tcBorders>
              <w:left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4D" w14:textId="77777777" w:rsidR="00444697" w:rsidRPr="0074209D" w:rsidRDefault="0044469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4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4E" w14:textId="77777777" w:rsidR="00444697" w:rsidRPr="0074209D" w:rsidRDefault="00444697" w:rsidP="00473F05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4F" w14:textId="399B63C8" w:rsidR="00444697" w:rsidRPr="0074209D" w:rsidRDefault="00F56A2E" w:rsidP="00F56A2E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stomatitída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>, pre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>važne mierna (CTC stupeň</w:t>
            </w:r>
            <w:r w:rsidR="00454F76">
              <w:rPr>
                <w:rFonts w:ascii="Times New Roman" w:eastAsia="Times New Roman" w:hAnsi="Times New Roman" w:cs="Times New Roman"/>
                <w:lang w:val="sk-SK"/>
              </w:rPr>
              <w:t> 1)</w:t>
            </w:r>
          </w:p>
        </w:tc>
      </w:tr>
      <w:tr w:rsidR="00444697" w:rsidRPr="0074209D" w14:paraId="1EEB9F54" w14:textId="77777777" w:rsidTr="00473F05">
        <w:trPr>
          <w:trHeight w:hRule="exact" w:val="790"/>
          <w:tblHeader/>
        </w:trPr>
        <w:tc>
          <w:tcPr>
            <w:tcW w:w="2944" w:type="dxa"/>
            <w:vMerge/>
            <w:tcBorders>
              <w:left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51" w14:textId="77777777" w:rsidR="00444697" w:rsidRPr="0074209D" w:rsidRDefault="0044469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52" w14:textId="44BD09E4" w:rsidR="00444697" w:rsidRPr="0074209D" w:rsidRDefault="00F56A2E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53" w14:textId="01554493" w:rsidR="00444697" w:rsidRPr="0074209D" w:rsidRDefault="00F56A2E" w:rsidP="00F56A2E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lang w:val="sk-SK"/>
              </w:rPr>
            </w:pPr>
            <w:r w:rsidRPr="00FE4AC1">
              <w:rPr>
                <w:rFonts w:ascii="Times New Roman" w:eastAsia="Times New Roman" w:hAnsi="Times New Roman" w:cs="Times New Roman"/>
                <w:lang w:val="sk-SK"/>
              </w:rPr>
              <w:t xml:space="preserve">sekundárna dehydratácia pri hnačke, </w:t>
            </w:r>
            <w:r w:rsidR="00D258CD" w:rsidRPr="008718D2">
              <w:rPr>
                <w:rFonts w:ascii="Times New Roman" w:eastAsia="Times New Roman" w:hAnsi="Times New Roman" w:cs="Times New Roman"/>
                <w:lang w:val="sk-SK"/>
              </w:rPr>
              <w:t>nevoľnosti</w:t>
            </w:r>
            <w:r w:rsidRPr="00FE4AC1">
              <w:rPr>
                <w:rFonts w:ascii="Times New Roman" w:eastAsia="Times New Roman" w:hAnsi="Times New Roman" w:cs="Times New Roman"/>
                <w:lang w:val="sk-SK"/>
              </w:rPr>
              <w:t>, vracan</w:t>
            </w:r>
            <w:r w:rsidR="00C52B49" w:rsidRPr="00FE4AC1">
              <w:rPr>
                <w:rFonts w:ascii="Times New Roman" w:eastAsia="Times New Roman" w:hAnsi="Times New Roman" w:cs="Times New Roman"/>
                <w:lang w:val="sk-SK"/>
              </w:rPr>
              <w:t>í</w:t>
            </w:r>
            <w:r w:rsidRPr="00FE4AC1">
              <w:rPr>
                <w:rFonts w:ascii="Times New Roman" w:eastAsia="Times New Roman" w:hAnsi="Times New Roman" w:cs="Times New Roman"/>
                <w:lang w:val="sk-SK"/>
              </w:rPr>
              <w:t xml:space="preserve"> alebo anorexi</w:t>
            </w:r>
            <w:r w:rsidR="00C52B49" w:rsidRPr="00FE4AC1">
              <w:rPr>
                <w:rFonts w:ascii="Times New Roman" w:eastAsia="Times New Roman" w:hAnsi="Times New Roman" w:cs="Times New Roman"/>
                <w:lang w:val="sk-SK"/>
              </w:rPr>
              <w:t>i</w:t>
            </w:r>
          </w:p>
        </w:tc>
      </w:tr>
      <w:tr w:rsidR="00444697" w:rsidRPr="0074209D" w14:paraId="1EEB9F58" w14:textId="77777777" w:rsidTr="00473F05">
        <w:trPr>
          <w:trHeight w:val="576"/>
          <w:tblHeader/>
        </w:trPr>
        <w:tc>
          <w:tcPr>
            <w:tcW w:w="2944" w:type="dxa"/>
            <w:vMerge/>
            <w:tcBorders>
              <w:left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55" w14:textId="77777777" w:rsidR="00444697" w:rsidRPr="0074209D" w:rsidRDefault="0044469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4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56" w14:textId="77777777" w:rsidR="00444697" w:rsidRPr="0074209D" w:rsidRDefault="00444697" w:rsidP="00473F05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57" w14:textId="3EFDE6B7" w:rsidR="00444697" w:rsidRPr="0074209D" w:rsidRDefault="000232A3" w:rsidP="00473F05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suchosť v ústach*, prevažne mierna (CTC stupeň</w:t>
            </w:r>
            <w:r w:rsidR="00454F76">
              <w:rPr>
                <w:rFonts w:ascii="Times New Roman" w:eastAsia="Times New Roman" w:hAnsi="Times New Roman" w:cs="Times New Roman"/>
                <w:lang w:val="sk-SK"/>
              </w:rPr>
              <w:t> 1)</w:t>
            </w:r>
          </w:p>
        </w:tc>
      </w:tr>
      <w:tr w:rsidR="00444697" w:rsidRPr="0074209D" w14:paraId="1EEB9F5C" w14:textId="77777777" w:rsidTr="00473F05">
        <w:trPr>
          <w:trHeight w:val="534"/>
          <w:tblHeader/>
        </w:trPr>
        <w:tc>
          <w:tcPr>
            <w:tcW w:w="2944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59" w14:textId="77777777" w:rsidR="00444697" w:rsidRPr="0074209D" w:rsidRDefault="0044469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5A" w14:textId="410D0844" w:rsidR="00444697" w:rsidRPr="0074209D" w:rsidRDefault="000232A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menej časté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5B" w14:textId="4DB74626" w:rsidR="00444697" w:rsidRPr="0074209D" w:rsidRDefault="000232A3" w:rsidP="00473F05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pankreatitída</w:t>
            </w:r>
            <w:r w:rsidR="00F602B8" w:rsidRPr="0074209D">
              <w:rPr>
                <w:rFonts w:ascii="Times New Roman" w:eastAsia="Times New Roman" w:hAnsi="Times New Roman" w:cs="Times New Roman"/>
                <w:lang w:val="sk-SK"/>
              </w:rPr>
              <w:t>; g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>astrointestiná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>l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>na perforácia</w:t>
            </w:r>
          </w:p>
        </w:tc>
      </w:tr>
      <w:tr w:rsidR="00444697" w:rsidRPr="0074209D" w14:paraId="1EEB9F60" w14:textId="77777777" w:rsidTr="00473F05">
        <w:trPr>
          <w:trHeight w:val="800"/>
          <w:tblHeader/>
        </w:trPr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</w:tcMar>
          </w:tcPr>
          <w:p w14:paraId="1EEB9F5D" w14:textId="23FF868B" w:rsidR="00444697" w:rsidRPr="0074209D" w:rsidRDefault="000232A3" w:rsidP="00473F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Poruchy pečene a žlčových ciest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</w:tcMar>
          </w:tcPr>
          <w:p w14:paraId="1EEB9F5E" w14:textId="3DF38F20" w:rsidR="00444697" w:rsidRPr="0074209D" w:rsidRDefault="000232A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veľmi časté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</w:tcMar>
          </w:tcPr>
          <w:p w14:paraId="1EEB9F5F" w14:textId="3F345EEB" w:rsidR="00444697" w:rsidRPr="0074209D" w:rsidRDefault="00871B87" w:rsidP="00871B87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zvýšenie hladiny alanínaminotransferázy, prevažne mierne až stredne </w:t>
            </w:r>
            <w:r w:rsidR="00772F52">
              <w:rPr>
                <w:rFonts w:ascii="Times New Roman" w:eastAsia="Times New Roman" w:hAnsi="Times New Roman" w:cs="Times New Roman"/>
                <w:lang w:val="sk-SK"/>
              </w:rPr>
              <w:t>závažné</w:t>
            </w:r>
          </w:p>
        </w:tc>
      </w:tr>
      <w:tr w:rsidR="00444697" w:rsidRPr="0074209D" w14:paraId="1EEB9F64" w14:textId="77777777" w:rsidTr="00473F05">
        <w:trPr>
          <w:trHeight w:val="785"/>
          <w:tblHeader/>
        </w:trPr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</w:tcMar>
          </w:tcPr>
          <w:p w14:paraId="1EEB9F61" w14:textId="77777777" w:rsidR="00444697" w:rsidRPr="0074209D" w:rsidRDefault="0044469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</w:tcMar>
          </w:tcPr>
          <w:p w14:paraId="1EEB9F62" w14:textId="07028081" w:rsidR="00444697" w:rsidRPr="0074209D" w:rsidRDefault="000232A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časté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</w:tcMar>
          </w:tcPr>
          <w:p w14:paraId="1EEB9F63" w14:textId="572A3AF5" w:rsidR="00444697" w:rsidRPr="0074209D" w:rsidRDefault="00871B87" w:rsidP="00871B87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zvýšenie hladiny aspartátaminotransferázy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prevažne mierne až stredne </w:t>
            </w:r>
            <w:r w:rsidR="00772F52">
              <w:rPr>
                <w:rFonts w:ascii="Times New Roman" w:eastAsia="Times New Roman" w:hAnsi="Times New Roman" w:cs="Times New Roman"/>
                <w:lang w:val="sk-SK"/>
              </w:rPr>
              <w:t>závažné</w:t>
            </w:r>
          </w:p>
        </w:tc>
      </w:tr>
      <w:tr w:rsidR="00444697" w:rsidRPr="0074209D" w14:paraId="1EEB9F68" w14:textId="77777777" w:rsidTr="00473F05">
        <w:trPr>
          <w:trHeight w:val="534"/>
          <w:tblHeader/>
        </w:trPr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</w:tcMar>
          </w:tcPr>
          <w:p w14:paraId="1EEB9F65" w14:textId="77777777" w:rsidR="00444697" w:rsidRPr="0074209D" w:rsidRDefault="0044469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</w:tcMar>
          </w:tcPr>
          <w:p w14:paraId="1EEB9F66" w14:textId="77777777" w:rsidR="00444697" w:rsidRPr="0074209D" w:rsidRDefault="00444697" w:rsidP="00473F05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</w:tcMar>
          </w:tcPr>
          <w:p w14:paraId="1EEB9F67" w14:textId="0A24A94A" w:rsidR="00444697" w:rsidRPr="0074209D" w:rsidRDefault="00871B87" w:rsidP="00871B87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zvýšenie </w:t>
            </w:r>
            <w:r w:rsidR="00BB6F8B">
              <w:rPr>
                <w:rFonts w:ascii="Times New Roman" w:eastAsia="Times New Roman" w:hAnsi="Times New Roman" w:cs="Times New Roman"/>
                <w:lang w:val="sk-SK"/>
              </w:rPr>
              <w:t xml:space="preserve">hladiny 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>celkového bilirubí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prevažne mierne až stredne </w:t>
            </w:r>
            <w:r w:rsidR="00772F52">
              <w:rPr>
                <w:rFonts w:ascii="Times New Roman" w:eastAsia="Times New Roman" w:hAnsi="Times New Roman" w:cs="Times New Roman"/>
                <w:lang w:val="sk-SK"/>
              </w:rPr>
              <w:t>závažné</w:t>
            </w:r>
          </w:p>
        </w:tc>
      </w:tr>
      <w:tr w:rsidR="00444697" w:rsidRPr="0074209D" w14:paraId="1EEB9F6C" w14:textId="77777777" w:rsidTr="00473F05">
        <w:trPr>
          <w:trHeight w:val="325"/>
          <w:tblHeader/>
        </w:trPr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</w:tcMar>
          </w:tcPr>
          <w:p w14:paraId="1EEB9F69" w14:textId="77777777" w:rsidR="00444697" w:rsidRPr="0074209D" w:rsidRDefault="0044469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</w:tcMar>
          </w:tcPr>
          <w:p w14:paraId="1EEB9F6A" w14:textId="3C3ABD8B" w:rsidR="00444697" w:rsidRPr="0074209D" w:rsidRDefault="000232A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menej časté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28" w:type="dxa"/>
            </w:tcMar>
          </w:tcPr>
          <w:p w14:paraId="1EEB9F6B" w14:textId="2B9EE718" w:rsidR="00444697" w:rsidRPr="0074209D" w:rsidRDefault="00BC364D" w:rsidP="00473F05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hepatitída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>**</w:t>
            </w:r>
          </w:p>
        </w:tc>
      </w:tr>
      <w:tr w:rsidR="00444697" w:rsidRPr="0074209D" w14:paraId="1EEB9F70" w14:textId="77777777" w:rsidTr="00473F05">
        <w:trPr>
          <w:trHeight w:val="1569"/>
          <w:tblHeader/>
        </w:trPr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6D" w14:textId="0E8A74F4" w:rsidR="00444697" w:rsidRPr="0074209D" w:rsidRDefault="00BC364D" w:rsidP="00473F0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Poruchy kože a podkožného tkaniva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6E" w14:textId="2838AD19" w:rsidR="00444697" w:rsidRPr="0074209D" w:rsidRDefault="00BC364D" w:rsidP="00473F05">
            <w:pPr>
              <w:keepNext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veľmi časté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6F" w14:textId="3B7F3F05" w:rsidR="00444697" w:rsidRPr="0074209D" w:rsidRDefault="0030232B" w:rsidP="0030232B">
            <w:pPr>
              <w:keepNext/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k</w:t>
            </w:r>
            <w:r w:rsidR="00AF1B25"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ožné reakcie, prevažne mierne až stredne </w:t>
            </w:r>
            <w:r w:rsidR="00BB6F8B">
              <w:rPr>
                <w:rFonts w:ascii="Times New Roman" w:eastAsia="Times New Roman" w:hAnsi="Times New Roman" w:cs="Times New Roman"/>
                <w:lang w:val="sk-SK"/>
              </w:rPr>
              <w:t>závažné</w:t>
            </w:r>
            <w:r w:rsidR="00AF1B25"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 (CTC stupeň 1 alebo 2) pustulá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>r</w:t>
            </w:r>
            <w:r w:rsidR="00AF1B25" w:rsidRPr="0074209D">
              <w:rPr>
                <w:rFonts w:ascii="Times New Roman" w:eastAsia="Times New Roman" w:hAnsi="Times New Roman" w:cs="Times New Roman"/>
                <w:lang w:val="sk-SK"/>
              </w:rPr>
              <w:t>ne</w:t>
            </w:r>
            <w:r w:rsidR="00444697" w:rsidRPr="0074209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="00AF1B25" w:rsidRPr="0074209D">
              <w:rPr>
                <w:rFonts w:ascii="Times New Roman" w:eastAsia="Times New Roman" w:hAnsi="Times New Roman" w:cs="Times New Roman"/>
                <w:lang w:val="sk-SK"/>
              </w:rPr>
              <w:t>vyrážky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="00444697" w:rsidRPr="0074209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="00AF1B25" w:rsidRPr="0074209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niekedy svrbivé so suchou kožou, vrátane kožných trhlín na 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>er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>ytematóznom základe</w:t>
            </w:r>
          </w:p>
        </w:tc>
      </w:tr>
      <w:tr w:rsidR="00444697" w:rsidRPr="0074209D" w14:paraId="1EEB9F74" w14:textId="77777777" w:rsidTr="00473F05">
        <w:trPr>
          <w:trHeight w:val="296"/>
          <w:tblHeader/>
        </w:trPr>
        <w:tc>
          <w:tcPr>
            <w:tcW w:w="2944" w:type="dxa"/>
            <w:vMerge/>
            <w:tcBorders>
              <w:left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71" w14:textId="77777777" w:rsidR="00444697" w:rsidRPr="0074209D" w:rsidRDefault="00444697" w:rsidP="00473F05">
            <w:pPr>
              <w:keepNext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72" w14:textId="2F532EA1" w:rsidR="00444697" w:rsidRPr="0074209D" w:rsidRDefault="00BC364D" w:rsidP="00473F05">
            <w:pPr>
              <w:keepNext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časté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73" w14:textId="4AD591AC" w:rsidR="00444697" w:rsidRPr="0074209D" w:rsidRDefault="00F83CFF" w:rsidP="00473F05">
            <w:pPr>
              <w:keepNext/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poškodenie nechtov</w:t>
            </w:r>
          </w:p>
        </w:tc>
      </w:tr>
      <w:tr w:rsidR="00444697" w:rsidRPr="0074209D" w14:paraId="1EEB9F78" w14:textId="77777777" w:rsidTr="00473F05">
        <w:trPr>
          <w:trHeight w:val="282"/>
          <w:tblHeader/>
        </w:trPr>
        <w:tc>
          <w:tcPr>
            <w:tcW w:w="2944" w:type="dxa"/>
            <w:vMerge/>
            <w:tcBorders>
              <w:left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75" w14:textId="77777777" w:rsidR="00444697" w:rsidRPr="0074209D" w:rsidRDefault="00444697" w:rsidP="00473F05">
            <w:pPr>
              <w:keepNext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44" w:type="dxa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76" w14:textId="77777777" w:rsidR="00444697" w:rsidRPr="0074209D" w:rsidRDefault="00444697" w:rsidP="00473F05">
            <w:pPr>
              <w:keepNext/>
              <w:spacing w:after="0" w:line="240" w:lineRule="auto"/>
              <w:ind w:right="-20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77" w14:textId="6086939A" w:rsidR="00444697" w:rsidRPr="0074209D" w:rsidRDefault="00F83CFF" w:rsidP="00473F05">
            <w:pPr>
              <w:keepNext/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alopé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>cia</w:t>
            </w:r>
          </w:p>
        </w:tc>
      </w:tr>
      <w:tr w:rsidR="00444697" w:rsidRPr="0074209D" w14:paraId="1EEB9F7C" w14:textId="77777777" w:rsidTr="00473F05">
        <w:trPr>
          <w:trHeight w:val="772"/>
          <w:tblHeader/>
        </w:trPr>
        <w:tc>
          <w:tcPr>
            <w:tcW w:w="2944" w:type="dxa"/>
            <w:vMerge/>
            <w:tcBorders>
              <w:left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79" w14:textId="77777777" w:rsidR="00444697" w:rsidRPr="0074209D" w:rsidRDefault="0044469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4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7A" w14:textId="77777777" w:rsidR="00444697" w:rsidRPr="0074209D" w:rsidRDefault="00444697" w:rsidP="00473F05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7B" w14:textId="3E953DE2" w:rsidR="00444697" w:rsidRPr="0074209D" w:rsidRDefault="00F83CFF" w:rsidP="00F83CFF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>lergic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>ké reakcie (1,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>1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> 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%), 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>vrátane angioedému a urtikárie</w:t>
            </w:r>
          </w:p>
        </w:tc>
      </w:tr>
      <w:tr w:rsidR="00444697" w:rsidRPr="0074209D" w14:paraId="1EEB9F80" w14:textId="77777777" w:rsidTr="00473F05">
        <w:trPr>
          <w:trHeight w:val="1051"/>
          <w:tblHeader/>
        </w:trPr>
        <w:tc>
          <w:tcPr>
            <w:tcW w:w="2944" w:type="dxa"/>
            <w:vMerge/>
            <w:tcBorders>
              <w:left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7D" w14:textId="77777777" w:rsidR="00444697" w:rsidRPr="0074209D" w:rsidRDefault="0044469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7E" w14:textId="761F114B" w:rsidR="00444697" w:rsidRPr="0074209D" w:rsidRDefault="00AF1B25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zriedkavé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7F" w14:textId="1BA17311" w:rsidR="00444697" w:rsidRPr="0074209D" w:rsidRDefault="00F83CFF" w:rsidP="00F83CFF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bulózne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>stavy vrátane toxickej epidermálnej nekrolýzy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>, Stevens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>ov</w:t>
            </w:r>
            <w:r w:rsidR="00BB6F8B">
              <w:rPr>
                <w:rFonts w:ascii="Times New Roman" w:eastAsia="Times New Roman" w:hAnsi="Times New Roman" w:cs="Times New Roman"/>
                <w:lang w:val="sk-SK"/>
              </w:rPr>
              <w:t>ho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>Johnson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>ov</w:t>
            </w:r>
            <w:r w:rsidR="00BB6F8B">
              <w:rPr>
                <w:rFonts w:ascii="Times New Roman" w:eastAsia="Times New Roman" w:hAnsi="Times New Roman" w:cs="Times New Roman"/>
                <w:lang w:val="sk-SK"/>
              </w:rPr>
              <w:t>ho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 syndróm</w:t>
            </w:r>
            <w:r w:rsidR="00BB6F8B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 a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>multiformn</w:t>
            </w:r>
            <w:r w:rsidR="00BB6F8B">
              <w:rPr>
                <w:rFonts w:ascii="Times New Roman" w:eastAsia="Times New Roman" w:hAnsi="Times New Roman" w:cs="Times New Roman"/>
                <w:lang w:val="sk-SK"/>
              </w:rPr>
              <w:t>ého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 xml:space="preserve"> erytém</w:t>
            </w:r>
            <w:r w:rsidR="00BB6F8B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="00444697" w:rsidRPr="0074209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</w:p>
        </w:tc>
      </w:tr>
      <w:tr w:rsidR="00444697" w:rsidRPr="0074209D" w14:paraId="1EEB9F84" w14:textId="77777777" w:rsidTr="00473F05">
        <w:trPr>
          <w:trHeight w:val="283"/>
          <w:tblHeader/>
        </w:trPr>
        <w:tc>
          <w:tcPr>
            <w:tcW w:w="294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81" w14:textId="77777777" w:rsidR="00444697" w:rsidRPr="0074209D" w:rsidRDefault="0044469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4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82" w14:textId="77777777" w:rsidR="00444697" w:rsidRPr="0074209D" w:rsidRDefault="00444697" w:rsidP="00473F05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83" w14:textId="79ECFDA5" w:rsidR="00444697" w:rsidRPr="0074209D" w:rsidRDefault="00ED7DE3" w:rsidP="00473F05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kožná vask</w:t>
            </w:r>
            <w:r w:rsidR="00F83CFF" w:rsidRPr="0074209D">
              <w:rPr>
                <w:rFonts w:ascii="Times New Roman" w:eastAsia="Times New Roman" w:hAnsi="Times New Roman" w:cs="Times New Roman"/>
                <w:lang w:val="sk-SK"/>
              </w:rPr>
              <w:t>ulitída</w:t>
            </w:r>
          </w:p>
        </w:tc>
      </w:tr>
      <w:tr w:rsidR="00444697" w:rsidRPr="0074209D" w14:paraId="1EEB9F88" w14:textId="77777777" w:rsidTr="00473F05">
        <w:trPr>
          <w:trHeight w:val="534"/>
          <w:tblHeader/>
        </w:trPr>
        <w:tc>
          <w:tcPr>
            <w:tcW w:w="2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85" w14:textId="03940980" w:rsidR="00444697" w:rsidRPr="0074209D" w:rsidRDefault="00F83CFF" w:rsidP="00473F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Poruchy obličiek a močových ciest</w:t>
            </w:r>
          </w:p>
        </w:tc>
        <w:tc>
          <w:tcPr>
            <w:tcW w:w="294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86" w14:textId="747BBCD5" w:rsidR="00444697" w:rsidRPr="0074209D" w:rsidRDefault="00F83CF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časté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87" w14:textId="3876C990" w:rsidR="00444697" w:rsidRPr="0074209D" w:rsidRDefault="00F83CFF" w:rsidP="00F83CFF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>symptomatic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>ké laboratórne zvýšenie kreatinínu v krvi</w:t>
            </w:r>
          </w:p>
        </w:tc>
      </w:tr>
      <w:tr w:rsidR="00444697" w:rsidRPr="0074209D" w14:paraId="1EEB9F8C" w14:textId="77777777" w:rsidTr="00473F05">
        <w:trPr>
          <w:trHeight w:val="310"/>
          <w:tblHeader/>
        </w:trPr>
        <w:tc>
          <w:tcPr>
            <w:tcW w:w="2944" w:type="dxa"/>
            <w:vMerge/>
            <w:tcBorders>
              <w:left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89" w14:textId="77777777" w:rsidR="00444697" w:rsidRPr="0074209D" w:rsidRDefault="0044469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44" w:type="dxa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8A" w14:textId="77777777" w:rsidR="00444697" w:rsidRPr="0074209D" w:rsidRDefault="00444697" w:rsidP="00473F05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8B" w14:textId="67DBD62A" w:rsidR="00444697" w:rsidRPr="0074209D" w:rsidRDefault="00F83CFF" w:rsidP="00473F05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proteinú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>ria</w:t>
            </w:r>
          </w:p>
        </w:tc>
      </w:tr>
      <w:tr w:rsidR="00444697" w:rsidRPr="0074209D" w14:paraId="1EEB9F90" w14:textId="77777777" w:rsidTr="00473F05">
        <w:trPr>
          <w:trHeight w:val="296"/>
          <w:tblHeader/>
        </w:trPr>
        <w:tc>
          <w:tcPr>
            <w:tcW w:w="2944" w:type="dxa"/>
            <w:vMerge/>
            <w:tcBorders>
              <w:left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8D" w14:textId="77777777" w:rsidR="00444697" w:rsidRPr="0074209D" w:rsidRDefault="0044469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4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8E" w14:textId="77777777" w:rsidR="00444697" w:rsidRPr="0074209D" w:rsidRDefault="00444697" w:rsidP="00473F05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8F" w14:textId="5956EA31" w:rsidR="00444697" w:rsidRPr="0074209D" w:rsidRDefault="00F83CFF" w:rsidP="00473F05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cystitída</w:t>
            </w:r>
          </w:p>
        </w:tc>
      </w:tr>
      <w:tr w:rsidR="00444697" w:rsidRPr="0074209D" w14:paraId="1EEB9F94" w14:textId="77777777" w:rsidTr="00473F05">
        <w:trPr>
          <w:trHeight w:val="283"/>
          <w:tblHeader/>
        </w:trPr>
        <w:tc>
          <w:tcPr>
            <w:tcW w:w="294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91" w14:textId="77777777" w:rsidR="00444697" w:rsidRPr="0074209D" w:rsidRDefault="00444697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92" w14:textId="1D1492DD" w:rsidR="00444697" w:rsidRPr="0074209D" w:rsidRDefault="00F83CF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zriedkavé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93" w14:textId="30FFC732" w:rsidR="00444697" w:rsidRPr="0074209D" w:rsidRDefault="00F83CFF" w:rsidP="00473F05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hemor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>agic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>ká cystitída</w:t>
            </w:r>
          </w:p>
        </w:tc>
      </w:tr>
      <w:tr w:rsidR="00444697" w:rsidRPr="0074209D" w14:paraId="1EEB9F98" w14:textId="77777777" w:rsidTr="00473F05">
        <w:trPr>
          <w:trHeight w:val="547"/>
          <w:tblHeader/>
        </w:trPr>
        <w:tc>
          <w:tcPr>
            <w:tcW w:w="2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95" w14:textId="10492DF4" w:rsidR="00444697" w:rsidRPr="0074209D" w:rsidRDefault="00F83CFF" w:rsidP="00473F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Celkové poruchy a reakcie v mieste podania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96" w14:textId="48474C3D" w:rsidR="00444697" w:rsidRPr="0074209D" w:rsidRDefault="00F83CF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veľmi časté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97" w14:textId="694D88CE" w:rsidR="00444697" w:rsidRPr="0074209D" w:rsidRDefault="00F83CFF" w:rsidP="00F83CFF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asté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>nia, pre</w:t>
            </w:r>
            <w:r w:rsidRPr="0074209D">
              <w:rPr>
                <w:rFonts w:ascii="Times New Roman" w:eastAsia="Times New Roman" w:hAnsi="Times New Roman" w:cs="Times New Roman"/>
                <w:lang w:val="sk-SK"/>
              </w:rPr>
              <w:t>važne mierna (CTC stupeň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> 1).</w:t>
            </w:r>
          </w:p>
        </w:tc>
      </w:tr>
      <w:tr w:rsidR="00444697" w:rsidRPr="0074209D" w14:paraId="1EEB9F9C" w14:textId="77777777" w:rsidTr="00473F05">
        <w:trPr>
          <w:trHeight w:val="353"/>
          <w:tblHeader/>
        </w:trPr>
        <w:tc>
          <w:tcPr>
            <w:tcW w:w="294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99" w14:textId="77777777" w:rsidR="00444697" w:rsidRPr="0074209D" w:rsidRDefault="00444697">
            <w:pPr>
              <w:spacing w:after="0" w:line="240" w:lineRule="auto"/>
              <w:ind w:right="313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9A" w14:textId="7CFE8EA3" w:rsidR="00444697" w:rsidRPr="0074209D" w:rsidRDefault="00F83CF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časté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9B" w14:textId="604EDD14" w:rsidR="00444697" w:rsidRPr="0074209D" w:rsidRDefault="00F83CFF" w:rsidP="00473F05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lang w:val="sk-SK"/>
              </w:rPr>
            </w:pPr>
            <w:r w:rsidRPr="0074209D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="00444697" w:rsidRPr="0074209D">
              <w:rPr>
                <w:rFonts w:ascii="Times New Roman" w:eastAsia="Times New Roman" w:hAnsi="Times New Roman" w:cs="Times New Roman"/>
                <w:lang w:val="sk-SK"/>
              </w:rPr>
              <w:t>yrexia</w:t>
            </w:r>
          </w:p>
        </w:tc>
      </w:tr>
    </w:tbl>
    <w:p w14:paraId="1EEB9F9D" w14:textId="042DABFD" w:rsidR="00444697" w:rsidRPr="0074209D" w:rsidRDefault="00041C3D">
      <w:pPr>
        <w:spacing w:after="0" w:line="240" w:lineRule="auto"/>
        <w:ind w:right="619"/>
        <w:rPr>
          <w:rFonts w:ascii="Times New Roman" w:eastAsia="Times New Roman" w:hAnsi="Times New Roman" w:cs="Times New Roman"/>
          <w:sz w:val="20"/>
          <w:lang w:val="sk-SK"/>
        </w:rPr>
      </w:pPr>
      <w:r w:rsidRPr="0074209D">
        <w:rPr>
          <w:rFonts w:ascii="Times New Roman" w:eastAsia="Times New Roman" w:hAnsi="Times New Roman" w:cs="Times New Roman"/>
          <w:sz w:val="20"/>
          <w:lang w:val="sk-SK"/>
        </w:rPr>
        <w:t xml:space="preserve">Frekvencia nežiaducich reakcií súvisiaca s abnormálnymi </w:t>
      </w:r>
      <w:r w:rsidR="00ED7DE3" w:rsidRPr="0074209D">
        <w:rPr>
          <w:rFonts w:ascii="Times New Roman" w:eastAsia="Times New Roman" w:hAnsi="Times New Roman" w:cs="Times New Roman"/>
          <w:sz w:val="20"/>
          <w:lang w:val="sk-SK"/>
        </w:rPr>
        <w:t>laboratórnymi</w:t>
      </w:r>
      <w:r w:rsidRPr="0074209D">
        <w:rPr>
          <w:rFonts w:ascii="Times New Roman" w:eastAsia="Times New Roman" w:hAnsi="Times New Roman" w:cs="Times New Roman"/>
          <w:sz w:val="20"/>
          <w:lang w:val="sk-SK"/>
        </w:rPr>
        <w:t xml:space="preserve"> hodnotami je založená na pacientoch so zmenou oproti východiskovým hodnotám o 2 alebo viac CTC stupňov v relevantných laboratórnych parametroch</w:t>
      </w:r>
      <w:r w:rsidR="00444697" w:rsidRPr="0074209D">
        <w:rPr>
          <w:rFonts w:ascii="Times New Roman" w:eastAsia="Times New Roman" w:hAnsi="Times New Roman" w:cs="Times New Roman"/>
          <w:sz w:val="20"/>
          <w:lang w:val="sk-SK"/>
        </w:rPr>
        <w:t>.</w:t>
      </w:r>
    </w:p>
    <w:p w14:paraId="1EEB9F9E" w14:textId="1BC81B42" w:rsidR="00444697" w:rsidRPr="0074209D" w:rsidRDefault="00444697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lang w:val="sk-SK"/>
        </w:rPr>
      </w:pPr>
      <w:r w:rsidRPr="0074209D">
        <w:rPr>
          <w:rFonts w:ascii="Times New Roman" w:eastAsia="Times New Roman" w:hAnsi="Times New Roman" w:cs="Times New Roman"/>
          <w:spacing w:val="-4"/>
          <w:sz w:val="20"/>
          <w:lang w:val="sk-SK"/>
        </w:rPr>
        <w:t>*</w:t>
      </w:r>
      <w:r w:rsidRPr="0074209D">
        <w:rPr>
          <w:rFonts w:ascii="Times New Roman" w:eastAsia="Times New Roman" w:hAnsi="Times New Roman" w:cs="Times New Roman"/>
          <w:spacing w:val="3"/>
          <w:sz w:val="20"/>
          <w:lang w:val="sk-SK"/>
        </w:rPr>
        <w:t>T</w:t>
      </w:r>
      <w:r w:rsidR="00041C3D" w:rsidRPr="0074209D">
        <w:rPr>
          <w:rFonts w:ascii="Times New Roman" w:eastAsia="Times New Roman" w:hAnsi="Times New Roman" w:cs="Times New Roman"/>
          <w:spacing w:val="3"/>
          <w:sz w:val="20"/>
          <w:lang w:val="sk-SK"/>
        </w:rPr>
        <w:t xml:space="preserve">áto nežiaduca reakcia sa môže vyskytnúť v spojení s ďalšími prejavmi </w:t>
      </w:r>
      <w:r w:rsidR="00BB6F8B">
        <w:rPr>
          <w:rFonts w:ascii="Times New Roman" w:eastAsia="Times New Roman" w:hAnsi="Times New Roman" w:cs="Times New Roman"/>
          <w:spacing w:val="3"/>
          <w:sz w:val="20"/>
          <w:lang w:val="sk-SK"/>
        </w:rPr>
        <w:t>suchého tkaniva</w:t>
      </w:r>
      <w:r w:rsidR="00041C3D" w:rsidRPr="0074209D">
        <w:rPr>
          <w:rFonts w:ascii="Times New Roman" w:eastAsia="Times New Roman" w:hAnsi="Times New Roman" w:cs="Times New Roman"/>
          <w:spacing w:val="3"/>
          <w:sz w:val="20"/>
          <w:lang w:val="sk-SK"/>
        </w:rPr>
        <w:t xml:space="preserve"> </w:t>
      </w:r>
      <w:r w:rsidR="00041C3D" w:rsidRPr="0074209D">
        <w:rPr>
          <w:rFonts w:ascii="Times New Roman" w:eastAsia="Times New Roman" w:hAnsi="Times New Roman" w:cs="Times New Roman"/>
          <w:sz w:val="20"/>
          <w:lang w:val="sk-SK"/>
        </w:rPr>
        <w:t>(hlavne kožnými</w:t>
      </w:r>
      <w:r w:rsidRPr="0074209D">
        <w:rPr>
          <w:rFonts w:ascii="Times New Roman" w:eastAsia="Times New Roman" w:hAnsi="Times New Roman" w:cs="Times New Roman"/>
          <w:spacing w:val="-6"/>
          <w:sz w:val="20"/>
          <w:lang w:val="sk-SK"/>
        </w:rPr>
        <w:t xml:space="preserve"> </w:t>
      </w:r>
      <w:r w:rsidR="00041C3D" w:rsidRPr="0074209D">
        <w:rPr>
          <w:rFonts w:ascii="Times New Roman" w:eastAsia="Times New Roman" w:hAnsi="Times New Roman" w:cs="Times New Roman"/>
          <w:spacing w:val="-6"/>
          <w:sz w:val="20"/>
          <w:lang w:val="sk-SK"/>
        </w:rPr>
        <w:t>reakciami</w:t>
      </w:r>
      <w:r w:rsidRPr="0074209D">
        <w:rPr>
          <w:rFonts w:ascii="Times New Roman" w:eastAsia="Times New Roman" w:hAnsi="Times New Roman" w:cs="Times New Roman"/>
          <w:sz w:val="20"/>
          <w:lang w:val="sk-SK"/>
        </w:rPr>
        <w:t>)</w:t>
      </w:r>
      <w:r w:rsidRPr="0074209D">
        <w:rPr>
          <w:rFonts w:ascii="Times New Roman" w:eastAsia="Times New Roman" w:hAnsi="Times New Roman" w:cs="Times New Roman"/>
          <w:spacing w:val="-8"/>
          <w:sz w:val="20"/>
          <w:lang w:val="sk-SK"/>
        </w:rPr>
        <w:t xml:space="preserve"> </w:t>
      </w:r>
      <w:r w:rsidR="00041C3D" w:rsidRPr="0074209D">
        <w:rPr>
          <w:rFonts w:ascii="Times New Roman" w:eastAsia="Times New Roman" w:hAnsi="Times New Roman" w:cs="Times New Roman"/>
          <w:spacing w:val="-8"/>
          <w:sz w:val="20"/>
          <w:lang w:val="sk-SK"/>
        </w:rPr>
        <w:t xml:space="preserve">pozorovanými pri podávaní </w:t>
      </w:r>
      <w:r w:rsidRPr="0074209D">
        <w:rPr>
          <w:rFonts w:ascii="Times New Roman" w:eastAsia="Times New Roman" w:hAnsi="Times New Roman" w:cs="Times New Roman"/>
          <w:sz w:val="20"/>
          <w:lang w:val="sk-SK"/>
        </w:rPr>
        <w:t>gefitinib</w:t>
      </w:r>
      <w:r w:rsidR="00041C3D" w:rsidRPr="0074209D">
        <w:rPr>
          <w:rFonts w:ascii="Times New Roman" w:eastAsia="Times New Roman" w:hAnsi="Times New Roman" w:cs="Times New Roman"/>
          <w:sz w:val="20"/>
          <w:lang w:val="sk-SK"/>
        </w:rPr>
        <w:t>u</w:t>
      </w:r>
      <w:r w:rsidRPr="0074209D">
        <w:rPr>
          <w:rFonts w:ascii="Times New Roman" w:eastAsia="Times New Roman" w:hAnsi="Times New Roman" w:cs="Times New Roman"/>
          <w:sz w:val="20"/>
          <w:lang w:val="sk-SK"/>
        </w:rPr>
        <w:t>.</w:t>
      </w:r>
    </w:p>
    <w:p w14:paraId="1EEB9F9F" w14:textId="6D27D119" w:rsidR="00444697" w:rsidRPr="0074209D" w:rsidRDefault="00444697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lang w:val="sk-SK"/>
        </w:rPr>
      </w:pPr>
      <w:r w:rsidRPr="0074209D">
        <w:rPr>
          <w:rFonts w:ascii="Times New Roman" w:eastAsia="Times New Roman" w:hAnsi="Times New Roman" w:cs="Times New Roman"/>
          <w:spacing w:val="-2"/>
          <w:sz w:val="20"/>
          <w:lang w:val="sk-SK"/>
        </w:rPr>
        <w:t>**</w:t>
      </w:r>
      <w:r w:rsidR="00041C3D" w:rsidRPr="0074209D">
        <w:rPr>
          <w:rFonts w:ascii="Times New Roman" w:eastAsia="Times New Roman" w:hAnsi="Times New Roman" w:cs="Times New Roman"/>
          <w:spacing w:val="-2"/>
          <w:sz w:val="20"/>
          <w:lang w:val="sk-SK"/>
        </w:rPr>
        <w:t>Zahŕňa jednotlivé hlásenia o zlyhaní pečene, ktoré viedli v niektorých prípadoch k fatálnym koncom</w:t>
      </w:r>
      <w:r w:rsidRPr="0074209D">
        <w:rPr>
          <w:rFonts w:ascii="Times New Roman" w:eastAsia="Times New Roman" w:hAnsi="Times New Roman" w:cs="Times New Roman"/>
          <w:sz w:val="20"/>
          <w:lang w:val="sk-SK"/>
        </w:rPr>
        <w:t>.</w:t>
      </w:r>
    </w:p>
    <w:p w14:paraId="1EEB9FA0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A1" w14:textId="536DEFF2" w:rsidR="00444697" w:rsidRPr="0074209D" w:rsidRDefault="006F20C6" w:rsidP="00473F05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i/>
          <w:lang w:val="sk-SK"/>
        </w:rPr>
        <w:t>Intersticiálna pľúcna choroba (</w:t>
      </w:r>
      <w:r w:rsidR="00EC7D84" w:rsidRPr="0074209D">
        <w:rPr>
          <w:rFonts w:ascii="Times New Roman" w:eastAsia="Times New Roman" w:hAnsi="Times New Roman" w:cs="Times New Roman"/>
          <w:i/>
          <w:lang w:val="sk-SK"/>
        </w:rPr>
        <w:t>ILD</w:t>
      </w:r>
      <w:r w:rsidR="00444697" w:rsidRPr="0074209D">
        <w:rPr>
          <w:rFonts w:ascii="Times New Roman" w:eastAsia="Times New Roman" w:hAnsi="Times New Roman" w:cs="Times New Roman"/>
          <w:i/>
          <w:lang w:val="sk-SK"/>
        </w:rPr>
        <w:t>)</w:t>
      </w:r>
    </w:p>
    <w:p w14:paraId="1EEB9FA2" w14:textId="2D3887D5" w:rsidR="00444697" w:rsidRPr="0074209D" w:rsidRDefault="0065194F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V </w:t>
      </w:r>
      <w:r w:rsidR="006F20C6" w:rsidRPr="0074209D">
        <w:rPr>
          <w:rFonts w:ascii="Times New Roman" w:eastAsia="Times New Roman" w:hAnsi="Times New Roman" w:cs="Times New Roman"/>
          <w:lang w:val="sk-SK"/>
        </w:rPr>
        <w:t>skúšaní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INTEREST </w:t>
      </w:r>
      <w:r w:rsidR="006F20C6" w:rsidRPr="0074209D">
        <w:rPr>
          <w:rFonts w:ascii="Times New Roman" w:eastAsia="Times New Roman" w:hAnsi="Times New Roman" w:cs="Times New Roman"/>
          <w:lang w:val="sk-SK"/>
        </w:rPr>
        <w:t>bo</w:t>
      </w:r>
      <w:r w:rsidR="00E51334" w:rsidRPr="0074209D">
        <w:rPr>
          <w:rFonts w:ascii="Times New Roman" w:eastAsia="Times New Roman" w:hAnsi="Times New Roman" w:cs="Times New Roman"/>
          <w:lang w:val="sk-SK"/>
        </w:rPr>
        <w:t>l výskyt</w:t>
      </w:r>
      <w:r w:rsidR="00EC7D84" w:rsidRPr="0074209D">
        <w:rPr>
          <w:rFonts w:ascii="Times New Roman" w:eastAsia="Times New Roman" w:hAnsi="Times New Roman" w:cs="Times New Roman"/>
          <w:lang w:val="sk-SK"/>
        </w:rPr>
        <w:t xml:space="preserve"> udalostí typu ILD</w:t>
      </w:r>
      <w:r w:rsidR="006F20C6" w:rsidRPr="0074209D">
        <w:rPr>
          <w:rFonts w:ascii="Times New Roman" w:eastAsia="Times New Roman" w:hAnsi="Times New Roman" w:cs="Times New Roman"/>
          <w:lang w:val="sk-SK"/>
        </w:rPr>
        <w:t xml:space="preserve"> 1,</w:t>
      </w:r>
      <w:r w:rsidR="00444697" w:rsidRPr="0074209D">
        <w:rPr>
          <w:rFonts w:ascii="Times New Roman" w:eastAsia="Times New Roman" w:hAnsi="Times New Roman" w:cs="Times New Roman"/>
          <w:lang w:val="sk-SK"/>
        </w:rPr>
        <w:t>4</w:t>
      </w:r>
      <w:r w:rsidR="006F20C6" w:rsidRPr="0074209D">
        <w:rPr>
          <w:rFonts w:ascii="Times New Roman" w:eastAsia="Times New Roman" w:hAnsi="Times New Roman" w:cs="Times New Roman"/>
          <w:lang w:val="sk-SK"/>
        </w:rPr>
        <w:t> % (10) pacientov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6F20C6" w:rsidRPr="0074209D">
        <w:rPr>
          <w:rFonts w:ascii="Times New Roman" w:eastAsia="Times New Roman" w:hAnsi="Times New Roman" w:cs="Times New Roman"/>
          <w:lang w:val="sk-SK"/>
        </w:rPr>
        <w:t xml:space="preserve">v skupine s </w:t>
      </w:r>
      <w:r w:rsidR="00444697" w:rsidRPr="0074209D">
        <w:rPr>
          <w:rFonts w:ascii="Times New Roman" w:eastAsia="Times New Roman" w:hAnsi="Times New Roman" w:cs="Times New Roman"/>
          <w:lang w:val="sk-SK"/>
        </w:rPr>
        <w:t>gefitinib</w:t>
      </w:r>
      <w:r w:rsidR="006F20C6" w:rsidRPr="0074209D">
        <w:rPr>
          <w:rFonts w:ascii="Times New Roman" w:eastAsia="Times New Roman" w:hAnsi="Times New Roman" w:cs="Times New Roman"/>
          <w:lang w:val="sk-SK"/>
        </w:rPr>
        <w:t xml:space="preserve">om </w:t>
      </w:r>
      <w:r w:rsidR="006F20C6" w:rsidRPr="0074209D">
        <w:rPr>
          <w:rFonts w:ascii="Times New Roman" w:eastAsia="Times New Roman" w:hAnsi="Times New Roman" w:cs="Times New Roman"/>
          <w:i/>
          <w:lang w:val="sk-SK"/>
        </w:rPr>
        <w:t>verzus</w:t>
      </w:r>
      <w:r w:rsidR="00444697" w:rsidRPr="0074209D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="006F20C6" w:rsidRPr="0074209D">
        <w:rPr>
          <w:rFonts w:ascii="Times New Roman" w:eastAsia="Times New Roman" w:hAnsi="Times New Roman" w:cs="Times New Roman"/>
          <w:lang w:val="sk-SK"/>
        </w:rPr>
        <w:t>1,</w:t>
      </w:r>
      <w:r w:rsidR="00444697" w:rsidRPr="0074209D">
        <w:rPr>
          <w:rFonts w:ascii="Times New Roman" w:eastAsia="Times New Roman" w:hAnsi="Times New Roman" w:cs="Times New Roman"/>
          <w:lang w:val="sk-SK"/>
        </w:rPr>
        <w:t>1</w:t>
      </w:r>
      <w:r w:rsidR="006F20C6" w:rsidRPr="0074209D">
        <w:rPr>
          <w:rFonts w:ascii="Times New Roman" w:eastAsia="Times New Roman" w:hAnsi="Times New Roman" w:cs="Times New Roman"/>
          <w:lang w:val="sk-SK"/>
        </w:rPr>
        <w:t> % (8) pacientov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6F20C6" w:rsidRPr="0074209D">
        <w:rPr>
          <w:rFonts w:ascii="Times New Roman" w:eastAsia="Times New Roman" w:hAnsi="Times New Roman" w:cs="Times New Roman"/>
          <w:lang w:val="sk-SK"/>
        </w:rPr>
        <w:t>v skupine s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docetaxel</w:t>
      </w:r>
      <w:r w:rsidR="006F20C6" w:rsidRPr="0074209D">
        <w:rPr>
          <w:rFonts w:ascii="Times New Roman" w:eastAsia="Times New Roman" w:hAnsi="Times New Roman" w:cs="Times New Roman"/>
          <w:lang w:val="sk-SK"/>
        </w:rPr>
        <w:t>om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. </w:t>
      </w:r>
      <w:r w:rsidR="00E51334" w:rsidRPr="0074209D">
        <w:rPr>
          <w:rFonts w:ascii="Times New Roman" w:eastAsia="Times New Roman" w:hAnsi="Times New Roman" w:cs="Times New Roman"/>
          <w:spacing w:val="-1"/>
          <w:lang w:val="sk-SK"/>
        </w:rPr>
        <w:t>Jedna</w:t>
      </w:r>
      <w:r w:rsidR="00EC7D84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udalosť typu ILD</w:t>
      </w:r>
      <w:r w:rsidR="006F20C6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bola fatálna a to u pacienta užívajúceho gefitinib</w:t>
      </w:r>
      <w:r w:rsidR="00444697" w:rsidRPr="0074209D">
        <w:rPr>
          <w:rFonts w:ascii="Times New Roman" w:eastAsia="Times New Roman" w:hAnsi="Times New Roman" w:cs="Times New Roman"/>
          <w:lang w:val="sk-SK"/>
        </w:rPr>
        <w:t>.</w:t>
      </w:r>
    </w:p>
    <w:p w14:paraId="1EEB9FA3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A4" w14:textId="66CA82C6" w:rsidR="00444697" w:rsidRPr="0074209D" w:rsidRDefault="00E51334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>V</w:t>
      </w:r>
      <w:r w:rsidR="0065194F">
        <w:rPr>
          <w:rFonts w:ascii="Times New Roman" w:eastAsia="Times New Roman" w:hAnsi="Times New Roman" w:cs="Times New Roman"/>
          <w:lang w:val="sk-SK"/>
        </w:rPr>
        <w:t> </w:t>
      </w:r>
      <w:r w:rsidR="006D54AD" w:rsidRPr="0074209D">
        <w:rPr>
          <w:rFonts w:ascii="Times New Roman" w:eastAsia="Times New Roman" w:hAnsi="Times New Roman" w:cs="Times New Roman"/>
          <w:lang w:val="sk-SK"/>
        </w:rPr>
        <w:t>skúšaní ISEL bol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6D54AD" w:rsidRPr="0074209D">
        <w:rPr>
          <w:rFonts w:ascii="Times New Roman" w:eastAsia="Times New Roman" w:hAnsi="Times New Roman" w:cs="Times New Roman"/>
          <w:lang w:val="sk-SK"/>
        </w:rPr>
        <w:t xml:space="preserve">výskyt udalostí typu </w:t>
      </w:r>
      <w:r w:rsidR="00444697" w:rsidRPr="0074209D">
        <w:rPr>
          <w:rFonts w:ascii="Times New Roman" w:eastAsia="Times New Roman" w:hAnsi="Times New Roman" w:cs="Times New Roman"/>
          <w:lang w:val="sk-SK"/>
        </w:rPr>
        <w:t>IL</w:t>
      </w:r>
      <w:r w:rsidR="00444697" w:rsidRPr="0074209D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6D54AD" w:rsidRPr="0074209D">
        <w:rPr>
          <w:rFonts w:ascii="Times New Roman" w:eastAsia="Times New Roman" w:hAnsi="Times New Roman" w:cs="Times New Roman"/>
          <w:lang w:val="sk-SK"/>
        </w:rPr>
        <w:t xml:space="preserve">v celkovej populácii približne </w:t>
      </w:r>
      <w:r w:rsidR="00444697" w:rsidRPr="0074209D">
        <w:rPr>
          <w:rFonts w:ascii="Times New Roman" w:eastAsia="Times New Roman" w:hAnsi="Times New Roman" w:cs="Times New Roman"/>
          <w:lang w:val="sk-SK"/>
        </w:rPr>
        <w:t>1</w:t>
      </w:r>
      <w:r w:rsidR="006D54AD" w:rsidRPr="0074209D">
        <w:rPr>
          <w:rFonts w:ascii="Times New Roman" w:eastAsia="Times New Roman" w:hAnsi="Times New Roman" w:cs="Times New Roman"/>
          <w:lang w:val="sk-SK"/>
        </w:rPr>
        <w:t> 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% </w:t>
      </w:r>
      <w:r w:rsidR="00ED7DE3">
        <w:rPr>
          <w:rFonts w:ascii="Times New Roman" w:eastAsia="Times New Roman" w:hAnsi="Times New Roman" w:cs="Times New Roman"/>
          <w:lang w:val="sk-SK"/>
        </w:rPr>
        <w:t>v oboch liečebný</w:t>
      </w:r>
      <w:r w:rsidR="006D54AD" w:rsidRPr="0074209D">
        <w:rPr>
          <w:rFonts w:ascii="Times New Roman" w:eastAsia="Times New Roman" w:hAnsi="Times New Roman" w:cs="Times New Roman"/>
          <w:lang w:val="sk-SK"/>
        </w:rPr>
        <w:t xml:space="preserve">ch </w:t>
      </w:r>
      <w:r w:rsidR="00BB6F8B">
        <w:rPr>
          <w:rFonts w:ascii="Times New Roman" w:eastAsia="Times New Roman" w:hAnsi="Times New Roman" w:cs="Times New Roman"/>
          <w:lang w:val="sk-SK"/>
        </w:rPr>
        <w:t>skupinách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. </w:t>
      </w:r>
      <w:r w:rsidR="006D54AD" w:rsidRPr="0074209D">
        <w:rPr>
          <w:rFonts w:ascii="Times New Roman" w:eastAsia="Times New Roman" w:hAnsi="Times New Roman" w:cs="Times New Roman"/>
          <w:lang w:val="sk-SK"/>
        </w:rPr>
        <w:t>Väčšina hlásených udalostí typu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ILD </w:t>
      </w:r>
      <w:r w:rsidR="006D54AD" w:rsidRPr="0074209D">
        <w:rPr>
          <w:rFonts w:ascii="Times New Roman" w:eastAsia="Times New Roman" w:hAnsi="Times New Roman" w:cs="Times New Roman"/>
          <w:lang w:val="sk-SK"/>
        </w:rPr>
        <w:t xml:space="preserve">sa týkala pacientov ázijského pôvodu </w:t>
      </w:r>
      <w:r w:rsidR="00F464C5" w:rsidRPr="0074209D">
        <w:rPr>
          <w:rFonts w:ascii="Times New Roman" w:eastAsia="Times New Roman" w:hAnsi="Times New Roman" w:cs="Times New Roman"/>
          <w:lang w:val="sk-SK"/>
        </w:rPr>
        <w:t xml:space="preserve">a výskyt 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ILD </w:t>
      </w:r>
      <w:r w:rsidR="00F464C5" w:rsidRPr="0074209D">
        <w:rPr>
          <w:rFonts w:ascii="Times New Roman" w:eastAsia="Times New Roman" w:hAnsi="Times New Roman" w:cs="Times New Roman"/>
          <w:lang w:val="sk-SK"/>
        </w:rPr>
        <w:t>u pacientov ázijského pôvodu užívajúcich gefitinib bol 3 %</w:t>
      </w:r>
      <w:r w:rsidR="00880312">
        <w:rPr>
          <w:rFonts w:ascii="Times New Roman" w:eastAsia="Times New Roman" w:hAnsi="Times New Roman" w:cs="Times New Roman"/>
          <w:lang w:val="sk-SK"/>
        </w:rPr>
        <w:t xml:space="preserve"> </w:t>
      </w:r>
      <w:r w:rsidR="00F464C5" w:rsidRPr="0074209D">
        <w:rPr>
          <w:rFonts w:ascii="Times New Roman" w:eastAsia="Times New Roman" w:hAnsi="Times New Roman" w:cs="Times New Roman"/>
          <w:lang w:val="sk-SK"/>
        </w:rPr>
        <w:t>a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F464C5" w:rsidRPr="0074209D">
        <w:rPr>
          <w:rFonts w:ascii="Times New Roman" w:eastAsia="Times New Roman" w:hAnsi="Times New Roman" w:cs="Times New Roman"/>
          <w:lang w:val="sk-SK"/>
        </w:rPr>
        <w:t xml:space="preserve">užívajúcich 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placebo </w:t>
      </w:r>
      <w:r w:rsidR="00F464C5" w:rsidRPr="0074209D">
        <w:rPr>
          <w:rFonts w:ascii="Times New Roman" w:eastAsia="Times New Roman" w:hAnsi="Times New Roman" w:cs="Times New Roman"/>
          <w:lang w:val="sk-SK"/>
        </w:rPr>
        <w:t>bol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444697" w:rsidRPr="0074209D">
        <w:rPr>
          <w:rFonts w:ascii="Times New Roman" w:eastAsia="Times New Roman" w:hAnsi="Times New Roman" w:cs="Times New Roman"/>
          <w:lang w:val="sk-SK"/>
        </w:rPr>
        <w:t>4</w:t>
      </w:r>
      <w:r w:rsidR="00F464C5" w:rsidRPr="0074209D">
        <w:rPr>
          <w:rFonts w:ascii="Times New Roman" w:eastAsia="Times New Roman" w:hAnsi="Times New Roman" w:cs="Times New Roman"/>
          <w:lang w:val="sk-SK"/>
        </w:rPr>
        <w:t> </w:t>
      </w:r>
      <w:r w:rsidR="00444697" w:rsidRPr="0074209D">
        <w:rPr>
          <w:rFonts w:ascii="Times New Roman" w:eastAsia="Times New Roman" w:hAnsi="Times New Roman" w:cs="Times New Roman"/>
          <w:lang w:val="sk-SK"/>
        </w:rPr>
        <w:t>%.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F464C5" w:rsidRPr="0074209D">
        <w:rPr>
          <w:rFonts w:ascii="Times New Roman" w:eastAsia="Times New Roman" w:hAnsi="Times New Roman" w:cs="Times New Roman"/>
          <w:lang w:val="sk-SK"/>
        </w:rPr>
        <w:t>Jedna udalosť typu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444697" w:rsidRPr="0074209D">
        <w:rPr>
          <w:rFonts w:ascii="Times New Roman" w:eastAsia="Times New Roman" w:hAnsi="Times New Roman" w:cs="Times New Roman"/>
          <w:lang w:val="sk-SK"/>
        </w:rPr>
        <w:t>IL</w:t>
      </w:r>
      <w:r w:rsidR="00444697" w:rsidRPr="0074209D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="00F464C5" w:rsidRPr="0074209D">
        <w:rPr>
          <w:rFonts w:ascii="Times New Roman" w:eastAsia="Times New Roman" w:hAnsi="Times New Roman" w:cs="Times New Roman"/>
          <w:spacing w:val="1"/>
          <w:lang w:val="sk-SK"/>
        </w:rPr>
        <w:t xml:space="preserve"> u pacienta dostávajúceho placebo bola</w:t>
      </w:r>
      <w:r w:rsidR="00F464C5" w:rsidRPr="0074209D">
        <w:rPr>
          <w:rFonts w:ascii="Times New Roman" w:eastAsia="Times New Roman" w:hAnsi="Times New Roman" w:cs="Times New Roman"/>
          <w:lang w:val="sk-SK"/>
        </w:rPr>
        <w:t xml:space="preserve"> fatá</w:t>
      </w:r>
      <w:r w:rsidR="00444697" w:rsidRPr="0074209D">
        <w:rPr>
          <w:rFonts w:ascii="Times New Roman" w:eastAsia="Times New Roman" w:hAnsi="Times New Roman" w:cs="Times New Roman"/>
          <w:lang w:val="sk-SK"/>
        </w:rPr>
        <w:t>l</w:t>
      </w:r>
      <w:r w:rsidR="00F464C5" w:rsidRPr="0074209D">
        <w:rPr>
          <w:rFonts w:ascii="Times New Roman" w:eastAsia="Times New Roman" w:hAnsi="Times New Roman" w:cs="Times New Roman"/>
          <w:lang w:val="sk-SK"/>
        </w:rPr>
        <w:t>na</w:t>
      </w:r>
      <w:r w:rsidR="00444697" w:rsidRPr="0074209D">
        <w:rPr>
          <w:rFonts w:ascii="Times New Roman" w:eastAsia="Times New Roman" w:hAnsi="Times New Roman" w:cs="Times New Roman"/>
          <w:lang w:val="sk-SK"/>
        </w:rPr>
        <w:t>.</w:t>
      </w:r>
    </w:p>
    <w:p w14:paraId="1EEB9FA5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A6" w14:textId="0207D0EE" w:rsidR="00444697" w:rsidRPr="0074209D" w:rsidRDefault="00F464C5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>V</w:t>
      </w:r>
      <w:r w:rsidRPr="0074209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pozorovacej štúdii </w:t>
      </w:r>
      <w:r w:rsidR="0065194F">
        <w:rPr>
          <w:rFonts w:ascii="Times New Roman" w:eastAsia="Times New Roman" w:hAnsi="Times New Roman" w:cs="Times New Roman"/>
          <w:lang w:val="sk-SK"/>
        </w:rPr>
        <w:t xml:space="preserve">po uvedení lieku na trh 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uskutočnenej v Japonsku </w:t>
      </w:r>
      <w:r w:rsidR="00444697" w:rsidRPr="0074209D">
        <w:rPr>
          <w:rFonts w:ascii="Times New Roman" w:eastAsia="Times New Roman" w:hAnsi="Times New Roman" w:cs="Times New Roman"/>
          <w:lang w:val="sk-SK"/>
        </w:rPr>
        <w:t>(3350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74209D">
        <w:rPr>
          <w:rFonts w:ascii="Times New Roman" w:eastAsia="Times New Roman" w:hAnsi="Times New Roman" w:cs="Times New Roman"/>
          <w:lang w:val="sk-SK"/>
        </w:rPr>
        <w:t>pacientov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) </w:t>
      </w:r>
      <w:r w:rsidR="00CB3E9A" w:rsidRPr="0074209D">
        <w:rPr>
          <w:rFonts w:ascii="Times New Roman" w:eastAsia="Times New Roman" w:hAnsi="Times New Roman" w:cs="Times New Roman"/>
          <w:lang w:val="sk-SK"/>
        </w:rPr>
        <w:t>bol hlásený výskyt prípadov typu ILD u pacientov užívajúcich gefitinib 5,</w:t>
      </w:r>
      <w:r w:rsidR="00444697" w:rsidRPr="0074209D">
        <w:rPr>
          <w:rFonts w:ascii="Times New Roman" w:eastAsia="Times New Roman" w:hAnsi="Times New Roman" w:cs="Times New Roman"/>
          <w:lang w:val="sk-SK"/>
        </w:rPr>
        <w:t>8</w:t>
      </w:r>
      <w:r w:rsidR="00CB3E9A" w:rsidRPr="0074209D">
        <w:rPr>
          <w:rFonts w:ascii="Times New Roman" w:eastAsia="Times New Roman" w:hAnsi="Times New Roman" w:cs="Times New Roman"/>
          <w:lang w:val="sk-SK"/>
        </w:rPr>
        <w:t> </w:t>
      </w:r>
      <w:r w:rsidR="00444697" w:rsidRPr="0074209D">
        <w:rPr>
          <w:rFonts w:ascii="Times New Roman" w:eastAsia="Times New Roman" w:hAnsi="Times New Roman" w:cs="Times New Roman"/>
          <w:lang w:val="sk-SK"/>
        </w:rPr>
        <w:t>%.</w:t>
      </w:r>
      <w:r w:rsidR="00444697" w:rsidRPr="0074209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CB3E9A" w:rsidRPr="0074209D">
        <w:rPr>
          <w:rFonts w:ascii="Times New Roman" w:eastAsia="Times New Roman" w:hAnsi="Times New Roman" w:cs="Times New Roman"/>
          <w:spacing w:val="-3"/>
          <w:lang w:val="sk-SK"/>
        </w:rPr>
        <w:t xml:space="preserve">Podiel udalostí typu </w:t>
      </w:r>
      <w:r w:rsidR="00444697" w:rsidRPr="0074209D">
        <w:rPr>
          <w:rFonts w:ascii="Times New Roman" w:eastAsia="Times New Roman" w:hAnsi="Times New Roman" w:cs="Times New Roman"/>
          <w:spacing w:val="-1"/>
          <w:lang w:val="sk-SK"/>
        </w:rPr>
        <w:t>IL</w:t>
      </w:r>
      <w:r w:rsidR="00444697" w:rsidRPr="0074209D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="00CB3E9A" w:rsidRPr="0074209D">
        <w:rPr>
          <w:rFonts w:ascii="Times New Roman" w:eastAsia="Times New Roman" w:hAnsi="Times New Roman" w:cs="Times New Roman"/>
          <w:spacing w:val="-4"/>
          <w:lang w:val="sk-SK"/>
        </w:rPr>
        <w:t xml:space="preserve"> s</w:t>
      </w:r>
      <w:r w:rsidR="00CB3E9A" w:rsidRPr="0074209D">
        <w:rPr>
          <w:rFonts w:ascii="Times New Roman" w:eastAsia="Times New Roman" w:hAnsi="Times New Roman" w:cs="Times New Roman"/>
          <w:lang w:val="sk-SK"/>
        </w:rPr>
        <w:t xml:space="preserve"> fatá</w:t>
      </w:r>
      <w:r w:rsidR="00444697" w:rsidRPr="0074209D">
        <w:rPr>
          <w:rFonts w:ascii="Times New Roman" w:eastAsia="Times New Roman" w:hAnsi="Times New Roman" w:cs="Times New Roman"/>
          <w:lang w:val="sk-SK"/>
        </w:rPr>
        <w:t>l</w:t>
      </w:r>
      <w:r w:rsidR="00CB3E9A" w:rsidRPr="0074209D">
        <w:rPr>
          <w:rFonts w:ascii="Times New Roman" w:eastAsia="Times New Roman" w:hAnsi="Times New Roman" w:cs="Times New Roman"/>
          <w:lang w:val="sk-SK"/>
        </w:rPr>
        <w:t>nym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880312">
        <w:rPr>
          <w:rFonts w:ascii="Times New Roman" w:eastAsia="Times New Roman" w:hAnsi="Times New Roman" w:cs="Times New Roman"/>
          <w:lang w:val="sk-SK"/>
        </w:rPr>
        <w:t>koncom</w:t>
      </w:r>
      <w:r w:rsidR="00CB3E9A" w:rsidRPr="0074209D">
        <w:rPr>
          <w:rFonts w:ascii="Times New Roman" w:eastAsia="Times New Roman" w:hAnsi="Times New Roman" w:cs="Times New Roman"/>
          <w:lang w:val="sk-SK"/>
        </w:rPr>
        <w:t xml:space="preserve"> bol 38,</w:t>
      </w:r>
      <w:r w:rsidR="00444697" w:rsidRPr="0074209D">
        <w:rPr>
          <w:rFonts w:ascii="Times New Roman" w:eastAsia="Times New Roman" w:hAnsi="Times New Roman" w:cs="Times New Roman"/>
          <w:lang w:val="sk-SK"/>
        </w:rPr>
        <w:t>6</w:t>
      </w:r>
      <w:r w:rsidR="0065194F">
        <w:rPr>
          <w:rFonts w:ascii="Times New Roman" w:eastAsia="Times New Roman" w:hAnsi="Times New Roman" w:cs="Times New Roman"/>
          <w:lang w:val="sk-SK"/>
        </w:rPr>
        <w:t> </w:t>
      </w:r>
      <w:r w:rsidR="00444697" w:rsidRPr="0074209D">
        <w:rPr>
          <w:rFonts w:ascii="Times New Roman" w:eastAsia="Times New Roman" w:hAnsi="Times New Roman" w:cs="Times New Roman"/>
          <w:lang w:val="sk-SK"/>
        </w:rPr>
        <w:t>%.</w:t>
      </w:r>
    </w:p>
    <w:p w14:paraId="1EEB9FA7" w14:textId="77777777" w:rsidR="00444697" w:rsidRPr="0074209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D6E0C63" w14:textId="38764884" w:rsidR="00041C3D" w:rsidRPr="0074209D" w:rsidRDefault="00FC302C" w:rsidP="00041C3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 xml:space="preserve">Vo fáze III otvoreného klinického skúšania </w:t>
      </w:r>
      <w:r w:rsidR="00444697" w:rsidRPr="0074209D">
        <w:rPr>
          <w:rFonts w:ascii="Times New Roman" w:eastAsia="Times New Roman" w:hAnsi="Times New Roman" w:cs="Times New Roman"/>
          <w:lang w:val="sk-SK"/>
        </w:rPr>
        <w:t>(IPA</w:t>
      </w:r>
      <w:r w:rsidR="0065194F">
        <w:rPr>
          <w:rFonts w:ascii="Times New Roman" w:eastAsia="Times New Roman" w:hAnsi="Times New Roman" w:cs="Times New Roman"/>
          <w:lang w:val="sk-SK"/>
        </w:rPr>
        <w:t>SS) u 1217 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pacientov </w:t>
      </w:r>
      <w:r w:rsidR="009111A8" w:rsidRPr="0074209D">
        <w:rPr>
          <w:rFonts w:ascii="Times New Roman" w:eastAsia="Times New Roman" w:hAnsi="Times New Roman" w:cs="Times New Roman"/>
          <w:lang w:val="sk-SK"/>
        </w:rPr>
        <w:t>porovnávajúceho gefitinib a kombinovanú chemoterapi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u karboplatina/paklitaxel </w:t>
      </w:r>
      <w:r w:rsidR="000A48FC" w:rsidRPr="0074209D">
        <w:rPr>
          <w:rFonts w:ascii="Times New Roman" w:eastAsia="Times New Roman" w:hAnsi="Times New Roman" w:cs="Times New Roman"/>
          <w:lang w:val="sk-SK"/>
        </w:rPr>
        <w:t xml:space="preserve">ako prvú líniu liečby u vybraných pacientov s pokročilým 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NSCLC </w:t>
      </w:r>
      <w:r w:rsidR="000A48FC" w:rsidRPr="0074209D">
        <w:rPr>
          <w:rFonts w:ascii="Times New Roman" w:eastAsia="Times New Roman" w:hAnsi="Times New Roman" w:cs="Times New Roman"/>
          <w:lang w:val="sk-SK"/>
        </w:rPr>
        <w:t>v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0A48FC" w:rsidRPr="0074209D">
        <w:rPr>
          <w:rFonts w:ascii="Times New Roman" w:eastAsia="Times New Roman" w:hAnsi="Times New Roman" w:cs="Times New Roman"/>
          <w:lang w:val="sk-SK"/>
        </w:rPr>
        <w:t>Ázii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0A48FC" w:rsidRPr="0074209D">
        <w:rPr>
          <w:rFonts w:ascii="Times New Roman" w:eastAsia="Times New Roman" w:hAnsi="Times New Roman" w:cs="Times New Roman"/>
          <w:lang w:val="sk-SK"/>
        </w:rPr>
        <w:t xml:space="preserve">bol výskyt udalostí typu </w:t>
      </w:r>
      <w:r w:rsidR="00444697" w:rsidRPr="0074209D">
        <w:rPr>
          <w:rFonts w:ascii="Times New Roman" w:eastAsia="Times New Roman" w:hAnsi="Times New Roman" w:cs="Times New Roman"/>
          <w:lang w:val="sk-SK"/>
        </w:rPr>
        <w:t>ILD</w:t>
      </w:r>
      <w:r w:rsidR="000A48FC" w:rsidRPr="0074209D">
        <w:rPr>
          <w:rFonts w:ascii="Times New Roman" w:eastAsia="Times New Roman" w:hAnsi="Times New Roman" w:cs="Times New Roman"/>
          <w:lang w:val="sk-SK"/>
        </w:rPr>
        <w:t xml:space="preserve"> 2,</w:t>
      </w:r>
      <w:r w:rsidR="00444697" w:rsidRPr="0074209D">
        <w:rPr>
          <w:rFonts w:ascii="Times New Roman" w:eastAsia="Times New Roman" w:hAnsi="Times New Roman" w:cs="Times New Roman"/>
          <w:lang w:val="sk-SK"/>
        </w:rPr>
        <w:t>6</w:t>
      </w:r>
      <w:r w:rsidR="0065194F">
        <w:rPr>
          <w:rFonts w:ascii="Times New Roman" w:eastAsia="Times New Roman" w:hAnsi="Times New Roman" w:cs="Times New Roman"/>
          <w:lang w:val="sk-SK"/>
        </w:rPr>
        <w:t> 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% </w:t>
      </w:r>
      <w:r w:rsidR="000A48FC" w:rsidRPr="0074209D">
        <w:rPr>
          <w:rFonts w:ascii="Times New Roman" w:eastAsia="Times New Roman" w:hAnsi="Times New Roman" w:cs="Times New Roman"/>
          <w:lang w:val="sk-SK"/>
        </w:rPr>
        <w:t>v </w:t>
      </w:r>
      <w:r w:rsidR="00880312">
        <w:rPr>
          <w:rFonts w:ascii="Times New Roman" w:eastAsia="Times New Roman" w:hAnsi="Times New Roman" w:cs="Times New Roman"/>
          <w:lang w:val="sk-SK"/>
        </w:rPr>
        <w:t>skupine</w:t>
      </w:r>
      <w:r w:rsidR="000A48FC" w:rsidRPr="0074209D">
        <w:rPr>
          <w:rFonts w:ascii="Times New Roman" w:eastAsia="Times New Roman" w:hAnsi="Times New Roman" w:cs="Times New Roman"/>
          <w:lang w:val="sk-SK"/>
        </w:rPr>
        <w:t xml:space="preserve"> s </w:t>
      </w:r>
      <w:r w:rsidR="00444697" w:rsidRPr="0074209D">
        <w:rPr>
          <w:rFonts w:ascii="Times New Roman" w:eastAsia="Times New Roman" w:hAnsi="Times New Roman" w:cs="Times New Roman"/>
          <w:lang w:val="sk-SK"/>
        </w:rPr>
        <w:t>gefitinib</w:t>
      </w:r>
      <w:r w:rsidR="004A7D12" w:rsidRPr="0074209D">
        <w:rPr>
          <w:rFonts w:ascii="Times New Roman" w:eastAsia="Times New Roman" w:hAnsi="Times New Roman" w:cs="Times New Roman"/>
          <w:lang w:val="sk-SK"/>
        </w:rPr>
        <w:t>om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4A7D12" w:rsidRPr="0074209D">
        <w:rPr>
          <w:rFonts w:ascii="Times New Roman" w:eastAsia="Times New Roman" w:hAnsi="Times New Roman" w:cs="Times New Roman"/>
          <w:lang w:val="sk-SK"/>
        </w:rPr>
        <w:t>verzus 1,</w:t>
      </w:r>
      <w:r w:rsidR="00444697" w:rsidRPr="0074209D">
        <w:rPr>
          <w:rFonts w:ascii="Times New Roman" w:eastAsia="Times New Roman" w:hAnsi="Times New Roman" w:cs="Times New Roman"/>
          <w:lang w:val="sk-SK"/>
        </w:rPr>
        <w:t>4</w:t>
      </w:r>
      <w:r w:rsidR="0065194F">
        <w:rPr>
          <w:rFonts w:ascii="Times New Roman" w:eastAsia="Times New Roman" w:hAnsi="Times New Roman" w:cs="Times New Roman"/>
          <w:lang w:val="sk-SK"/>
        </w:rPr>
        <w:t> 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% </w:t>
      </w:r>
      <w:r w:rsidR="004A7D12" w:rsidRPr="0074209D">
        <w:rPr>
          <w:rFonts w:ascii="Times New Roman" w:eastAsia="Times New Roman" w:hAnsi="Times New Roman" w:cs="Times New Roman"/>
          <w:lang w:val="sk-SK"/>
        </w:rPr>
        <w:t xml:space="preserve">v </w:t>
      </w:r>
      <w:r w:rsidR="00880312">
        <w:rPr>
          <w:rFonts w:ascii="Times New Roman" w:eastAsia="Times New Roman" w:hAnsi="Times New Roman" w:cs="Times New Roman"/>
          <w:lang w:val="sk-SK"/>
        </w:rPr>
        <w:t>skupine</w:t>
      </w:r>
      <w:r w:rsidR="004A7D12" w:rsidRPr="0074209D">
        <w:rPr>
          <w:rFonts w:ascii="Times New Roman" w:eastAsia="Times New Roman" w:hAnsi="Times New Roman" w:cs="Times New Roman"/>
          <w:lang w:val="sk-SK"/>
        </w:rPr>
        <w:t xml:space="preserve"> k</w:t>
      </w:r>
      <w:r w:rsidR="00444697" w:rsidRPr="0074209D">
        <w:rPr>
          <w:rFonts w:ascii="Times New Roman" w:eastAsia="Times New Roman" w:hAnsi="Times New Roman" w:cs="Times New Roman"/>
          <w:lang w:val="sk-SK"/>
        </w:rPr>
        <w:t>arboplatin</w:t>
      </w:r>
      <w:r w:rsidR="004A7D12" w:rsidRPr="0074209D">
        <w:rPr>
          <w:rFonts w:ascii="Times New Roman" w:eastAsia="Times New Roman" w:hAnsi="Times New Roman" w:cs="Times New Roman"/>
          <w:lang w:val="sk-SK"/>
        </w:rPr>
        <w:t>a/paklitaxel</w:t>
      </w:r>
      <w:r w:rsidR="00444697" w:rsidRPr="0074209D">
        <w:rPr>
          <w:rFonts w:ascii="Times New Roman" w:eastAsia="Times New Roman" w:hAnsi="Times New Roman" w:cs="Times New Roman"/>
          <w:lang w:val="sk-SK"/>
        </w:rPr>
        <w:t>.</w:t>
      </w:r>
    </w:p>
    <w:p w14:paraId="31578E7A" w14:textId="77777777" w:rsidR="00041C3D" w:rsidRPr="0074209D" w:rsidRDefault="00041C3D" w:rsidP="00041C3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9AEC10C" w14:textId="31DE1EFD" w:rsidR="00041C3D" w:rsidRPr="0074209D" w:rsidRDefault="00041C3D" w:rsidP="00041C3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hAnsi="Times New Roman" w:cs="Times New Roman"/>
          <w:u w:val="single"/>
          <w:lang w:val="sk-SK"/>
        </w:rPr>
        <w:t>Hlásenie podozrení na nežiaduce reakcie</w:t>
      </w:r>
    </w:p>
    <w:p w14:paraId="3030C18D" w14:textId="5E1AFF22" w:rsidR="00041C3D" w:rsidRPr="0074209D" w:rsidRDefault="00041C3D" w:rsidP="00553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4209D">
        <w:rPr>
          <w:rFonts w:ascii="Times New Roman" w:hAnsi="Times New Roman" w:cs="Times New Roman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74209D">
        <w:rPr>
          <w:rFonts w:ascii="Times New Roman" w:hAnsi="Times New Roman" w:cs="Times New Roman"/>
          <w:highlight w:val="lightGray"/>
          <w:lang w:val="sk-SK"/>
        </w:rPr>
        <w:t>národné centrum hlásenia uvedené v </w:t>
      </w:r>
      <w:hyperlink r:id="rId11">
        <w:r w:rsidRPr="0074209D">
          <w:rPr>
            <w:rStyle w:val="Hypertextovprepojenie"/>
            <w:rFonts w:ascii="Times New Roman" w:hAnsi="Times New Roman" w:cs="Times New Roman"/>
            <w:highlight w:val="lightGray"/>
            <w:lang w:val="sk-SK"/>
          </w:rPr>
          <w:t>Prílohe V</w:t>
        </w:r>
      </w:hyperlink>
      <w:r w:rsidRPr="00553BDD">
        <w:rPr>
          <w:rFonts w:ascii="Times New Roman" w:hAnsi="Times New Roman" w:cs="Times New Roman"/>
          <w:color w:val="000000" w:themeColor="text1"/>
          <w:lang w:val="sk-SK"/>
        </w:rPr>
        <w:t>.</w:t>
      </w:r>
    </w:p>
    <w:p w14:paraId="1EEB9FAC" w14:textId="77777777" w:rsidR="00444697" w:rsidRPr="0074209D" w:rsidRDefault="00444697" w:rsidP="0088031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AD" w14:textId="6DAAE500" w:rsidR="00444697" w:rsidRPr="0074209D" w:rsidRDefault="008F047E" w:rsidP="00473F05">
      <w:pPr>
        <w:keepNext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b/>
          <w:bCs/>
          <w:lang w:val="sk-SK"/>
        </w:rPr>
        <w:t>4.9</w:t>
      </w:r>
      <w:r w:rsidRPr="0074209D">
        <w:rPr>
          <w:rFonts w:ascii="Times New Roman" w:eastAsia="Times New Roman" w:hAnsi="Times New Roman" w:cs="Times New Roman"/>
          <w:b/>
          <w:bCs/>
          <w:lang w:val="sk-SK"/>
        </w:rPr>
        <w:tab/>
        <w:t>Predávkovanie</w:t>
      </w:r>
    </w:p>
    <w:p w14:paraId="1EEB9FAE" w14:textId="77777777" w:rsidR="00444697" w:rsidRPr="0074209D" w:rsidRDefault="00444697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2D1CC880" w14:textId="2B4307DC" w:rsidR="00E659B8" w:rsidRPr="0074209D" w:rsidRDefault="00A34BEC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74209D">
        <w:rPr>
          <w:rFonts w:ascii="Times New Roman" w:eastAsia="Times New Roman" w:hAnsi="Times New Roman" w:cs="Times New Roman"/>
          <w:lang w:val="sk-SK"/>
        </w:rPr>
        <w:t>Pre prípad predávkovania gefitinibom neexistuje žiadna špecifická liečba. Vo fáze I klinického skúšania bol obmedzený počet pacientov liečený</w:t>
      </w:r>
      <w:r w:rsidR="0065194F">
        <w:rPr>
          <w:rFonts w:ascii="Times New Roman" w:eastAsia="Times New Roman" w:hAnsi="Times New Roman" w:cs="Times New Roman"/>
          <w:lang w:val="sk-SK"/>
        </w:rPr>
        <w:t>ch</w:t>
      </w:r>
      <w:r w:rsidRPr="0074209D">
        <w:rPr>
          <w:rFonts w:ascii="Times New Roman" w:eastAsia="Times New Roman" w:hAnsi="Times New Roman" w:cs="Times New Roman"/>
          <w:lang w:val="sk-SK"/>
        </w:rPr>
        <w:t xml:space="preserve"> dennými dávkami až do 1000 mg. Bolo pozorované zvýšenie frekvencie a závažnosti niektorých nežiaducich reakcií, predovšetkým </w:t>
      </w:r>
      <w:r w:rsidR="00E659B8" w:rsidRPr="0074209D">
        <w:rPr>
          <w:rFonts w:ascii="Times New Roman" w:eastAsia="Times New Roman" w:hAnsi="Times New Roman" w:cs="Times New Roman"/>
          <w:lang w:val="sk-SK"/>
        </w:rPr>
        <w:t>hnačky a kožnej vyrážky</w:t>
      </w:r>
      <w:r w:rsidR="00444697" w:rsidRPr="0074209D">
        <w:rPr>
          <w:rFonts w:ascii="Times New Roman" w:eastAsia="Times New Roman" w:hAnsi="Times New Roman" w:cs="Times New Roman"/>
          <w:lang w:val="sk-SK"/>
        </w:rPr>
        <w:t xml:space="preserve">. </w:t>
      </w:r>
      <w:r w:rsidR="00E659B8" w:rsidRPr="0074209D">
        <w:rPr>
          <w:rFonts w:ascii="Times New Roman" w:eastAsia="Times New Roman" w:hAnsi="Times New Roman" w:cs="Times New Roman"/>
          <w:lang w:val="sk-SK"/>
        </w:rPr>
        <w:t xml:space="preserve">Nežiaduce reakcie </w:t>
      </w:r>
      <w:r w:rsidR="007E3B32" w:rsidRPr="0074209D">
        <w:rPr>
          <w:rFonts w:ascii="Times New Roman" w:eastAsia="Times New Roman" w:hAnsi="Times New Roman" w:cs="Times New Roman"/>
          <w:lang w:val="sk-SK"/>
        </w:rPr>
        <w:t>spojené s</w:t>
      </w:r>
      <w:r w:rsidR="00E659B8" w:rsidRPr="0074209D">
        <w:rPr>
          <w:rFonts w:ascii="Times New Roman" w:eastAsia="Times New Roman" w:hAnsi="Times New Roman" w:cs="Times New Roman"/>
          <w:lang w:val="sk-SK"/>
        </w:rPr>
        <w:t xml:space="preserve"> predávkov</w:t>
      </w:r>
      <w:r w:rsidR="007E3B32" w:rsidRPr="0074209D">
        <w:rPr>
          <w:rFonts w:ascii="Times New Roman" w:eastAsia="Times New Roman" w:hAnsi="Times New Roman" w:cs="Times New Roman"/>
          <w:lang w:val="sk-SK"/>
        </w:rPr>
        <w:t>aním sa majú liečiť symptomaticky</w:t>
      </w:r>
      <w:r w:rsidR="00E659B8" w:rsidRPr="0074209D">
        <w:rPr>
          <w:rFonts w:ascii="Times New Roman" w:eastAsia="Times New Roman" w:hAnsi="Times New Roman" w:cs="Times New Roman"/>
          <w:lang w:val="sk-SK"/>
        </w:rPr>
        <w:t xml:space="preserve">, </w:t>
      </w:r>
      <w:r w:rsidR="00875536" w:rsidRPr="0074209D">
        <w:rPr>
          <w:rFonts w:ascii="Times New Roman" w:eastAsia="Times New Roman" w:hAnsi="Times New Roman" w:cs="Times New Roman"/>
          <w:lang w:val="sk-SK"/>
        </w:rPr>
        <w:t xml:space="preserve">najmä pri </w:t>
      </w:r>
      <w:r w:rsidR="00E659B8" w:rsidRPr="0074209D">
        <w:rPr>
          <w:rFonts w:ascii="Times New Roman" w:eastAsia="Times New Roman" w:hAnsi="Times New Roman" w:cs="Times New Roman"/>
          <w:lang w:val="sk-SK"/>
        </w:rPr>
        <w:t>závažn</w:t>
      </w:r>
      <w:r w:rsidR="00875536" w:rsidRPr="0074209D">
        <w:rPr>
          <w:rFonts w:ascii="Times New Roman" w:eastAsia="Times New Roman" w:hAnsi="Times New Roman" w:cs="Times New Roman"/>
          <w:lang w:val="sk-SK"/>
        </w:rPr>
        <w:t>ej forme</w:t>
      </w:r>
      <w:r w:rsidR="00E659B8" w:rsidRPr="0074209D">
        <w:rPr>
          <w:rFonts w:ascii="Times New Roman" w:eastAsia="Times New Roman" w:hAnsi="Times New Roman" w:cs="Times New Roman"/>
          <w:lang w:val="sk-SK"/>
        </w:rPr>
        <w:t xml:space="preserve"> hnačky </w:t>
      </w:r>
      <w:r w:rsidR="00875536" w:rsidRPr="0074209D">
        <w:rPr>
          <w:rFonts w:ascii="Times New Roman" w:eastAsia="Times New Roman" w:hAnsi="Times New Roman" w:cs="Times New Roman"/>
          <w:lang w:val="sk-SK"/>
        </w:rPr>
        <w:t>sa</w:t>
      </w:r>
      <w:r w:rsidR="00E659B8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875536" w:rsidRPr="0074209D">
        <w:rPr>
          <w:rFonts w:ascii="Times New Roman" w:eastAsia="Times New Roman" w:hAnsi="Times New Roman" w:cs="Times New Roman"/>
          <w:lang w:val="sk-SK"/>
        </w:rPr>
        <w:t>má postupovať ako je klinicky indikované</w:t>
      </w:r>
      <w:r w:rsidR="00E659B8" w:rsidRPr="0074209D">
        <w:rPr>
          <w:rFonts w:ascii="Times New Roman" w:eastAsia="Times New Roman" w:hAnsi="Times New Roman" w:cs="Times New Roman"/>
          <w:lang w:val="sk-SK"/>
        </w:rPr>
        <w:t xml:space="preserve">. </w:t>
      </w:r>
      <w:r w:rsidR="0074209D" w:rsidRPr="0074209D">
        <w:rPr>
          <w:rFonts w:ascii="Times New Roman" w:eastAsia="Times New Roman" w:hAnsi="Times New Roman" w:cs="Times New Roman"/>
          <w:lang w:val="sk-SK"/>
        </w:rPr>
        <w:t>V jednej štúdii bol obm</w:t>
      </w:r>
      <w:r w:rsidR="0074209D">
        <w:rPr>
          <w:rFonts w:ascii="Times New Roman" w:eastAsia="Times New Roman" w:hAnsi="Times New Roman" w:cs="Times New Roman"/>
          <w:lang w:val="sk-SK"/>
        </w:rPr>
        <w:t>edzený počet pacientov liečen</w:t>
      </w:r>
      <w:r w:rsidR="00C13688">
        <w:rPr>
          <w:rFonts w:ascii="Times New Roman" w:eastAsia="Times New Roman" w:hAnsi="Times New Roman" w:cs="Times New Roman"/>
          <w:lang w:val="sk-SK"/>
        </w:rPr>
        <w:t>ých</w:t>
      </w:r>
      <w:r w:rsidR="0074209D" w:rsidRPr="0074209D">
        <w:rPr>
          <w:rFonts w:ascii="Times New Roman" w:eastAsia="Times New Roman" w:hAnsi="Times New Roman" w:cs="Times New Roman"/>
          <w:lang w:val="sk-SK"/>
        </w:rPr>
        <w:t xml:space="preserve"> týždennými dávkami od 1500 mg až do 3500 mg. V tejto štúdii sa expozícia gefitinibu </w:t>
      </w:r>
      <w:r w:rsidR="0074209D">
        <w:rPr>
          <w:rFonts w:ascii="Times New Roman" w:eastAsia="Times New Roman" w:hAnsi="Times New Roman" w:cs="Times New Roman"/>
          <w:lang w:val="sk-SK"/>
        </w:rPr>
        <w:t>so zvyšujúcou dávkou nezvý</w:t>
      </w:r>
      <w:r w:rsidR="0074209D" w:rsidRPr="0074209D">
        <w:rPr>
          <w:rFonts w:ascii="Times New Roman" w:eastAsia="Times New Roman" w:hAnsi="Times New Roman" w:cs="Times New Roman"/>
          <w:lang w:val="sk-SK"/>
        </w:rPr>
        <w:t>šila</w:t>
      </w:r>
      <w:r w:rsidR="0074209D">
        <w:rPr>
          <w:rFonts w:ascii="Times New Roman" w:eastAsia="Times New Roman" w:hAnsi="Times New Roman" w:cs="Times New Roman"/>
          <w:lang w:val="sk-SK"/>
        </w:rPr>
        <w:t xml:space="preserve">, nežiaduce </w:t>
      </w:r>
      <w:r w:rsidR="009B0582">
        <w:rPr>
          <w:rFonts w:ascii="Times New Roman" w:eastAsia="Times New Roman" w:hAnsi="Times New Roman" w:cs="Times New Roman"/>
          <w:lang w:val="sk-SK"/>
        </w:rPr>
        <w:t>účinky boli väčšinou mierne až stredne závažné a boli v súlade so známym bezpečnostným profilom gefitinibu.</w:t>
      </w:r>
    </w:p>
    <w:p w14:paraId="1EEB9FB0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B1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B2" w14:textId="7BE1C022" w:rsidR="00444697" w:rsidRPr="00041C3D" w:rsidRDefault="00BE564D" w:rsidP="00473F0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5.</w:t>
      </w:r>
      <w:r>
        <w:rPr>
          <w:rFonts w:ascii="Times New Roman" w:eastAsia="Times New Roman" w:hAnsi="Times New Roman" w:cs="Times New Roman"/>
          <w:b/>
          <w:bCs/>
          <w:lang w:val="sk-SK"/>
        </w:rPr>
        <w:tab/>
        <w:t>FARMAKOLOGICKÉ</w:t>
      </w:r>
      <w:r w:rsidR="00444697" w:rsidRPr="00041C3D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VLASTNOSTI</w:t>
      </w:r>
    </w:p>
    <w:p w14:paraId="1EEB9FB3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B4" w14:textId="5B757258" w:rsidR="00444697" w:rsidRPr="00041C3D" w:rsidRDefault="00BE564D" w:rsidP="00473F0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5.1</w:t>
      </w:r>
      <w:r>
        <w:rPr>
          <w:rFonts w:ascii="Times New Roman" w:eastAsia="Times New Roman" w:hAnsi="Times New Roman" w:cs="Times New Roman"/>
          <w:b/>
          <w:bCs/>
          <w:lang w:val="sk-SK"/>
        </w:rPr>
        <w:tab/>
        <w:t>Farmakodynamické vlastnosti</w:t>
      </w:r>
    </w:p>
    <w:p w14:paraId="1EEB9FB5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B6" w14:textId="561CA97C" w:rsidR="00444697" w:rsidRPr="00041C3D" w:rsidRDefault="00BE564D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Farmakoterapeutická skupina: cytostatiká</w:t>
      </w:r>
      <w:r w:rsidR="00444697" w:rsidRPr="00041C3D">
        <w:rPr>
          <w:rFonts w:ascii="Times New Roman" w:eastAsia="Times New Roman" w:hAnsi="Times New Roman" w:cs="Times New Roman"/>
          <w:lang w:val="sk-SK"/>
        </w:rPr>
        <w:t>,</w:t>
      </w:r>
      <w:r w:rsidR="00444697" w:rsidRPr="00041C3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inhibítory proteínkinázy; ATC kód</w:t>
      </w:r>
      <w:r w:rsidR="00444697" w:rsidRPr="00041C3D">
        <w:rPr>
          <w:rFonts w:ascii="Times New Roman" w:eastAsia="Times New Roman" w:hAnsi="Times New Roman" w:cs="Times New Roman"/>
          <w:lang w:val="sk-SK"/>
        </w:rPr>
        <w:t>: L01XE02</w:t>
      </w:r>
    </w:p>
    <w:p w14:paraId="1EEB9FB7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B8" w14:textId="641E682E" w:rsidR="00444697" w:rsidRPr="00041C3D" w:rsidRDefault="00BE564D">
      <w:pPr>
        <w:keepNext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>
        <w:rPr>
          <w:rFonts w:ascii="Times New Roman" w:hAnsi="Times New Roman" w:cs="Times New Roman"/>
          <w:u w:val="single"/>
          <w:lang w:val="sk-SK"/>
        </w:rPr>
        <w:t>Mechaniz</w:t>
      </w:r>
      <w:r w:rsidR="00444697" w:rsidRPr="00041C3D">
        <w:rPr>
          <w:rFonts w:ascii="Times New Roman" w:hAnsi="Times New Roman" w:cs="Times New Roman"/>
          <w:u w:val="single"/>
          <w:lang w:val="sk-SK"/>
        </w:rPr>
        <w:t>m</w:t>
      </w:r>
      <w:r>
        <w:rPr>
          <w:rFonts w:ascii="Times New Roman" w:hAnsi="Times New Roman" w:cs="Times New Roman"/>
          <w:u w:val="single"/>
          <w:lang w:val="sk-SK"/>
        </w:rPr>
        <w:t>us účinku a farmak</w:t>
      </w:r>
      <w:r w:rsidR="00444697" w:rsidRPr="00041C3D">
        <w:rPr>
          <w:rFonts w:ascii="Times New Roman" w:hAnsi="Times New Roman" w:cs="Times New Roman"/>
          <w:u w:val="single"/>
          <w:lang w:val="sk-SK"/>
        </w:rPr>
        <w:t>odynamic</w:t>
      </w:r>
      <w:r>
        <w:rPr>
          <w:rFonts w:ascii="Times New Roman" w:hAnsi="Times New Roman" w:cs="Times New Roman"/>
          <w:u w:val="single"/>
          <w:lang w:val="sk-SK"/>
        </w:rPr>
        <w:t>ké účinky</w:t>
      </w:r>
    </w:p>
    <w:p w14:paraId="1EEB9FB9" w14:textId="77BD9D8C" w:rsidR="00444697" w:rsidRPr="00041C3D" w:rsidRDefault="00BE564D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Epidermá</w:t>
      </w:r>
      <w:r w:rsidR="00444697" w:rsidRPr="00041C3D">
        <w:rPr>
          <w:rFonts w:ascii="Times New Roman" w:eastAsia="Times New Roman" w:hAnsi="Times New Roman" w:cs="Times New Roman"/>
          <w:lang w:val="sk-SK"/>
        </w:rPr>
        <w:t>l</w:t>
      </w:r>
      <w:r>
        <w:rPr>
          <w:rFonts w:ascii="Times New Roman" w:eastAsia="Times New Roman" w:hAnsi="Times New Roman" w:cs="Times New Roman"/>
          <w:lang w:val="sk-SK"/>
        </w:rPr>
        <w:t>ny rastový faktor (EGF) a jeho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recepto</w:t>
      </w:r>
      <w:r>
        <w:rPr>
          <w:rFonts w:ascii="Times New Roman" w:eastAsia="Times New Roman" w:hAnsi="Times New Roman" w:cs="Times New Roman"/>
          <w:lang w:val="sk-SK"/>
        </w:rPr>
        <w:t>r (EGFR [HER1; ErbB1]) boli identifikované ako kľúčové faktory v procese bunkového rastu</w:t>
      </w:r>
      <w:r w:rsidR="003610CE">
        <w:rPr>
          <w:rFonts w:ascii="Times New Roman" w:eastAsia="Times New Roman" w:hAnsi="Times New Roman" w:cs="Times New Roman"/>
          <w:lang w:val="sk-SK"/>
        </w:rPr>
        <w:t xml:space="preserve"> a proliferácie normá</w:t>
      </w:r>
      <w:r w:rsidR="00444697" w:rsidRPr="00041C3D">
        <w:rPr>
          <w:rFonts w:ascii="Times New Roman" w:eastAsia="Times New Roman" w:hAnsi="Times New Roman" w:cs="Times New Roman"/>
          <w:lang w:val="sk-SK"/>
        </w:rPr>
        <w:t>l</w:t>
      </w:r>
      <w:r w:rsidR="003610CE">
        <w:rPr>
          <w:rFonts w:ascii="Times New Roman" w:eastAsia="Times New Roman" w:hAnsi="Times New Roman" w:cs="Times New Roman"/>
          <w:lang w:val="sk-SK"/>
        </w:rPr>
        <w:t>nych a </w:t>
      </w:r>
      <w:r w:rsidR="00EA7637">
        <w:rPr>
          <w:rFonts w:ascii="Times New Roman" w:eastAsia="Times New Roman" w:hAnsi="Times New Roman" w:cs="Times New Roman"/>
          <w:lang w:val="sk-SK"/>
        </w:rPr>
        <w:t>rakovinových</w:t>
      </w:r>
      <w:r w:rsidR="003610CE">
        <w:rPr>
          <w:rFonts w:ascii="Times New Roman" w:eastAsia="Times New Roman" w:hAnsi="Times New Roman" w:cs="Times New Roman"/>
          <w:lang w:val="sk-SK"/>
        </w:rPr>
        <w:t xml:space="preserve"> buniek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. </w:t>
      </w:r>
      <w:r w:rsidR="00EA7637">
        <w:rPr>
          <w:rFonts w:ascii="Times New Roman" w:eastAsia="Times New Roman" w:hAnsi="Times New Roman" w:cs="Times New Roman"/>
          <w:lang w:val="sk-SK"/>
        </w:rPr>
        <w:t>Aktivácia</w:t>
      </w:r>
      <w:r w:rsidR="003610CE">
        <w:rPr>
          <w:rFonts w:ascii="Times New Roman" w:eastAsia="Times New Roman" w:hAnsi="Times New Roman" w:cs="Times New Roman"/>
          <w:lang w:val="sk-SK"/>
        </w:rPr>
        <w:t xml:space="preserve"> </w:t>
      </w:r>
      <w:r w:rsidR="00EA7637">
        <w:rPr>
          <w:rFonts w:ascii="Times New Roman" w:eastAsia="Times New Roman" w:hAnsi="Times New Roman" w:cs="Times New Roman"/>
          <w:lang w:val="sk-SK"/>
        </w:rPr>
        <w:t xml:space="preserve">mutácie 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EGFR </w:t>
      </w:r>
      <w:r w:rsidR="003610CE">
        <w:rPr>
          <w:rFonts w:ascii="Times New Roman" w:eastAsia="Times New Roman" w:hAnsi="Times New Roman" w:cs="Times New Roman"/>
          <w:lang w:val="sk-SK"/>
        </w:rPr>
        <w:t>v</w:t>
      </w:r>
      <w:r w:rsidR="00EA7637">
        <w:rPr>
          <w:rFonts w:ascii="Times New Roman" w:eastAsia="Times New Roman" w:hAnsi="Times New Roman" w:cs="Times New Roman"/>
          <w:lang w:val="sk-SK"/>
        </w:rPr>
        <w:t> rakovinovej bunke</w:t>
      </w:r>
      <w:r w:rsidR="003610CE">
        <w:rPr>
          <w:rFonts w:ascii="Times New Roman" w:eastAsia="Times New Roman" w:hAnsi="Times New Roman" w:cs="Times New Roman"/>
          <w:spacing w:val="-4"/>
          <w:lang w:val="sk-SK"/>
        </w:rPr>
        <w:t xml:space="preserve"> je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3610CE">
        <w:rPr>
          <w:rFonts w:ascii="Times New Roman" w:eastAsia="Times New Roman" w:hAnsi="Times New Roman" w:cs="Times New Roman"/>
          <w:lang w:val="sk-SK"/>
        </w:rPr>
        <w:t>dôležitým fak</w:t>
      </w:r>
      <w:r w:rsidR="00444697" w:rsidRPr="00041C3D">
        <w:rPr>
          <w:rFonts w:ascii="Times New Roman" w:eastAsia="Times New Roman" w:hAnsi="Times New Roman" w:cs="Times New Roman"/>
          <w:lang w:val="sk-SK"/>
        </w:rPr>
        <w:t>tor</w:t>
      </w:r>
      <w:r w:rsidR="003610CE">
        <w:rPr>
          <w:rFonts w:ascii="Times New Roman" w:eastAsia="Times New Roman" w:hAnsi="Times New Roman" w:cs="Times New Roman"/>
          <w:lang w:val="sk-SK"/>
        </w:rPr>
        <w:t>om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po</w:t>
      </w:r>
      <w:r w:rsidR="00EA7637">
        <w:rPr>
          <w:rFonts w:ascii="Times New Roman" w:eastAsia="Times New Roman" w:hAnsi="Times New Roman" w:cs="Times New Roman"/>
          <w:lang w:val="sk-SK"/>
        </w:rPr>
        <w:t>dpory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3610CE">
        <w:rPr>
          <w:rFonts w:ascii="Times New Roman" w:eastAsia="Times New Roman" w:hAnsi="Times New Roman" w:cs="Times New Roman"/>
          <w:lang w:val="sk-SK"/>
        </w:rPr>
        <w:t>rastu nádorovej bunky, blok</w:t>
      </w:r>
      <w:r w:rsidR="00EA7637">
        <w:rPr>
          <w:rFonts w:ascii="Times New Roman" w:eastAsia="Times New Roman" w:hAnsi="Times New Roman" w:cs="Times New Roman"/>
          <w:lang w:val="sk-SK"/>
        </w:rPr>
        <w:t>ovania</w:t>
      </w:r>
      <w:r w:rsidR="003610CE">
        <w:rPr>
          <w:rFonts w:ascii="Times New Roman" w:eastAsia="Times New Roman" w:hAnsi="Times New Roman" w:cs="Times New Roman"/>
          <w:lang w:val="sk-SK"/>
        </w:rPr>
        <w:t xml:space="preserve"> apoptó</w:t>
      </w:r>
      <w:r w:rsidR="00EA7637">
        <w:rPr>
          <w:rFonts w:ascii="Times New Roman" w:eastAsia="Times New Roman" w:hAnsi="Times New Roman" w:cs="Times New Roman"/>
          <w:lang w:val="sk-SK"/>
        </w:rPr>
        <w:t>zy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, </w:t>
      </w:r>
      <w:r w:rsidR="00396AE1">
        <w:rPr>
          <w:rFonts w:ascii="Times New Roman" w:eastAsia="Times New Roman" w:hAnsi="Times New Roman" w:cs="Times New Roman"/>
          <w:lang w:val="sk-SK"/>
        </w:rPr>
        <w:t>zvýšenia produkcie</w:t>
      </w:r>
      <w:r w:rsidR="003610CE">
        <w:rPr>
          <w:rFonts w:ascii="Times New Roman" w:eastAsia="Times New Roman" w:hAnsi="Times New Roman" w:cs="Times New Roman"/>
          <w:lang w:val="sk-SK"/>
        </w:rPr>
        <w:t xml:space="preserve"> angiogénnych faktorov a </w:t>
      </w:r>
      <w:r w:rsidR="00396AE1">
        <w:rPr>
          <w:rFonts w:ascii="Times New Roman" w:eastAsia="Times New Roman" w:hAnsi="Times New Roman" w:cs="Times New Roman"/>
          <w:lang w:val="sk-SK"/>
        </w:rPr>
        <w:t>uľahčenia</w:t>
      </w:r>
      <w:r w:rsidR="003610CE">
        <w:rPr>
          <w:rFonts w:ascii="Times New Roman" w:eastAsia="Times New Roman" w:hAnsi="Times New Roman" w:cs="Times New Roman"/>
          <w:lang w:val="sk-SK"/>
        </w:rPr>
        <w:t xml:space="preserve"> proces</w:t>
      </w:r>
      <w:r w:rsidR="00396AE1">
        <w:rPr>
          <w:rFonts w:ascii="Times New Roman" w:eastAsia="Times New Roman" w:hAnsi="Times New Roman" w:cs="Times New Roman"/>
          <w:lang w:val="sk-SK"/>
        </w:rPr>
        <w:t>ov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ED322A">
        <w:rPr>
          <w:rFonts w:ascii="Times New Roman" w:eastAsia="Times New Roman" w:hAnsi="Times New Roman" w:cs="Times New Roman"/>
          <w:lang w:val="sk-SK"/>
        </w:rPr>
        <w:t>metastázovania</w:t>
      </w:r>
      <w:r w:rsidR="00444697" w:rsidRPr="00041C3D">
        <w:rPr>
          <w:rFonts w:ascii="Times New Roman" w:eastAsia="Times New Roman" w:hAnsi="Times New Roman" w:cs="Times New Roman"/>
          <w:lang w:val="sk-SK"/>
        </w:rPr>
        <w:t>.</w:t>
      </w:r>
    </w:p>
    <w:p w14:paraId="1EEB9FBA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BB" w14:textId="2EC04074" w:rsidR="00444697" w:rsidRPr="00041C3D" w:rsidRDefault="00396AE1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293005">
        <w:rPr>
          <w:rFonts w:ascii="Times New Roman" w:eastAsia="Times New Roman" w:hAnsi="Times New Roman" w:cs="Times New Roman"/>
          <w:lang w:val="sk-SK"/>
        </w:rPr>
        <w:t>Gefitinib j</w:t>
      </w:r>
      <w:r>
        <w:rPr>
          <w:rFonts w:ascii="Times New Roman" w:eastAsia="Times New Roman" w:hAnsi="Times New Roman" w:cs="Times New Roman"/>
          <w:lang w:val="sk-SK"/>
        </w:rPr>
        <w:t>e selektívny nízkomolekulárny inhibí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tor </w:t>
      </w:r>
      <w:r>
        <w:rPr>
          <w:rFonts w:ascii="Times New Roman" w:eastAsia="Times New Roman" w:hAnsi="Times New Roman" w:cs="Times New Roman"/>
          <w:lang w:val="sk-SK"/>
        </w:rPr>
        <w:t xml:space="preserve">tyrozínkinázy receptora </w:t>
      </w:r>
      <w:r w:rsidR="0065194F">
        <w:rPr>
          <w:rFonts w:ascii="Times New Roman" w:eastAsia="Times New Roman" w:hAnsi="Times New Roman" w:cs="Times New Roman"/>
          <w:lang w:val="sk-SK"/>
        </w:rPr>
        <w:t xml:space="preserve">pre </w:t>
      </w:r>
      <w:r>
        <w:rPr>
          <w:rFonts w:ascii="Times New Roman" w:eastAsia="Times New Roman" w:hAnsi="Times New Roman" w:cs="Times New Roman"/>
          <w:lang w:val="sk-SK"/>
        </w:rPr>
        <w:t>epidermá</w:t>
      </w:r>
      <w:r w:rsidR="00444697" w:rsidRPr="00041C3D">
        <w:rPr>
          <w:rFonts w:ascii="Times New Roman" w:eastAsia="Times New Roman" w:hAnsi="Times New Roman" w:cs="Times New Roman"/>
          <w:lang w:val="sk-SK"/>
        </w:rPr>
        <w:t>l</w:t>
      </w:r>
      <w:r w:rsidR="0065194F">
        <w:rPr>
          <w:rFonts w:ascii="Times New Roman" w:eastAsia="Times New Roman" w:hAnsi="Times New Roman" w:cs="Times New Roman"/>
          <w:lang w:val="sk-SK"/>
        </w:rPr>
        <w:t>ny rastový</w:t>
      </w:r>
      <w:r>
        <w:rPr>
          <w:rFonts w:ascii="Times New Roman" w:eastAsia="Times New Roman" w:hAnsi="Times New Roman" w:cs="Times New Roman"/>
          <w:lang w:val="sk-SK"/>
        </w:rPr>
        <w:t xml:space="preserve"> fak</w:t>
      </w:r>
      <w:r w:rsidR="00444697" w:rsidRPr="00041C3D">
        <w:rPr>
          <w:rFonts w:ascii="Times New Roman" w:eastAsia="Times New Roman" w:hAnsi="Times New Roman" w:cs="Times New Roman"/>
          <w:lang w:val="sk-SK"/>
        </w:rPr>
        <w:t>t</w:t>
      </w:r>
      <w:r w:rsidR="00444697" w:rsidRPr="00041C3D">
        <w:rPr>
          <w:rFonts w:ascii="Times New Roman" w:eastAsia="Times New Roman" w:hAnsi="Times New Roman" w:cs="Times New Roman"/>
          <w:spacing w:val="-5"/>
          <w:lang w:val="sk-SK"/>
        </w:rPr>
        <w:t>o</w:t>
      </w:r>
      <w:r w:rsidR="00444697" w:rsidRPr="00041C3D">
        <w:rPr>
          <w:rFonts w:ascii="Times New Roman" w:eastAsia="Times New Roman" w:hAnsi="Times New Roman" w:cs="Times New Roman"/>
          <w:lang w:val="sk-SK"/>
        </w:rPr>
        <w:t>r</w:t>
      </w:r>
      <w:r w:rsidR="00FC33B1">
        <w:rPr>
          <w:rFonts w:ascii="Times New Roman" w:eastAsia="Times New Roman" w:hAnsi="Times New Roman" w:cs="Times New Roman"/>
          <w:lang w:val="sk-SK"/>
        </w:rPr>
        <w:t xml:space="preserve"> a je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FC33B1">
        <w:rPr>
          <w:rFonts w:ascii="Times New Roman" w:eastAsia="Times New Roman" w:hAnsi="Times New Roman" w:cs="Times New Roman"/>
          <w:lang w:val="sk-SK"/>
        </w:rPr>
        <w:t xml:space="preserve">účinnou liečbou pre pacientov s tumormi s aktivujúcimi </w:t>
      </w:r>
      <w:r w:rsidR="00FC33B1" w:rsidRPr="00226097">
        <w:rPr>
          <w:rFonts w:ascii="Times New Roman" w:eastAsia="Times New Roman" w:hAnsi="Times New Roman" w:cs="Times New Roman"/>
          <w:lang w:val="sk-SK"/>
        </w:rPr>
        <w:t>mutáciami</w:t>
      </w:r>
      <w:r w:rsidR="00444697" w:rsidRPr="00226097">
        <w:rPr>
          <w:rFonts w:ascii="Times New Roman" w:eastAsia="Times New Roman" w:hAnsi="Times New Roman" w:cs="Times New Roman"/>
          <w:lang w:val="sk-SK"/>
        </w:rPr>
        <w:t xml:space="preserve"> </w:t>
      </w:r>
      <w:r w:rsidR="00FC33B1" w:rsidRPr="00226097">
        <w:rPr>
          <w:rFonts w:ascii="Times New Roman" w:eastAsia="Times New Roman" w:hAnsi="Times New Roman" w:cs="Times New Roman"/>
          <w:bCs/>
          <w:lang w:val="sk-SK"/>
        </w:rPr>
        <w:t>tyrozínkinázovej domény</w:t>
      </w:r>
      <w:r w:rsidR="00FC33B1" w:rsidRPr="00226097">
        <w:rPr>
          <w:rFonts w:ascii="Times New Roman" w:eastAsia="Times New Roman" w:hAnsi="Times New Roman" w:cs="Times New Roman"/>
          <w:lang w:val="sk-SK"/>
        </w:rPr>
        <w:t xml:space="preserve"> </w:t>
      </w:r>
      <w:r w:rsidR="00444697" w:rsidRPr="00226097">
        <w:rPr>
          <w:rFonts w:ascii="Times New Roman" w:eastAsia="Times New Roman" w:hAnsi="Times New Roman" w:cs="Times New Roman"/>
          <w:lang w:val="sk-SK"/>
        </w:rPr>
        <w:t>EGFR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FC33B1">
        <w:rPr>
          <w:rFonts w:ascii="Times New Roman" w:eastAsia="Times New Roman" w:hAnsi="Times New Roman" w:cs="Times New Roman"/>
          <w:lang w:val="sk-SK"/>
        </w:rPr>
        <w:t>bez ohľadu na líniu liečby. Nebola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FC33B1">
        <w:rPr>
          <w:rFonts w:ascii="Times New Roman" w:eastAsia="Times New Roman" w:hAnsi="Times New Roman" w:cs="Times New Roman"/>
          <w:lang w:val="sk-SK"/>
        </w:rPr>
        <w:t>preukázaná klinicky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relevant</w:t>
      </w:r>
      <w:r w:rsidR="00FC33B1">
        <w:rPr>
          <w:rFonts w:ascii="Times New Roman" w:eastAsia="Times New Roman" w:hAnsi="Times New Roman" w:cs="Times New Roman"/>
          <w:lang w:val="sk-SK"/>
        </w:rPr>
        <w:t>ná aktivita u pacientov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226097">
        <w:rPr>
          <w:rFonts w:ascii="Times New Roman" w:eastAsia="Times New Roman" w:hAnsi="Times New Roman" w:cs="Times New Roman"/>
          <w:lang w:val="sk-SK"/>
        </w:rPr>
        <w:t>s</w:t>
      </w:r>
      <w:r w:rsidR="00C22E19">
        <w:rPr>
          <w:rFonts w:ascii="Times New Roman" w:eastAsia="Times New Roman" w:hAnsi="Times New Roman" w:cs="Times New Roman"/>
          <w:lang w:val="sk-SK"/>
        </w:rPr>
        <w:t> tumormi so známou negativitou m</w:t>
      </w:r>
      <w:r w:rsidR="00226097">
        <w:rPr>
          <w:rFonts w:ascii="Times New Roman" w:eastAsia="Times New Roman" w:hAnsi="Times New Roman" w:cs="Times New Roman"/>
          <w:lang w:val="sk-SK"/>
        </w:rPr>
        <w:t xml:space="preserve">utácie </w:t>
      </w:r>
      <w:r w:rsidR="00444697" w:rsidRPr="00041C3D">
        <w:rPr>
          <w:rFonts w:ascii="Times New Roman" w:eastAsia="Times New Roman" w:hAnsi="Times New Roman" w:cs="Times New Roman"/>
          <w:lang w:val="sk-SK"/>
        </w:rPr>
        <w:t>EGFR.</w:t>
      </w:r>
    </w:p>
    <w:p w14:paraId="1EEB9FBC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BD" w14:textId="45914396" w:rsidR="00444697" w:rsidRPr="00041C3D" w:rsidRDefault="00FE2EF5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lastRenderedPageBreak/>
        <w:t>Bežné aktivujúce mutácie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EGFR </w:t>
      </w:r>
      <w:r>
        <w:rPr>
          <w:rFonts w:ascii="Times New Roman" w:eastAsia="Times New Roman" w:hAnsi="Times New Roman" w:cs="Times New Roman"/>
          <w:lang w:val="sk-SK"/>
        </w:rPr>
        <w:t>(delécie exónu</w:t>
      </w:r>
      <w:r w:rsidR="005C7417">
        <w:rPr>
          <w:rFonts w:ascii="Times New Roman" w:eastAsia="Times New Roman" w:hAnsi="Times New Roman" w:cs="Times New Roman"/>
          <w:lang w:val="sk-SK"/>
        </w:rPr>
        <w:t xml:space="preserve"> 19</w:t>
      </w:r>
      <w:r w:rsidR="00444697" w:rsidRPr="00041C3D">
        <w:rPr>
          <w:rFonts w:ascii="Times New Roman" w:eastAsia="Times New Roman" w:hAnsi="Times New Roman" w:cs="Times New Roman"/>
          <w:lang w:val="sk-SK"/>
        </w:rPr>
        <w:t>; L858</w:t>
      </w:r>
      <w:r w:rsidR="00444697" w:rsidRPr="00041C3D">
        <w:rPr>
          <w:rFonts w:ascii="Times New Roman" w:eastAsia="Times New Roman" w:hAnsi="Times New Roman" w:cs="Times New Roman"/>
          <w:spacing w:val="-1"/>
          <w:lang w:val="sk-SK"/>
        </w:rPr>
        <w:t>R</w:t>
      </w:r>
      <w:r>
        <w:rPr>
          <w:rFonts w:ascii="Times New Roman" w:eastAsia="Times New Roman" w:hAnsi="Times New Roman" w:cs="Times New Roman"/>
          <w:lang w:val="sk-SK"/>
        </w:rPr>
        <w:t>) majú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robust</w:t>
      </w:r>
      <w:r>
        <w:rPr>
          <w:rFonts w:ascii="Times New Roman" w:eastAsia="Times New Roman" w:hAnsi="Times New Roman" w:cs="Times New Roman"/>
          <w:lang w:val="sk-SK"/>
        </w:rPr>
        <w:t xml:space="preserve">né údaje o odpovedi, ktoré podporujú citlivosť na 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gefitinib; </w:t>
      </w:r>
      <w:r>
        <w:rPr>
          <w:rFonts w:ascii="Times New Roman" w:eastAsia="Times New Roman" w:hAnsi="Times New Roman" w:cs="Times New Roman"/>
          <w:lang w:val="sk-SK"/>
        </w:rPr>
        <w:t>napríklad prežívanie bez progresie HR (95</w:t>
      </w:r>
      <w:r w:rsidR="00293005">
        <w:rPr>
          <w:rFonts w:ascii="Times New Roman" w:eastAsia="Times New Roman" w:hAnsi="Times New Roman" w:cs="Times New Roman"/>
          <w:lang w:val="sk-SK"/>
        </w:rPr>
        <w:t> </w:t>
      </w:r>
      <w:r>
        <w:rPr>
          <w:rFonts w:ascii="Times New Roman" w:eastAsia="Times New Roman" w:hAnsi="Times New Roman" w:cs="Times New Roman"/>
          <w:lang w:val="sk-SK"/>
        </w:rPr>
        <w:t>% I</w:t>
      </w:r>
      <w:r w:rsidR="005C7417"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lang w:val="sk-SK"/>
        </w:rPr>
        <w:t>) 0,489 (0,336; 0,710) pre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gefitinib </w:t>
      </w:r>
      <w:r>
        <w:rPr>
          <w:rFonts w:ascii="Times New Roman" w:eastAsia="Times New Roman" w:hAnsi="Times New Roman" w:cs="Times New Roman"/>
          <w:lang w:val="sk-SK"/>
        </w:rPr>
        <w:t xml:space="preserve">oproti kombinovanej </w:t>
      </w:r>
      <w:r w:rsidR="00444697" w:rsidRPr="00041C3D">
        <w:rPr>
          <w:rFonts w:ascii="Times New Roman" w:eastAsia="Times New Roman" w:hAnsi="Times New Roman" w:cs="Times New Roman"/>
          <w:lang w:val="sk-SK"/>
        </w:rPr>
        <w:t>chem</w:t>
      </w:r>
      <w:r w:rsidR="00444697" w:rsidRPr="00041C3D">
        <w:rPr>
          <w:rFonts w:ascii="Times New Roman" w:eastAsia="Times New Roman" w:hAnsi="Times New Roman" w:cs="Times New Roman"/>
          <w:spacing w:val="-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terapii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[WJTOG3405]. </w:t>
      </w:r>
      <w:r>
        <w:rPr>
          <w:rFonts w:ascii="Times New Roman" w:eastAsia="Times New Roman" w:hAnsi="Times New Roman" w:cs="Times New Roman"/>
          <w:lang w:val="sk-SK"/>
        </w:rPr>
        <w:t>U pacientov, ktorých nádory obsahujú menej časté mutácie je údajov o odpovedi na gefitinib menej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; </w:t>
      </w:r>
      <w:r>
        <w:rPr>
          <w:rFonts w:ascii="Times New Roman" w:eastAsia="Times New Roman" w:hAnsi="Times New Roman" w:cs="Times New Roman"/>
          <w:lang w:val="sk-SK"/>
        </w:rPr>
        <w:t xml:space="preserve">dostupné údaje naznačujú, že </w:t>
      </w:r>
      <w:r w:rsidR="00444697" w:rsidRPr="00041C3D"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lang w:val="sk-SK"/>
        </w:rPr>
        <w:t>719X, L861Q a S7681 sú senzibilizujúcimi mutáciami a</w:t>
      </w:r>
      <w:r w:rsidR="00F72E69">
        <w:rPr>
          <w:rFonts w:ascii="Times New Roman" w:eastAsia="Times New Roman" w:hAnsi="Times New Roman" w:cs="Times New Roman"/>
          <w:lang w:val="sk-SK"/>
        </w:rPr>
        <w:t> prítomnosť samotnej mutácie T790M alebo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F72E69">
        <w:rPr>
          <w:rFonts w:ascii="Times New Roman" w:eastAsia="Times New Roman" w:hAnsi="Times New Roman" w:cs="Times New Roman"/>
          <w:lang w:val="sk-SK"/>
        </w:rPr>
        <w:t>samotnej inzercie exó</w:t>
      </w:r>
      <w:r w:rsidR="00444697" w:rsidRPr="00041C3D">
        <w:rPr>
          <w:rFonts w:ascii="Times New Roman" w:eastAsia="Times New Roman" w:hAnsi="Times New Roman" w:cs="Times New Roman"/>
          <w:lang w:val="sk-SK"/>
        </w:rPr>
        <w:t>n</w:t>
      </w:r>
      <w:r w:rsidR="00F72E69">
        <w:rPr>
          <w:rFonts w:ascii="Times New Roman" w:eastAsia="Times New Roman" w:hAnsi="Times New Roman" w:cs="Times New Roman"/>
          <w:lang w:val="sk-SK"/>
        </w:rPr>
        <w:t xml:space="preserve">u 20 sú mechanizmami </w:t>
      </w:r>
      <w:r w:rsidR="00444697" w:rsidRPr="00041C3D">
        <w:rPr>
          <w:rFonts w:ascii="Times New Roman" w:eastAsia="Times New Roman" w:hAnsi="Times New Roman" w:cs="Times New Roman"/>
          <w:spacing w:val="1"/>
          <w:lang w:val="sk-SK"/>
        </w:rPr>
        <w:t>re</w:t>
      </w:r>
      <w:r w:rsidR="00F72E69">
        <w:rPr>
          <w:rFonts w:ascii="Times New Roman" w:eastAsia="Times New Roman" w:hAnsi="Times New Roman" w:cs="Times New Roman"/>
          <w:spacing w:val="-2"/>
          <w:lang w:val="sk-SK"/>
        </w:rPr>
        <w:t>zistencie</w:t>
      </w:r>
      <w:r w:rsidR="00444697" w:rsidRPr="00041C3D">
        <w:rPr>
          <w:rFonts w:ascii="Times New Roman" w:eastAsia="Times New Roman" w:hAnsi="Times New Roman" w:cs="Times New Roman"/>
          <w:lang w:val="sk-SK"/>
        </w:rPr>
        <w:t>.</w:t>
      </w:r>
    </w:p>
    <w:p w14:paraId="1EEB9FBE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BF" w14:textId="6C10DE20" w:rsidR="00444697" w:rsidRPr="00041C3D" w:rsidRDefault="00895A6A" w:rsidP="00473F05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Rezistencia</w:t>
      </w:r>
    </w:p>
    <w:p w14:paraId="1EEB9FC0" w14:textId="0E845DB8" w:rsidR="00444697" w:rsidRPr="00041C3D" w:rsidRDefault="00895A6A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U väčšiny NSCLC nádorov so senzi</w:t>
      </w:r>
      <w:r w:rsidR="005C7417" w:rsidRPr="005C7417">
        <w:rPr>
          <w:rFonts w:ascii="Times New Roman" w:eastAsia="Times New Roman" w:hAnsi="Times New Roman" w:cs="Times New Roman"/>
          <w:lang w:val="sk-SK"/>
        </w:rPr>
        <w:t>bilizujúcimi</w:t>
      </w:r>
      <w:r>
        <w:rPr>
          <w:rFonts w:ascii="Times New Roman" w:eastAsia="Times New Roman" w:hAnsi="Times New Roman" w:cs="Times New Roman"/>
          <w:lang w:val="sk-SK"/>
        </w:rPr>
        <w:t xml:space="preserve"> mutáciami EGFR kinázy sa neskôr vyvinie rezistencia na liečbu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gefitinib</w:t>
      </w:r>
      <w:r>
        <w:rPr>
          <w:rFonts w:ascii="Times New Roman" w:eastAsia="Times New Roman" w:hAnsi="Times New Roman" w:cs="Times New Roman"/>
          <w:lang w:val="sk-SK"/>
        </w:rPr>
        <w:t>om s mediá</w:t>
      </w:r>
      <w:r w:rsidR="00444697" w:rsidRPr="00041C3D">
        <w:rPr>
          <w:rFonts w:ascii="Times New Roman" w:eastAsia="Times New Roman" w:hAnsi="Times New Roman" w:cs="Times New Roman"/>
          <w:lang w:val="sk-SK"/>
        </w:rPr>
        <w:t>n</w:t>
      </w:r>
      <w:r>
        <w:rPr>
          <w:rFonts w:ascii="Times New Roman" w:eastAsia="Times New Roman" w:hAnsi="Times New Roman" w:cs="Times New Roman"/>
          <w:lang w:val="sk-SK"/>
        </w:rPr>
        <w:t>om času do progresie ochorenia 1 rok. Asi v </w:t>
      </w:r>
      <w:r w:rsidR="00444697" w:rsidRPr="00041C3D">
        <w:rPr>
          <w:rFonts w:ascii="Times New Roman" w:eastAsia="Times New Roman" w:hAnsi="Times New Roman" w:cs="Times New Roman"/>
          <w:lang w:val="sk-SK"/>
        </w:rPr>
        <w:t>60</w:t>
      </w:r>
      <w:r>
        <w:rPr>
          <w:rFonts w:ascii="Times New Roman" w:eastAsia="Times New Roman" w:hAnsi="Times New Roman" w:cs="Times New Roman"/>
          <w:lang w:val="sk-SK"/>
        </w:rPr>
        <w:t> 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% </w:t>
      </w:r>
      <w:r>
        <w:rPr>
          <w:rFonts w:ascii="Times New Roman" w:eastAsia="Times New Roman" w:hAnsi="Times New Roman" w:cs="Times New Roman"/>
          <w:lang w:val="sk-SK"/>
        </w:rPr>
        <w:t xml:space="preserve">prípadov je rezistencia spojená so sekundárnou mutáciou T790M, v týchto prípadoch je možné zvážiť inhibítory tyrozínkinázy EGFR </w:t>
      </w:r>
      <w:r w:rsidR="005C7417">
        <w:rPr>
          <w:rFonts w:ascii="Times New Roman" w:eastAsia="Times New Roman" w:hAnsi="Times New Roman" w:cs="Times New Roman"/>
          <w:lang w:val="sk-SK"/>
        </w:rPr>
        <w:t>cielené</w:t>
      </w:r>
      <w:r>
        <w:rPr>
          <w:rFonts w:ascii="Times New Roman" w:eastAsia="Times New Roman" w:hAnsi="Times New Roman" w:cs="Times New Roman"/>
          <w:lang w:val="sk-SK"/>
        </w:rPr>
        <w:t xml:space="preserve"> na </w:t>
      </w:r>
      <w:r w:rsidR="00444697" w:rsidRPr="00041C3D">
        <w:rPr>
          <w:rFonts w:ascii="Times New Roman" w:eastAsia="Times New Roman" w:hAnsi="Times New Roman" w:cs="Times New Roman"/>
          <w:spacing w:val="-1"/>
          <w:lang w:val="sk-SK"/>
        </w:rPr>
        <w:t>T790</w:t>
      </w:r>
      <w:r w:rsidR="00444697" w:rsidRPr="00041C3D">
        <w:rPr>
          <w:rFonts w:ascii="Times New Roman" w:eastAsia="Times New Roman" w:hAnsi="Times New Roman" w:cs="Times New Roman"/>
          <w:lang w:val="sk-SK"/>
        </w:rPr>
        <w:t>M</w:t>
      </w:r>
      <w:r w:rsidR="00444697" w:rsidRPr="00041C3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ako možnú liečbu v ďalšej línii.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224BD8">
        <w:rPr>
          <w:rFonts w:ascii="Times New Roman" w:eastAsia="Times New Roman" w:hAnsi="Times New Roman" w:cs="Times New Roman"/>
          <w:lang w:val="sk-SK"/>
        </w:rPr>
        <w:t xml:space="preserve">Ďalšie potenciálne mechanizmy rezistencie, ktoré boli hlásené po liečbe </w:t>
      </w:r>
      <w:r w:rsidR="00CD4537">
        <w:rPr>
          <w:rFonts w:ascii="Times New Roman" w:eastAsia="Times New Roman" w:hAnsi="Times New Roman" w:cs="Times New Roman"/>
          <w:lang w:val="sk-SK"/>
        </w:rPr>
        <w:t>liekmi blokujúcimi EGFR signá</w:t>
      </w:r>
      <w:r w:rsidR="00444697" w:rsidRPr="00041C3D">
        <w:rPr>
          <w:rFonts w:ascii="Times New Roman" w:eastAsia="Times New Roman" w:hAnsi="Times New Roman" w:cs="Times New Roman"/>
          <w:lang w:val="sk-SK"/>
        </w:rPr>
        <w:t>l</w:t>
      </w:r>
      <w:r w:rsidR="00CD4537">
        <w:rPr>
          <w:rFonts w:ascii="Times New Roman" w:eastAsia="Times New Roman" w:hAnsi="Times New Roman" w:cs="Times New Roman"/>
          <w:lang w:val="sk-SK"/>
        </w:rPr>
        <w:t>y zahŕňajú</w:t>
      </w:r>
      <w:r w:rsidR="00444697" w:rsidRPr="00041C3D">
        <w:rPr>
          <w:rFonts w:ascii="Times New Roman" w:eastAsia="Times New Roman" w:hAnsi="Times New Roman" w:cs="Times New Roman"/>
          <w:lang w:val="sk-SK"/>
        </w:rPr>
        <w:t>: bypass</w:t>
      </w:r>
      <w:r w:rsidR="00CD4537">
        <w:rPr>
          <w:rFonts w:ascii="Times New Roman" w:eastAsia="Times New Roman" w:hAnsi="Times New Roman" w:cs="Times New Roman"/>
          <w:lang w:val="sk-SK"/>
        </w:rPr>
        <w:t>ovú signalizáciu ako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CD4537">
        <w:rPr>
          <w:rFonts w:ascii="Times New Roman" w:eastAsia="Times New Roman" w:hAnsi="Times New Roman" w:cs="Times New Roman"/>
          <w:spacing w:val="-2"/>
          <w:lang w:val="sk-SK"/>
        </w:rPr>
        <w:t>je génová amplifikácia</w:t>
      </w:r>
      <w:r w:rsidR="00CD4537">
        <w:rPr>
          <w:rFonts w:ascii="Times New Roman" w:eastAsia="Times New Roman" w:hAnsi="Times New Roman" w:cs="Times New Roman"/>
          <w:lang w:val="sk-SK"/>
        </w:rPr>
        <w:t xml:space="preserve"> HER2 a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MET </w:t>
      </w:r>
      <w:r w:rsidR="00CD4537">
        <w:rPr>
          <w:rFonts w:ascii="Times New Roman" w:eastAsia="Times New Roman" w:hAnsi="Times New Roman" w:cs="Times New Roman"/>
          <w:lang w:val="sk-SK"/>
        </w:rPr>
        <w:t xml:space="preserve">a mutácie </w:t>
      </w:r>
      <w:r w:rsidR="00444697" w:rsidRPr="00041C3D">
        <w:rPr>
          <w:rFonts w:ascii="Times New Roman" w:eastAsia="Times New Roman" w:hAnsi="Times New Roman" w:cs="Times New Roman"/>
          <w:lang w:val="sk-SK"/>
        </w:rPr>
        <w:t>PIK3CA</w:t>
      </w:r>
      <w:r w:rsidR="00CD4537">
        <w:rPr>
          <w:rFonts w:ascii="Times New Roman" w:eastAsia="Times New Roman" w:hAnsi="Times New Roman" w:cs="Times New Roman"/>
          <w:lang w:val="sk-SK"/>
        </w:rPr>
        <w:t>. V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444697" w:rsidRPr="00041C3D">
        <w:rPr>
          <w:rFonts w:ascii="Times New Roman" w:eastAsia="Times New Roman" w:hAnsi="Times New Roman" w:cs="Times New Roman"/>
          <w:spacing w:val="-1"/>
          <w:lang w:val="sk-SK"/>
        </w:rPr>
        <w:t>5</w:t>
      </w:r>
      <w:r w:rsidR="00444697" w:rsidRPr="00041C3D">
        <w:rPr>
          <w:rFonts w:ascii="Times New Roman" w:eastAsia="Times New Roman" w:hAnsi="Times New Roman" w:cs="Times New Roman"/>
          <w:spacing w:val="-4"/>
          <w:lang w:val="sk-SK"/>
        </w:rPr>
        <w:noBreakHyphen/>
      </w:r>
      <w:r w:rsidR="00444697" w:rsidRPr="00041C3D">
        <w:rPr>
          <w:rFonts w:ascii="Times New Roman" w:eastAsia="Times New Roman" w:hAnsi="Times New Roman" w:cs="Times New Roman"/>
          <w:lang w:val="sk-SK"/>
        </w:rPr>
        <w:t>10</w:t>
      </w:r>
      <w:r w:rsidR="00CD4537">
        <w:rPr>
          <w:rFonts w:ascii="Times New Roman" w:eastAsia="Times New Roman" w:hAnsi="Times New Roman" w:cs="Times New Roman"/>
          <w:lang w:val="sk-SK"/>
        </w:rPr>
        <w:t> % prípadov bola hlásená fenotypová zmena na malobunkový karcinóm pľúc</w:t>
      </w:r>
      <w:r w:rsidR="00444697" w:rsidRPr="00041C3D">
        <w:rPr>
          <w:rFonts w:ascii="Times New Roman" w:eastAsia="Times New Roman" w:hAnsi="Times New Roman" w:cs="Times New Roman"/>
          <w:lang w:val="sk-SK"/>
        </w:rPr>
        <w:t>.</w:t>
      </w:r>
    </w:p>
    <w:p w14:paraId="1EEB9FC1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C2" w14:textId="4C2AD2B0" w:rsidR="00444697" w:rsidRPr="00041C3D" w:rsidRDefault="00CD4537" w:rsidP="00473F05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Cirkulujúca nádorová</w:t>
      </w:r>
      <w:r w:rsidR="00444697" w:rsidRPr="00041C3D">
        <w:rPr>
          <w:rFonts w:ascii="Times New Roman" w:eastAsia="Times New Roman" w:hAnsi="Times New Roman" w:cs="Times New Roman"/>
          <w:i/>
          <w:lang w:val="sk-SK"/>
        </w:rPr>
        <w:t xml:space="preserve"> DNA (ctDNA)</w:t>
      </w:r>
    </w:p>
    <w:p w14:paraId="1EEB9FC3" w14:textId="771BB2C8" w:rsidR="00444697" w:rsidRPr="00041C3D" w:rsidRDefault="00F54AEB" w:rsidP="00473F05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V štúdii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IFUM</w:t>
      </w:r>
      <w:r>
        <w:rPr>
          <w:rFonts w:ascii="Times New Roman" w:eastAsia="Times New Roman" w:hAnsi="Times New Roman" w:cs="Times New Roman"/>
          <w:lang w:val="sk-SK"/>
        </w:rPr>
        <w:t xml:space="preserve"> sa stav mutácie hodnotil vo vzorkách nádorového tkaniva a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ctDNA </w:t>
      </w:r>
      <w:r>
        <w:rPr>
          <w:rFonts w:ascii="Times New Roman" w:eastAsia="Times New Roman" w:hAnsi="Times New Roman" w:cs="Times New Roman"/>
          <w:lang w:val="sk-SK"/>
        </w:rPr>
        <w:t xml:space="preserve">izolovanej z plazmy pomocou sady </w:t>
      </w:r>
      <w:r w:rsidR="00444697" w:rsidRPr="00041C3D">
        <w:rPr>
          <w:rFonts w:ascii="Times New Roman" w:eastAsia="Times New Roman" w:hAnsi="Times New Roman" w:cs="Times New Roman"/>
          <w:lang w:val="sk-SK"/>
        </w:rPr>
        <w:t>Therascreen</w:t>
      </w:r>
      <w:r>
        <w:rPr>
          <w:rFonts w:ascii="Times New Roman" w:eastAsia="Times New Roman" w:hAnsi="Times New Roman" w:cs="Times New Roman"/>
          <w:lang w:val="sk-SK"/>
        </w:rPr>
        <w:t xml:space="preserve"> EGFR RGQ PCR kit (Qiagen). Obe vzorky, ctDNA aj nádorové tkanivo boli hodnotiteľné u 652 pacientov z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1060 </w:t>
      </w:r>
      <w:r>
        <w:rPr>
          <w:rFonts w:ascii="Times New Roman" w:eastAsia="Times New Roman" w:hAnsi="Times New Roman" w:cs="Times New Roman"/>
          <w:lang w:val="sk-SK"/>
        </w:rPr>
        <w:t>pacientov v skríningu</w:t>
      </w:r>
      <w:r w:rsidR="00444697" w:rsidRPr="00041C3D">
        <w:rPr>
          <w:rFonts w:ascii="Times New Roman" w:eastAsia="Times New Roman" w:hAnsi="Times New Roman" w:cs="Times New Roman"/>
          <w:lang w:val="sk-SK"/>
        </w:rPr>
        <w:t>.</w:t>
      </w:r>
      <w:r w:rsidR="00444697" w:rsidRPr="00041C3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Miera objektívnej odpovede </w:t>
      </w:r>
      <w:r w:rsidR="00444697" w:rsidRPr="00041C3D">
        <w:rPr>
          <w:rFonts w:ascii="Times New Roman" w:eastAsia="Times New Roman" w:hAnsi="Times New Roman" w:cs="Times New Roman"/>
          <w:lang w:val="sk-SK"/>
        </w:rPr>
        <w:t>(</w:t>
      </w:r>
      <w:r w:rsidR="00BF7B42">
        <w:rPr>
          <w:rFonts w:ascii="Times New Roman" w:eastAsia="Times New Roman" w:hAnsi="Times New Roman" w:cs="Times New Roman"/>
          <w:lang w:val="sk-SK"/>
        </w:rPr>
        <w:t>ORR) u </w:t>
      </w:r>
      <w:r>
        <w:rPr>
          <w:rFonts w:ascii="Times New Roman" w:eastAsia="Times New Roman" w:hAnsi="Times New Roman" w:cs="Times New Roman"/>
          <w:lang w:val="sk-SK"/>
        </w:rPr>
        <w:t>pacientov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BF7B42">
        <w:rPr>
          <w:rFonts w:ascii="Times New Roman" w:eastAsia="Times New Roman" w:hAnsi="Times New Roman" w:cs="Times New Roman"/>
          <w:lang w:val="sk-SK"/>
        </w:rPr>
        <w:t xml:space="preserve">s pozitívnou mutáciou nádorového tkaniva a 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ctDNA </w:t>
      </w:r>
      <w:r w:rsidR="00BF7B42">
        <w:rPr>
          <w:rFonts w:ascii="Times New Roman" w:eastAsia="Times New Roman" w:hAnsi="Times New Roman" w:cs="Times New Roman"/>
          <w:lang w:val="sk-SK"/>
        </w:rPr>
        <w:t>bola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77</w:t>
      </w:r>
      <w:r w:rsidR="00BF7B42">
        <w:rPr>
          <w:rFonts w:ascii="Times New Roman" w:eastAsia="Times New Roman" w:hAnsi="Times New Roman" w:cs="Times New Roman"/>
          <w:lang w:val="sk-SK"/>
        </w:rPr>
        <w:t> </w:t>
      </w:r>
      <w:r w:rsidR="00444697" w:rsidRPr="00041C3D">
        <w:rPr>
          <w:rFonts w:ascii="Times New Roman" w:eastAsia="Times New Roman" w:hAnsi="Times New Roman" w:cs="Times New Roman"/>
          <w:lang w:val="sk-SK"/>
        </w:rPr>
        <w:t>% (9</w:t>
      </w:r>
      <w:r w:rsidR="00444697" w:rsidRPr="00041C3D">
        <w:rPr>
          <w:rFonts w:ascii="Times New Roman" w:eastAsia="Times New Roman" w:hAnsi="Times New Roman" w:cs="Times New Roman"/>
          <w:spacing w:val="-2"/>
          <w:lang w:val="sk-SK"/>
        </w:rPr>
        <w:t>5</w:t>
      </w:r>
      <w:r w:rsidR="00BF7B42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="00444697" w:rsidRPr="00041C3D">
        <w:rPr>
          <w:rFonts w:ascii="Times New Roman" w:eastAsia="Times New Roman" w:hAnsi="Times New Roman" w:cs="Times New Roman"/>
          <w:lang w:val="sk-SK"/>
        </w:rPr>
        <w:t>% I</w:t>
      </w:r>
      <w:r w:rsidR="005C7417">
        <w:rPr>
          <w:rFonts w:ascii="Times New Roman" w:eastAsia="Times New Roman" w:hAnsi="Times New Roman" w:cs="Times New Roman"/>
          <w:lang w:val="sk-SK"/>
        </w:rPr>
        <w:t>S</w:t>
      </w:r>
      <w:r w:rsidR="00444697" w:rsidRPr="00041C3D">
        <w:rPr>
          <w:rFonts w:ascii="Times New Roman" w:eastAsia="Times New Roman" w:hAnsi="Times New Roman" w:cs="Times New Roman"/>
          <w:lang w:val="sk-SK"/>
        </w:rPr>
        <w:t>: 66</w:t>
      </w:r>
      <w:r w:rsidR="00BF7B42">
        <w:rPr>
          <w:rFonts w:ascii="Times New Roman" w:eastAsia="Times New Roman" w:hAnsi="Times New Roman" w:cs="Times New Roman"/>
          <w:lang w:val="sk-SK"/>
        </w:rPr>
        <w:t> % až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86</w:t>
      </w:r>
      <w:r w:rsidR="00BF7B42">
        <w:rPr>
          <w:rFonts w:ascii="Times New Roman" w:eastAsia="Times New Roman" w:hAnsi="Times New Roman" w:cs="Times New Roman"/>
          <w:lang w:val="sk-SK"/>
        </w:rPr>
        <w:t xml:space="preserve"> %) a u pacientov len s pozitívnou mutáciou nádorového tkaniva bola </w:t>
      </w:r>
      <w:r w:rsidR="00444697" w:rsidRPr="00041C3D">
        <w:rPr>
          <w:rFonts w:ascii="Times New Roman" w:eastAsia="Times New Roman" w:hAnsi="Times New Roman" w:cs="Times New Roman"/>
          <w:lang w:val="sk-SK"/>
        </w:rPr>
        <w:t>60</w:t>
      </w:r>
      <w:r w:rsidR="00BF7B42">
        <w:rPr>
          <w:rFonts w:ascii="Times New Roman" w:eastAsia="Times New Roman" w:hAnsi="Times New Roman" w:cs="Times New Roman"/>
          <w:lang w:val="sk-SK"/>
        </w:rPr>
        <w:t> </w:t>
      </w:r>
      <w:r w:rsidR="00444697" w:rsidRPr="00041C3D">
        <w:rPr>
          <w:rFonts w:ascii="Times New Roman" w:eastAsia="Times New Roman" w:hAnsi="Times New Roman" w:cs="Times New Roman"/>
          <w:lang w:val="sk-SK"/>
        </w:rPr>
        <w:t>% (95</w:t>
      </w:r>
      <w:r w:rsidR="00BF7B42">
        <w:rPr>
          <w:rFonts w:ascii="Times New Roman" w:eastAsia="Times New Roman" w:hAnsi="Times New Roman" w:cs="Times New Roman"/>
          <w:lang w:val="sk-SK"/>
        </w:rPr>
        <w:t> </w:t>
      </w:r>
      <w:r w:rsidR="00444697" w:rsidRPr="00041C3D">
        <w:rPr>
          <w:rFonts w:ascii="Times New Roman" w:eastAsia="Times New Roman" w:hAnsi="Times New Roman" w:cs="Times New Roman"/>
          <w:lang w:val="sk-SK"/>
        </w:rPr>
        <w:t>% I</w:t>
      </w:r>
      <w:r w:rsidR="005C7417">
        <w:rPr>
          <w:rFonts w:ascii="Times New Roman" w:eastAsia="Times New Roman" w:hAnsi="Times New Roman" w:cs="Times New Roman"/>
          <w:lang w:val="sk-SK"/>
        </w:rPr>
        <w:t>S</w:t>
      </w:r>
      <w:r w:rsidR="00444697" w:rsidRPr="00041C3D">
        <w:rPr>
          <w:rFonts w:ascii="Times New Roman" w:eastAsia="Times New Roman" w:hAnsi="Times New Roman" w:cs="Times New Roman"/>
          <w:lang w:val="sk-SK"/>
        </w:rPr>
        <w:t>: 44</w:t>
      </w:r>
      <w:r w:rsidR="00BF7B42">
        <w:rPr>
          <w:rFonts w:ascii="Times New Roman" w:eastAsia="Times New Roman" w:hAnsi="Times New Roman" w:cs="Times New Roman"/>
          <w:lang w:val="sk-SK"/>
        </w:rPr>
        <w:t> % až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74</w:t>
      </w:r>
      <w:r w:rsidR="00BF7B42">
        <w:rPr>
          <w:rFonts w:ascii="Times New Roman" w:eastAsia="Times New Roman" w:hAnsi="Times New Roman" w:cs="Times New Roman"/>
          <w:lang w:val="sk-SK"/>
        </w:rPr>
        <w:t> </w:t>
      </w:r>
      <w:r w:rsidR="00444697" w:rsidRPr="00041C3D">
        <w:rPr>
          <w:rFonts w:ascii="Times New Roman" w:eastAsia="Times New Roman" w:hAnsi="Times New Roman" w:cs="Times New Roman"/>
          <w:lang w:val="sk-SK"/>
        </w:rPr>
        <w:t>%).</w:t>
      </w:r>
    </w:p>
    <w:p w14:paraId="1EEB9FC4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C5" w14:textId="592E915C" w:rsidR="00444697" w:rsidRPr="00041C3D" w:rsidRDefault="008045E0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Tabuľka 2 Súhrn</w:t>
      </w:r>
      <w:r w:rsidR="00444697" w:rsidRPr="00041C3D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východiskového stavu mutácie pre vzorky nádorov</w:t>
      </w:r>
      <w:r w:rsidR="005C7417">
        <w:rPr>
          <w:rFonts w:ascii="Times New Roman" w:eastAsia="Times New Roman" w:hAnsi="Times New Roman" w:cs="Times New Roman"/>
          <w:b/>
          <w:bCs/>
          <w:lang w:val="sk-SK"/>
        </w:rPr>
        <w:t>ého tkaniva</w:t>
      </w:r>
      <w:r>
        <w:rPr>
          <w:rFonts w:ascii="Times New Roman" w:eastAsia="Times New Roman" w:hAnsi="Times New Roman" w:cs="Times New Roman"/>
          <w:b/>
          <w:bCs/>
          <w:lang w:val="sk-SK"/>
        </w:rPr>
        <w:t xml:space="preserve"> a </w:t>
      </w:r>
      <w:r w:rsidR="00444697" w:rsidRPr="00041C3D">
        <w:rPr>
          <w:rFonts w:ascii="Times New Roman" w:eastAsia="Times New Roman" w:hAnsi="Times New Roman" w:cs="Times New Roman"/>
          <w:b/>
          <w:bCs/>
          <w:lang w:val="sk-SK"/>
        </w:rPr>
        <w:t xml:space="preserve">ctDNA </w:t>
      </w:r>
      <w:r>
        <w:rPr>
          <w:rFonts w:ascii="Times New Roman" w:eastAsia="Times New Roman" w:hAnsi="Times New Roman" w:cs="Times New Roman"/>
          <w:b/>
          <w:bCs/>
          <w:lang w:val="sk-SK"/>
        </w:rPr>
        <w:t>u všetkých pacientov v skríningu s obidvoma hodnotiteľnými vzorkami</w:t>
      </w:r>
    </w:p>
    <w:tbl>
      <w:tblPr>
        <w:tblW w:w="8974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3490"/>
        <w:gridCol w:w="2292"/>
        <w:gridCol w:w="1186"/>
      </w:tblGrid>
      <w:tr w:rsidR="00444697" w:rsidRPr="00041C3D" w14:paraId="1EEB9FCC" w14:textId="77777777" w:rsidTr="00473F05">
        <w:trPr>
          <w:trHeight w:val="534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C6" w14:textId="02E65DED" w:rsidR="00444697" w:rsidRPr="00041C3D" w:rsidRDefault="008045E0" w:rsidP="00473F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Meranie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C7" w14:textId="0F2BBC7E" w:rsidR="00444697" w:rsidRPr="00041C3D" w:rsidRDefault="008045E0" w:rsidP="00473F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Definícia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C8" w14:textId="3CEC98AD" w:rsidR="00444697" w:rsidRPr="00041C3D" w:rsidRDefault="008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Miera </w:t>
            </w:r>
            <w:r w:rsidR="00444697" w:rsidRPr="00041C3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IFU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M</w:t>
            </w:r>
          </w:p>
          <w:p w14:paraId="1EEB9FC9" w14:textId="7CA6A2DB" w:rsidR="00444697" w:rsidRPr="00041C3D" w:rsidRDefault="00444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041C3D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041C3D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(</w:t>
            </w:r>
            <w:r w:rsidRPr="00041C3D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</w:t>
            </w:r>
            <w:r w:rsidR="005C741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S</w:t>
            </w:r>
            <w:r w:rsidRPr="00041C3D">
              <w:rPr>
                <w:rFonts w:ascii="Times New Roman" w:eastAsia="Times New Roman" w:hAnsi="Times New Roman" w:cs="Times New Roman"/>
                <w:spacing w:val="-4"/>
                <w:lang w:val="sk-SK"/>
              </w:rPr>
              <w:t>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CA" w14:textId="77777777" w:rsidR="00444697" w:rsidRPr="00041C3D" w:rsidRDefault="00444697">
            <w:pPr>
              <w:spacing w:after="0" w:line="240" w:lineRule="auto"/>
              <w:ind w:hanging="197"/>
              <w:jc w:val="center"/>
              <w:rPr>
                <w:rFonts w:ascii="Times New Roman" w:eastAsia="Times New Roman" w:hAnsi="Times New Roman" w:cs="Times New Roman"/>
                <w:spacing w:val="-1"/>
                <w:lang w:val="sk-SK"/>
              </w:rPr>
            </w:pPr>
            <w:r w:rsidRPr="00041C3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IFUM</w:t>
            </w:r>
          </w:p>
          <w:p w14:paraId="1EEB9FCB" w14:textId="77777777" w:rsidR="00444697" w:rsidRPr="00041C3D" w:rsidRDefault="00444697">
            <w:pPr>
              <w:spacing w:after="0" w:line="240" w:lineRule="auto"/>
              <w:ind w:hanging="19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041C3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</w:t>
            </w:r>
          </w:p>
        </w:tc>
      </w:tr>
      <w:tr w:rsidR="00444697" w:rsidRPr="00041C3D" w14:paraId="1EEB9FD2" w14:textId="77777777" w:rsidTr="00473F05">
        <w:trPr>
          <w:trHeight w:hRule="exact" w:val="528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CD" w14:textId="2FB44AB7" w:rsidR="00444697" w:rsidRPr="00041C3D" w:rsidRDefault="008045E0" w:rsidP="00473F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Citlivosť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CE" w14:textId="74D62263" w:rsidR="00444697" w:rsidRPr="00041C3D" w:rsidRDefault="00F54AEB" w:rsidP="00473F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Podiel nádorov s M+, ktoré sú</w:t>
            </w:r>
          </w:p>
          <w:p w14:paraId="1EEB9FCF" w14:textId="1B51369D" w:rsidR="00444697" w:rsidRPr="00041C3D" w:rsidRDefault="00F54AEB" w:rsidP="00473F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M+ podľa</w:t>
            </w:r>
            <w:r w:rsidR="00444697" w:rsidRPr="00041C3D">
              <w:rPr>
                <w:rFonts w:ascii="Times New Roman" w:eastAsia="Times New Roman" w:hAnsi="Times New Roman" w:cs="Times New Roman"/>
                <w:lang w:val="sk-SK"/>
              </w:rPr>
              <w:t xml:space="preserve"> ctDNA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D0" w14:textId="510F4377" w:rsidR="00444697" w:rsidRPr="00041C3D" w:rsidRDefault="008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65,7 (55,8; 74,</w:t>
            </w:r>
            <w:r w:rsidR="00444697" w:rsidRPr="00041C3D">
              <w:rPr>
                <w:rFonts w:ascii="Times New Roman" w:eastAsia="Times New Roman" w:hAnsi="Times New Roman" w:cs="Times New Roman"/>
                <w:lang w:val="sk-SK"/>
              </w:rPr>
              <w:t>7)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D1" w14:textId="77777777" w:rsidR="00444697" w:rsidRPr="00041C3D" w:rsidRDefault="00444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041C3D">
              <w:rPr>
                <w:rFonts w:ascii="Times New Roman" w:eastAsia="Times New Roman" w:hAnsi="Times New Roman" w:cs="Times New Roman"/>
                <w:lang w:val="sk-SK"/>
              </w:rPr>
              <w:t>105</w:t>
            </w:r>
          </w:p>
        </w:tc>
      </w:tr>
      <w:tr w:rsidR="00444697" w:rsidRPr="00041C3D" w14:paraId="1EEB9FD7" w14:textId="77777777" w:rsidTr="00473F05">
        <w:trPr>
          <w:trHeight w:val="534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D3" w14:textId="4966C74E" w:rsidR="00444697" w:rsidRPr="00041C3D" w:rsidRDefault="008045E0" w:rsidP="00473F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Špecificita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D4" w14:textId="28582F59" w:rsidR="00444697" w:rsidRPr="00041C3D" w:rsidRDefault="00F54AEB" w:rsidP="00F54AE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Podiel nádorov s</w:t>
            </w:r>
            <w:r w:rsidR="00444697" w:rsidRPr="00041C3D">
              <w:rPr>
                <w:rFonts w:ascii="Times New Roman" w:eastAsia="Times New Roman" w:hAnsi="Times New Roman" w:cs="Times New Roman"/>
                <w:lang w:val="sk-SK"/>
              </w:rPr>
              <w:t xml:space="preserve"> M-</w:t>
            </w:r>
            <w:r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, ktoré sú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 xml:space="preserve">M- podľa </w:t>
            </w:r>
            <w:r w:rsidR="00293005">
              <w:rPr>
                <w:rFonts w:ascii="Times New Roman" w:eastAsia="Times New Roman" w:hAnsi="Times New Roman" w:cs="Times New Roman"/>
                <w:spacing w:val="-1"/>
                <w:lang w:val="sk-SK"/>
              </w:rPr>
              <w:t>ctDNA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D5" w14:textId="43EA06CB" w:rsidR="00444697" w:rsidRPr="00041C3D" w:rsidRDefault="008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99,8 (99,0; 100,</w:t>
            </w:r>
            <w:r w:rsidR="00444697" w:rsidRPr="00041C3D">
              <w:rPr>
                <w:rFonts w:ascii="Times New Roman" w:eastAsia="Times New Roman" w:hAnsi="Times New Roman" w:cs="Times New Roman"/>
                <w:lang w:val="sk-SK"/>
              </w:rPr>
              <w:t>0)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28" w:type="dxa"/>
            </w:tcMar>
          </w:tcPr>
          <w:p w14:paraId="1EEB9FD6" w14:textId="77777777" w:rsidR="00444697" w:rsidRPr="00041C3D" w:rsidRDefault="00444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041C3D">
              <w:rPr>
                <w:rFonts w:ascii="Times New Roman" w:eastAsia="Times New Roman" w:hAnsi="Times New Roman" w:cs="Times New Roman"/>
                <w:lang w:val="sk-SK"/>
              </w:rPr>
              <w:t>547</w:t>
            </w:r>
          </w:p>
        </w:tc>
      </w:tr>
    </w:tbl>
    <w:p w14:paraId="1EEB9FD8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9840A9F" w14:textId="710ACF96" w:rsidR="005F2DD1" w:rsidRDefault="00444697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041C3D">
        <w:rPr>
          <w:rFonts w:ascii="Times New Roman" w:hAnsi="Times New Roman" w:cs="Times New Roman"/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EEBA1B8" wp14:editId="1EEBA1B9">
                <wp:simplePos x="0" y="0"/>
                <wp:positionH relativeFrom="page">
                  <wp:posOffset>2766060</wp:posOffset>
                </wp:positionH>
                <wp:positionV relativeFrom="paragraph">
                  <wp:posOffset>165735</wp:posOffset>
                </wp:positionV>
                <wp:extent cx="33655" cy="6350"/>
                <wp:effectExtent l="13335" t="10795" r="10160" b="1905"/>
                <wp:wrapNone/>
                <wp:docPr id="1158" name="Group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" cy="6350"/>
                          <a:chOff x="4356" y="261"/>
                          <a:chExt cx="53" cy="10"/>
                        </a:xfrm>
                      </wpg:grpSpPr>
                      <wps:wsp>
                        <wps:cNvPr id="1159" name="Freeform 624"/>
                        <wps:cNvSpPr>
                          <a:spLocks/>
                        </wps:cNvSpPr>
                        <wps:spPr bwMode="auto">
                          <a:xfrm>
                            <a:off x="4356" y="261"/>
                            <a:ext cx="53" cy="10"/>
                          </a:xfrm>
                          <a:custGeom>
                            <a:avLst/>
                            <a:gdLst>
                              <a:gd name="T0" fmla="+- 0 4356 4356"/>
                              <a:gd name="T1" fmla="*/ T0 w 53"/>
                              <a:gd name="T2" fmla="+- 0 266 261"/>
                              <a:gd name="T3" fmla="*/ 266 h 10"/>
                              <a:gd name="T4" fmla="+- 0 4409 4356"/>
                              <a:gd name="T5" fmla="*/ T4 w 53"/>
                              <a:gd name="T6" fmla="+- 0 266 261"/>
                              <a:gd name="T7" fmla="*/ 26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3" h="10">
                                <a:moveTo>
                                  <a:pt x="0" y="5"/>
                                </a:moveTo>
                                <a:lnTo>
                                  <a:pt x="53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0D7F7" id="Group 1158" o:spid="_x0000_s1026" style="position:absolute;margin-left:217.8pt;margin-top:13.05pt;width:2.65pt;height:.5pt;z-index:-251657216;mso-position-horizontal-relative:page" coordorigin="4356,261" coordsize="5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">
                <v:shape id="Freeform 624" o:spid="_x0000_s1027" style="position:absolute;left:4356;top:261;width:53;height:10;visibility:visible;mso-wrap-style:square;v-text-anchor:top" coordsize="5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VVJ8EA&#10;AADdAAAADwAAAGRycy9kb3ducmV2LnhtbERPTYvCMBC9L/gfwgje1lTFpVajiLDgQYVVwevQjG2x&#10;mZQka+u/N4LgbR7vcxarztTiTs5XlhWMhgkI4tzqigsF59PvdwrCB2SNtWVS8CAPq2Xva4GZti3/&#10;0f0YChFD2GeooAyhyaT0eUkG/dA2xJG7WmcwROgKqR22MdzUcpwkP9JgxbGhxIY2JeW3479R0LQz&#10;N1lPd5c2NYd9Mk7zMJGpUoN+t56DCNSFj/jt3uo4fzSdweubeIJ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lVSfBAAAA3QAAAA8AAAAAAAAAAAAAAAAAmAIAAGRycy9kb3du&#10;cmV2LnhtbFBLBQYAAAAABAAEAPUAAACGAwAAAAA=&#10;" path="m,5r53,e" filled="f" strokecolor="red" strokeweight=".58pt">
                  <v:path arrowok="t" o:connecttype="custom" o:connectlocs="0,266;53,266" o:connectangles="0,0"/>
                </v:shape>
                <w10:wrap anchorx="page"/>
              </v:group>
            </w:pict>
          </mc:Fallback>
        </mc:AlternateContent>
      </w:r>
      <w:r w:rsidR="00CB4B3F">
        <w:rPr>
          <w:rFonts w:ascii="Times New Roman" w:eastAsia="Times New Roman" w:hAnsi="Times New Roman" w:cs="Times New Roman"/>
          <w:lang w:val="sk-SK"/>
        </w:rPr>
        <w:t>Tieto údaje sú v súlade s vopred plánovanou exploračnou analýzou podskupiny Japoncov v</w:t>
      </w:r>
      <w:r w:rsidR="000E3796">
        <w:rPr>
          <w:rFonts w:ascii="Times New Roman" w:eastAsia="Times New Roman" w:hAnsi="Times New Roman" w:cs="Times New Roman"/>
          <w:lang w:val="sk-SK"/>
        </w:rPr>
        <w:t xml:space="preserve"> štúdii </w:t>
      </w:r>
      <w:r w:rsidRPr="00041C3D">
        <w:rPr>
          <w:rFonts w:ascii="Times New Roman" w:eastAsia="Times New Roman" w:hAnsi="Times New Roman" w:cs="Times New Roman"/>
          <w:lang w:val="sk-SK"/>
        </w:rPr>
        <w:t xml:space="preserve">IPASS (Goto 2012). </w:t>
      </w:r>
      <w:r w:rsidR="00CB4B3F">
        <w:rPr>
          <w:rFonts w:ascii="Times New Roman" w:eastAsia="Times New Roman" w:hAnsi="Times New Roman" w:cs="Times New Roman"/>
          <w:lang w:val="sk-SK"/>
        </w:rPr>
        <w:t xml:space="preserve">V tejto štúdii bola použitá na analýzu mutácie </w:t>
      </w:r>
      <w:r w:rsidR="005F2DD1">
        <w:rPr>
          <w:rFonts w:ascii="Times New Roman" w:eastAsia="Times New Roman" w:hAnsi="Times New Roman" w:cs="Times New Roman"/>
          <w:lang w:val="sk-SK"/>
        </w:rPr>
        <w:t xml:space="preserve">EGFR pomocou sady </w:t>
      </w:r>
      <w:r w:rsidR="005F2DD1" w:rsidRPr="00041C3D">
        <w:rPr>
          <w:rFonts w:ascii="Times New Roman" w:eastAsia="Times New Roman" w:hAnsi="Times New Roman" w:cs="Times New Roman"/>
          <w:lang w:val="sk-SK"/>
        </w:rPr>
        <w:t>EGFR Mutation Test Kit (DxS)</w:t>
      </w:r>
      <w:r w:rsidR="005F2DD1">
        <w:rPr>
          <w:rFonts w:ascii="Times New Roman" w:eastAsia="Times New Roman" w:hAnsi="Times New Roman" w:cs="Times New Roman"/>
          <w:lang w:val="sk-SK"/>
        </w:rPr>
        <w:t xml:space="preserve"> ctDNA získaná zo séra, nie z plazmy </w:t>
      </w:r>
      <w:r w:rsidR="000E3796">
        <w:rPr>
          <w:rFonts w:ascii="Times New Roman" w:eastAsia="Times New Roman" w:hAnsi="Times New Roman" w:cs="Times New Roman"/>
          <w:lang w:val="sk-SK"/>
        </w:rPr>
        <w:t>(N=86). Citlivosť v tejto štúdii bola 43,1 % a špecificita 100 %.</w:t>
      </w:r>
    </w:p>
    <w:p w14:paraId="1EEB9FDB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DC" w14:textId="71B71EE1" w:rsidR="00444697" w:rsidRPr="00041C3D" w:rsidRDefault="000E3796">
      <w:pPr>
        <w:keepNext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>
        <w:rPr>
          <w:rFonts w:ascii="Times New Roman" w:hAnsi="Times New Roman" w:cs="Times New Roman"/>
          <w:u w:val="single"/>
          <w:lang w:val="sk-SK"/>
        </w:rPr>
        <w:t>Klinická účinnosť a bezpečnosť</w:t>
      </w:r>
    </w:p>
    <w:p w14:paraId="1EEB9FDD" w14:textId="6D271392" w:rsidR="00444697" w:rsidRPr="00041C3D" w:rsidRDefault="000E3796" w:rsidP="00473F05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spacing w:val="-1"/>
          <w:lang w:val="sk-SK"/>
        </w:rPr>
        <w:t>Prvá línia liečby</w:t>
      </w:r>
    </w:p>
    <w:p w14:paraId="1EEB9FDE" w14:textId="3D8EEE11" w:rsidR="00444697" w:rsidRPr="00041C3D" w:rsidRDefault="002F4E5E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 xml:space="preserve">Do prvej línie fázy III randomizovanej štúdie 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IPASS </w:t>
      </w:r>
      <w:r>
        <w:rPr>
          <w:rFonts w:ascii="Times New Roman" w:eastAsia="Times New Roman" w:hAnsi="Times New Roman" w:cs="Times New Roman"/>
          <w:lang w:val="sk-SK"/>
        </w:rPr>
        <w:t>boli zaradení pacienti z Ázie s pokročilým (štádium IIIB alebo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IV) NSCLC</w:t>
      </w:r>
      <w:r>
        <w:rPr>
          <w:rFonts w:ascii="Times New Roman" w:eastAsia="Times New Roman" w:hAnsi="Times New Roman" w:cs="Times New Roman"/>
          <w:lang w:val="sk-SK"/>
        </w:rPr>
        <w:t>, histologicky potvrdeným adenokarcinómom, ktorí boli v minulosti mierni fajčiari</w:t>
      </w:r>
      <w:r w:rsidR="00845B9F">
        <w:rPr>
          <w:rFonts w:ascii="Times New Roman" w:eastAsia="Times New Roman" w:hAnsi="Times New Roman" w:cs="Times New Roman"/>
          <w:lang w:val="sk-SK"/>
        </w:rPr>
        <w:t xml:space="preserve"> (prestali fajčiť pred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444697" w:rsidRPr="00041C3D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&gt;</w:t>
      </w:r>
      <w:r w:rsidR="00845B9F">
        <w:rPr>
          <w:rFonts w:ascii="Times New Roman" w:eastAsia="Times New Roman" w:hAnsi="Times New Roman" w:cs="Times New Roman"/>
          <w:position w:val="-1"/>
          <w:lang w:val="sk-SK"/>
        </w:rPr>
        <w:t> 15 rokmi</w:t>
      </w:r>
      <w:r w:rsidR="00444697" w:rsidRPr="00041C3D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="00845B9F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="00444697" w:rsidRPr="00041C3D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="00845B9F">
        <w:rPr>
          <w:rFonts w:ascii="Times New Roman" w:eastAsia="Times New Roman" w:hAnsi="Times New Roman" w:cs="Times New Roman"/>
          <w:position w:val="-1"/>
          <w:lang w:val="sk-SK"/>
        </w:rPr>
        <w:t>fajčili</w:t>
      </w:r>
      <w:r w:rsidR="00444697" w:rsidRPr="00041C3D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="00444697" w:rsidRPr="00041C3D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&lt;</w:t>
      </w:r>
      <w:r w:rsidR="00444697" w:rsidRPr="00041C3D">
        <w:rPr>
          <w:rFonts w:ascii="Times New Roman" w:eastAsia="Times New Roman" w:hAnsi="Times New Roman" w:cs="Times New Roman"/>
          <w:position w:val="-1"/>
          <w:lang w:val="sk-SK"/>
        </w:rPr>
        <w:t xml:space="preserve"> 10 </w:t>
      </w:r>
      <w:r w:rsidR="00845B9F">
        <w:rPr>
          <w:rFonts w:ascii="Times New Roman" w:eastAsia="Times New Roman" w:hAnsi="Times New Roman" w:cs="Times New Roman"/>
          <w:spacing w:val="-1"/>
          <w:position w:val="-1"/>
          <w:lang w:val="sk-SK"/>
        </w:rPr>
        <w:t>rokov</w:t>
      </w:r>
      <w:r w:rsidR="00444697" w:rsidRPr="00041C3D">
        <w:rPr>
          <w:rFonts w:ascii="Times New Roman" w:eastAsia="Times New Roman" w:hAnsi="Times New Roman" w:cs="Times New Roman"/>
          <w:position w:val="-1"/>
          <w:lang w:val="sk-SK"/>
        </w:rPr>
        <w:t xml:space="preserve">) </w:t>
      </w:r>
      <w:r w:rsidR="00845B9F">
        <w:rPr>
          <w:rFonts w:ascii="Times New Roman" w:eastAsia="Times New Roman" w:hAnsi="Times New Roman" w:cs="Times New Roman"/>
          <w:spacing w:val="-2"/>
          <w:position w:val="-1"/>
          <w:lang w:val="sk-SK"/>
        </w:rPr>
        <w:t>alebo</w:t>
      </w:r>
      <w:r w:rsidR="00444697" w:rsidRPr="00041C3D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="00845B9F">
        <w:rPr>
          <w:rFonts w:ascii="Times New Roman" w:eastAsia="Times New Roman" w:hAnsi="Times New Roman" w:cs="Times New Roman"/>
          <w:position w:val="-1"/>
          <w:lang w:val="sk-SK"/>
        </w:rPr>
        <w:t>nikdy</w:t>
      </w:r>
      <w:r w:rsidR="00444697" w:rsidRPr="00041C3D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="00293005">
        <w:rPr>
          <w:rFonts w:ascii="Times New Roman" w:eastAsia="Times New Roman" w:hAnsi="Times New Roman" w:cs="Times New Roman"/>
          <w:position w:val="-1"/>
          <w:lang w:val="sk-SK"/>
        </w:rPr>
        <w:t>nefajčili (pozri t</w:t>
      </w:r>
      <w:r w:rsidR="00845B9F">
        <w:rPr>
          <w:rFonts w:ascii="Times New Roman" w:eastAsia="Times New Roman" w:hAnsi="Times New Roman" w:cs="Times New Roman"/>
          <w:position w:val="-1"/>
          <w:lang w:val="sk-SK"/>
        </w:rPr>
        <w:t>abuľku</w:t>
      </w:r>
      <w:r w:rsidR="00444697" w:rsidRPr="00041C3D">
        <w:rPr>
          <w:rFonts w:ascii="Times New Roman" w:eastAsia="Times New Roman" w:hAnsi="Times New Roman" w:cs="Times New Roman"/>
          <w:position w:val="-1"/>
          <w:lang w:val="sk-SK"/>
        </w:rPr>
        <w:t> </w:t>
      </w:r>
      <w:r w:rsidR="00444697" w:rsidRPr="00041C3D">
        <w:rPr>
          <w:rFonts w:ascii="Times New Roman" w:eastAsia="Times New Roman" w:hAnsi="Times New Roman" w:cs="Times New Roman"/>
          <w:spacing w:val="-2"/>
          <w:position w:val="-1"/>
          <w:lang w:val="sk-SK"/>
        </w:rPr>
        <w:t>3</w:t>
      </w:r>
      <w:r w:rsidR="00444697" w:rsidRPr="00041C3D">
        <w:rPr>
          <w:rFonts w:ascii="Times New Roman" w:eastAsia="Times New Roman" w:hAnsi="Times New Roman" w:cs="Times New Roman"/>
          <w:spacing w:val="1"/>
          <w:position w:val="-1"/>
          <w:lang w:val="sk-SK"/>
        </w:rPr>
        <w:t>)</w:t>
      </w:r>
      <w:r w:rsidR="00444697" w:rsidRPr="00041C3D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14:paraId="1EEB9FDF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9FE0" w14:textId="1FC2A3AC" w:rsidR="00444697" w:rsidRPr="00041C3D" w:rsidRDefault="00444697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041C3D">
        <w:rPr>
          <w:rFonts w:ascii="Times New Roman" w:eastAsia="Times New Roman" w:hAnsi="Times New Roman" w:cs="Times New Roman"/>
          <w:vertAlign w:val="superscript"/>
          <w:lang w:val="sk-SK"/>
        </w:rPr>
        <w:t>1</w:t>
      </w:r>
      <w:r w:rsidR="00FC2216">
        <w:rPr>
          <w:rFonts w:ascii="Times New Roman" w:eastAsia="Times New Roman" w:hAnsi="Times New Roman" w:cs="Times New Roman"/>
          <w:lang w:val="sk-SK"/>
        </w:rPr>
        <w:t>Čí</w:t>
      </w:r>
      <w:r w:rsidRPr="00041C3D">
        <w:rPr>
          <w:rFonts w:ascii="Times New Roman" w:eastAsia="Times New Roman" w:hAnsi="Times New Roman" w:cs="Times New Roman"/>
          <w:lang w:val="sk-SK"/>
        </w:rPr>
        <w:t>na,</w:t>
      </w:r>
      <w:r w:rsidRPr="00041C3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FC2216">
        <w:rPr>
          <w:rFonts w:ascii="Times New Roman" w:eastAsia="Times New Roman" w:hAnsi="Times New Roman" w:cs="Times New Roman"/>
          <w:lang w:val="sk-SK"/>
        </w:rPr>
        <w:t>Hong Kong, Indonézia, Japonsko, Malajzia, Filipíny, Singapur</w:t>
      </w:r>
      <w:r w:rsidRPr="00041C3D">
        <w:rPr>
          <w:rFonts w:ascii="Times New Roman" w:eastAsia="Times New Roman" w:hAnsi="Times New Roman" w:cs="Times New Roman"/>
          <w:lang w:val="sk-SK"/>
        </w:rPr>
        <w:t>, T</w:t>
      </w:r>
      <w:r w:rsidR="00FC2216">
        <w:rPr>
          <w:rFonts w:ascii="Times New Roman" w:eastAsia="Times New Roman" w:hAnsi="Times New Roman" w:cs="Times New Roman"/>
          <w:lang w:val="sk-SK"/>
        </w:rPr>
        <w:t>ajvan a Thajsko</w:t>
      </w:r>
      <w:r w:rsidRPr="00041C3D">
        <w:rPr>
          <w:rFonts w:ascii="Times New Roman" w:eastAsia="Times New Roman" w:hAnsi="Times New Roman" w:cs="Times New Roman"/>
          <w:lang w:val="sk-SK"/>
        </w:rPr>
        <w:t>.</w:t>
      </w:r>
    </w:p>
    <w:p w14:paraId="1EEB9FE1" w14:textId="77777777" w:rsidR="00444697" w:rsidRPr="00041C3D" w:rsidRDefault="00444697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tbl>
      <w:tblPr>
        <w:tblStyle w:val="Mriekatabuky"/>
        <w:tblW w:w="9382" w:type="dxa"/>
        <w:tblLook w:val="04A0" w:firstRow="1" w:lastRow="0" w:firstColumn="1" w:lastColumn="0" w:noHBand="0" w:noVBand="1"/>
      </w:tblPr>
      <w:tblGrid>
        <w:gridCol w:w="2086"/>
        <w:gridCol w:w="1141"/>
        <w:gridCol w:w="2268"/>
        <w:gridCol w:w="1984"/>
        <w:gridCol w:w="1903"/>
      </w:tblGrid>
      <w:tr w:rsidR="00444697" w:rsidRPr="00041C3D" w14:paraId="1EEB9FE3" w14:textId="77777777" w:rsidTr="009C4113">
        <w:trPr>
          <w:tblHeader/>
        </w:trPr>
        <w:tc>
          <w:tcPr>
            <w:tcW w:w="938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EB9FE2" w14:textId="7096430E" w:rsidR="00444697" w:rsidRPr="00041C3D" w:rsidRDefault="00133ADC" w:rsidP="00133ADC">
            <w:pPr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Tabuľka 3 Výsledky účinnosti pre gefitinib verzus k</w:t>
            </w:r>
            <w:r w:rsidR="00444697" w:rsidRPr="00041C3D">
              <w:rPr>
                <w:rFonts w:ascii="Times New Roman" w:hAnsi="Times New Roman" w:cs="Times New Roman"/>
                <w:b/>
                <w:lang w:val="sk-SK"/>
              </w:rPr>
              <w:t>arboplatin</w:t>
            </w:r>
            <w:r>
              <w:rPr>
                <w:rFonts w:ascii="Times New Roman" w:hAnsi="Times New Roman" w:cs="Times New Roman"/>
                <w:b/>
                <w:lang w:val="sk-SK"/>
              </w:rPr>
              <w:t>a/pak</w:t>
            </w:r>
            <w:r w:rsidR="00444697" w:rsidRPr="00041C3D">
              <w:rPr>
                <w:rFonts w:ascii="Times New Roman" w:hAnsi="Times New Roman" w:cs="Times New Roman"/>
                <w:b/>
                <w:lang w:val="sk-SK"/>
              </w:rPr>
              <w:t xml:space="preserve">litaxel </w:t>
            </w:r>
            <w:r>
              <w:rPr>
                <w:rFonts w:ascii="Times New Roman" w:hAnsi="Times New Roman" w:cs="Times New Roman"/>
                <w:b/>
                <w:lang w:val="sk-SK"/>
              </w:rPr>
              <w:t>z klinickej štúdie IPASS</w:t>
            </w:r>
          </w:p>
        </w:tc>
      </w:tr>
      <w:tr w:rsidR="00444697" w:rsidRPr="00041C3D" w14:paraId="1EEB9FEA" w14:textId="77777777" w:rsidTr="009C4113">
        <w:trPr>
          <w:tblHeader/>
        </w:trPr>
        <w:tc>
          <w:tcPr>
            <w:tcW w:w="20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EB9FE4" w14:textId="1ED5512D" w:rsidR="00444697" w:rsidRPr="00041C3D" w:rsidRDefault="00444697" w:rsidP="00473F05">
            <w:pPr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041C3D">
              <w:rPr>
                <w:rFonts w:ascii="Times New Roman" w:hAnsi="Times New Roman" w:cs="Times New Roman"/>
                <w:b/>
                <w:lang w:val="sk-SK"/>
              </w:rPr>
              <w:t>Popul</w:t>
            </w:r>
            <w:r w:rsidR="00133ADC">
              <w:rPr>
                <w:rFonts w:ascii="Times New Roman" w:hAnsi="Times New Roman" w:cs="Times New Roman"/>
                <w:b/>
                <w:lang w:val="sk-SK"/>
              </w:rPr>
              <w:t>ácia</w:t>
            </w:r>
          </w:p>
        </w:tc>
        <w:tc>
          <w:tcPr>
            <w:tcW w:w="11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EB9FE5" w14:textId="77777777" w:rsidR="00444697" w:rsidRPr="00041C3D" w:rsidRDefault="00444697" w:rsidP="00473F05">
            <w:pPr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041C3D">
              <w:rPr>
                <w:rFonts w:ascii="Times New Roman" w:hAnsi="Times New Roman" w:cs="Times New Roman"/>
                <w:b/>
                <w:lang w:val="sk-SK"/>
              </w:rPr>
              <w:t>N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EB9FE6" w14:textId="090DB78F" w:rsidR="00444697" w:rsidRPr="00041C3D" w:rsidRDefault="00133ADC" w:rsidP="00133ADC">
            <w:pPr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Miera objektívnej odpovede a </w:t>
            </w:r>
            <w:r w:rsidR="00444697" w:rsidRPr="00041C3D">
              <w:rPr>
                <w:rFonts w:ascii="Times New Roman" w:hAnsi="Times New Roman" w:cs="Times New Roman"/>
                <w:b/>
                <w:lang w:val="sk-SK"/>
              </w:rPr>
              <w:t>95</w:t>
            </w:r>
            <w:r>
              <w:rPr>
                <w:rFonts w:ascii="Times New Roman" w:hAnsi="Times New Roman" w:cs="Times New Roman"/>
                <w:b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b/>
                <w:lang w:val="sk-SK"/>
              </w:rPr>
              <w:t>% I</w:t>
            </w:r>
            <w:r w:rsidR="00C57DB3">
              <w:rPr>
                <w:rFonts w:ascii="Times New Roman" w:hAnsi="Times New Roman" w:cs="Times New Roman"/>
                <w:b/>
                <w:lang w:val="sk-SK"/>
              </w:rPr>
              <w:t>S</w:t>
            </w:r>
            <w:r w:rsidR="00444697" w:rsidRPr="00041C3D">
              <w:rPr>
                <w:rFonts w:ascii="Times New Roman" w:hAnsi="Times New Roman" w:cs="Times New Roman"/>
                <w:b/>
                <w:lang w:val="sk-SK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k-SK"/>
              </w:rPr>
              <w:t>pre rozdiel medzi liečbami</w:t>
            </w:r>
            <w:r w:rsidR="00444697" w:rsidRPr="00041C3D">
              <w:rPr>
                <w:rFonts w:ascii="Times New Roman" w:hAnsi="Times New Roman" w:cs="Times New Roman"/>
                <w:b/>
                <w:vertAlign w:val="superscript"/>
                <w:lang w:val="sk-SK"/>
              </w:rPr>
              <w:t>a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EB9FE7" w14:textId="0229251C" w:rsidR="00444697" w:rsidRPr="00041C3D" w:rsidRDefault="00133ADC" w:rsidP="00473F05">
            <w:pPr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Primárny cieľ</w:t>
            </w:r>
            <w:r w:rsidR="00C57DB3">
              <w:rPr>
                <w:rFonts w:ascii="Times New Roman" w:hAnsi="Times New Roman" w:cs="Times New Roman"/>
                <w:b/>
                <w:lang w:val="sk-SK"/>
              </w:rPr>
              <w:t>ový ukazovateľ</w:t>
            </w:r>
          </w:p>
          <w:p w14:paraId="1EEB9FE8" w14:textId="5293FD8F" w:rsidR="00444697" w:rsidRPr="00041C3D" w:rsidRDefault="00133ADC" w:rsidP="00473F05">
            <w:pPr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Prežívanie bez progresie</w:t>
            </w:r>
            <w:r w:rsidR="00444697" w:rsidRPr="00041C3D">
              <w:rPr>
                <w:rFonts w:ascii="Times New Roman" w:hAnsi="Times New Roman" w:cs="Times New Roman"/>
                <w:b/>
                <w:lang w:val="sk-SK"/>
              </w:rPr>
              <w:t xml:space="preserve"> (PFS)</w:t>
            </w:r>
            <w:r w:rsidR="00444697" w:rsidRPr="00041C3D">
              <w:rPr>
                <w:rFonts w:ascii="Times New Roman" w:hAnsi="Times New Roman" w:cs="Times New Roman"/>
                <w:b/>
                <w:vertAlign w:val="superscript"/>
                <w:lang w:val="sk-SK"/>
              </w:rPr>
              <w:t>a,b</w:t>
            </w: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EB9FE9" w14:textId="14B6BFF3" w:rsidR="00444697" w:rsidRPr="00041C3D" w:rsidRDefault="00133ADC" w:rsidP="00473F05">
            <w:pPr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Celkové prežívanie</w:t>
            </w:r>
            <w:r w:rsidR="00444697" w:rsidRPr="00041C3D">
              <w:rPr>
                <w:rFonts w:ascii="Times New Roman" w:hAnsi="Times New Roman" w:cs="Times New Roman"/>
                <w:b/>
                <w:lang w:val="sk-SK"/>
              </w:rPr>
              <w:t xml:space="preserve"> </w:t>
            </w:r>
            <w:r w:rsidR="00444697" w:rsidRPr="00041C3D">
              <w:rPr>
                <w:rFonts w:ascii="Times New Roman" w:hAnsi="Times New Roman" w:cs="Times New Roman"/>
                <w:b/>
                <w:vertAlign w:val="superscript"/>
                <w:lang w:val="sk-SK"/>
              </w:rPr>
              <w:t>a,b</w:t>
            </w:r>
          </w:p>
        </w:tc>
      </w:tr>
      <w:tr w:rsidR="00444697" w:rsidRPr="00041C3D" w14:paraId="1EEB9FF6" w14:textId="77777777" w:rsidTr="009C4113">
        <w:trPr>
          <w:tblHeader/>
        </w:trPr>
        <w:tc>
          <w:tcPr>
            <w:tcW w:w="2086" w:type="dxa"/>
            <w:tcBorders>
              <w:top w:val="single" w:sz="12" w:space="0" w:color="auto"/>
              <w:left w:val="nil"/>
              <w:right w:val="nil"/>
            </w:tcBorders>
          </w:tcPr>
          <w:p w14:paraId="1EEB9FEB" w14:textId="4674808A" w:rsidR="00444697" w:rsidRPr="00041C3D" w:rsidRDefault="00133ADC" w:rsidP="00473F0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lastRenderedPageBreak/>
              <w:t>Celková</w:t>
            </w:r>
          </w:p>
        </w:tc>
        <w:tc>
          <w:tcPr>
            <w:tcW w:w="1141" w:type="dxa"/>
            <w:tcBorders>
              <w:top w:val="single" w:sz="12" w:space="0" w:color="auto"/>
              <w:left w:val="nil"/>
              <w:right w:val="nil"/>
            </w:tcBorders>
          </w:tcPr>
          <w:p w14:paraId="1EEB9FEC" w14:textId="77777777" w:rsidR="00444697" w:rsidRPr="00041C3D" w:rsidRDefault="00444697" w:rsidP="00473F0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041C3D">
              <w:rPr>
                <w:rFonts w:ascii="Times New Roman" w:hAnsi="Times New Roman" w:cs="Times New Roman"/>
                <w:lang w:val="sk-SK"/>
              </w:rPr>
              <w:t>1217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right w:val="nil"/>
            </w:tcBorders>
          </w:tcPr>
          <w:p w14:paraId="1EEB9FED" w14:textId="1BBBABA9" w:rsidR="00444697" w:rsidRPr="00041C3D" w:rsidRDefault="00133ADC" w:rsidP="00473F05">
            <w:pPr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43,0 % vs 32,</w:t>
            </w:r>
            <w:r w:rsidR="00444697" w:rsidRPr="00041C3D">
              <w:rPr>
                <w:rFonts w:ascii="Times New Roman" w:eastAsia="Times New Roman" w:hAnsi="Times New Roman" w:cs="Times New Roman"/>
                <w:lang w:val="sk-SK"/>
              </w:rPr>
              <w:t>2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eastAsia="Times New Roman" w:hAnsi="Times New Roman" w:cs="Times New Roman"/>
                <w:lang w:val="sk-SK"/>
              </w:rPr>
              <w:t>%</w:t>
            </w:r>
          </w:p>
          <w:p w14:paraId="1EEB9FEE" w14:textId="37B834C7" w:rsidR="00444697" w:rsidRPr="00041C3D" w:rsidRDefault="00133ADC" w:rsidP="00473F05">
            <w:pPr>
              <w:jc w:val="center"/>
              <w:rPr>
                <w:rFonts w:ascii="Times New Roman" w:hAnsi="Times New Roman" w:cs="Times New Roman"/>
                <w:highlight w:val="yellow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[5,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3</w:t>
            </w:r>
            <w:r>
              <w:rPr>
                <w:rFonts w:ascii="Times New Roman" w:hAnsi="Times New Roman" w:cs="Times New Roman"/>
                <w:lang w:val="sk-SK"/>
              </w:rPr>
              <w:t> %, 16,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1</w:t>
            </w:r>
            <w:r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%]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right w:val="nil"/>
            </w:tcBorders>
          </w:tcPr>
          <w:p w14:paraId="1EEB9FEF" w14:textId="06B2AC61" w:rsidR="00444697" w:rsidRPr="00041C3D" w:rsidRDefault="00133ADC" w:rsidP="00473F0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 xml:space="preserve">74 </w:t>
            </w:r>
          </w:p>
          <w:p w14:paraId="1EEB9FF0" w14:textId="164C52C1" w:rsidR="00444697" w:rsidRPr="00041C3D" w:rsidRDefault="00133ADC" w:rsidP="00473F0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[0,65; 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85]</w:t>
            </w:r>
          </w:p>
          <w:p w14:paraId="1EEB9FF1" w14:textId="57D455F3" w:rsidR="00444697" w:rsidRPr="00041C3D" w:rsidRDefault="00133ADC" w:rsidP="00473F05">
            <w:pPr>
              <w:jc w:val="center"/>
              <w:rPr>
                <w:rFonts w:ascii="Times New Roman" w:hAnsi="Times New Roman" w:cs="Times New Roman"/>
                <w:highlight w:val="yellow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5,7 m vs 5,8 m p&lt;0,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0001</w:t>
            </w:r>
          </w:p>
        </w:tc>
        <w:tc>
          <w:tcPr>
            <w:tcW w:w="1903" w:type="dxa"/>
            <w:tcBorders>
              <w:top w:val="single" w:sz="12" w:space="0" w:color="auto"/>
              <w:left w:val="nil"/>
              <w:right w:val="nil"/>
            </w:tcBorders>
          </w:tcPr>
          <w:p w14:paraId="1EEB9FF2" w14:textId="758C1B6B" w:rsidR="00444697" w:rsidRPr="00041C3D" w:rsidRDefault="00133ADC" w:rsidP="00473F0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90</w:t>
            </w:r>
          </w:p>
          <w:p w14:paraId="1EEB9FF3" w14:textId="4BB19956" w:rsidR="00444697" w:rsidRPr="00041C3D" w:rsidRDefault="00133ADC" w:rsidP="00473F0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[0,79;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 xml:space="preserve"> </w:t>
            </w:r>
            <w:r>
              <w:rPr>
                <w:rFonts w:ascii="Times New Roman" w:hAnsi="Times New Roman" w:cs="Times New Roman"/>
                <w:lang w:val="sk-SK"/>
              </w:rPr>
              <w:t>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02]</w:t>
            </w:r>
          </w:p>
          <w:p w14:paraId="1EEB9FF4" w14:textId="6E4CD566" w:rsidR="00444697" w:rsidRPr="00041C3D" w:rsidRDefault="00133ADC" w:rsidP="00473F0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18,8 m vs 17,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4 m</w:t>
            </w:r>
          </w:p>
          <w:p w14:paraId="1EEB9FF5" w14:textId="2CF780DE" w:rsidR="00444697" w:rsidRPr="00041C3D" w:rsidRDefault="00133ADC" w:rsidP="00473F05">
            <w:pPr>
              <w:jc w:val="center"/>
              <w:rPr>
                <w:rFonts w:ascii="Times New Roman" w:hAnsi="Times New Roman" w:cs="Times New Roman"/>
                <w:highlight w:val="yellow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p=0,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1087</w:t>
            </w:r>
          </w:p>
        </w:tc>
      </w:tr>
      <w:tr w:rsidR="00444697" w:rsidRPr="00041C3D" w14:paraId="1EEBA001" w14:textId="77777777" w:rsidTr="009C4113">
        <w:trPr>
          <w:tblHeader/>
        </w:trPr>
        <w:tc>
          <w:tcPr>
            <w:tcW w:w="2086" w:type="dxa"/>
            <w:tcBorders>
              <w:left w:val="nil"/>
              <w:right w:val="nil"/>
            </w:tcBorders>
          </w:tcPr>
          <w:p w14:paraId="1EEB9FF7" w14:textId="355A032F" w:rsidR="00444697" w:rsidRPr="00041C3D" w:rsidRDefault="00AD42ED" w:rsidP="00133AD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133ADC">
              <w:rPr>
                <w:rFonts w:ascii="Times New Roman" w:hAnsi="Times New Roman" w:cs="Times New Roman"/>
                <w:lang w:val="sk-SK"/>
              </w:rPr>
              <w:t xml:space="preserve">utácia 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 xml:space="preserve">EGFR </w:t>
            </w:r>
            <w:r>
              <w:rPr>
                <w:rFonts w:ascii="Times New Roman" w:hAnsi="Times New Roman" w:cs="Times New Roman"/>
                <w:lang w:val="sk-SK"/>
              </w:rPr>
              <w:t>- pozitívna</w:t>
            </w:r>
          </w:p>
        </w:tc>
        <w:tc>
          <w:tcPr>
            <w:tcW w:w="1141" w:type="dxa"/>
            <w:tcBorders>
              <w:left w:val="nil"/>
              <w:right w:val="nil"/>
            </w:tcBorders>
          </w:tcPr>
          <w:p w14:paraId="1EEB9FF8" w14:textId="77777777" w:rsidR="00444697" w:rsidRPr="00041C3D" w:rsidRDefault="00444697" w:rsidP="00473F0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041C3D">
              <w:rPr>
                <w:rFonts w:ascii="Times New Roman" w:hAnsi="Times New Roman" w:cs="Times New Roman"/>
                <w:lang w:val="sk-SK"/>
              </w:rPr>
              <w:t>261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1EEB9FF9" w14:textId="7BC5E487" w:rsidR="00444697" w:rsidRPr="00041C3D" w:rsidRDefault="00133ADC" w:rsidP="00473F05">
            <w:pPr>
              <w:jc w:val="center"/>
              <w:rPr>
                <w:rFonts w:ascii="Times New Roman" w:hAnsi="Times New Roman" w:cs="Times New Roman"/>
                <w:highlight w:val="yellow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71,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2</w:t>
            </w:r>
            <w:r>
              <w:rPr>
                <w:rFonts w:ascii="Times New Roman" w:hAnsi="Times New Roman" w:cs="Times New Roman"/>
                <w:lang w:val="sk-SK"/>
              </w:rPr>
              <w:t> % vs 47,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3</w:t>
            </w:r>
            <w:r>
              <w:rPr>
                <w:rFonts w:ascii="Times New Roman" w:hAnsi="Times New Roman" w:cs="Times New Roman"/>
                <w:lang w:val="sk-SK"/>
              </w:rPr>
              <w:t> % [12,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</w:t>
            </w:r>
            <w:r>
              <w:rPr>
                <w:rFonts w:ascii="Times New Roman" w:hAnsi="Times New Roman" w:cs="Times New Roman"/>
                <w:lang w:val="sk-SK"/>
              </w:rPr>
              <w:t> %, 34,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9</w:t>
            </w:r>
            <w:r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%]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1EEB9FFA" w14:textId="19395EF3" w:rsidR="00444697" w:rsidRPr="00041C3D" w:rsidRDefault="00133ADC" w:rsidP="00473F0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48</w:t>
            </w:r>
          </w:p>
          <w:p w14:paraId="1EEB9FFB" w14:textId="4C102AA5" w:rsidR="00444697" w:rsidRPr="00041C3D" w:rsidRDefault="00133ADC" w:rsidP="00473F0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[0,36; 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64]</w:t>
            </w:r>
          </w:p>
          <w:p w14:paraId="1EEB9FFC" w14:textId="4E859C48" w:rsidR="00444697" w:rsidRPr="00041C3D" w:rsidRDefault="00133ADC" w:rsidP="00473F0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9,5 m vs 6,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3 m</w:t>
            </w:r>
          </w:p>
          <w:p w14:paraId="1EEB9FFD" w14:textId="345F31A2" w:rsidR="00444697" w:rsidRPr="00041C3D" w:rsidRDefault="00133ADC" w:rsidP="00473F05">
            <w:pPr>
              <w:jc w:val="center"/>
              <w:rPr>
                <w:rFonts w:ascii="Times New Roman" w:hAnsi="Times New Roman" w:cs="Times New Roman"/>
                <w:highlight w:val="yellow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p&lt;0,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0001</w:t>
            </w:r>
          </w:p>
        </w:tc>
        <w:tc>
          <w:tcPr>
            <w:tcW w:w="1903" w:type="dxa"/>
            <w:tcBorders>
              <w:left w:val="nil"/>
              <w:right w:val="nil"/>
            </w:tcBorders>
          </w:tcPr>
          <w:p w14:paraId="1EEB9FFE" w14:textId="55084173" w:rsidR="00444697" w:rsidRPr="00041C3D" w:rsidRDefault="00133ADC" w:rsidP="00473F0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00</w:t>
            </w:r>
          </w:p>
          <w:p w14:paraId="1EEB9FFF" w14:textId="11FADCDB" w:rsidR="00444697" w:rsidRPr="00041C3D" w:rsidRDefault="00133ADC" w:rsidP="00473F0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[0,76; 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33]</w:t>
            </w:r>
          </w:p>
          <w:p w14:paraId="1EEBA000" w14:textId="52B25BD4" w:rsidR="00444697" w:rsidRPr="00041C3D" w:rsidRDefault="00133ADC" w:rsidP="00473F05">
            <w:pPr>
              <w:jc w:val="center"/>
              <w:rPr>
                <w:rFonts w:ascii="Times New Roman" w:hAnsi="Times New Roman" w:cs="Times New Roman"/>
                <w:highlight w:val="yellow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21,6 m vs 21,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9 m</w:t>
            </w:r>
          </w:p>
        </w:tc>
      </w:tr>
      <w:tr w:rsidR="00444697" w:rsidRPr="00041C3D" w14:paraId="1EEBA00D" w14:textId="77777777" w:rsidTr="009C4113">
        <w:trPr>
          <w:tblHeader/>
        </w:trPr>
        <w:tc>
          <w:tcPr>
            <w:tcW w:w="2086" w:type="dxa"/>
            <w:tcBorders>
              <w:left w:val="nil"/>
              <w:bottom w:val="single" w:sz="4" w:space="0" w:color="auto"/>
              <w:right w:val="nil"/>
            </w:tcBorders>
          </w:tcPr>
          <w:p w14:paraId="1EEBA002" w14:textId="2D841E53" w:rsidR="00444697" w:rsidRPr="00041C3D" w:rsidRDefault="007B6933" w:rsidP="008433AD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8433AD">
              <w:rPr>
                <w:rFonts w:ascii="Times New Roman" w:hAnsi="Times New Roman" w:cs="Times New Roman"/>
                <w:lang w:val="sk-SK"/>
              </w:rPr>
              <w:t xml:space="preserve">utácia 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 xml:space="preserve">EGFR </w:t>
            </w:r>
            <w:r>
              <w:rPr>
                <w:rFonts w:ascii="Times New Roman" w:hAnsi="Times New Roman" w:cs="Times New Roman"/>
                <w:lang w:val="sk-SK"/>
              </w:rPr>
              <w:t>- negatívna</w:t>
            </w:r>
          </w:p>
        </w:tc>
        <w:tc>
          <w:tcPr>
            <w:tcW w:w="1141" w:type="dxa"/>
            <w:tcBorders>
              <w:left w:val="nil"/>
              <w:bottom w:val="single" w:sz="4" w:space="0" w:color="auto"/>
              <w:right w:val="nil"/>
            </w:tcBorders>
          </w:tcPr>
          <w:p w14:paraId="1EEBA003" w14:textId="77777777" w:rsidR="00444697" w:rsidRPr="00041C3D" w:rsidRDefault="00444697" w:rsidP="00473F0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041C3D">
              <w:rPr>
                <w:rFonts w:ascii="Times New Roman" w:hAnsi="Times New Roman" w:cs="Times New Roman"/>
                <w:lang w:val="sk-SK"/>
              </w:rPr>
              <w:t>176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1EEBA004" w14:textId="1348492F" w:rsidR="00444697" w:rsidRPr="00041C3D" w:rsidRDefault="008433AD" w:rsidP="00473F0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1</w:t>
            </w:r>
            <w:r>
              <w:rPr>
                <w:rFonts w:ascii="Times New Roman" w:hAnsi="Times New Roman" w:cs="Times New Roman"/>
                <w:lang w:val="sk-SK"/>
              </w:rPr>
              <w:t> % vs 23,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5</w:t>
            </w:r>
            <w:r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</w:t>
            </w:r>
          </w:p>
          <w:p w14:paraId="1EEBA005" w14:textId="4684919D" w:rsidR="00444697" w:rsidRPr="00041C3D" w:rsidRDefault="008433AD" w:rsidP="00473F05">
            <w:pPr>
              <w:jc w:val="center"/>
              <w:rPr>
                <w:rFonts w:ascii="Times New Roman" w:hAnsi="Times New Roman" w:cs="Times New Roman"/>
                <w:highlight w:val="yellow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[-32,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5</w:t>
            </w:r>
            <w:r>
              <w:rPr>
                <w:rFonts w:ascii="Times New Roman" w:hAnsi="Times New Roman" w:cs="Times New Roman"/>
                <w:lang w:val="sk-SK"/>
              </w:rPr>
              <w:t> %, -13,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3</w:t>
            </w:r>
            <w:r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%]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1EEBA006" w14:textId="09A5AEE6" w:rsidR="00444697" w:rsidRPr="00041C3D" w:rsidRDefault="008433AD" w:rsidP="00473F0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2,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85</w:t>
            </w:r>
          </w:p>
          <w:p w14:paraId="1EEBA007" w14:textId="4BD4E5C1" w:rsidR="00444697" w:rsidRPr="00041C3D" w:rsidRDefault="008433AD" w:rsidP="00473F0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[2,05; 3,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98]</w:t>
            </w:r>
          </w:p>
          <w:p w14:paraId="1EEBA008" w14:textId="3D7F5656" w:rsidR="00444697" w:rsidRPr="00041C3D" w:rsidRDefault="008433AD" w:rsidP="00473F0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5</w:t>
            </w:r>
            <w:r>
              <w:rPr>
                <w:rFonts w:ascii="Times New Roman" w:hAnsi="Times New Roman" w:cs="Times New Roman"/>
                <w:lang w:val="sk-SK"/>
              </w:rPr>
              <w:t> m vs 5,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5 m</w:t>
            </w:r>
          </w:p>
          <w:p w14:paraId="1EEBA009" w14:textId="384356AA" w:rsidR="00444697" w:rsidRPr="00041C3D" w:rsidRDefault="008433AD" w:rsidP="00473F05">
            <w:pPr>
              <w:jc w:val="center"/>
              <w:rPr>
                <w:rFonts w:ascii="Times New Roman" w:hAnsi="Times New Roman" w:cs="Times New Roman"/>
                <w:highlight w:val="yellow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p&lt;0,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0001</w:t>
            </w:r>
          </w:p>
        </w:tc>
        <w:tc>
          <w:tcPr>
            <w:tcW w:w="1903" w:type="dxa"/>
            <w:tcBorders>
              <w:left w:val="nil"/>
              <w:bottom w:val="single" w:sz="4" w:space="0" w:color="auto"/>
              <w:right w:val="nil"/>
            </w:tcBorders>
          </w:tcPr>
          <w:p w14:paraId="1EEBA00A" w14:textId="0E92C886" w:rsidR="00444697" w:rsidRPr="00041C3D" w:rsidRDefault="008433AD" w:rsidP="00473F0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18</w:t>
            </w:r>
          </w:p>
          <w:p w14:paraId="1EEBA00B" w14:textId="364F3FAD" w:rsidR="00444697" w:rsidRPr="00041C3D" w:rsidRDefault="008433AD" w:rsidP="00473F0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[0,86; 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63]</w:t>
            </w:r>
          </w:p>
          <w:p w14:paraId="1EEBA00C" w14:textId="1A983BEE" w:rsidR="00444697" w:rsidRPr="00041C3D" w:rsidRDefault="008433AD" w:rsidP="00473F05">
            <w:pPr>
              <w:jc w:val="center"/>
              <w:rPr>
                <w:rFonts w:ascii="Times New Roman" w:hAnsi="Times New Roman" w:cs="Times New Roman"/>
                <w:highlight w:val="yellow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11,2 m vs 12,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7 m</w:t>
            </w:r>
          </w:p>
        </w:tc>
      </w:tr>
      <w:tr w:rsidR="00444697" w:rsidRPr="00041C3D" w14:paraId="1EEBA019" w14:textId="77777777" w:rsidTr="009C4113">
        <w:trPr>
          <w:tblHeader/>
        </w:trPr>
        <w:tc>
          <w:tcPr>
            <w:tcW w:w="2086" w:type="dxa"/>
            <w:tcBorders>
              <w:left w:val="nil"/>
              <w:bottom w:val="single" w:sz="12" w:space="0" w:color="auto"/>
              <w:right w:val="nil"/>
            </w:tcBorders>
          </w:tcPr>
          <w:p w14:paraId="1EEBA00E" w14:textId="7BAEEF40" w:rsidR="00444697" w:rsidRPr="00041C3D" w:rsidRDefault="007B6933" w:rsidP="008433AD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8433AD">
              <w:rPr>
                <w:rFonts w:ascii="Times New Roman" w:hAnsi="Times New Roman" w:cs="Times New Roman"/>
                <w:lang w:val="sk-SK"/>
              </w:rPr>
              <w:t xml:space="preserve">utácia 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 xml:space="preserve">EGFR </w:t>
            </w:r>
            <w:r>
              <w:rPr>
                <w:rFonts w:ascii="Times New Roman" w:hAnsi="Times New Roman" w:cs="Times New Roman"/>
                <w:lang w:val="sk-SK"/>
              </w:rPr>
              <w:t xml:space="preserve">- </w:t>
            </w:r>
            <w:r w:rsidR="00AD42ED">
              <w:rPr>
                <w:rFonts w:ascii="Times New Roman" w:hAnsi="Times New Roman" w:cs="Times New Roman"/>
                <w:lang w:val="sk-SK"/>
              </w:rPr>
              <w:t>n</w:t>
            </w:r>
            <w:r>
              <w:rPr>
                <w:rFonts w:ascii="Times New Roman" w:hAnsi="Times New Roman" w:cs="Times New Roman"/>
                <w:lang w:val="sk-SK"/>
              </w:rPr>
              <w:t>eznáma</w:t>
            </w:r>
          </w:p>
        </w:tc>
        <w:tc>
          <w:tcPr>
            <w:tcW w:w="1141" w:type="dxa"/>
            <w:tcBorders>
              <w:left w:val="nil"/>
              <w:bottom w:val="single" w:sz="12" w:space="0" w:color="auto"/>
              <w:right w:val="nil"/>
            </w:tcBorders>
          </w:tcPr>
          <w:p w14:paraId="1EEBA00F" w14:textId="77777777" w:rsidR="00444697" w:rsidRPr="00041C3D" w:rsidRDefault="00444697" w:rsidP="00473F0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041C3D">
              <w:rPr>
                <w:rFonts w:ascii="Times New Roman" w:hAnsi="Times New Roman" w:cs="Times New Roman"/>
                <w:lang w:val="sk-SK"/>
              </w:rPr>
              <w:t>780</w:t>
            </w:r>
          </w:p>
        </w:tc>
        <w:tc>
          <w:tcPr>
            <w:tcW w:w="2268" w:type="dxa"/>
            <w:tcBorders>
              <w:left w:val="nil"/>
              <w:bottom w:val="single" w:sz="12" w:space="0" w:color="auto"/>
              <w:right w:val="nil"/>
            </w:tcBorders>
          </w:tcPr>
          <w:p w14:paraId="1EEBA010" w14:textId="1FB947D7" w:rsidR="00444697" w:rsidRPr="00041C3D" w:rsidRDefault="008433AD" w:rsidP="00473F0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43,3 % vs 29,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2</w:t>
            </w:r>
            <w:r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</w:t>
            </w:r>
          </w:p>
          <w:p w14:paraId="1EEBA011" w14:textId="52CC862F" w:rsidR="00444697" w:rsidRPr="00041C3D" w:rsidRDefault="008433AD" w:rsidP="00473F05">
            <w:pPr>
              <w:jc w:val="center"/>
              <w:rPr>
                <w:rFonts w:ascii="Times New Roman" w:hAnsi="Times New Roman" w:cs="Times New Roman"/>
                <w:highlight w:val="yellow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[7,3 %, 20,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6</w:t>
            </w:r>
            <w:r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%]</w:t>
            </w:r>
          </w:p>
        </w:tc>
        <w:tc>
          <w:tcPr>
            <w:tcW w:w="1984" w:type="dxa"/>
            <w:tcBorders>
              <w:left w:val="nil"/>
              <w:bottom w:val="single" w:sz="12" w:space="0" w:color="auto"/>
              <w:right w:val="nil"/>
            </w:tcBorders>
          </w:tcPr>
          <w:p w14:paraId="1EEBA012" w14:textId="3674F8D8" w:rsidR="00444697" w:rsidRPr="00041C3D" w:rsidRDefault="008433AD" w:rsidP="00473F0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68</w:t>
            </w:r>
          </w:p>
          <w:p w14:paraId="1EEBA013" w14:textId="1FD88204" w:rsidR="00444697" w:rsidRPr="00041C3D" w:rsidRDefault="008433AD" w:rsidP="00473F0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[0,58 až 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81]</w:t>
            </w:r>
          </w:p>
          <w:p w14:paraId="1EEBA014" w14:textId="1D40661E" w:rsidR="00444697" w:rsidRPr="00041C3D" w:rsidRDefault="008433AD" w:rsidP="00473F0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6,6 m vs 5,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8 m</w:t>
            </w:r>
          </w:p>
          <w:p w14:paraId="1EEBA015" w14:textId="629D26B3" w:rsidR="00444697" w:rsidRPr="00041C3D" w:rsidRDefault="008433AD" w:rsidP="00473F05">
            <w:pPr>
              <w:jc w:val="center"/>
              <w:rPr>
                <w:rFonts w:ascii="Times New Roman" w:hAnsi="Times New Roman" w:cs="Times New Roman"/>
                <w:highlight w:val="yellow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p&lt;0,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0001</w:t>
            </w:r>
          </w:p>
        </w:tc>
        <w:tc>
          <w:tcPr>
            <w:tcW w:w="1903" w:type="dxa"/>
            <w:tcBorders>
              <w:left w:val="nil"/>
              <w:bottom w:val="single" w:sz="12" w:space="0" w:color="auto"/>
              <w:right w:val="nil"/>
            </w:tcBorders>
          </w:tcPr>
          <w:p w14:paraId="1EEBA016" w14:textId="4E7B5E54" w:rsidR="00444697" w:rsidRPr="00041C3D" w:rsidRDefault="008433AD" w:rsidP="00473F0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82</w:t>
            </w:r>
          </w:p>
          <w:p w14:paraId="1EEBA017" w14:textId="75617A6E" w:rsidR="00444697" w:rsidRPr="00041C3D" w:rsidRDefault="008433AD" w:rsidP="00473F0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[0,70 až 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96]</w:t>
            </w:r>
          </w:p>
          <w:p w14:paraId="1EEBA018" w14:textId="2333565C" w:rsidR="00444697" w:rsidRPr="00041C3D" w:rsidRDefault="008433AD" w:rsidP="00473F05">
            <w:pPr>
              <w:jc w:val="center"/>
              <w:rPr>
                <w:rFonts w:ascii="Times New Roman" w:hAnsi="Times New Roman" w:cs="Times New Roman"/>
                <w:highlight w:val="yellow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18,9 m vs. 17,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2 m</w:t>
            </w:r>
          </w:p>
        </w:tc>
      </w:tr>
    </w:tbl>
    <w:p w14:paraId="1EEBA01A" w14:textId="1C43A698" w:rsidR="00444697" w:rsidRPr="00041C3D" w:rsidRDefault="00444697" w:rsidP="00473F05">
      <w:pPr>
        <w:spacing w:after="0" w:line="240" w:lineRule="auto"/>
        <w:ind w:firstLine="3"/>
        <w:rPr>
          <w:rFonts w:ascii="Times New Roman" w:eastAsia="Times New Roman" w:hAnsi="Times New Roman" w:cs="Times New Roman"/>
          <w:sz w:val="20"/>
          <w:highlight w:val="yellow"/>
          <w:lang w:val="sk-SK"/>
        </w:rPr>
      </w:pPr>
      <w:r w:rsidRPr="00041C3D">
        <w:rPr>
          <w:rFonts w:ascii="Times New Roman" w:eastAsia="Times New Roman" w:hAnsi="Times New Roman" w:cs="Times New Roman"/>
          <w:sz w:val="20"/>
          <w:lang w:val="sk-SK"/>
        </w:rPr>
        <w:t>a</w:t>
      </w:r>
      <w:r w:rsidRPr="00041C3D">
        <w:rPr>
          <w:rFonts w:ascii="Times New Roman" w:eastAsia="Times New Roman" w:hAnsi="Times New Roman" w:cs="Times New Roman"/>
          <w:sz w:val="20"/>
          <w:lang w:val="sk-SK"/>
        </w:rPr>
        <w:tab/>
      </w:r>
      <w:r w:rsidR="00AC38DE">
        <w:rPr>
          <w:rFonts w:ascii="Times New Roman" w:eastAsia="Times New Roman" w:hAnsi="Times New Roman" w:cs="Times New Roman"/>
          <w:sz w:val="20"/>
          <w:lang w:val="sk-SK"/>
        </w:rPr>
        <w:t>uvedené hodnoty sú pre gefitinib verzus k</w:t>
      </w:r>
      <w:r w:rsidRPr="00041C3D">
        <w:rPr>
          <w:rFonts w:ascii="Times New Roman" w:eastAsia="Times New Roman" w:hAnsi="Times New Roman" w:cs="Times New Roman"/>
          <w:sz w:val="20"/>
          <w:lang w:val="sk-SK"/>
        </w:rPr>
        <w:t>arboplatin</w:t>
      </w:r>
      <w:r w:rsidR="00AC38DE">
        <w:rPr>
          <w:rFonts w:ascii="Times New Roman" w:eastAsia="Times New Roman" w:hAnsi="Times New Roman" w:cs="Times New Roman"/>
          <w:sz w:val="20"/>
          <w:lang w:val="sk-SK"/>
        </w:rPr>
        <w:t>a/pak</w:t>
      </w:r>
      <w:r w:rsidR="00676A2B">
        <w:rPr>
          <w:rFonts w:ascii="Times New Roman" w:eastAsia="Times New Roman" w:hAnsi="Times New Roman" w:cs="Times New Roman"/>
          <w:sz w:val="20"/>
          <w:lang w:val="sk-SK"/>
        </w:rPr>
        <w:t>litaxel</w:t>
      </w:r>
    </w:p>
    <w:p w14:paraId="1EEBA01B" w14:textId="4AF88266" w:rsidR="00444697" w:rsidRPr="00041C3D" w:rsidRDefault="00AC38DE">
      <w:pPr>
        <w:spacing w:after="0" w:line="240" w:lineRule="auto"/>
        <w:rPr>
          <w:rFonts w:ascii="Times New Roman" w:hAnsi="Times New Roman" w:cs="Times New Roman"/>
          <w:sz w:val="20"/>
          <w:highlight w:val="yellow"/>
          <w:lang w:val="sk-SK"/>
        </w:rPr>
      </w:pPr>
      <w:r>
        <w:rPr>
          <w:rFonts w:ascii="Times New Roman" w:hAnsi="Times New Roman" w:cs="Times New Roman"/>
          <w:sz w:val="20"/>
          <w:lang w:val="sk-SK"/>
        </w:rPr>
        <w:t>b</w:t>
      </w:r>
      <w:r>
        <w:rPr>
          <w:rFonts w:ascii="Times New Roman" w:hAnsi="Times New Roman" w:cs="Times New Roman"/>
          <w:sz w:val="20"/>
          <w:lang w:val="sk-SK"/>
        </w:rPr>
        <w:tab/>
      </w:r>
      <w:r w:rsidR="004E7A74">
        <w:rPr>
          <w:rFonts w:ascii="Times New Roman" w:hAnsi="Times New Roman" w:cs="Times New Roman"/>
          <w:sz w:val="20"/>
          <w:lang w:val="sk-SK"/>
        </w:rPr>
        <w:t>„</w:t>
      </w:r>
      <w:r>
        <w:rPr>
          <w:rFonts w:ascii="Times New Roman" w:hAnsi="Times New Roman" w:cs="Times New Roman"/>
          <w:sz w:val="20"/>
          <w:lang w:val="sk-SK"/>
        </w:rPr>
        <w:t>m</w:t>
      </w:r>
      <w:r w:rsidR="004E7A74">
        <w:rPr>
          <w:rFonts w:ascii="Times New Roman" w:hAnsi="Times New Roman" w:cs="Times New Roman"/>
          <w:sz w:val="20"/>
          <w:lang w:val="sk-SK"/>
        </w:rPr>
        <w:t>“</w:t>
      </w:r>
      <w:r>
        <w:rPr>
          <w:rFonts w:ascii="Times New Roman" w:hAnsi="Times New Roman" w:cs="Times New Roman"/>
          <w:sz w:val="20"/>
          <w:lang w:val="sk-SK"/>
        </w:rPr>
        <w:t xml:space="preserve"> je medián v mesiacoch</w:t>
      </w:r>
      <w:r w:rsidR="00444697" w:rsidRPr="00041C3D">
        <w:rPr>
          <w:rFonts w:ascii="Times New Roman" w:hAnsi="Times New Roman" w:cs="Times New Roman"/>
          <w:sz w:val="20"/>
          <w:lang w:val="sk-SK"/>
        </w:rPr>
        <w:t xml:space="preserve">. </w:t>
      </w:r>
      <w:r w:rsidR="00676A2B">
        <w:rPr>
          <w:rFonts w:ascii="Times New Roman" w:hAnsi="Times New Roman" w:cs="Times New Roman"/>
          <w:sz w:val="20"/>
          <w:lang w:val="sk-SK"/>
        </w:rPr>
        <w:t xml:space="preserve">Čísla v hranatých zátvorkách sú </w:t>
      </w:r>
      <w:r w:rsidR="00444697" w:rsidRPr="00041C3D">
        <w:rPr>
          <w:rFonts w:ascii="Times New Roman" w:hAnsi="Times New Roman" w:cs="Times New Roman"/>
          <w:sz w:val="20"/>
          <w:lang w:val="sk-SK"/>
        </w:rPr>
        <w:t>95</w:t>
      </w:r>
      <w:r w:rsidR="00676A2B">
        <w:rPr>
          <w:rFonts w:ascii="Times New Roman" w:hAnsi="Times New Roman" w:cs="Times New Roman"/>
          <w:sz w:val="20"/>
          <w:lang w:val="sk-SK"/>
        </w:rPr>
        <w:t> </w:t>
      </w:r>
      <w:r w:rsidR="00444697" w:rsidRPr="00041C3D">
        <w:rPr>
          <w:rFonts w:ascii="Times New Roman" w:hAnsi="Times New Roman" w:cs="Times New Roman"/>
          <w:sz w:val="20"/>
          <w:lang w:val="sk-SK"/>
        </w:rPr>
        <w:t>%</w:t>
      </w:r>
      <w:r w:rsidR="00676A2B">
        <w:rPr>
          <w:rFonts w:ascii="Times New Roman" w:hAnsi="Times New Roman" w:cs="Times New Roman"/>
          <w:sz w:val="20"/>
          <w:lang w:val="sk-SK"/>
        </w:rPr>
        <w:t xml:space="preserve"> interval spoľahlivosti pre</w:t>
      </w:r>
      <w:r w:rsidR="00444697" w:rsidRPr="00041C3D">
        <w:rPr>
          <w:rFonts w:ascii="Times New Roman" w:hAnsi="Times New Roman" w:cs="Times New Roman"/>
          <w:sz w:val="20"/>
          <w:lang w:val="sk-SK"/>
        </w:rPr>
        <w:t xml:space="preserve"> HR</w:t>
      </w:r>
    </w:p>
    <w:p w14:paraId="1EEBA01C" w14:textId="0AFD24F7" w:rsidR="00444697" w:rsidRPr="00041C3D" w:rsidRDefault="00676A2B">
      <w:pPr>
        <w:spacing w:after="0" w:line="240" w:lineRule="auto"/>
        <w:rPr>
          <w:rFonts w:ascii="Times New Roman" w:hAnsi="Times New Roman" w:cs="Times New Roman"/>
          <w:sz w:val="20"/>
          <w:lang w:val="sk-SK"/>
        </w:rPr>
      </w:pPr>
      <w:r>
        <w:rPr>
          <w:rFonts w:ascii="Times New Roman" w:hAnsi="Times New Roman" w:cs="Times New Roman"/>
          <w:sz w:val="20"/>
          <w:lang w:val="sk-SK"/>
        </w:rPr>
        <w:t>N</w:t>
      </w:r>
      <w:r>
        <w:rPr>
          <w:rFonts w:ascii="Times New Roman" w:hAnsi="Times New Roman" w:cs="Times New Roman"/>
          <w:sz w:val="20"/>
          <w:lang w:val="sk-SK"/>
        </w:rPr>
        <w:tab/>
        <w:t>počet randomizovaných pacientov</w:t>
      </w:r>
    </w:p>
    <w:p w14:paraId="1EEBA01D" w14:textId="47087161" w:rsidR="00444697" w:rsidRPr="00041C3D" w:rsidRDefault="00676A2B">
      <w:pPr>
        <w:spacing w:after="0" w:line="240" w:lineRule="auto"/>
        <w:rPr>
          <w:rFonts w:ascii="Times New Roman" w:hAnsi="Times New Roman" w:cs="Times New Roman"/>
          <w:sz w:val="20"/>
          <w:lang w:val="sk-SK"/>
        </w:rPr>
      </w:pPr>
      <w:r>
        <w:rPr>
          <w:rFonts w:ascii="Times New Roman" w:hAnsi="Times New Roman" w:cs="Times New Roman"/>
          <w:sz w:val="20"/>
          <w:lang w:val="sk-SK"/>
        </w:rPr>
        <w:t>HR</w:t>
      </w:r>
      <w:r>
        <w:rPr>
          <w:rFonts w:ascii="Times New Roman" w:hAnsi="Times New Roman" w:cs="Times New Roman"/>
          <w:sz w:val="20"/>
          <w:lang w:val="sk-SK"/>
        </w:rPr>
        <w:tab/>
        <w:t>pomer rizika (pomer rizika &lt;1 v prospech</w:t>
      </w:r>
      <w:r w:rsidR="00444697" w:rsidRPr="00041C3D">
        <w:rPr>
          <w:rFonts w:ascii="Times New Roman" w:hAnsi="Times New Roman" w:cs="Times New Roman"/>
          <w:sz w:val="20"/>
          <w:lang w:val="sk-SK"/>
        </w:rPr>
        <w:t xml:space="preserve"> gefitinib</w:t>
      </w:r>
      <w:r>
        <w:rPr>
          <w:rFonts w:ascii="Times New Roman" w:hAnsi="Times New Roman" w:cs="Times New Roman"/>
          <w:sz w:val="20"/>
          <w:lang w:val="sk-SK"/>
        </w:rPr>
        <w:t>u</w:t>
      </w:r>
      <w:r w:rsidR="00444697" w:rsidRPr="00041C3D">
        <w:rPr>
          <w:rFonts w:ascii="Times New Roman" w:hAnsi="Times New Roman" w:cs="Times New Roman"/>
          <w:sz w:val="20"/>
          <w:lang w:val="sk-SK"/>
        </w:rPr>
        <w:t>)</w:t>
      </w:r>
    </w:p>
    <w:p w14:paraId="1EEBA01E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01F" w14:textId="6976413D" w:rsidR="00444697" w:rsidRPr="00041C3D" w:rsidRDefault="00FD144C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Kvalita života</w:t>
      </w:r>
      <w:r w:rsidR="00444697" w:rsidRPr="00041C3D">
        <w:rPr>
          <w:rFonts w:ascii="Times New Roman" w:hAnsi="Times New Roman" w:cs="Times New Roman"/>
          <w:lang w:val="sk-SK"/>
        </w:rPr>
        <w:t xml:space="preserve"> </w:t>
      </w:r>
      <w:r w:rsidR="008571CC">
        <w:rPr>
          <w:rFonts w:ascii="Times New Roman" w:hAnsi="Times New Roman" w:cs="Times New Roman"/>
          <w:lang w:val="sk-SK"/>
        </w:rPr>
        <w:t>je</w:t>
      </w:r>
      <w:r>
        <w:rPr>
          <w:rFonts w:ascii="Times New Roman" w:hAnsi="Times New Roman" w:cs="Times New Roman"/>
          <w:lang w:val="sk-SK"/>
        </w:rPr>
        <w:t xml:space="preserve"> </w:t>
      </w:r>
      <w:r w:rsidR="008571CC">
        <w:rPr>
          <w:rFonts w:ascii="Times New Roman" w:hAnsi="Times New Roman" w:cs="Times New Roman"/>
          <w:lang w:val="sk-SK"/>
        </w:rPr>
        <w:t xml:space="preserve">rozdielna </w:t>
      </w:r>
      <w:r>
        <w:rPr>
          <w:rFonts w:ascii="Times New Roman" w:hAnsi="Times New Roman" w:cs="Times New Roman"/>
          <w:lang w:val="sk-SK"/>
        </w:rPr>
        <w:t>v</w:t>
      </w:r>
      <w:r w:rsidR="008571CC">
        <w:rPr>
          <w:rFonts w:ascii="Times New Roman" w:hAnsi="Times New Roman" w:cs="Times New Roman"/>
          <w:lang w:val="sk-SK"/>
        </w:rPr>
        <w:t> závislosti od stavu mutácie EGFR. U</w:t>
      </w:r>
      <w:r w:rsidR="00AD42ED">
        <w:rPr>
          <w:rFonts w:ascii="Times New Roman" w:hAnsi="Times New Roman" w:cs="Times New Roman"/>
          <w:lang w:val="sk-SK"/>
        </w:rPr>
        <w:t> </w:t>
      </w:r>
      <w:r w:rsidR="008571CC">
        <w:rPr>
          <w:rFonts w:ascii="Times New Roman" w:hAnsi="Times New Roman" w:cs="Times New Roman"/>
          <w:lang w:val="sk-SK"/>
        </w:rPr>
        <w:t>pacientov</w:t>
      </w:r>
      <w:r w:rsidR="00AD42ED">
        <w:rPr>
          <w:rFonts w:ascii="Times New Roman" w:hAnsi="Times New Roman" w:cs="Times New Roman"/>
          <w:lang w:val="sk-SK"/>
        </w:rPr>
        <w:t>, u ktorých bola</w:t>
      </w:r>
      <w:r w:rsidR="008571CC">
        <w:rPr>
          <w:rFonts w:ascii="Times New Roman" w:hAnsi="Times New Roman" w:cs="Times New Roman"/>
          <w:lang w:val="sk-SK"/>
        </w:rPr>
        <w:t xml:space="preserve"> </w:t>
      </w:r>
      <w:r w:rsidR="00AD42ED">
        <w:rPr>
          <w:rFonts w:ascii="Times New Roman" w:hAnsi="Times New Roman" w:cs="Times New Roman"/>
          <w:lang w:val="sk-SK"/>
        </w:rPr>
        <w:t>mutácia</w:t>
      </w:r>
      <w:r w:rsidR="00444697" w:rsidRPr="00041C3D">
        <w:rPr>
          <w:rFonts w:ascii="Times New Roman" w:hAnsi="Times New Roman" w:cs="Times New Roman"/>
          <w:lang w:val="sk-SK"/>
        </w:rPr>
        <w:t xml:space="preserve"> EGFR </w:t>
      </w:r>
      <w:r w:rsidR="00293005">
        <w:rPr>
          <w:rFonts w:ascii="Times New Roman" w:hAnsi="Times New Roman" w:cs="Times New Roman"/>
          <w:lang w:val="sk-SK"/>
        </w:rPr>
        <w:t>pozitívna</w:t>
      </w:r>
      <w:r w:rsidR="00AD42ED">
        <w:rPr>
          <w:rFonts w:ascii="Times New Roman" w:hAnsi="Times New Roman" w:cs="Times New Roman"/>
          <w:lang w:val="sk-SK"/>
        </w:rPr>
        <w:t xml:space="preserve"> </w:t>
      </w:r>
      <w:r w:rsidR="008571CC">
        <w:rPr>
          <w:rFonts w:ascii="Times New Roman" w:hAnsi="Times New Roman" w:cs="Times New Roman"/>
          <w:lang w:val="sk-SK"/>
        </w:rPr>
        <w:t>došlo u významne väčšieho počtu pacientov liečených gefitinibom k zlepšeniu kvality života a príznakov karcinómu pľúc v porovnaní s pacientmi liečenými k</w:t>
      </w:r>
      <w:r>
        <w:rPr>
          <w:rFonts w:ascii="Times New Roman" w:hAnsi="Times New Roman" w:cs="Times New Roman"/>
          <w:lang w:val="sk-SK"/>
        </w:rPr>
        <w:t>arbo</w:t>
      </w:r>
      <w:r w:rsidR="00820C88">
        <w:rPr>
          <w:rFonts w:ascii="Times New Roman" w:hAnsi="Times New Roman" w:cs="Times New Roman"/>
          <w:lang w:val="sk-SK"/>
        </w:rPr>
        <w:t>platinou/paklitaxelom (pozri t</w:t>
      </w:r>
      <w:r w:rsidR="008571CC">
        <w:rPr>
          <w:rFonts w:ascii="Times New Roman" w:hAnsi="Times New Roman" w:cs="Times New Roman"/>
          <w:lang w:val="sk-SK"/>
        </w:rPr>
        <w:t>abuľku</w:t>
      </w:r>
      <w:r w:rsidR="00444697" w:rsidRPr="00041C3D">
        <w:rPr>
          <w:rFonts w:ascii="Times New Roman" w:hAnsi="Times New Roman" w:cs="Times New Roman"/>
          <w:lang w:val="sk-SK"/>
        </w:rPr>
        <w:t> 4).</w:t>
      </w:r>
    </w:p>
    <w:p w14:paraId="1EEBA020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80"/>
        <w:gridCol w:w="1656"/>
        <w:gridCol w:w="2904"/>
        <w:gridCol w:w="2280"/>
      </w:tblGrid>
      <w:tr w:rsidR="00444697" w:rsidRPr="00041C3D" w14:paraId="1EEBA022" w14:textId="77777777" w:rsidTr="009C4113">
        <w:trPr>
          <w:tblHeader/>
        </w:trPr>
        <w:tc>
          <w:tcPr>
            <w:tcW w:w="912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EBA021" w14:textId="77C1A9DF" w:rsidR="00444697" w:rsidRPr="00041C3D" w:rsidRDefault="00FD144C" w:rsidP="00FD144C">
            <w:pPr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Tabuľka</w:t>
            </w:r>
            <w:r w:rsidR="00444697" w:rsidRPr="00041C3D">
              <w:rPr>
                <w:rFonts w:ascii="Times New Roman" w:hAnsi="Times New Roman" w:cs="Times New Roman"/>
                <w:b/>
                <w:lang w:val="sk-SK"/>
              </w:rPr>
              <w:t xml:space="preserve"> 4 </w:t>
            </w:r>
            <w:r w:rsidR="004E7A74">
              <w:rPr>
                <w:rFonts w:ascii="Times New Roman" w:hAnsi="Times New Roman" w:cs="Times New Roman"/>
                <w:b/>
                <w:lang w:val="sk-SK"/>
              </w:rPr>
              <w:t>Výsledky hodnotenia k</w:t>
            </w:r>
            <w:r>
              <w:rPr>
                <w:rFonts w:ascii="Times New Roman" w:hAnsi="Times New Roman" w:cs="Times New Roman"/>
                <w:b/>
                <w:lang w:val="sk-SK"/>
              </w:rPr>
              <w:t>valit</w:t>
            </w:r>
            <w:r w:rsidR="004E7A74">
              <w:rPr>
                <w:rFonts w:ascii="Times New Roman" w:hAnsi="Times New Roman" w:cs="Times New Roman"/>
                <w:b/>
                <w:lang w:val="sk-SK"/>
              </w:rPr>
              <w:t>y</w:t>
            </w:r>
            <w:r>
              <w:rPr>
                <w:rFonts w:ascii="Times New Roman" w:hAnsi="Times New Roman" w:cs="Times New Roman"/>
                <w:b/>
                <w:lang w:val="sk-SK"/>
              </w:rPr>
              <w:t xml:space="preserve"> života pre gefitinib verzus k</w:t>
            </w:r>
            <w:r w:rsidR="00444697" w:rsidRPr="00041C3D">
              <w:rPr>
                <w:rFonts w:ascii="Times New Roman" w:hAnsi="Times New Roman" w:cs="Times New Roman"/>
                <w:b/>
                <w:lang w:val="sk-SK"/>
              </w:rPr>
              <w:t>arboplatin</w:t>
            </w:r>
            <w:r>
              <w:rPr>
                <w:rFonts w:ascii="Times New Roman" w:hAnsi="Times New Roman" w:cs="Times New Roman"/>
                <w:b/>
                <w:lang w:val="sk-SK"/>
              </w:rPr>
              <w:t>a/pak</w:t>
            </w:r>
            <w:r w:rsidR="00444697" w:rsidRPr="00041C3D">
              <w:rPr>
                <w:rFonts w:ascii="Times New Roman" w:hAnsi="Times New Roman" w:cs="Times New Roman"/>
                <w:b/>
                <w:lang w:val="sk-SK"/>
              </w:rPr>
              <w:t xml:space="preserve">litaxel </w:t>
            </w:r>
            <w:r>
              <w:rPr>
                <w:rFonts w:ascii="Times New Roman" w:hAnsi="Times New Roman" w:cs="Times New Roman"/>
                <w:b/>
                <w:lang w:val="sk-SK"/>
              </w:rPr>
              <w:t xml:space="preserve">zo štúdie </w:t>
            </w:r>
            <w:r w:rsidR="00444697" w:rsidRPr="00041C3D">
              <w:rPr>
                <w:rFonts w:ascii="Times New Roman" w:hAnsi="Times New Roman" w:cs="Times New Roman"/>
                <w:b/>
                <w:lang w:val="sk-SK"/>
              </w:rPr>
              <w:t>IPAS</w:t>
            </w:r>
            <w:r>
              <w:rPr>
                <w:rFonts w:ascii="Times New Roman" w:hAnsi="Times New Roman" w:cs="Times New Roman"/>
                <w:b/>
                <w:lang w:val="sk-SK"/>
              </w:rPr>
              <w:t>S</w:t>
            </w:r>
          </w:p>
        </w:tc>
      </w:tr>
      <w:tr w:rsidR="00444697" w:rsidRPr="00041C3D" w14:paraId="1EEBA027" w14:textId="77777777" w:rsidTr="009C4113">
        <w:trPr>
          <w:tblHeader/>
        </w:trPr>
        <w:tc>
          <w:tcPr>
            <w:tcW w:w="22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EBA023" w14:textId="4E6A86B4" w:rsidR="00444697" w:rsidRPr="00041C3D" w:rsidRDefault="008571CC">
            <w:pPr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Populácia</w:t>
            </w:r>
          </w:p>
        </w:tc>
        <w:tc>
          <w:tcPr>
            <w:tcW w:w="16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EBA024" w14:textId="77777777" w:rsidR="00444697" w:rsidRPr="00041C3D" w:rsidRDefault="00444697">
            <w:pPr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041C3D">
              <w:rPr>
                <w:rFonts w:ascii="Times New Roman" w:hAnsi="Times New Roman" w:cs="Times New Roman"/>
                <w:b/>
                <w:lang w:val="sk-SK"/>
              </w:rPr>
              <w:t>N</w:t>
            </w:r>
          </w:p>
        </w:tc>
        <w:tc>
          <w:tcPr>
            <w:tcW w:w="29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EBA025" w14:textId="2F49D11D" w:rsidR="00444697" w:rsidRPr="00041C3D" w:rsidRDefault="00444697" w:rsidP="008571CC">
            <w:pPr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041C3D">
              <w:rPr>
                <w:rFonts w:ascii="Times New Roman" w:hAnsi="Times New Roman" w:cs="Times New Roman"/>
                <w:b/>
                <w:lang w:val="sk-SK"/>
              </w:rPr>
              <w:t>FACT</w:t>
            </w:r>
            <w:r w:rsidRPr="00041C3D">
              <w:rPr>
                <w:rFonts w:ascii="Times New Roman" w:hAnsi="Times New Roman" w:cs="Times New Roman"/>
                <w:b/>
                <w:lang w:val="sk-SK"/>
              </w:rPr>
              <w:noBreakHyphen/>
              <w:t xml:space="preserve">L </w:t>
            </w:r>
            <w:r w:rsidR="008571CC">
              <w:rPr>
                <w:rFonts w:ascii="Times New Roman" w:hAnsi="Times New Roman" w:cs="Times New Roman"/>
                <w:b/>
                <w:lang w:val="sk-SK"/>
              </w:rPr>
              <w:t xml:space="preserve">miera zlepšenia </w:t>
            </w:r>
            <w:r w:rsidRPr="00041C3D">
              <w:rPr>
                <w:rFonts w:ascii="Times New Roman" w:hAnsi="Times New Roman" w:cs="Times New Roman"/>
                <w:b/>
                <w:lang w:val="sk-SK"/>
              </w:rPr>
              <w:t>QoL</w:t>
            </w:r>
            <w:r w:rsidRPr="00041C3D">
              <w:rPr>
                <w:rFonts w:ascii="Times New Roman" w:hAnsi="Times New Roman" w:cs="Times New Roman"/>
                <w:b/>
                <w:vertAlign w:val="superscript"/>
                <w:lang w:val="sk-SK"/>
              </w:rPr>
              <w:t>a</w:t>
            </w:r>
            <w:r w:rsidRPr="00041C3D">
              <w:rPr>
                <w:rFonts w:ascii="Times New Roman" w:hAnsi="Times New Roman" w:cs="Times New Roman"/>
                <w:b/>
                <w:lang w:val="sk-SK"/>
              </w:rPr>
              <w:t xml:space="preserve"> %</w:t>
            </w:r>
          </w:p>
        </w:tc>
        <w:tc>
          <w:tcPr>
            <w:tcW w:w="22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EBA026" w14:textId="14598294" w:rsidR="00444697" w:rsidRPr="00041C3D" w:rsidRDefault="00444697" w:rsidP="008571CC">
            <w:pPr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041C3D">
              <w:rPr>
                <w:rFonts w:ascii="Times New Roman" w:hAnsi="Times New Roman" w:cs="Times New Roman"/>
                <w:b/>
                <w:lang w:val="sk-SK"/>
              </w:rPr>
              <w:t xml:space="preserve">LCS </w:t>
            </w:r>
            <w:r w:rsidR="008571CC">
              <w:rPr>
                <w:rFonts w:ascii="Times New Roman" w:hAnsi="Times New Roman" w:cs="Times New Roman"/>
                <w:b/>
                <w:lang w:val="sk-SK"/>
              </w:rPr>
              <w:t>miera zlepšenia príznakov</w:t>
            </w:r>
            <w:r w:rsidRPr="00041C3D">
              <w:rPr>
                <w:rFonts w:ascii="Times New Roman" w:hAnsi="Times New Roman" w:cs="Times New Roman"/>
                <w:b/>
                <w:vertAlign w:val="superscript"/>
                <w:lang w:val="sk-SK"/>
              </w:rPr>
              <w:t>a</w:t>
            </w:r>
            <w:r w:rsidRPr="00041C3D">
              <w:rPr>
                <w:rFonts w:ascii="Times New Roman" w:hAnsi="Times New Roman" w:cs="Times New Roman"/>
                <w:b/>
                <w:lang w:val="sk-SK"/>
              </w:rPr>
              <w:t xml:space="preserve"> %</w:t>
            </w:r>
          </w:p>
        </w:tc>
      </w:tr>
      <w:tr w:rsidR="00444697" w:rsidRPr="00041C3D" w14:paraId="1EEBA02E" w14:textId="77777777" w:rsidTr="009C4113">
        <w:trPr>
          <w:tblHeader/>
        </w:trPr>
        <w:tc>
          <w:tcPr>
            <w:tcW w:w="2280" w:type="dxa"/>
            <w:tcBorders>
              <w:top w:val="single" w:sz="12" w:space="0" w:color="auto"/>
              <w:left w:val="nil"/>
              <w:right w:val="nil"/>
            </w:tcBorders>
          </w:tcPr>
          <w:p w14:paraId="1EEBA028" w14:textId="60264962" w:rsidR="00444697" w:rsidRPr="00041C3D" w:rsidRDefault="00AD42ED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Celková</w:t>
            </w:r>
          </w:p>
        </w:tc>
        <w:tc>
          <w:tcPr>
            <w:tcW w:w="1656" w:type="dxa"/>
            <w:tcBorders>
              <w:top w:val="single" w:sz="12" w:space="0" w:color="auto"/>
              <w:left w:val="nil"/>
              <w:right w:val="nil"/>
            </w:tcBorders>
          </w:tcPr>
          <w:p w14:paraId="1EEBA029" w14:textId="77777777" w:rsidR="00444697" w:rsidRPr="00041C3D" w:rsidRDefault="00444697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041C3D">
              <w:rPr>
                <w:rFonts w:ascii="Times New Roman" w:hAnsi="Times New Roman" w:cs="Times New Roman"/>
                <w:lang w:val="sk-SK"/>
              </w:rPr>
              <w:t>1151</w:t>
            </w:r>
          </w:p>
        </w:tc>
        <w:tc>
          <w:tcPr>
            <w:tcW w:w="2904" w:type="dxa"/>
            <w:tcBorders>
              <w:top w:val="single" w:sz="12" w:space="0" w:color="auto"/>
              <w:left w:val="nil"/>
              <w:right w:val="nil"/>
            </w:tcBorders>
          </w:tcPr>
          <w:p w14:paraId="1EEBA02A" w14:textId="046F795B" w:rsidR="00444697" w:rsidRPr="00041C3D" w:rsidRDefault="00AD42ED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(48,0</w:t>
            </w:r>
            <w:r w:rsidR="000B5154">
              <w:rPr>
                <w:rFonts w:ascii="Times New Roman" w:hAnsi="Times New Roman" w:cs="Times New Roman"/>
                <w:lang w:val="sk-SK"/>
              </w:rPr>
              <w:t> </w:t>
            </w:r>
            <w:r>
              <w:rPr>
                <w:rFonts w:ascii="Times New Roman" w:hAnsi="Times New Roman" w:cs="Times New Roman"/>
                <w:lang w:val="sk-SK"/>
              </w:rPr>
              <w:t>% vs 40,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8</w:t>
            </w:r>
            <w:r w:rsidR="000B5154"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%)</w:t>
            </w:r>
          </w:p>
          <w:p w14:paraId="1EEBA02B" w14:textId="603AE356" w:rsidR="00444697" w:rsidRPr="00041C3D" w:rsidRDefault="00AD42ED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p=0,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0148</w:t>
            </w:r>
          </w:p>
        </w:tc>
        <w:tc>
          <w:tcPr>
            <w:tcW w:w="2280" w:type="dxa"/>
            <w:tcBorders>
              <w:top w:val="single" w:sz="12" w:space="0" w:color="auto"/>
              <w:left w:val="nil"/>
              <w:right w:val="nil"/>
            </w:tcBorders>
          </w:tcPr>
          <w:p w14:paraId="1EEBA02C" w14:textId="7831131F" w:rsidR="00444697" w:rsidRPr="00041C3D" w:rsidRDefault="00AD42ED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(51,</w:t>
            </w:r>
            <w:r w:rsidR="000B5154">
              <w:rPr>
                <w:rFonts w:ascii="Times New Roman" w:hAnsi="Times New Roman" w:cs="Times New Roman"/>
                <w:lang w:val="sk-SK"/>
              </w:rPr>
              <w:t> </w:t>
            </w:r>
            <w:r>
              <w:rPr>
                <w:rFonts w:ascii="Times New Roman" w:hAnsi="Times New Roman" w:cs="Times New Roman"/>
                <w:lang w:val="sk-SK"/>
              </w:rPr>
              <w:t>5% vs 48,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5</w:t>
            </w:r>
            <w:r w:rsidR="000B5154"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%)</w:t>
            </w:r>
          </w:p>
          <w:p w14:paraId="1EEBA02D" w14:textId="48F9AB22" w:rsidR="00444697" w:rsidRPr="00041C3D" w:rsidRDefault="00AD42ED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p=0,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3037</w:t>
            </w:r>
          </w:p>
        </w:tc>
      </w:tr>
      <w:tr w:rsidR="00444697" w:rsidRPr="00041C3D" w14:paraId="1EEBA035" w14:textId="77777777" w:rsidTr="009C4113">
        <w:trPr>
          <w:tblHeader/>
        </w:trPr>
        <w:tc>
          <w:tcPr>
            <w:tcW w:w="2280" w:type="dxa"/>
            <w:tcBorders>
              <w:left w:val="nil"/>
              <w:bottom w:val="single" w:sz="4" w:space="0" w:color="auto"/>
              <w:right w:val="nil"/>
            </w:tcBorders>
          </w:tcPr>
          <w:p w14:paraId="1EEBA02F" w14:textId="74527218" w:rsidR="00444697" w:rsidRPr="00041C3D" w:rsidRDefault="007B6933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8571CC">
              <w:rPr>
                <w:rFonts w:ascii="Times New Roman" w:hAnsi="Times New Roman" w:cs="Times New Roman"/>
                <w:lang w:val="sk-SK"/>
              </w:rPr>
              <w:t>utácia EGFR</w:t>
            </w:r>
            <w:r>
              <w:rPr>
                <w:rFonts w:ascii="Times New Roman" w:hAnsi="Times New Roman" w:cs="Times New Roman"/>
                <w:lang w:val="sk-SK"/>
              </w:rPr>
              <w:t xml:space="preserve"> - pozitívna</w:t>
            </w:r>
          </w:p>
        </w:tc>
        <w:tc>
          <w:tcPr>
            <w:tcW w:w="1656" w:type="dxa"/>
            <w:tcBorders>
              <w:left w:val="nil"/>
              <w:bottom w:val="single" w:sz="4" w:space="0" w:color="auto"/>
              <w:right w:val="nil"/>
            </w:tcBorders>
          </w:tcPr>
          <w:p w14:paraId="1EEBA030" w14:textId="77777777" w:rsidR="00444697" w:rsidRPr="00041C3D" w:rsidRDefault="00444697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041C3D">
              <w:rPr>
                <w:rFonts w:ascii="Times New Roman" w:hAnsi="Times New Roman" w:cs="Times New Roman"/>
                <w:lang w:val="sk-SK"/>
              </w:rPr>
              <w:t>259</w:t>
            </w:r>
          </w:p>
        </w:tc>
        <w:tc>
          <w:tcPr>
            <w:tcW w:w="2904" w:type="dxa"/>
            <w:tcBorders>
              <w:left w:val="nil"/>
              <w:bottom w:val="single" w:sz="4" w:space="0" w:color="auto"/>
              <w:right w:val="nil"/>
            </w:tcBorders>
          </w:tcPr>
          <w:p w14:paraId="1EEBA031" w14:textId="6BA4F4B0" w:rsidR="00444697" w:rsidRPr="00041C3D" w:rsidRDefault="00AD42ED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(70,2</w:t>
            </w:r>
            <w:r w:rsidR="000B5154">
              <w:rPr>
                <w:rFonts w:ascii="Times New Roman" w:hAnsi="Times New Roman" w:cs="Times New Roman"/>
                <w:lang w:val="sk-SK"/>
              </w:rPr>
              <w:t> </w:t>
            </w:r>
            <w:r>
              <w:rPr>
                <w:rFonts w:ascii="Times New Roman" w:hAnsi="Times New Roman" w:cs="Times New Roman"/>
                <w:lang w:val="sk-SK"/>
              </w:rPr>
              <w:t>% vs 44,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5</w:t>
            </w:r>
            <w:r w:rsidR="000B5154"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%)</w:t>
            </w:r>
          </w:p>
          <w:p w14:paraId="1EEBA032" w14:textId="23C67B8E" w:rsidR="00444697" w:rsidRPr="00041C3D" w:rsidRDefault="00AD42ED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p&lt;0,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0001</w:t>
            </w:r>
          </w:p>
        </w:tc>
        <w:tc>
          <w:tcPr>
            <w:tcW w:w="2280" w:type="dxa"/>
            <w:tcBorders>
              <w:left w:val="nil"/>
              <w:bottom w:val="single" w:sz="4" w:space="0" w:color="auto"/>
              <w:right w:val="nil"/>
            </w:tcBorders>
          </w:tcPr>
          <w:p w14:paraId="1EEBA033" w14:textId="53473D6A" w:rsidR="00444697" w:rsidRPr="00041C3D" w:rsidRDefault="00AD42ED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(75,6</w:t>
            </w:r>
            <w:r w:rsidR="000B5154">
              <w:rPr>
                <w:rFonts w:ascii="Times New Roman" w:hAnsi="Times New Roman" w:cs="Times New Roman"/>
                <w:lang w:val="sk-SK"/>
              </w:rPr>
              <w:t> </w:t>
            </w:r>
            <w:r>
              <w:rPr>
                <w:rFonts w:ascii="Times New Roman" w:hAnsi="Times New Roman" w:cs="Times New Roman"/>
                <w:lang w:val="sk-SK"/>
              </w:rPr>
              <w:t>% vs 53,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9</w:t>
            </w:r>
            <w:r w:rsidR="000B5154"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%)</w:t>
            </w:r>
          </w:p>
          <w:p w14:paraId="1EEBA034" w14:textId="45544F07" w:rsidR="00444697" w:rsidRPr="00041C3D" w:rsidRDefault="00AD42ED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p=0,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0003</w:t>
            </w:r>
          </w:p>
        </w:tc>
      </w:tr>
      <w:tr w:rsidR="00444697" w:rsidRPr="00041C3D" w14:paraId="1EEBA03C" w14:textId="77777777" w:rsidTr="009C4113">
        <w:trPr>
          <w:tblHeader/>
        </w:trPr>
        <w:tc>
          <w:tcPr>
            <w:tcW w:w="2280" w:type="dxa"/>
            <w:tcBorders>
              <w:left w:val="nil"/>
              <w:bottom w:val="single" w:sz="12" w:space="0" w:color="auto"/>
              <w:right w:val="nil"/>
            </w:tcBorders>
          </w:tcPr>
          <w:p w14:paraId="1EEBA036" w14:textId="257D4716" w:rsidR="00444697" w:rsidRPr="00041C3D" w:rsidRDefault="007B6933" w:rsidP="008571C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8571CC">
              <w:rPr>
                <w:rFonts w:ascii="Times New Roman" w:hAnsi="Times New Roman" w:cs="Times New Roman"/>
                <w:lang w:val="sk-SK"/>
              </w:rPr>
              <w:t xml:space="preserve">utácia 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 xml:space="preserve">EGFR </w:t>
            </w:r>
            <w:r>
              <w:rPr>
                <w:rFonts w:ascii="Times New Roman" w:hAnsi="Times New Roman" w:cs="Times New Roman"/>
                <w:lang w:val="sk-SK"/>
              </w:rPr>
              <w:t>- negatívna</w:t>
            </w:r>
          </w:p>
        </w:tc>
        <w:tc>
          <w:tcPr>
            <w:tcW w:w="1656" w:type="dxa"/>
            <w:tcBorders>
              <w:left w:val="nil"/>
              <w:bottom w:val="single" w:sz="12" w:space="0" w:color="auto"/>
              <w:right w:val="nil"/>
            </w:tcBorders>
          </w:tcPr>
          <w:p w14:paraId="1EEBA037" w14:textId="77777777" w:rsidR="00444697" w:rsidRPr="00041C3D" w:rsidRDefault="00444697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041C3D">
              <w:rPr>
                <w:rFonts w:ascii="Times New Roman" w:hAnsi="Times New Roman" w:cs="Times New Roman"/>
                <w:lang w:val="sk-SK"/>
              </w:rPr>
              <w:t>169</w:t>
            </w:r>
          </w:p>
        </w:tc>
        <w:tc>
          <w:tcPr>
            <w:tcW w:w="2904" w:type="dxa"/>
            <w:tcBorders>
              <w:left w:val="nil"/>
              <w:bottom w:val="single" w:sz="12" w:space="0" w:color="auto"/>
              <w:right w:val="nil"/>
            </w:tcBorders>
          </w:tcPr>
          <w:p w14:paraId="1EEBA038" w14:textId="288CD328" w:rsidR="00444697" w:rsidRPr="00041C3D" w:rsidRDefault="00AD42ED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(14,6</w:t>
            </w:r>
            <w:r w:rsidR="000B5154">
              <w:rPr>
                <w:rFonts w:ascii="Times New Roman" w:hAnsi="Times New Roman" w:cs="Times New Roman"/>
                <w:lang w:val="sk-SK"/>
              </w:rPr>
              <w:t> </w:t>
            </w:r>
            <w:r>
              <w:rPr>
                <w:rFonts w:ascii="Times New Roman" w:hAnsi="Times New Roman" w:cs="Times New Roman"/>
                <w:lang w:val="sk-SK"/>
              </w:rPr>
              <w:t>% vs 36,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3</w:t>
            </w:r>
            <w:r w:rsidR="000B5154"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%)</w:t>
            </w:r>
          </w:p>
          <w:p w14:paraId="1EEBA039" w14:textId="7856889A" w:rsidR="00444697" w:rsidRPr="00041C3D" w:rsidRDefault="00AD42ED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p=0,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0021</w:t>
            </w:r>
          </w:p>
        </w:tc>
        <w:tc>
          <w:tcPr>
            <w:tcW w:w="2280" w:type="dxa"/>
            <w:tcBorders>
              <w:left w:val="nil"/>
              <w:bottom w:val="single" w:sz="12" w:space="0" w:color="auto"/>
              <w:right w:val="nil"/>
            </w:tcBorders>
          </w:tcPr>
          <w:p w14:paraId="1EEBA03A" w14:textId="3678B85C" w:rsidR="00444697" w:rsidRPr="00041C3D" w:rsidRDefault="00AD42ED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(20,2</w:t>
            </w:r>
            <w:r w:rsidR="000B5154">
              <w:rPr>
                <w:rFonts w:ascii="Times New Roman" w:hAnsi="Times New Roman" w:cs="Times New Roman"/>
                <w:lang w:val="sk-SK"/>
              </w:rPr>
              <w:t> </w:t>
            </w:r>
            <w:r>
              <w:rPr>
                <w:rFonts w:ascii="Times New Roman" w:hAnsi="Times New Roman" w:cs="Times New Roman"/>
                <w:lang w:val="sk-SK"/>
              </w:rPr>
              <w:t>% vs 47,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5</w:t>
            </w:r>
            <w:r w:rsidR="000B5154"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%)</w:t>
            </w:r>
          </w:p>
          <w:p w14:paraId="1EEBA03B" w14:textId="1730B8C5" w:rsidR="00444697" w:rsidRPr="00041C3D" w:rsidRDefault="00AD42ED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p=0,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0002</w:t>
            </w:r>
          </w:p>
        </w:tc>
      </w:tr>
    </w:tbl>
    <w:p w14:paraId="1EEBA03D" w14:textId="37BE97DA" w:rsidR="00444697" w:rsidRPr="00041C3D" w:rsidRDefault="005E0E7C">
      <w:pPr>
        <w:spacing w:after="0" w:line="240" w:lineRule="auto"/>
        <w:rPr>
          <w:rFonts w:ascii="Times New Roman" w:hAnsi="Times New Roman" w:cs="Times New Roman"/>
          <w:sz w:val="20"/>
          <w:lang w:val="sk-SK"/>
        </w:rPr>
      </w:pPr>
      <w:r>
        <w:rPr>
          <w:rFonts w:ascii="Times New Roman" w:hAnsi="Times New Roman" w:cs="Times New Roman"/>
          <w:sz w:val="20"/>
          <w:lang w:val="sk-SK"/>
        </w:rPr>
        <w:t xml:space="preserve">Výsledky </w:t>
      </w:r>
      <w:r w:rsidR="004E7A74" w:rsidRPr="004E7A74">
        <w:rPr>
          <w:rFonts w:ascii="Times New Roman" w:hAnsi="Times New Roman" w:cs="Times New Roman"/>
          <w:sz w:val="20"/>
          <w:lang w:val="sk-SK"/>
        </w:rPr>
        <w:t xml:space="preserve">na základe indexu výsledku skúšania </w:t>
      </w:r>
      <w:r>
        <w:rPr>
          <w:rFonts w:ascii="Times New Roman" w:hAnsi="Times New Roman" w:cs="Times New Roman"/>
          <w:sz w:val="20"/>
          <w:lang w:val="sk-SK"/>
        </w:rPr>
        <w:t>„</w:t>
      </w:r>
      <w:r w:rsidR="00444697" w:rsidRPr="00041C3D">
        <w:rPr>
          <w:rFonts w:ascii="Times New Roman" w:hAnsi="Times New Roman" w:cs="Times New Roman"/>
          <w:sz w:val="20"/>
          <w:lang w:val="sk-SK"/>
        </w:rPr>
        <w:t>Trial outcome index</w:t>
      </w:r>
      <w:r>
        <w:rPr>
          <w:rFonts w:ascii="Times New Roman" w:hAnsi="Times New Roman" w:cs="Times New Roman"/>
          <w:sz w:val="20"/>
          <w:lang w:val="sk-SK"/>
        </w:rPr>
        <w:t>“</w:t>
      </w:r>
      <w:r w:rsidR="00B17BD0">
        <w:rPr>
          <w:rFonts w:ascii="Times New Roman" w:hAnsi="Times New Roman" w:cs="Times New Roman"/>
          <w:sz w:val="20"/>
          <w:lang w:val="sk-SK"/>
        </w:rPr>
        <w:t xml:space="preserve"> </w:t>
      </w:r>
      <w:r>
        <w:rPr>
          <w:rFonts w:ascii="Times New Roman" w:hAnsi="Times New Roman" w:cs="Times New Roman"/>
          <w:sz w:val="20"/>
          <w:lang w:val="sk-SK"/>
        </w:rPr>
        <w:t>podporili výsledky FACT</w:t>
      </w:r>
      <w:r>
        <w:rPr>
          <w:rFonts w:ascii="Times New Roman" w:hAnsi="Times New Roman" w:cs="Times New Roman"/>
          <w:sz w:val="20"/>
          <w:lang w:val="sk-SK"/>
        </w:rPr>
        <w:noBreakHyphen/>
        <w:t>L a LCS</w:t>
      </w:r>
    </w:p>
    <w:p w14:paraId="1EEBA03E" w14:textId="48E750FA" w:rsidR="00444697" w:rsidRPr="00041C3D" w:rsidRDefault="00444697">
      <w:pPr>
        <w:spacing w:after="0" w:line="240" w:lineRule="auto"/>
        <w:rPr>
          <w:rFonts w:ascii="Times New Roman" w:hAnsi="Times New Roman" w:cs="Times New Roman"/>
          <w:sz w:val="20"/>
          <w:lang w:val="sk-SK"/>
        </w:rPr>
      </w:pPr>
      <w:r w:rsidRPr="00041C3D">
        <w:rPr>
          <w:rFonts w:ascii="Times New Roman" w:hAnsi="Times New Roman" w:cs="Times New Roman"/>
          <w:sz w:val="20"/>
          <w:lang w:val="sk-SK"/>
        </w:rPr>
        <w:t>a</w:t>
      </w:r>
      <w:r w:rsidR="005E0E7C">
        <w:rPr>
          <w:rFonts w:ascii="Times New Roman" w:hAnsi="Times New Roman" w:cs="Times New Roman"/>
          <w:sz w:val="20"/>
          <w:lang w:val="sk-SK"/>
        </w:rPr>
        <w:t> </w:t>
      </w:r>
      <w:r w:rsidR="005E0E7C">
        <w:rPr>
          <w:rFonts w:ascii="Times New Roman" w:hAnsi="Times New Roman" w:cs="Times New Roman"/>
          <w:sz w:val="20"/>
          <w:lang w:val="sk-SK"/>
        </w:rPr>
        <w:tab/>
        <w:t>uvedené hodnoty sú pre gefitinib verzus k</w:t>
      </w:r>
      <w:r w:rsidRPr="00041C3D">
        <w:rPr>
          <w:rFonts w:ascii="Times New Roman" w:hAnsi="Times New Roman" w:cs="Times New Roman"/>
          <w:sz w:val="20"/>
          <w:lang w:val="sk-SK"/>
        </w:rPr>
        <w:t>arboplatin</w:t>
      </w:r>
      <w:r w:rsidR="005E0E7C">
        <w:rPr>
          <w:rFonts w:ascii="Times New Roman" w:hAnsi="Times New Roman" w:cs="Times New Roman"/>
          <w:sz w:val="20"/>
          <w:lang w:val="sk-SK"/>
        </w:rPr>
        <w:t>a/paklitaxel</w:t>
      </w:r>
    </w:p>
    <w:p w14:paraId="1EEBA03F" w14:textId="57995037" w:rsidR="00444697" w:rsidRPr="00041C3D" w:rsidRDefault="00444697">
      <w:pPr>
        <w:spacing w:after="0" w:line="240" w:lineRule="auto"/>
        <w:rPr>
          <w:rFonts w:ascii="Times New Roman" w:hAnsi="Times New Roman" w:cs="Times New Roman"/>
          <w:sz w:val="20"/>
          <w:lang w:val="sk-SK"/>
        </w:rPr>
      </w:pPr>
      <w:r w:rsidRPr="00041C3D">
        <w:rPr>
          <w:rFonts w:ascii="Times New Roman" w:hAnsi="Times New Roman" w:cs="Times New Roman"/>
          <w:sz w:val="20"/>
          <w:lang w:val="sk-SK"/>
        </w:rPr>
        <w:t>N</w:t>
      </w:r>
      <w:r w:rsidRPr="00041C3D">
        <w:rPr>
          <w:rFonts w:ascii="Times New Roman" w:hAnsi="Times New Roman" w:cs="Times New Roman"/>
          <w:sz w:val="20"/>
          <w:lang w:val="sk-SK"/>
        </w:rPr>
        <w:tab/>
      </w:r>
      <w:r w:rsidR="005E0E7C">
        <w:rPr>
          <w:rFonts w:ascii="Times New Roman" w:hAnsi="Times New Roman" w:cs="Times New Roman"/>
          <w:sz w:val="20"/>
          <w:lang w:val="sk-SK"/>
        </w:rPr>
        <w:t>počet pacientov hodnotených v analýze kvality života</w:t>
      </w:r>
    </w:p>
    <w:p w14:paraId="1EEBA040" w14:textId="0B38C85D" w:rsidR="00444697" w:rsidRPr="00041C3D" w:rsidRDefault="005E0E7C">
      <w:pPr>
        <w:spacing w:after="0" w:line="240" w:lineRule="auto"/>
        <w:rPr>
          <w:rFonts w:ascii="Times New Roman" w:hAnsi="Times New Roman" w:cs="Times New Roman"/>
          <w:sz w:val="20"/>
          <w:lang w:val="sk-SK"/>
        </w:rPr>
      </w:pPr>
      <w:r>
        <w:rPr>
          <w:rFonts w:ascii="Times New Roman" w:hAnsi="Times New Roman" w:cs="Times New Roman"/>
          <w:sz w:val="20"/>
          <w:lang w:val="sk-SK"/>
        </w:rPr>
        <w:t>QoL</w:t>
      </w:r>
      <w:r>
        <w:rPr>
          <w:rFonts w:ascii="Times New Roman" w:hAnsi="Times New Roman" w:cs="Times New Roman"/>
          <w:sz w:val="20"/>
          <w:lang w:val="sk-SK"/>
        </w:rPr>
        <w:tab/>
        <w:t>kvalita života</w:t>
      </w:r>
    </w:p>
    <w:p w14:paraId="1EEBA041" w14:textId="4346580C" w:rsidR="00444697" w:rsidRPr="00041C3D" w:rsidRDefault="005E0E7C">
      <w:pPr>
        <w:spacing w:after="0" w:line="240" w:lineRule="auto"/>
        <w:rPr>
          <w:rFonts w:ascii="Times New Roman" w:hAnsi="Times New Roman" w:cs="Times New Roman"/>
          <w:sz w:val="20"/>
          <w:lang w:val="sk-SK"/>
        </w:rPr>
      </w:pPr>
      <w:r>
        <w:rPr>
          <w:rFonts w:ascii="Times New Roman" w:hAnsi="Times New Roman" w:cs="Times New Roman"/>
          <w:sz w:val="20"/>
          <w:lang w:val="sk-SK"/>
        </w:rPr>
        <w:t>FACT</w:t>
      </w:r>
      <w:r>
        <w:rPr>
          <w:rFonts w:ascii="Times New Roman" w:hAnsi="Times New Roman" w:cs="Times New Roman"/>
          <w:sz w:val="20"/>
          <w:lang w:val="sk-SK"/>
        </w:rPr>
        <w:noBreakHyphen/>
        <w:t>L funkčné hodnotenie protinádorovej liečby-pľúca</w:t>
      </w:r>
    </w:p>
    <w:p w14:paraId="1EEBA042" w14:textId="352EE3A6" w:rsidR="00444697" w:rsidRPr="00041C3D" w:rsidRDefault="00444697">
      <w:pPr>
        <w:spacing w:after="0" w:line="240" w:lineRule="auto"/>
        <w:rPr>
          <w:rFonts w:ascii="Times New Roman" w:hAnsi="Times New Roman" w:cs="Times New Roman"/>
          <w:sz w:val="20"/>
          <w:lang w:val="sk-SK"/>
        </w:rPr>
      </w:pPr>
      <w:r w:rsidRPr="00041C3D">
        <w:rPr>
          <w:rFonts w:ascii="Times New Roman" w:hAnsi="Times New Roman" w:cs="Times New Roman"/>
          <w:sz w:val="20"/>
          <w:lang w:val="sk-SK"/>
        </w:rPr>
        <w:t>LCS</w:t>
      </w:r>
      <w:r w:rsidRPr="00041C3D">
        <w:rPr>
          <w:rFonts w:ascii="Times New Roman" w:hAnsi="Times New Roman" w:cs="Times New Roman"/>
          <w:sz w:val="20"/>
          <w:lang w:val="sk-SK"/>
        </w:rPr>
        <w:tab/>
      </w:r>
      <w:r w:rsidR="005E0E7C">
        <w:rPr>
          <w:rFonts w:ascii="Times New Roman" w:hAnsi="Times New Roman" w:cs="Times New Roman"/>
          <w:sz w:val="20"/>
          <w:lang w:val="sk-SK"/>
        </w:rPr>
        <w:t>podškála rakoviny pľúc</w:t>
      </w:r>
    </w:p>
    <w:p w14:paraId="1EEBA043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044" w14:textId="5B9EDA67" w:rsidR="00444697" w:rsidRPr="00041C3D" w:rsidRDefault="00374E26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G</w:t>
      </w:r>
      <w:r w:rsidR="00444697" w:rsidRPr="00041C3D">
        <w:rPr>
          <w:rFonts w:ascii="Times New Roman" w:hAnsi="Times New Roman" w:cs="Times New Roman"/>
          <w:lang w:val="sk-SK"/>
        </w:rPr>
        <w:t xml:space="preserve">efitinib </w:t>
      </w:r>
      <w:r>
        <w:rPr>
          <w:rFonts w:ascii="Times New Roman" w:hAnsi="Times New Roman" w:cs="Times New Roman"/>
          <w:lang w:val="sk-SK"/>
        </w:rPr>
        <w:t xml:space="preserve">preukázal v štúdii IPASS </w:t>
      </w:r>
      <w:r w:rsidR="004E7A74">
        <w:rPr>
          <w:rFonts w:ascii="Times New Roman" w:hAnsi="Times New Roman" w:cs="Times New Roman"/>
          <w:lang w:val="sk-SK"/>
        </w:rPr>
        <w:t>lepšie</w:t>
      </w:r>
      <w:r>
        <w:rPr>
          <w:rFonts w:ascii="Times New Roman" w:hAnsi="Times New Roman" w:cs="Times New Roman"/>
          <w:lang w:val="sk-SK"/>
        </w:rPr>
        <w:t xml:space="preserve"> PFS, ORR, QoL a zmiernenie príznakov bez významného rozdielu v celkovom prežívaní v porovnaní s k</w:t>
      </w:r>
      <w:r w:rsidR="00444697" w:rsidRPr="00041C3D">
        <w:rPr>
          <w:rFonts w:ascii="Times New Roman" w:hAnsi="Times New Roman" w:cs="Times New Roman"/>
          <w:lang w:val="sk-SK"/>
        </w:rPr>
        <w:t>arboplatin</w:t>
      </w:r>
      <w:r>
        <w:rPr>
          <w:rFonts w:ascii="Times New Roman" w:hAnsi="Times New Roman" w:cs="Times New Roman"/>
          <w:lang w:val="sk-SK"/>
        </w:rPr>
        <w:t>ou/pak</w:t>
      </w:r>
      <w:r w:rsidR="00444697" w:rsidRPr="00041C3D">
        <w:rPr>
          <w:rFonts w:ascii="Times New Roman" w:hAnsi="Times New Roman" w:cs="Times New Roman"/>
          <w:lang w:val="sk-SK"/>
        </w:rPr>
        <w:t>litaxel</w:t>
      </w:r>
      <w:r>
        <w:rPr>
          <w:rFonts w:ascii="Times New Roman" w:hAnsi="Times New Roman" w:cs="Times New Roman"/>
          <w:lang w:val="sk-SK"/>
        </w:rPr>
        <w:t xml:space="preserve">om u predtým neliečených pacientov s lokálne pokročilým alebo metastatickým </w:t>
      </w:r>
      <w:r w:rsidR="00444697" w:rsidRPr="00041C3D">
        <w:rPr>
          <w:rFonts w:ascii="Times New Roman" w:hAnsi="Times New Roman" w:cs="Times New Roman"/>
          <w:lang w:val="sk-SK"/>
        </w:rPr>
        <w:t xml:space="preserve">NSCLC, </w:t>
      </w:r>
      <w:r>
        <w:rPr>
          <w:rFonts w:ascii="Times New Roman" w:hAnsi="Times New Roman" w:cs="Times New Roman"/>
          <w:lang w:val="sk-SK"/>
        </w:rPr>
        <w:t>ktorých nádory obsahovali aktivujúce mutácie EGFR tyrozínkinázy</w:t>
      </w:r>
      <w:r w:rsidR="00444697" w:rsidRPr="00041C3D">
        <w:rPr>
          <w:rFonts w:ascii="Times New Roman" w:hAnsi="Times New Roman" w:cs="Times New Roman"/>
          <w:lang w:val="sk-SK"/>
        </w:rPr>
        <w:t>.</w:t>
      </w:r>
    </w:p>
    <w:p w14:paraId="1EEBA045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046" w14:textId="58F0E84B" w:rsidR="00444697" w:rsidRPr="00041C3D" w:rsidRDefault="0092722B">
      <w:pPr>
        <w:keepNext/>
        <w:spacing w:after="0" w:line="240" w:lineRule="auto"/>
        <w:rPr>
          <w:rFonts w:ascii="Times New Roman" w:hAnsi="Times New Roman" w:cs="Times New Roman"/>
          <w:i/>
          <w:lang w:val="sk-SK"/>
        </w:rPr>
      </w:pPr>
      <w:r>
        <w:rPr>
          <w:rFonts w:ascii="Times New Roman" w:hAnsi="Times New Roman" w:cs="Times New Roman"/>
          <w:i/>
          <w:lang w:val="sk-SK"/>
        </w:rPr>
        <w:t>Predliečení pacienti</w:t>
      </w:r>
    </w:p>
    <w:p w14:paraId="1EEBA047" w14:textId="416839F0" w:rsidR="00444697" w:rsidRPr="00041C3D" w:rsidRDefault="00D5337B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Vo fáze III randomizovanej štúdie </w:t>
      </w:r>
      <w:r w:rsidR="00444697" w:rsidRPr="00041C3D">
        <w:rPr>
          <w:rFonts w:ascii="Times New Roman" w:hAnsi="Times New Roman" w:cs="Times New Roman"/>
          <w:lang w:val="sk-SK"/>
        </w:rPr>
        <w:t xml:space="preserve">INTEREST </w:t>
      </w:r>
      <w:r>
        <w:rPr>
          <w:rFonts w:ascii="Times New Roman" w:hAnsi="Times New Roman" w:cs="Times New Roman"/>
          <w:lang w:val="sk-SK"/>
        </w:rPr>
        <w:t xml:space="preserve">boli hodnotení pacienti s lokálne pokročilým alebo metastatickým </w:t>
      </w:r>
      <w:r w:rsidR="00444697" w:rsidRPr="00041C3D">
        <w:rPr>
          <w:rFonts w:ascii="Times New Roman" w:hAnsi="Times New Roman" w:cs="Times New Roman"/>
          <w:lang w:val="sk-SK"/>
        </w:rPr>
        <w:t>NSCLC</w:t>
      </w:r>
      <w:r>
        <w:rPr>
          <w:rFonts w:ascii="Times New Roman" w:hAnsi="Times New Roman" w:cs="Times New Roman"/>
          <w:lang w:val="sk-SK"/>
        </w:rPr>
        <w:t>, ktorí najskôr dostávali chemoterapiu na základe platiny</w:t>
      </w:r>
      <w:r w:rsidR="00444697" w:rsidRPr="00041C3D">
        <w:rPr>
          <w:rFonts w:ascii="Times New Roman" w:hAnsi="Times New Roman" w:cs="Times New Roman"/>
          <w:lang w:val="sk-SK"/>
        </w:rPr>
        <w:t xml:space="preserve">. </w:t>
      </w:r>
      <w:r>
        <w:rPr>
          <w:rFonts w:ascii="Times New Roman" w:hAnsi="Times New Roman" w:cs="Times New Roman"/>
          <w:lang w:val="sk-SK"/>
        </w:rPr>
        <w:t xml:space="preserve">V celkovej populácii sa nepozoroval štatisticky významný rozdiel medzi </w:t>
      </w:r>
      <w:r w:rsidR="00444697" w:rsidRPr="00041C3D">
        <w:rPr>
          <w:rFonts w:ascii="Times New Roman" w:hAnsi="Times New Roman" w:cs="Times New Roman"/>
          <w:lang w:val="sk-SK"/>
        </w:rPr>
        <w:t>gefitinib</w:t>
      </w:r>
      <w:r>
        <w:rPr>
          <w:rFonts w:ascii="Times New Roman" w:hAnsi="Times New Roman" w:cs="Times New Roman"/>
          <w:lang w:val="sk-SK"/>
        </w:rPr>
        <w:t>om a</w:t>
      </w:r>
      <w:r w:rsidR="00444697" w:rsidRPr="00041C3D">
        <w:rPr>
          <w:rFonts w:ascii="Times New Roman" w:hAnsi="Times New Roman" w:cs="Times New Roman"/>
          <w:lang w:val="sk-SK"/>
        </w:rPr>
        <w:t xml:space="preserve"> docetaxel</w:t>
      </w:r>
      <w:r>
        <w:rPr>
          <w:rFonts w:ascii="Times New Roman" w:hAnsi="Times New Roman" w:cs="Times New Roman"/>
          <w:lang w:val="sk-SK"/>
        </w:rPr>
        <w:t>om</w:t>
      </w:r>
      <w:r w:rsidR="00444697" w:rsidRPr="00041C3D">
        <w:rPr>
          <w:rFonts w:ascii="Times New Roman" w:hAnsi="Times New Roman" w:cs="Times New Roman"/>
          <w:lang w:val="sk-SK"/>
        </w:rPr>
        <w:t xml:space="preserve"> (75 mg/m</w:t>
      </w:r>
      <w:r w:rsidR="00444697" w:rsidRPr="00041C3D">
        <w:rPr>
          <w:rFonts w:ascii="Times New Roman" w:hAnsi="Times New Roman" w:cs="Times New Roman"/>
          <w:vertAlign w:val="superscript"/>
          <w:lang w:val="sk-SK"/>
        </w:rPr>
        <w:t>2</w:t>
      </w:r>
      <w:r w:rsidR="00444697" w:rsidRPr="00041C3D">
        <w:rPr>
          <w:rFonts w:ascii="Times New Roman" w:hAnsi="Times New Roman" w:cs="Times New Roman"/>
          <w:lang w:val="sk-SK"/>
        </w:rPr>
        <w:t xml:space="preserve">) </w:t>
      </w:r>
      <w:r>
        <w:rPr>
          <w:rFonts w:ascii="Times New Roman" w:hAnsi="Times New Roman" w:cs="Times New Roman"/>
          <w:lang w:val="sk-SK"/>
        </w:rPr>
        <w:t>pokiaľ ide o celkové prežívanie, prežívanie bez progresie a mieru objektívnej odpovede (pozri tabuľku</w:t>
      </w:r>
      <w:r w:rsidR="00444697" w:rsidRPr="00041C3D">
        <w:rPr>
          <w:rFonts w:ascii="Times New Roman" w:hAnsi="Times New Roman" w:cs="Times New Roman"/>
          <w:lang w:val="sk-SK"/>
        </w:rPr>
        <w:t> 5).</w:t>
      </w:r>
    </w:p>
    <w:p w14:paraId="1EEBA048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24"/>
        <w:gridCol w:w="1261"/>
        <w:gridCol w:w="2126"/>
        <w:gridCol w:w="1985"/>
        <w:gridCol w:w="1924"/>
      </w:tblGrid>
      <w:tr w:rsidR="00444697" w:rsidRPr="00041C3D" w14:paraId="1EEBA04A" w14:textId="77777777" w:rsidTr="009C4113">
        <w:trPr>
          <w:tblHeader/>
        </w:trPr>
        <w:tc>
          <w:tcPr>
            <w:tcW w:w="912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EBA049" w14:textId="3B7C8907" w:rsidR="00444697" w:rsidRPr="00041C3D" w:rsidRDefault="000B5154">
            <w:pPr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lang w:val="sk-SK"/>
              </w:rPr>
              <w:t>Tabuľka 5 Výsledky účinnosti pre gefitinib verzus docetaxel zo štúdie INTEREST</w:t>
            </w:r>
          </w:p>
        </w:tc>
      </w:tr>
      <w:tr w:rsidR="00444697" w:rsidRPr="00041C3D" w14:paraId="1EEBA055" w14:textId="77777777" w:rsidTr="009C4113">
        <w:trPr>
          <w:tblHeader/>
        </w:trPr>
        <w:tc>
          <w:tcPr>
            <w:tcW w:w="18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EBA04B" w14:textId="66377A88" w:rsidR="00444697" w:rsidRPr="00041C3D" w:rsidRDefault="000B5154">
            <w:pPr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lastRenderedPageBreak/>
              <w:t>Populácia</w:t>
            </w: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EBA04C" w14:textId="77777777" w:rsidR="00444697" w:rsidRPr="00041C3D" w:rsidRDefault="00444697">
            <w:pPr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041C3D">
              <w:rPr>
                <w:rFonts w:ascii="Times New Roman" w:hAnsi="Times New Roman" w:cs="Times New Roman"/>
                <w:b/>
                <w:lang w:val="sk-SK"/>
              </w:rPr>
              <w:t>N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EBA04E" w14:textId="436583AB" w:rsidR="00444697" w:rsidRPr="00041C3D" w:rsidRDefault="000B5154" w:rsidP="000B5154">
            <w:pPr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Miera objektívnej odpovede</w:t>
            </w:r>
          </w:p>
          <w:p w14:paraId="1EEBA052" w14:textId="782D8E23" w:rsidR="00444697" w:rsidRPr="00041C3D" w:rsidRDefault="000B5154" w:rsidP="000B5154">
            <w:pPr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a</w:t>
            </w:r>
            <w:r w:rsidR="00444697" w:rsidRPr="00041C3D">
              <w:rPr>
                <w:rFonts w:ascii="Times New Roman" w:hAnsi="Times New Roman" w:cs="Times New Roman"/>
                <w:b/>
                <w:lang w:val="sk-SK"/>
              </w:rPr>
              <w:t xml:space="preserve"> 95% I</w:t>
            </w:r>
            <w:r w:rsidR="004E7A74">
              <w:rPr>
                <w:rFonts w:ascii="Times New Roman" w:hAnsi="Times New Roman" w:cs="Times New Roman"/>
                <w:b/>
                <w:lang w:val="sk-SK"/>
              </w:rPr>
              <w:t>S</w:t>
            </w:r>
            <w:r w:rsidR="00444697" w:rsidRPr="00041C3D">
              <w:rPr>
                <w:rFonts w:ascii="Times New Roman" w:hAnsi="Times New Roman" w:cs="Times New Roman"/>
                <w:b/>
                <w:lang w:val="sk-SK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k-SK"/>
              </w:rPr>
              <w:t>pre rozdiel medzi liečbami</w:t>
            </w:r>
            <w:r w:rsidR="00444697" w:rsidRPr="00041C3D">
              <w:rPr>
                <w:rFonts w:ascii="Times New Roman" w:hAnsi="Times New Roman" w:cs="Times New Roman"/>
                <w:b/>
                <w:vertAlign w:val="superscript"/>
                <w:lang w:val="sk-SK"/>
              </w:rPr>
              <w:t>a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EBA053" w14:textId="5C66A012" w:rsidR="00444697" w:rsidRPr="00041C3D" w:rsidRDefault="000B5154">
            <w:pPr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Prežívanie bez progresie</w:t>
            </w:r>
            <w:r w:rsidR="00444697" w:rsidRPr="00041C3D">
              <w:rPr>
                <w:rFonts w:ascii="Times New Roman" w:hAnsi="Times New Roman" w:cs="Times New Roman"/>
                <w:b/>
                <w:vertAlign w:val="superscript"/>
                <w:lang w:val="sk-SK"/>
              </w:rPr>
              <w:t>a,b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EEBA054" w14:textId="06B2C410" w:rsidR="00444697" w:rsidRPr="00041C3D" w:rsidRDefault="00444697">
            <w:pPr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041C3D">
              <w:rPr>
                <w:rFonts w:ascii="Times New Roman" w:hAnsi="Times New Roman" w:cs="Times New Roman"/>
                <w:b/>
                <w:lang w:val="sk-SK"/>
              </w:rPr>
              <w:t>P</w:t>
            </w:r>
            <w:r w:rsidR="000B5154">
              <w:rPr>
                <w:rFonts w:ascii="Times New Roman" w:hAnsi="Times New Roman" w:cs="Times New Roman"/>
                <w:b/>
                <w:lang w:val="sk-SK"/>
              </w:rPr>
              <w:t>rimárny cieľ</w:t>
            </w:r>
            <w:r w:rsidR="004E7A74">
              <w:rPr>
                <w:rFonts w:ascii="Times New Roman" w:hAnsi="Times New Roman" w:cs="Times New Roman"/>
                <w:b/>
                <w:lang w:val="sk-SK"/>
              </w:rPr>
              <w:t>ový ukazovateľ</w:t>
            </w:r>
            <w:r w:rsidR="000B5154">
              <w:rPr>
                <w:rFonts w:ascii="Times New Roman" w:hAnsi="Times New Roman" w:cs="Times New Roman"/>
                <w:b/>
                <w:lang w:val="sk-SK"/>
              </w:rPr>
              <w:t xml:space="preserve"> </w:t>
            </w:r>
            <w:r w:rsidR="004E7A74">
              <w:rPr>
                <w:rFonts w:ascii="Times New Roman" w:hAnsi="Times New Roman" w:cs="Times New Roman"/>
                <w:b/>
                <w:lang w:val="sk-SK"/>
              </w:rPr>
              <w:t>C</w:t>
            </w:r>
            <w:r w:rsidR="000B5154">
              <w:rPr>
                <w:rFonts w:ascii="Times New Roman" w:hAnsi="Times New Roman" w:cs="Times New Roman"/>
                <w:b/>
                <w:lang w:val="sk-SK"/>
              </w:rPr>
              <w:t>elkové prežívanie</w:t>
            </w:r>
            <w:r w:rsidRPr="00041C3D">
              <w:rPr>
                <w:rFonts w:ascii="Times New Roman" w:hAnsi="Times New Roman" w:cs="Times New Roman"/>
                <w:b/>
                <w:vertAlign w:val="superscript"/>
                <w:lang w:val="sk-SK"/>
              </w:rPr>
              <w:t>a,b</w:t>
            </w:r>
          </w:p>
        </w:tc>
      </w:tr>
      <w:tr w:rsidR="00444697" w:rsidRPr="00041C3D" w14:paraId="1EEBA062" w14:textId="77777777" w:rsidTr="009C4113">
        <w:trPr>
          <w:tblHeader/>
        </w:trPr>
        <w:tc>
          <w:tcPr>
            <w:tcW w:w="1824" w:type="dxa"/>
            <w:tcBorders>
              <w:top w:val="single" w:sz="12" w:space="0" w:color="auto"/>
              <w:left w:val="nil"/>
              <w:right w:val="nil"/>
            </w:tcBorders>
          </w:tcPr>
          <w:p w14:paraId="1EEBA056" w14:textId="426D28F0" w:rsidR="00444697" w:rsidRPr="00041C3D" w:rsidRDefault="000B5154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Celková</w:t>
            </w:r>
          </w:p>
        </w:tc>
        <w:tc>
          <w:tcPr>
            <w:tcW w:w="1261" w:type="dxa"/>
            <w:tcBorders>
              <w:top w:val="single" w:sz="12" w:space="0" w:color="auto"/>
              <w:left w:val="nil"/>
              <w:right w:val="nil"/>
            </w:tcBorders>
          </w:tcPr>
          <w:p w14:paraId="1EEBA057" w14:textId="77777777" w:rsidR="00444697" w:rsidRPr="00041C3D" w:rsidRDefault="00444697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041C3D">
              <w:rPr>
                <w:rFonts w:ascii="Times New Roman" w:hAnsi="Times New Roman" w:cs="Times New Roman"/>
                <w:lang w:val="sk-SK"/>
              </w:rPr>
              <w:t>1466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nil"/>
            </w:tcBorders>
          </w:tcPr>
          <w:p w14:paraId="1EEBA058" w14:textId="1171AF3A" w:rsidR="00444697" w:rsidRPr="00041C3D" w:rsidRDefault="000B5154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9,1 % vs 7,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6</w:t>
            </w:r>
            <w:r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</w:t>
            </w:r>
          </w:p>
          <w:p w14:paraId="1EEBA059" w14:textId="34E0486A" w:rsidR="00444697" w:rsidRPr="00041C3D" w:rsidRDefault="000B5154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[-1,5 %; 4,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5</w:t>
            </w:r>
            <w:r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%]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right w:val="nil"/>
            </w:tcBorders>
          </w:tcPr>
          <w:p w14:paraId="1EEBA05A" w14:textId="3196FE26" w:rsidR="00444697" w:rsidRPr="00041C3D" w:rsidRDefault="000B5154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04</w:t>
            </w:r>
          </w:p>
          <w:p w14:paraId="1EEBA05B" w14:textId="0734F5DE" w:rsidR="00444697" w:rsidRPr="00041C3D" w:rsidRDefault="000B5154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[0,</w:t>
            </w:r>
            <w:r w:rsidR="00235EAC">
              <w:rPr>
                <w:rFonts w:ascii="Times New Roman" w:hAnsi="Times New Roman" w:cs="Times New Roman"/>
                <w:lang w:val="sk-SK"/>
              </w:rPr>
              <w:t>93;1,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18]</w:t>
            </w:r>
          </w:p>
          <w:p w14:paraId="1EEBA05C" w14:textId="4431789A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2,2 m vs 2,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7 m</w:t>
            </w:r>
          </w:p>
          <w:p w14:paraId="1EEBA05D" w14:textId="6C7D1E7A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p=0,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4658</w:t>
            </w:r>
          </w:p>
        </w:tc>
        <w:tc>
          <w:tcPr>
            <w:tcW w:w="1924" w:type="dxa"/>
            <w:tcBorders>
              <w:top w:val="single" w:sz="12" w:space="0" w:color="auto"/>
              <w:left w:val="nil"/>
              <w:right w:val="nil"/>
            </w:tcBorders>
          </w:tcPr>
          <w:p w14:paraId="1EEBA05E" w14:textId="09E6FDE5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020</w:t>
            </w:r>
          </w:p>
          <w:p w14:paraId="1EEBA05F" w14:textId="3D6572E6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[0,905, 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150]</w:t>
            </w:r>
            <w:r w:rsidR="00444697" w:rsidRPr="00041C3D">
              <w:rPr>
                <w:rFonts w:ascii="Times New Roman" w:hAnsi="Times New Roman" w:cs="Times New Roman"/>
                <w:vertAlign w:val="superscript"/>
                <w:lang w:val="sk-SK"/>
              </w:rPr>
              <w:t>c</w:t>
            </w:r>
          </w:p>
          <w:p w14:paraId="1EEBA060" w14:textId="41E16EC6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7,6 m vs 8,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 m</w:t>
            </w:r>
          </w:p>
          <w:p w14:paraId="1EEBA061" w14:textId="70F07863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p=0,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7332</w:t>
            </w:r>
          </w:p>
        </w:tc>
      </w:tr>
      <w:tr w:rsidR="00444697" w:rsidRPr="00041C3D" w14:paraId="1EEBA06F" w14:textId="77777777" w:rsidTr="009C4113">
        <w:trPr>
          <w:tblHeader/>
        </w:trPr>
        <w:tc>
          <w:tcPr>
            <w:tcW w:w="1824" w:type="dxa"/>
            <w:tcBorders>
              <w:left w:val="nil"/>
              <w:right w:val="nil"/>
            </w:tcBorders>
          </w:tcPr>
          <w:p w14:paraId="1EEBA063" w14:textId="794B498C" w:rsidR="00444697" w:rsidRPr="00041C3D" w:rsidRDefault="000B5154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Mutácia EGFR </w:t>
            </w:r>
            <w:r>
              <w:rPr>
                <w:rFonts w:ascii="Times New Roman" w:hAnsi="Times New Roman" w:cs="Times New Roman"/>
                <w:lang w:val="sk-SK"/>
              </w:rPr>
              <w:noBreakHyphen/>
              <w:t xml:space="preserve"> pozitívna</w:t>
            </w:r>
          </w:p>
        </w:tc>
        <w:tc>
          <w:tcPr>
            <w:tcW w:w="1261" w:type="dxa"/>
            <w:tcBorders>
              <w:left w:val="nil"/>
              <w:right w:val="nil"/>
            </w:tcBorders>
          </w:tcPr>
          <w:p w14:paraId="1EEBA064" w14:textId="77777777" w:rsidR="00444697" w:rsidRPr="00041C3D" w:rsidRDefault="00444697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041C3D">
              <w:rPr>
                <w:rFonts w:ascii="Times New Roman" w:hAnsi="Times New Roman" w:cs="Times New Roman"/>
                <w:lang w:val="sk-SK"/>
              </w:rPr>
              <w:t>44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1EEBA065" w14:textId="3E367C33" w:rsidR="00444697" w:rsidRPr="00041C3D" w:rsidRDefault="000B5154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42,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1</w:t>
            </w:r>
            <w:r>
              <w:rPr>
                <w:rFonts w:ascii="Times New Roman" w:hAnsi="Times New Roman" w:cs="Times New Roman"/>
                <w:lang w:val="sk-SK"/>
              </w:rPr>
              <w:t> % vs 21,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1</w:t>
            </w:r>
            <w:r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</w:t>
            </w:r>
          </w:p>
          <w:p w14:paraId="1EEBA066" w14:textId="71205C4C" w:rsidR="00444697" w:rsidRPr="00041C3D" w:rsidRDefault="000B5154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[-8,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2</w:t>
            </w:r>
            <w:r>
              <w:rPr>
                <w:rFonts w:ascii="Times New Roman" w:hAnsi="Times New Roman" w:cs="Times New Roman"/>
                <w:lang w:val="sk-SK"/>
              </w:rPr>
              <w:t> %; 46,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</w:t>
            </w:r>
            <w:r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%]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1EEBA067" w14:textId="5895A1B8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16</w:t>
            </w:r>
          </w:p>
          <w:p w14:paraId="1EEBA068" w14:textId="559AB0E6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[0,05; 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49]</w:t>
            </w:r>
          </w:p>
          <w:p w14:paraId="1EEBA069" w14:textId="008B8AC9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7,0 m vs 4,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1 m</w:t>
            </w:r>
          </w:p>
          <w:p w14:paraId="1EEBA06A" w14:textId="5B6A02D9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p=0,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0012</w:t>
            </w:r>
          </w:p>
        </w:tc>
        <w:tc>
          <w:tcPr>
            <w:tcW w:w="1924" w:type="dxa"/>
            <w:tcBorders>
              <w:left w:val="nil"/>
              <w:right w:val="nil"/>
            </w:tcBorders>
          </w:tcPr>
          <w:p w14:paraId="1EEBA06B" w14:textId="0351E830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83</w:t>
            </w:r>
          </w:p>
          <w:p w14:paraId="1EEBA06C" w14:textId="4DD6254B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[0,41; 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67]</w:t>
            </w:r>
          </w:p>
          <w:p w14:paraId="1EEBA06D" w14:textId="54D4110F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14,2 m vs 16,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6 m</w:t>
            </w:r>
          </w:p>
          <w:p w14:paraId="1EEBA06E" w14:textId="09E0FC01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p=0,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6043</w:t>
            </w:r>
          </w:p>
        </w:tc>
      </w:tr>
      <w:tr w:rsidR="00444697" w:rsidRPr="00041C3D" w14:paraId="1EEBA07C" w14:textId="77777777" w:rsidTr="009C4113">
        <w:trPr>
          <w:tblHeader/>
        </w:trPr>
        <w:tc>
          <w:tcPr>
            <w:tcW w:w="1824" w:type="dxa"/>
            <w:tcBorders>
              <w:left w:val="nil"/>
              <w:right w:val="nil"/>
            </w:tcBorders>
          </w:tcPr>
          <w:p w14:paraId="1EEBA070" w14:textId="2A405EF8" w:rsidR="00444697" w:rsidRPr="00041C3D" w:rsidRDefault="000B5154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Mutácia EGFR 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noBreakHyphen/>
            </w:r>
            <w:r>
              <w:rPr>
                <w:rFonts w:ascii="Times New Roman" w:hAnsi="Times New Roman" w:cs="Times New Roman"/>
                <w:lang w:val="sk-SK"/>
              </w:rPr>
              <w:t xml:space="preserve"> negatívna</w:t>
            </w:r>
          </w:p>
        </w:tc>
        <w:tc>
          <w:tcPr>
            <w:tcW w:w="1261" w:type="dxa"/>
            <w:tcBorders>
              <w:left w:val="nil"/>
              <w:right w:val="nil"/>
            </w:tcBorders>
          </w:tcPr>
          <w:p w14:paraId="1EEBA071" w14:textId="77777777" w:rsidR="00444697" w:rsidRPr="00041C3D" w:rsidRDefault="00444697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041C3D">
              <w:rPr>
                <w:rFonts w:ascii="Times New Roman" w:hAnsi="Times New Roman" w:cs="Times New Roman"/>
                <w:lang w:val="sk-SK"/>
              </w:rPr>
              <w:t>253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1EEBA072" w14:textId="0210BDDC" w:rsidR="00444697" w:rsidRPr="00041C3D" w:rsidRDefault="000B5154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6,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6</w:t>
            </w:r>
            <w:r>
              <w:rPr>
                <w:rFonts w:ascii="Times New Roman" w:hAnsi="Times New Roman" w:cs="Times New Roman"/>
                <w:lang w:val="sk-SK"/>
              </w:rPr>
              <w:t> % vs 9,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8</w:t>
            </w:r>
            <w:r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</w:t>
            </w:r>
          </w:p>
          <w:p w14:paraId="1EEBA073" w14:textId="71CBEEDF" w:rsidR="00444697" w:rsidRPr="00041C3D" w:rsidRDefault="000B5154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[-10,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5</w:t>
            </w:r>
            <w:r>
              <w:rPr>
                <w:rFonts w:ascii="Times New Roman" w:hAnsi="Times New Roman" w:cs="Times New Roman"/>
                <w:lang w:val="sk-SK"/>
              </w:rPr>
              <w:t> %; 4,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4</w:t>
            </w:r>
            <w:r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%]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1EEBA074" w14:textId="118FDC45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24</w:t>
            </w:r>
          </w:p>
          <w:p w14:paraId="1EEBA075" w14:textId="6862246B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[0,94;1,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64]</w:t>
            </w:r>
          </w:p>
          <w:p w14:paraId="1EEBA076" w14:textId="5BAACEE8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 xml:space="preserve">7 m vs </w:t>
            </w:r>
            <w:r>
              <w:rPr>
                <w:rFonts w:ascii="Times New Roman" w:hAnsi="Times New Roman" w:cs="Times New Roman"/>
                <w:lang w:val="sk-SK"/>
              </w:rPr>
              <w:t>2,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6 m</w:t>
            </w:r>
          </w:p>
          <w:p w14:paraId="1EEBA077" w14:textId="5BBB220A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p=0,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1353</w:t>
            </w:r>
          </w:p>
        </w:tc>
        <w:tc>
          <w:tcPr>
            <w:tcW w:w="1924" w:type="dxa"/>
            <w:tcBorders>
              <w:left w:val="nil"/>
              <w:right w:val="nil"/>
            </w:tcBorders>
          </w:tcPr>
          <w:p w14:paraId="1EEBA078" w14:textId="33B513FB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02</w:t>
            </w:r>
          </w:p>
          <w:p w14:paraId="1EEBA079" w14:textId="725F7E94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[0,78; 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33]</w:t>
            </w:r>
          </w:p>
          <w:p w14:paraId="1EEBA07A" w14:textId="4B97F1C6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6,4 m vs 6,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 m</w:t>
            </w:r>
          </w:p>
          <w:p w14:paraId="1EEBA07B" w14:textId="16C93262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p=0,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9131</w:t>
            </w:r>
          </w:p>
        </w:tc>
      </w:tr>
      <w:tr w:rsidR="00444697" w:rsidRPr="00041C3D" w14:paraId="1EEBA089" w14:textId="77777777" w:rsidTr="009C4113">
        <w:trPr>
          <w:tblHeader/>
        </w:trPr>
        <w:tc>
          <w:tcPr>
            <w:tcW w:w="1824" w:type="dxa"/>
            <w:tcBorders>
              <w:left w:val="nil"/>
              <w:bottom w:val="single" w:sz="4" w:space="0" w:color="auto"/>
              <w:right w:val="nil"/>
            </w:tcBorders>
          </w:tcPr>
          <w:p w14:paraId="1EEBA07D" w14:textId="39A44394" w:rsidR="00444697" w:rsidRPr="00041C3D" w:rsidRDefault="000B5154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Ázijská populácia</w:t>
            </w:r>
            <w:r w:rsidR="00444697" w:rsidRPr="00041C3D">
              <w:rPr>
                <w:rFonts w:ascii="Times New Roman" w:hAnsi="Times New Roman" w:cs="Times New Roman"/>
                <w:vertAlign w:val="superscript"/>
                <w:lang w:val="sk-SK"/>
              </w:rPr>
              <w:t>c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nil"/>
            </w:tcBorders>
          </w:tcPr>
          <w:p w14:paraId="1EEBA07E" w14:textId="77777777" w:rsidR="00444697" w:rsidRPr="00041C3D" w:rsidRDefault="00444697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041C3D">
              <w:rPr>
                <w:rFonts w:ascii="Times New Roman" w:hAnsi="Times New Roman" w:cs="Times New Roman"/>
                <w:lang w:val="sk-SK"/>
              </w:rPr>
              <w:t>323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1EEBA07F" w14:textId="4399B9EB" w:rsidR="00444697" w:rsidRPr="00041C3D" w:rsidRDefault="000B5154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19,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7</w:t>
            </w:r>
            <w:r>
              <w:rPr>
                <w:rFonts w:ascii="Times New Roman" w:hAnsi="Times New Roman" w:cs="Times New Roman"/>
                <w:lang w:val="sk-SK"/>
              </w:rPr>
              <w:t> % vs 8,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7</w:t>
            </w:r>
            <w:r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</w:t>
            </w:r>
          </w:p>
          <w:p w14:paraId="1EEBA080" w14:textId="4C8DAB73" w:rsidR="00444697" w:rsidRPr="00041C3D" w:rsidRDefault="000B5154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[3,1 %; 19,2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%]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1EEBA081" w14:textId="06A94FB0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83</w:t>
            </w:r>
          </w:p>
          <w:p w14:paraId="1EEBA082" w14:textId="11426B99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[0,64;1,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08]</w:t>
            </w:r>
          </w:p>
          <w:p w14:paraId="1EEBA083" w14:textId="636323B9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2,9 m vs 2,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8 m</w:t>
            </w:r>
          </w:p>
          <w:p w14:paraId="1EEBA084" w14:textId="6814EE0B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p=0,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1746</w:t>
            </w:r>
          </w:p>
        </w:tc>
        <w:tc>
          <w:tcPr>
            <w:tcW w:w="1924" w:type="dxa"/>
            <w:tcBorders>
              <w:left w:val="nil"/>
              <w:bottom w:val="single" w:sz="4" w:space="0" w:color="auto"/>
              <w:right w:val="nil"/>
            </w:tcBorders>
          </w:tcPr>
          <w:p w14:paraId="1EEBA085" w14:textId="35CB239D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04</w:t>
            </w:r>
          </w:p>
          <w:p w14:paraId="1EEBA086" w14:textId="02761A2B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[0,80; 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35]</w:t>
            </w:r>
          </w:p>
          <w:p w14:paraId="1EEBA087" w14:textId="71F4270F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10,4 m vs 12,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2 m</w:t>
            </w:r>
          </w:p>
          <w:p w14:paraId="1EEBA088" w14:textId="507C10D4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p=0,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7711</w:t>
            </w:r>
          </w:p>
        </w:tc>
      </w:tr>
      <w:tr w:rsidR="00444697" w:rsidRPr="00041C3D" w14:paraId="1EEBA096" w14:textId="77777777" w:rsidTr="009C4113">
        <w:trPr>
          <w:tblHeader/>
        </w:trPr>
        <w:tc>
          <w:tcPr>
            <w:tcW w:w="1824" w:type="dxa"/>
            <w:tcBorders>
              <w:left w:val="nil"/>
              <w:bottom w:val="single" w:sz="12" w:space="0" w:color="auto"/>
              <w:right w:val="nil"/>
            </w:tcBorders>
          </w:tcPr>
          <w:p w14:paraId="1EEBA08A" w14:textId="066B8E90" w:rsidR="00444697" w:rsidRPr="00041C3D" w:rsidRDefault="000B5154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Neázijská populácia</w:t>
            </w:r>
          </w:p>
        </w:tc>
        <w:tc>
          <w:tcPr>
            <w:tcW w:w="1261" w:type="dxa"/>
            <w:tcBorders>
              <w:left w:val="nil"/>
              <w:bottom w:val="single" w:sz="12" w:space="0" w:color="auto"/>
              <w:right w:val="nil"/>
            </w:tcBorders>
          </w:tcPr>
          <w:p w14:paraId="1EEBA08B" w14:textId="77777777" w:rsidR="00444697" w:rsidRPr="00041C3D" w:rsidRDefault="00444697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041C3D">
              <w:rPr>
                <w:rFonts w:ascii="Times New Roman" w:hAnsi="Times New Roman" w:cs="Times New Roman"/>
                <w:lang w:val="sk-SK"/>
              </w:rPr>
              <w:t>1143</w:t>
            </w:r>
          </w:p>
        </w:tc>
        <w:tc>
          <w:tcPr>
            <w:tcW w:w="2126" w:type="dxa"/>
            <w:tcBorders>
              <w:left w:val="nil"/>
              <w:bottom w:val="single" w:sz="12" w:space="0" w:color="auto"/>
              <w:right w:val="nil"/>
            </w:tcBorders>
          </w:tcPr>
          <w:p w14:paraId="1EEBA08C" w14:textId="139BE8D1" w:rsidR="00444697" w:rsidRPr="00041C3D" w:rsidRDefault="000B5154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6,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2</w:t>
            </w:r>
            <w:r>
              <w:rPr>
                <w:rFonts w:ascii="Times New Roman" w:hAnsi="Times New Roman" w:cs="Times New Roman"/>
                <w:lang w:val="sk-SK"/>
              </w:rPr>
              <w:t> % vs 7,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3</w:t>
            </w:r>
            <w:r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</w:t>
            </w:r>
          </w:p>
          <w:p w14:paraId="1EEBA08D" w14:textId="2574CD5E" w:rsidR="00444697" w:rsidRPr="00041C3D" w:rsidRDefault="000B5154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[-4,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3</w:t>
            </w:r>
            <w:r>
              <w:rPr>
                <w:rFonts w:ascii="Times New Roman" w:hAnsi="Times New Roman" w:cs="Times New Roman"/>
                <w:lang w:val="sk-SK"/>
              </w:rPr>
              <w:t> %; 2,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</w:t>
            </w:r>
            <w:r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%]</w:t>
            </w:r>
          </w:p>
        </w:tc>
        <w:tc>
          <w:tcPr>
            <w:tcW w:w="1985" w:type="dxa"/>
            <w:tcBorders>
              <w:left w:val="nil"/>
              <w:bottom w:val="single" w:sz="12" w:space="0" w:color="auto"/>
              <w:right w:val="nil"/>
            </w:tcBorders>
          </w:tcPr>
          <w:p w14:paraId="1EEBA08E" w14:textId="4B0F6CE7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12</w:t>
            </w:r>
          </w:p>
          <w:p w14:paraId="1EEBA08F" w14:textId="1259FEEB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[0,98; 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28]</w:t>
            </w:r>
          </w:p>
          <w:p w14:paraId="1EEBA090" w14:textId="772EB103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2,0 m vs 2,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7 m</w:t>
            </w:r>
          </w:p>
          <w:p w14:paraId="1EEBA091" w14:textId="7B46CB42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p=0,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1041</w:t>
            </w:r>
          </w:p>
        </w:tc>
        <w:tc>
          <w:tcPr>
            <w:tcW w:w="1924" w:type="dxa"/>
            <w:tcBorders>
              <w:left w:val="nil"/>
              <w:bottom w:val="single" w:sz="12" w:space="0" w:color="auto"/>
              <w:right w:val="nil"/>
            </w:tcBorders>
          </w:tcPr>
          <w:p w14:paraId="1EEBA092" w14:textId="479104A3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01</w:t>
            </w:r>
          </w:p>
          <w:p w14:paraId="1EEBA093" w14:textId="4AA718A7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[0,89; 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14]</w:t>
            </w:r>
          </w:p>
          <w:p w14:paraId="1EEBA094" w14:textId="1EA9D848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6,9 m vs 6,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9 m</w:t>
            </w:r>
          </w:p>
          <w:p w14:paraId="1EEBA095" w14:textId="75C940D0" w:rsidR="00444697" w:rsidRPr="00041C3D" w:rsidRDefault="00235EA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p=0,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9259</w:t>
            </w:r>
          </w:p>
        </w:tc>
      </w:tr>
    </w:tbl>
    <w:p w14:paraId="1EEBA097" w14:textId="1E727716" w:rsidR="00444697" w:rsidRPr="00041C3D" w:rsidRDefault="004535EB">
      <w:pPr>
        <w:spacing w:after="0" w:line="240" w:lineRule="auto"/>
        <w:rPr>
          <w:rFonts w:ascii="Times New Roman" w:hAnsi="Times New Roman" w:cs="Times New Roman"/>
          <w:sz w:val="20"/>
          <w:lang w:val="sk-SK"/>
        </w:rPr>
      </w:pPr>
      <w:r>
        <w:rPr>
          <w:rFonts w:ascii="Times New Roman" w:hAnsi="Times New Roman" w:cs="Times New Roman"/>
          <w:sz w:val="20"/>
          <w:lang w:val="sk-SK"/>
        </w:rPr>
        <w:t>a</w:t>
      </w:r>
      <w:r>
        <w:rPr>
          <w:rFonts w:ascii="Times New Roman" w:hAnsi="Times New Roman" w:cs="Times New Roman"/>
          <w:sz w:val="20"/>
          <w:lang w:val="sk-SK"/>
        </w:rPr>
        <w:tab/>
        <w:t>uvedené hodnoty</w:t>
      </w:r>
      <w:r w:rsidR="00444697" w:rsidRPr="00041C3D">
        <w:rPr>
          <w:rFonts w:ascii="Times New Roman" w:hAnsi="Times New Roman" w:cs="Times New Roman"/>
          <w:sz w:val="20"/>
          <w:lang w:val="sk-SK"/>
        </w:rPr>
        <w:t xml:space="preserve"> </w:t>
      </w:r>
      <w:r>
        <w:rPr>
          <w:rFonts w:ascii="Times New Roman" w:hAnsi="Times New Roman" w:cs="Times New Roman"/>
          <w:sz w:val="20"/>
          <w:lang w:val="sk-SK"/>
        </w:rPr>
        <w:t>sú</w:t>
      </w:r>
      <w:r w:rsidR="00444697" w:rsidRPr="00041C3D">
        <w:rPr>
          <w:rFonts w:ascii="Times New Roman" w:hAnsi="Times New Roman" w:cs="Times New Roman"/>
          <w:sz w:val="20"/>
          <w:lang w:val="sk-SK"/>
        </w:rPr>
        <w:t xml:space="preserve"> </w:t>
      </w:r>
      <w:r>
        <w:rPr>
          <w:rFonts w:ascii="Times New Roman" w:hAnsi="Times New Roman" w:cs="Times New Roman"/>
          <w:sz w:val="20"/>
          <w:lang w:val="sk-SK"/>
        </w:rPr>
        <w:t>pre gefitinib verzus docetaxel</w:t>
      </w:r>
    </w:p>
    <w:p w14:paraId="1EEBA098" w14:textId="25E6E6BB" w:rsidR="00444697" w:rsidRPr="00041C3D" w:rsidRDefault="00444697">
      <w:pPr>
        <w:spacing w:after="0" w:line="240" w:lineRule="auto"/>
        <w:ind w:left="705" w:hanging="705"/>
        <w:rPr>
          <w:rFonts w:ascii="Times New Roman" w:hAnsi="Times New Roman" w:cs="Times New Roman"/>
          <w:sz w:val="20"/>
          <w:lang w:val="sk-SK"/>
        </w:rPr>
      </w:pPr>
      <w:r w:rsidRPr="00041C3D">
        <w:rPr>
          <w:rFonts w:ascii="Times New Roman" w:hAnsi="Times New Roman" w:cs="Times New Roman"/>
          <w:sz w:val="20"/>
          <w:lang w:val="sk-SK"/>
        </w:rPr>
        <w:t>b</w:t>
      </w:r>
      <w:r w:rsidRPr="00041C3D">
        <w:rPr>
          <w:rFonts w:ascii="Times New Roman" w:hAnsi="Times New Roman" w:cs="Times New Roman"/>
          <w:sz w:val="20"/>
          <w:lang w:val="sk-SK"/>
        </w:rPr>
        <w:tab/>
      </w:r>
      <w:r w:rsidR="0072348F">
        <w:rPr>
          <w:rFonts w:ascii="Times New Roman" w:hAnsi="Times New Roman" w:cs="Times New Roman"/>
          <w:sz w:val="20"/>
          <w:lang w:val="sk-SK"/>
        </w:rPr>
        <w:t>„</w:t>
      </w:r>
      <w:r w:rsidRPr="00041C3D">
        <w:rPr>
          <w:rFonts w:ascii="Times New Roman" w:hAnsi="Times New Roman" w:cs="Times New Roman"/>
          <w:sz w:val="20"/>
          <w:lang w:val="sk-SK"/>
        </w:rPr>
        <w:t>m</w:t>
      </w:r>
      <w:r w:rsidR="0072348F">
        <w:rPr>
          <w:rFonts w:ascii="Times New Roman" w:hAnsi="Times New Roman" w:cs="Times New Roman"/>
          <w:sz w:val="20"/>
          <w:lang w:val="sk-SK"/>
        </w:rPr>
        <w:t>“</w:t>
      </w:r>
      <w:r w:rsidRPr="00041C3D">
        <w:rPr>
          <w:rFonts w:ascii="Times New Roman" w:hAnsi="Times New Roman" w:cs="Times New Roman"/>
          <w:sz w:val="20"/>
          <w:lang w:val="sk-SK"/>
        </w:rPr>
        <w:t xml:space="preserve"> </w:t>
      </w:r>
      <w:r w:rsidR="004535EB">
        <w:rPr>
          <w:rFonts w:ascii="Times New Roman" w:hAnsi="Times New Roman" w:cs="Times New Roman"/>
          <w:sz w:val="20"/>
          <w:lang w:val="sk-SK"/>
        </w:rPr>
        <w:t>je medián v mesiacoch.</w:t>
      </w:r>
      <w:r w:rsidRPr="00041C3D">
        <w:rPr>
          <w:rFonts w:ascii="Times New Roman" w:hAnsi="Times New Roman" w:cs="Times New Roman"/>
          <w:sz w:val="20"/>
          <w:lang w:val="sk-SK"/>
        </w:rPr>
        <w:t xml:space="preserve"> </w:t>
      </w:r>
      <w:r w:rsidR="004535EB">
        <w:rPr>
          <w:rFonts w:ascii="Times New Roman" w:hAnsi="Times New Roman" w:cs="Times New Roman"/>
          <w:sz w:val="20"/>
          <w:lang w:val="sk-SK"/>
        </w:rPr>
        <w:t xml:space="preserve">Čísla v hranatých zátvorkách sú </w:t>
      </w:r>
      <w:r w:rsidRPr="00041C3D">
        <w:rPr>
          <w:rFonts w:ascii="Times New Roman" w:hAnsi="Times New Roman" w:cs="Times New Roman"/>
          <w:sz w:val="20"/>
          <w:lang w:val="sk-SK"/>
        </w:rPr>
        <w:t>96</w:t>
      </w:r>
      <w:r w:rsidR="004535EB">
        <w:rPr>
          <w:rFonts w:ascii="Times New Roman" w:hAnsi="Times New Roman" w:cs="Times New Roman"/>
          <w:sz w:val="20"/>
          <w:lang w:val="sk-SK"/>
        </w:rPr>
        <w:t> </w:t>
      </w:r>
      <w:r w:rsidRPr="00041C3D">
        <w:rPr>
          <w:rFonts w:ascii="Times New Roman" w:hAnsi="Times New Roman" w:cs="Times New Roman"/>
          <w:sz w:val="20"/>
          <w:lang w:val="sk-SK"/>
        </w:rPr>
        <w:t xml:space="preserve">% </w:t>
      </w:r>
      <w:r w:rsidR="004535EB">
        <w:rPr>
          <w:rFonts w:ascii="Times New Roman" w:hAnsi="Times New Roman" w:cs="Times New Roman"/>
          <w:sz w:val="20"/>
          <w:lang w:val="sk-SK"/>
        </w:rPr>
        <w:t>interval spoľahlivosti pre celkové prežívanie pre HR v celkovej populácii a </w:t>
      </w:r>
      <w:r w:rsidRPr="00041C3D">
        <w:rPr>
          <w:rFonts w:ascii="Times New Roman" w:hAnsi="Times New Roman" w:cs="Times New Roman"/>
          <w:sz w:val="20"/>
          <w:lang w:val="sk-SK"/>
        </w:rPr>
        <w:t>95</w:t>
      </w:r>
      <w:r w:rsidR="004535EB">
        <w:rPr>
          <w:rFonts w:ascii="Times New Roman" w:hAnsi="Times New Roman" w:cs="Times New Roman"/>
          <w:sz w:val="20"/>
          <w:lang w:val="sk-SK"/>
        </w:rPr>
        <w:t> </w:t>
      </w:r>
      <w:r w:rsidRPr="00041C3D">
        <w:rPr>
          <w:rFonts w:ascii="Times New Roman" w:hAnsi="Times New Roman" w:cs="Times New Roman"/>
          <w:sz w:val="20"/>
          <w:lang w:val="sk-SK"/>
        </w:rPr>
        <w:t xml:space="preserve">% </w:t>
      </w:r>
      <w:r w:rsidR="004535EB">
        <w:rPr>
          <w:rFonts w:ascii="Times New Roman" w:hAnsi="Times New Roman" w:cs="Times New Roman"/>
          <w:sz w:val="20"/>
          <w:lang w:val="sk-SK"/>
        </w:rPr>
        <w:t xml:space="preserve">interval spoľahlivosti pre </w:t>
      </w:r>
      <w:r w:rsidRPr="00041C3D">
        <w:rPr>
          <w:rFonts w:ascii="Times New Roman" w:hAnsi="Times New Roman" w:cs="Times New Roman"/>
          <w:sz w:val="20"/>
          <w:lang w:val="sk-SK"/>
        </w:rPr>
        <w:t>HR</w:t>
      </w:r>
      <w:r w:rsidR="0072348F" w:rsidRPr="0072348F">
        <w:t xml:space="preserve"> </w:t>
      </w:r>
      <w:r w:rsidR="0072348F" w:rsidRPr="0072348F">
        <w:rPr>
          <w:rFonts w:ascii="Times New Roman" w:hAnsi="Times New Roman" w:cs="Times New Roman"/>
          <w:sz w:val="20"/>
          <w:lang w:val="sk-SK"/>
        </w:rPr>
        <w:t>pre ostatné prípady</w:t>
      </w:r>
    </w:p>
    <w:p w14:paraId="1EEBA099" w14:textId="2EB9EBAF" w:rsidR="00444697" w:rsidRPr="00041C3D" w:rsidRDefault="00444697">
      <w:pPr>
        <w:spacing w:after="0" w:line="240" w:lineRule="auto"/>
        <w:rPr>
          <w:rFonts w:ascii="Times New Roman" w:hAnsi="Times New Roman" w:cs="Times New Roman"/>
          <w:sz w:val="20"/>
          <w:lang w:val="sk-SK"/>
        </w:rPr>
      </w:pPr>
      <w:r w:rsidRPr="00041C3D">
        <w:rPr>
          <w:rFonts w:ascii="Times New Roman" w:hAnsi="Times New Roman" w:cs="Times New Roman"/>
          <w:sz w:val="20"/>
          <w:lang w:val="sk-SK"/>
        </w:rPr>
        <w:t>c</w:t>
      </w:r>
      <w:r w:rsidRPr="00041C3D">
        <w:rPr>
          <w:rFonts w:ascii="Times New Roman" w:hAnsi="Times New Roman" w:cs="Times New Roman"/>
          <w:sz w:val="20"/>
          <w:lang w:val="sk-SK"/>
        </w:rPr>
        <w:tab/>
      </w:r>
      <w:r w:rsidR="004535EB">
        <w:rPr>
          <w:rFonts w:ascii="Times New Roman" w:hAnsi="Times New Roman" w:cs="Times New Roman"/>
          <w:sz w:val="20"/>
          <w:lang w:val="sk-SK"/>
        </w:rPr>
        <w:t>interval spoľahlivosti úplne pod hranicou „</w:t>
      </w:r>
      <w:r w:rsidRPr="00041C3D">
        <w:rPr>
          <w:rFonts w:ascii="Times New Roman" w:hAnsi="Times New Roman" w:cs="Times New Roman"/>
          <w:sz w:val="20"/>
          <w:lang w:val="sk-SK"/>
        </w:rPr>
        <w:t>non-inferiority</w:t>
      </w:r>
      <w:r w:rsidR="004535EB">
        <w:rPr>
          <w:rFonts w:ascii="Times New Roman" w:hAnsi="Times New Roman" w:cs="Times New Roman"/>
          <w:sz w:val="20"/>
          <w:lang w:val="sk-SK"/>
        </w:rPr>
        <w:t>“</w:t>
      </w:r>
      <w:r w:rsidRPr="00041C3D">
        <w:rPr>
          <w:rFonts w:ascii="Times New Roman" w:hAnsi="Times New Roman" w:cs="Times New Roman"/>
          <w:sz w:val="20"/>
          <w:lang w:val="sk-SK"/>
        </w:rPr>
        <w:t xml:space="preserve"> </w:t>
      </w:r>
      <w:r w:rsidR="004535EB">
        <w:rPr>
          <w:rFonts w:ascii="Times New Roman" w:hAnsi="Times New Roman" w:cs="Times New Roman"/>
          <w:sz w:val="20"/>
          <w:lang w:val="sk-SK"/>
        </w:rPr>
        <w:t>1,</w:t>
      </w:r>
      <w:r w:rsidRPr="00041C3D">
        <w:rPr>
          <w:rFonts w:ascii="Times New Roman" w:hAnsi="Times New Roman" w:cs="Times New Roman"/>
          <w:sz w:val="20"/>
          <w:lang w:val="sk-SK"/>
        </w:rPr>
        <w:t>154</w:t>
      </w:r>
    </w:p>
    <w:p w14:paraId="1EEBA09A" w14:textId="3E73DDC2" w:rsidR="00444697" w:rsidRPr="00041C3D" w:rsidRDefault="004535EB">
      <w:pPr>
        <w:spacing w:after="0" w:line="240" w:lineRule="auto"/>
        <w:rPr>
          <w:rFonts w:ascii="Times New Roman" w:hAnsi="Times New Roman" w:cs="Times New Roman"/>
          <w:sz w:val="20"/>
          <w:lang w:val="sk-SK"/>
        </w:rPr>
      </w:pPr>
      <w:r>
        <w:rPr>
          <w:rFonts w:ascii="Times New Roman" w:hAnsi="Times New Roman" w:cs="Times New Roman"/>
          <w:sz w:val="20"/>
          <w:lang w:val="sk-SK"/>
        </w:rPr>
        <w:t>N</w:t>
      </w:r>
      <w:r>
        <w:rPr>
          <w:rFonts w:ascii="Times New Roman" w:hAnsi="Times New Roman" w:cs="Times New Roman"/>
          <w:sz w:val="20"/>
          <w:lang w:val="sk-SK"/>
        </w:rPr>
        <w:tab/>
        <w:t>počet randomizovaných pacientov</w:t>
      </w:r>
    </w:p>
    <w:p w14:paraId="1EEBA09B" w14:textId="5FBE8077" w:rsidR="00444697" w:rsidRPr="00041C3D" w:rsidRDefault="004535EB">
      <w:pPr>
        <w:spacing w:after="0" w:line="240" w:lineRule="auto"/>
        <w:rPr>
          <w:rFonts w:ascii="Times New Roman" w:hAnsi="Times New Roman" w:cs="Times New Roman"/>
          <w:sz w:val="20"/>
          <w:lang w:val="sk-SK"/>
        </w:rPr>
      </w:pPr>
      <w:r>
        <w:rPr>
          <w:rFonts w:ascii="Times New Roman" w:hAnsi="Times New Roman" w:cs="Times New Roman"/>
          <w:sz w:val="20"/>
          <w:lang w:val="sk-SK"/>
        </w:rPr>
        <w:t>HR</w:t>
      </w:r>
      <w:r>
        <w:rPr>
          <w:rFonts w:ascii="Times New Roman" w:hAnsi="Times New Roman" w:cs="Times New Roman"/>
          <w:sz w:val="20"/>
          <w:lang w:val="sk-SK"/>
        </w:rPr>
        <w:tab/>
        <w:t>Pomer rizika (pomer rizika &lt;1 v prospech</w:t>
      </w:r>
      <w:r w:rsidR="00444697" w:rsidRPr="00041C3D">
        <w:rPr>
          <w:rFonts w:ascii="Times New Roman" w:hAnsi="Times New Roman" w:cs="Times New Roman"/>
          <w:sz w:val="20"/>
          <w:lang w:val="sk-SK"/>
        </w:rPr>
        <w:t xml:space="preserve"> gefitinib</w:t>
      </w:r>
      <w:r>
        <w:rPr>
          <w:rFonts w:ascii="Times New Roman" w:hAnsi="Times New Roman" w:cs="Times New Roman"/>
          <w:sz w:val="20"/>
          <w:lang w:val="sk-SK"/>
        </w:rPr>
        <w:t>u</w:t>
      </w:r>
      <w:r w:rsidR="00444697" w:rsidRPr="00041C3D">
        <w:rPr>
          <w:rFonts w:ascii="Times New Roman" w:hAnsi="Times New Roman" w:cs="Times New Roman"/>
          <w:sz w:val="20"/>
          <w:lang w:val="sk-SK"/>
        </w:rPr>
        <w:t>)</w:t>
      </w:r>
    </w:p>
    <w:p w14:paraId="1EEBA09C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09D" w14:textId="28B1AEE3" w:rsidR="00444697" w:rsidRPr="00041C3D" w:rsidRDefault="00BF2761" w:rsidP="00473F05">
      <w:pPr>
        <w:keepNext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lastRenderedPageBreak/>
        <w:t>Obrázky 1 a</w:t>
      </w:r>
      <w:r w:rsidR="00444697" w:rsidRPr="00041C3D">
        <w:rPr>
          <w:rFonts w:ascii="Times New Roman" w:hAnsi="Times New Roman" w:cs="Times New Roman"/>
          <w:b/>
          <w:lang w:val="sk-SK"/>
        </w:rPr>
        <w:t xml:space="preserve"> 2 </w:t>
      </w:r>
      <w:r>
        <w:rPr>
          <w:rFonts w:ascii="Times New Roman" w:hAnsi="Times New Roman" w:cs="Times New Roman"/>
          <w:b/>
          <w:lang w:val="sk-SK"/>
        </w:rPr>
        <w:t>Výsledky účinnosti v podskupinách neázijských pacientov v štúdii</w:t>
      </w:r>
      <w:r w:rsidR="00444697" w:rsidRPr="00041C3D">
        <w:rPr>
          <w:rFonts w:ascii="Times New Roman" w:hAnsi="Times New Roman" w:cs="Times New Roman"/>
          <w:b/>
          <w:lang w:val="sk-SK"/>
        </w:rPr>
        <w:t xml:space="preserve"> </w:t>
      </w:r>
      <w:r>
        <w:rPr>
          <w:rFonts w:ascii="Times New Roman" w:hAnsi="Times New Roman" w:cs="Times New Roman"/>
          <w:b/>
          <w:lang w:val="sk-SK"/>
        </w:rPr>
        <w:t>INTEREST</w:t>
      </w:r>
    </w:p>
    <w:p w14:paraId="1EEBA09F" w14:textId="5A1A05EF" w:rsidR="00444697" w:rsidRPr="00BF2761" w:rsidRDefault="00BF2761" w:rsidP="00473F05">
      <w:pPr>
        <w:keepNext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(</w:t>
      </w:r>
      <w:r w:rsidR="0072348F">
        <w:rPr>
          <w:rFonts w:ascii="Times New Roman" w:hAnsi="Times New Roman" w:cs="Times New Roman"/>
          <w:b/>
          <w:lang w:val="sk-SK"/>
        </w:rPr>
        <w:t>Počet</w:t>
      </w:r>
      <w:r>
        <w:rPr>
          <w:rFonts w:ascii="Times New Roman" w:hAnsi="Times New Roman" w:cs="Times New Roman"/>
          <w:b/>
          <w:lang w:val="sk-SK"/>
        </w:rPr>
        <w:t xml:space="preserve"> pacient</w:t>
      </w:r>
      <w:r w:rsidR="0072348F">
        <w:rPr>
          <w:rFonts w:ascii="Times New Roman" w:hAnsi="Times New Roman" w:cs="Times New Roman"/>
          <w:b/>
          <w:lang w:val="sk-SK"/>
        </w:rPr>
        <w:t>ov</w:t>
      </w:r>
      <w:r w:rsidR="00444697" w:rsidRPr="00041C3D">
        <w:rPr>
          <w:rFonts w:ascii="Times New Roman" w:hAnsi="Times New Roman" w:cs="Times New Roman"/>
          <w:b/>
          <w:lang w:val="sk-SK"/>
        </w:rPr>
        <w:t xml:space="preserve"> = </w:t>
      </w:r>
      <w:r>
        <w:rPr>
          <w:rFonts w:ascii="Times New Roman" w:hAnsi="Times New Roman" w:cs="Times New Roman"/>
          <w:b/>
          <w:lang w:val="sk-SK"/>
        </w:rPr>
        <w:t>počet randomizo</w:t>
      </w:r>
      <w:bookmarkStart w:id="0" w:name="_GoBack"/>
      <w:bookmarkEnd w:id="0"/>
      <w:r>
        <w:rPr>
          <w:rFonts w:ascii="Times New Roman" w:hAnsi="Times New Roman" w:cs="Times New Roman"/>
          <w:b/>
          <w:lang w:val="sk-SK"/>
        </w:rPr>
        <w:t>vaných pacientov)</w:t>
      </w:r>
    </w:p>
    <w:p w14:paraId="1EEBA0A0" w14:textId="3362875A" w:rsidR="00444697" w:rsidRPr="00041C3D" w:rsidRDefault="008718D2" w:rsidP="00473F05">
      <w:pPr>
        <w:spacing w:after="0" w:line="240" w:lineRule="auto"/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noProof/>
          <w:lang w:val="sk-SK" w:eastAsia="sk-SK"/>
        </w:rPr>
        <w:drawing>
          <wp:inline distT="0" distB="0" distL="0" distR="0" wp14:anchorId="5FA1C13A" wp14:editId="1DD18653">
            <wp:extent cx="5128895" cy="3673475"/>
            <wp:effectExtent l="0" t="0" r="0" b="317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895" cy="367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BA0A1" w14:textId="77777777" w:rsidR="00444697" w:rsidRPr="00041C3D" w:rsidRDefault="00444697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0A2" w14:textId="65EF6641" w:rsidR="00444697" w:rsidRPr="00041C3D" w:rsidRDefault="008718D2" w:rsidP="00473F05">
      <w:pPr>
        <w:spacing w:after="0" w:line="240" w:lineRule="auto"/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noProof/>
          <w:lang w:val="sk-SK" w:eastAsia="sk-SK"/>
        </w:rPr>
        <w:drawing>
          <wp:inline distT="0" distB="0" distL="0" distR="0" wp14:anchorId="2ED8B905" wp14:editId="32CCC747">
            <wp:extent cx="5542280" cy="3450590"/>
            <wp:effectExtent l="0" t="0" r="127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280" cy="345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BA0A3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0A4" w14:textId="2C32AE4C" w:rsidR="00444697" w:rsidRPr="00041C3D" w:rsidRDefault="00BB018B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Vo fáze III randomizovanej štúdie </w:t>
      </w:r>
      <w:r w:rsidR="00444697" w:rsidRPr="00041C3D">
        <w:rPr>
          <w:rFonts w:ascii="Times New Roman" w:hAnsi="Times New Roman" w:cs="Times New Roman"/>
          <w:lang w:val="sk-SK"/>
        </w:rPr>
        <w:t xml:space="preserve">ISEL </w:t>
      </w:r>
      <w:r>
        <w:rPr>
          <w:rFonts w:ascii="Times New Roman" w:hAnsi="Times New Roman" w:cs="Times New Roman"/>
          <w:lang w:val="sk-SK"/>
        </w:rPr>
        <w:t xml:space="preserve">boli hodnotení pacienti s pokročilým </w:t>
      </w:r>
      <w:r w:rsidR="00444697" w:rsidRPr="00041C3D">
        <w:rPr>
          <w:rFonts w:ascii="Times New Roman" w:hAnsi="Times New Roman" w:cs="Times New Roman"/>
          <w:lang w:val="sk-SK"/>
        </w:rPr>
        <w:t>NSCLC</w:t>
      </w:r>
      <w:r>
        <w:rPr>
          <w:rFonts w:ascii="Times New Roman" w:hAnsi="Times New Roman" w:cs="Times New Roman"/>
          <w:lang w:val="sk-SK"/>
        </w:rPr>
        <w:t>, ktorí boli najprv liečen</w:t>
      </w:r>
      <w:r w:rsidR="00206EBF">
        <w:rPr>
          <w:rFonts w:ascii="Times New Roman" w:hAnsi="Times New Roman" w:cs="Times New Roman"/>
          <w:lang w:val="sk-SK"/>
        </w:rPr>
        <w:t>í</w:t>
      </w:r>
      <w:r>
        <w:rPr>
          <w:rFonts w:ascii="Times New Roman" w:hAnsi="Times New Roman" w:cs="Times New Roman"/>
          <w:lang w:val="sk-SK"/>
        </w:rPr>
        <w:t xml:space="preserve"> jedným alebo dvoma režimami chemoterapie a ktorí neodpovedali na posledný režim alebo ho netolerovali</w:t>
      </w:r>
      <w:r w:rsidR="00444697" w:rsidRPr="00041C3D">
        <w:rPr>
          <w:rFonts w:ascii="Times New Roman" w:hAnsi="Times New Roman" w:cs="Times New Roman"/>
          <w:lang w:val="sk-SK"/>
        </w:rPr>
        <w:t>. Gefitinib</w:t>
      </w:r>
      <w:r w:rsidR="00115173">
        <w:rPr>
          <w:rFonts w:ascii="Times New Roman" w:hAnsi="Times New Roman" w:cs="Times New Roman"/>
          <w:lang w:val="sk-SK"/>
        </w:rPr>
        <w:t xml:space="preserve"> plus</w:t>
      </w:r>
      <w:r>
        <w:rPr>
          <w:rFonts w:ascii="Times New Roman" w:hAnsi="Times New Roman" w:cs="Times New Roman"/>
          <w:lang w:val="sk-SK"/>
        </w:rPr>
        <w:t> najlepšia podporn</w:t>
      </w:r>
      <w:r w:rsidR="00115173">
        <w:rPr>
          <w:rFonts w:ascii="Times New Roman" w:hAnsi="Times New Roman" w:cs="Times New Roman"/>
          <w:lang w:val="sk-SK"/>
        </w:rPr>
        <w:t xml:space="preserve">á starostlivosť boli porovnávané s placebom </w:t>
      </w:r>
      <w:r w:rsidR="00444697" w:rsidRPr="00041C3D">
        <w:rPr>
          <w:rFonts w:ascii="Times New Roman" w:hAnsi="Times New Roman" w:cs="Times New Roman"/>
          <w:lang w:val="sk-SK"/>
        </w:rPr>
        <w:t xml:space="preserve">plus </w:t>
      </w:r>
      <w:r w:rsidR="00115173">
        <w:rPr>
          <w:rFonts w:ascii="Times New Roman" w:hAnsi="Times New Roman" w:cs="Times New Roman"/>
          <w:lang w:val="sk-SK"/>
        </w:rPr>
        <w:t>najlepšou podpornou starostlivosťou</w:t>
      </w:r>
      <w:r w:rsidR="00444697" w:rsidRPr="00041C3D">
        <w:rPr>
          <w:rFonts w:ascii="Times New Roman" w:hAnsi="Times New Roman" w:cs="Times New Roman"/>
          <w:lang w:val="sk-SK"/>
        </w:rPr>
        <w:t xml:space="preserve">. Gefitinib </w:t>
      </w:r>
      <w:r w:rsidR="00115173">
        <w:rPr>
          <w:rFonts w:ascii="Times New Roman" w:hAnsi="Times New Roman" w:cs="Times New Roman"/>
          <w:lang w:val="sk-SK"/>
        </w:rPr>
        <w:t>nepredĺžil prežívanie v celkovej populácii. Výsledky prežívania sa líšili v závislosti od fajčenia a rasovej príslušnosti (pozri tabuľku</w:t>
      </w:r>
      <w:r w:rsidR="00444697" w:rsidRPr="00041C3D">
        <w:rPr>
          <w:rFonts w:ascii="Times New Roman" w:hAnsi="Times New Roman" w:cs="Times New Roman"/>
          <w:lang w:val="sk-SK"/>
        </w:rPr>
        <w:t> 6).</w:t>
      </w:r>
    </w:p>
    <w:p w14:paraId="1EEBA0A5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02"/>
        <w:gridCol w:w="1397"/>
        <w:gridCol w:w="1928"/>
        <w:gridCol w:w="2041"/>
        <w:gridCol w:w="2018"/>
      </w:tblGrid>
      <w:tr w:rsidR="00444697" w:rsidRPr="00041C3D" w14:paraId="1EEBA0A7" w14:textId="77777777" w:rsidTr="009C4113">
        <w:trPr>
          <w:tblHeader/>
        </w:trPr>
        <w:tc>
          <w:tcPr>
            <w:tcW w:w="954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EBA0A6" w14:textId="1989A6AE" w:rsidR="00444697" w:rsidRPr="00041C3D" w:rsidRDefault="007E1C65" w:rsidP="007E1C65">
            <w:pPr>
              <w:keepNext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lang w:val="sk-SK"/>
              </w:rPr>
              <w:lastRenderedPageBreak/>
              <w:t>Tabuľka</w:t>
            </w:r>
            <w:r w:rsidR="00444697" w:rsidRPr="00041C3D">
              <w:rPr>
                <w:rFonts w:ascii="Times New Roman" w:hAnsi="Times New Roman" w:cs="Times New Roman"/>
                <w:b/>
                <w:bCs/>
                <w:lang w:val="sk-SK"/>
              </w:rPr>
              <w:t xml:space="preserve"> 6 </w:t>
            </w:r>
            <w:r>
              <w:rPr>
                <w:rFonts w:ascii="Times New Roman" w:hAnsi="Times New Roman" w:cs="Times New Roman"/>
                <w:b/>
                <w:bCs/>
                <w:lang w:val="sk-SK"/>
              </w:rPr>
              <w:t>Výsledky účinnosti pre gefitinib verz</w:t>
            </w:r>
            <w:r w:rsidR="00444697" w:rsidRPr="00041C3D">
              <w:rPr>
                <w:rFonts w:ascii="Times New Roman" w:hAnsi="Times New Roman" w:cs="Times New Roman"/>
                <w:b/>
                <w:bCs/>
                <w:lang w:val="sk-SK"/>
              </w:rPr>
              <w:t>us placebo</w:t>
            </w:r>
            <w:r>
              <w:rPr>
                <w:rFonts w:ascii="Times New Roman" w:hAnsi="Times New Roman" w:cs="Times New Roman"/>
                <w:b/>
                <w:bCs/>
                <w:lang w:val="sk-SK"/>
              </w:rPr>
              <w:t xml:space="preserve"> zo štúdie </w:t>
            </w:r>
            <w:r w:rsidR="00444697" w:rsidRPr="00041C3D">
              <w:rPr>
                <w:rFonts w:ascii="Times New Roman" w:hAnsi="Times New Roman" w:cs="Times New Roman"/>
                <w:b/>
                <w:bCs/>
                <w:lang w:val="sk-SK"/>
              </w:rPr>
              <w:t>ISEL</w:t>
            </w:r>
          </w:p>
        </w:tc>
      </w:tr>
      <w:tr w:rsidR="007E1C65" w:rsidRPr="00041C3D" w14:paraId="1EEBA0B4" w14:textId="77777777" w:rsidTr="009C4113">
        <w:trPr>
          <w:tblHeader/>
        </w:trPr>
        <w:tc>
          <w:tcPr>
            <w:tcW w:w="19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EBA0A8" w14:textId="2A4AC949" w:rsidR="00444697" w:rsidRPr="00041C3D" w:rsidRDefault="007E1C65">
            <w:pPr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Populácia</w:t>
            </w:r>
          </w:p>
        </w:tc>
        <w:tc>
          <w:tcPr>
            <w:tcW w:w="14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EBA0A9" w14:textId="77777777" w:rsidR="00444697" w:rsidRPr="00041C3D" w:rsidRDefault="00444697">
            <w:pPr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041C3D">
              <w:rPr>
                <w:rFonts w:ascii="Times New Roman" w:hAnsi="Times New Roman" w:cs="Times New Roman"/>
                <w:b/>
                <w:lang w:val="sk-SK"/>
              </w:rPr>
              <w:t>N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EBA0AB" w14:textId="2814D43A" w:rsidR="00444697" w:rsidRPr="00041C3D" w:rsidRDefault="007E1C65" w:rsidP="007E1C65">
            <w:pPr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Miera objektívnej odpovede</w:t>
            </w:r>
          </w:p>
          <w:p w14:paraId="1EEBA0AF" w14:textId="2F55558E" w:rsidR="00444697" w:rsidRPr="00041C3D" w:rsidRDefault="007E1C65" w:rsidP="007E1C65">
            <w:pPr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a </w:t>
            </w:r>
            <w:r w:rsidR="00444697" w:rsidRPr="00041C3D">
              <w:rPr>
                <w:rFonts w:ascii="Times New Roman" w:hAnsi="Times New Roman" w:cs="Times New Roman"/>
                <w:b/>
                <w:lang w:val="sk-SK"/>
              </w:rPr>
              <w:t>95</w:t>
            </w:r>
            <w:r>
              <w:rPr>
                <w:rFonts w:ascii="Times New Roman" w:hAnsi="Times New Roman" w:cs="Times New Roman"/>
                <w:b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b/>
                <w:lang w:val="sk-SK"/>
              </w:rPr>
              <w:t>% I</w:t>
            </w:r>
            <w:r w:rsidR="00206EBF">
              <w:rPr>
                <w:rFonts w:ascii="Times New Roman" w:hAnsi="Times New Roman" w:cs="Times New Roman"/>
                <w:b/>
                <w:lang w:val="sk-SK"/>
              </w:rPr>
              <w:t>S</w:t>
            </w:r>
            <w:r w:rsidR="00444697" w:rsidRPr="00041C3D">
              <w:rPr>
                <w:rFonts w:ascii="Times New Roman" w:hAnsi="Times New Roman" w:cs="Times New Roman"/>
                <w:b/>
                <w:lang w:val="sk-SK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k-SK"/>
              </w:rPr>
              <w:t>pre rozdiel medzi liečbami</w:t>
            </w:r>
            <w:r w:rsidR="00444697" w:rsidRPr="00041C3D">
              <w:rPr>
                <w:rFonts w:ascii="Times New Roman" w:hAnsi="Times New Roman" w:cs="Times New Roman"/>
                <w:b/>
                <w:vertAlign w:val="superscript"/>
                <w:lang w:val="sk-SK"/>
              </w:rPr>
              <w:t>a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EBA0B0" w14:textId="278EC76C" w:rsidR="00444697" w:rsidRPr="00041C3D" w:rsidRDefault="007E1C65">
            <w:pPr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Doba do zlyhania liečby</w:t>
            </w:r>
            <w:r w:rsidR="00444697" w:rsidRPr="00041C3D">
              <w:rPr>
                <w:rFonts w:ascii="Times New Roman" w:hAnsi="Times New Roman" w:cs="Times New Roman"/>
                <w:b/>
                <w:vertAlign w:val="superscript"/>
                <w:lang w:val="sk-SK"/>
              </w:rPr>
              <w:t>a,b</w:t>
            </w:r>
          </w:p>
        </w:tc>
        <w:tc>
          <w:tcPr>
            <w:tcW w:w="20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EBA0B3" w14:textId="77BFE80C" w:rsidR="00444697" w:rsidRPr="00041C3D" w:rsidRDefault="007E1C65" w:rsidP="007E1C65">
            <w:pPr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Primárny cieľ</w:t>
            </w:r>
            <w:r w:rsidR="00206EBF">
              <w:rPr>
                <w:rFonts w:ascii="Times New Roman" w:hAnsi="Times New Roman" w:cs="Times New Roman"/>
                <w:b/>
                <w:lang w:val="sk-SK"/>
              </w:rPr>
              <w:t>ový ukazovateľ</w:t>
            </w:r>
            <w:r>
              <w:rPr>
                <w:rFonts w:ascii="Times New Roman" w:hAnsi="Times New Roman" w:cs="Times New Roman"/>
                <w:b/>
                <w:lang w:val="sk-SK"/>
              </w:rPr>
              <w:t xml:space="preserve"> </w:t>
            </w:r>
            <w:r w:rsidR="00206EBF">
              <w:rPr>
                <w:rFonts w:ascii="Times New Roman" w:hAnsi="Times New Roman" w:cs="Times New Roman"/>
                <w:b/>
                <w:lang w:val="sk-SK"/>
              </w:rPr>
              <w:t>C</w:t>
            </w:r>
            <w:r>
              <w:rPr>
                <w:rFonts w:ascii="Times New Roman" w:hAnsi="Times New Roman" w:cs="Times New Roman"/>
                <w:b/>
                <w:lang w:val="sk-SK"/>
              </w:rPr>
              <w:t>elkové prežívanie</w:t>
            </w:r>
            <w:r w:rsidR="00444697" w:rsidRPr="00041C3D">
              <w:rPr>
                <w:rFonts w:ascii="Times New Roman" w:hAnsi="Times New Roman" w:cs="Times New Roman"/>
                <w:b/>
                <w:vertAlign w:val="superscript"/>
                <w:lang w:val="sk-SK"/>
              </w:rPr>
              <w:t>a,b,c</w:t>
            </w:r>
          </w:p>
        </w:tc>
      </w:tr>
      <w:tr w:rsidR="007E1C65" w:rsidRPr="00041C3D" w14:paraId="1EEBA0C1" w14:textId="77777777" w:rsidTr="009C4113">
        <w:trPr>
          <w:tblHeader/>
        </w:trPr>
        <w:tc>
          <w:tcPr>
            <w:tcW w:w="1908" w:type="dxa"/>
            <w:tcBorders>
              <w:top w:val="single" w:sz="12" w:space="0" w:color="auto"/>
              <w:left w:val="nil"/>
              <w:right w:val="nil"/>
            </w:tcBorders>
          </w:tcPr>
          <w:p w14:paraId="1EEBA0B5" w14:textId="6A91131B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Celková</w:t>
            </w:r>
          </w:p>
        </w:tc>
        <w:tc>
          <w:tcPr>
            <w:tcW w:w="1461" w:type="dxa"/>
            <w:tcBorders>
              <w:top w:val="single" w:sz="12" w:space="0" w:color="auto"/>
              <w:left w:val="nil"/>
              <w:right w:val="nil"/>
            </w:tcBorders>
          </w:tcPr>
          <w:p w14:paraId="1EEBA0B6" w14:textId="77777777" w:rsidR="00444697" w:rsidRPr="00041C3D" w:rsidRDefault="00444697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041C3D">
              <w:rPr>
                <w:rFonts w:ascii="Times New Roman" w:hAnsi="Times New Roman" w:cs="Times New Roman"/>
                <w:lang w:val="sk-SK"/>
              </w:rPr>
              <w:t>1692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right w:val="nil"/>
            </w:tcBorders>
          </w:tcPr>
          <w:p w14:paraId="1EEBA0B7" w14:textId="2BBB224E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8,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</w:t>
            </w:r>
            <w:r>
              <w:rPr>
                <w:rFonts w:ascii="Times New Roman" w:hAnsi="Times New Roman" w:cs="Times New Roman"/>
                <w:lang w:val="sk-SK"/>
              </w:rPr>
              <w:t> % vs 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3</w:t>
            </w:r>
            <w:r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</w:t>
            </w:r>
          </w:p>
          <w:p w14:paraId="1EEBA0B8" w14:textId="5DB29172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[4,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7</w:t>
            </w:r>
            <w:r>
              <w:rPr>
                <w:rFonts w:ascii="Times New Roman" w:hAnsi="Times New Roman" w:cs="Times New Roman"/>
                <w:lang w:val="sk-SK"/>
              </w:rPr>
              <w:t> %; 8,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8</w:t>
            </w:r>
            <w:r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%]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nil"/>
            </w:tcBorders>
          </w:tcPr>
          <w:p w14:paraId="1EEBA0B9" w14:textId="55111976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82</w:t>
            </w:r>
          </w:p>
          <w:p w14:paraId="1EEBA0BA" w14:textId="65AA0F3C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[0,73; 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92]</w:t>
            </w:r>
          </w:p>
          <w:p w14:paraId="1EEBA0BB" w14:textId="100C9E5E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3,0 m vs 2,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6 m</w:t>
            </w:r>
          </w:p>
          <w:p w14:paraId="1EEBA0BC" w14:textId="469106F6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p=0,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0006</w:t>
            </w:r>
          </w:p>
        </w:tc>
        <w:tc>
          <w:tcPr>
            <w:tcW w:w="2065" w:type="dxa"/>
            <w:tcBorders>
              <w:top w:val="single" w:sz="12" w:space="0" w:color="auto"/>
              <w:left w:val="nil"/>
              <w:right w:val="nil"/>
            </w:tcBorders>
          </w:tcPr>
          <w:p w14:paraId="1EEBA0BD" w14:textId="03D7C2B7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89</w:t>
            </w:r>
          </w:p>
          <w:p w14:paraId="1EEBA0BE" w14:textId="69230802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[0,77;1,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02]</w:t>
            </w:r>
          </w:p>
          <w:p w14:paraId="1EEBA0BF" w14:textId="447B1CB8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5,6 m vs 5,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1 m</w:t>
            </w:r>
          </w:p>
          <w:p w14:paraId="1EEBA0C0" w14:textId="22FDE02D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p=0,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0871</w:t>
            </w:r>
          </w:p>
        </w:tc>
      </w:tr>
      <w:tr w:rsidR="007E1C65" w:rsidRPr="00041C3D" w14:paraId="1EEBA0CD" w14:textId="77777777" w:rsidTr="009C4113">
        <w:trPr>
          <w:tblHeader/>
        </w:trPr>
        <w:tc>
          <w:tcPr>
            <w:tcW w:w="1908" w:type="dxa"/>
            <w:tcBorders>
              <w:left w:val="nil"/>
              <w:right w:val="nil"/>
            </w:tcBorders>
          </w:tcPr>
          <w:p w14:paraId="1EEBA0C2" w14:textId="73C16D43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Mutácia EGFR </w:t>
            </w:r>
            <w:r>
              <w:rPr>
                <w:rFonts w:ascii="Times New Roman" w:hAnsi="Times New Roman" w:cs="Times New Roman"/>
                <w:lang w:val="sk-SK"/>
              </w:rPr>
              <w:noBreakHyphen/>
              <w:t>pozitívna</w:t>
            </w:r>
          </w:p>
        </w:tc>
        <w:tc>
          <w:tcPr>
            <w:tcW w:w="1461" w:type="dxa"/>
            <w:tcBorders>
              <w:left w:val="nil"/>
              <w:right w:val="nil"/>
            </w:tcBorders>
          </w:tcPr>
          <w:p w14:paraId="1EEBA0C3" w14:textId="77777777" w:rsidR="00444697" w:rsidRPr="00041C3D" w:rsidRDefault="00444697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041C3D">
              <w:rPr>
                <w:rFonts w:ascii="Times New Roman" w:hAnsi="Times New Roman" w:cs="Times New Roman"/>
                <w:lang w:val="sk-SK"/>
              </w:rPr>
              <w:t>26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1EEBA0C4" w14:textId="2A3C833D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37,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5</w:t>
            </w:r>
            <w:r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 vs 0%</w:t>
            </w:r>
          </w:p>
          <w:p w14:paraId="1EEBA0C5" w14:textId="36926375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[-15,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1</w:t>
            </w:r>
            <w:r>
              <w:rPr>
                <w:rFonts w:ascii="Times New Roman" w:hAnsi="Times New Roman" w:cs="Times New Roman"/>
                <w:lang w:val="sk-SK"/>
              </w:rPr>
              <w:t> %; 61,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4</w:t>
            </w:r>
            <w:r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%]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1EEBA0C6" w14:textId="61C9E08D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79</w:t>
            </w:r>
          </w:p>
          <w:p w14:paraId="1EEBA0C7" w14:textId="3A93C833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[0,20; 3,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12]</w:t>
            </w:r>
          </w:p>
          <w:p w14:paraId="1EEBA0C8" w14:textId="5577E295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10,8 m vs 3,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8 m</w:t>
            </w:r>
          </w:p>
          <w:p w14:paraId="1EEBA0C9" w14:textId="1E4C99DF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p=0,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7382</w:t>
            </w:r>
          </w:p>
        </w:tc>
        <w:tc>
          <w:tcPr>
            <w:tcW w:w="2065" w:type="dxa"/>
            <w:tcBorders>
              <w:left w:val="nil"/>
              <w:right w:val="nil"/>
            </w:tcBorders>
          </w:tcPr>
          <w:p w14:paraId="1EEBA0CA" w14:textId="77777777" w:rsidR="00444697" w:rsidRPr="00041C3D" w:rsidRDefault="00444697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041C3D">
              <w:rPr>
                <w:rFonts w:ascii="Times New Roman" w:hAnsi="Times New Roman" w:cs="Times New Roman"/>
                <w:lang w:val="sk-SK"/>
              </w:rPr>
              <w:t>HR NC</w:t>
            </w:r>
          </w:p>
          <w:p w14:paraId="1EEBA0CB" w14:textId="77777777" w:rsidR="00444697" w:rsidRPr="00041C3D" w:rsidRDefault="00444697">
            <w:pPr>
              <w:jc w:val="center"/>
              <w:rPr>
                <w:rFonts w:ascii="Times New Roman" w:hAnsi="Times New Roman" w:cs="Times New Roman"/>
                <w:lang w:val="sk-SK"/>
              </w:rPr>
            </w:pPr>
          </w:p>
          <w:p w14:paraId="1EEBA0CC" w14:textId="1A7C25E8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NR vs 4,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3 m</w:t>
            </w:r>
          </w:p>
        </w:tc>
      </w:tr>
      <w:tr w:rsidR="007E1C65" w:rsidRPr="00041C3D" w14:paraId="1EEBA0DA" w14:textId="77777777" w:rsidTr="009C4113">
        <w:trPr>
          <w:tblHeader/>
        </w:trPr>
        <w:tc>
          <w:tcPr>
            <w:tcW w:w="1908" w:type="dxa"/>
            <w:tcBorders>
              <w:left w:val="nil"/>
              <w:right w:val="nil"/>
            </w:tcBorders>
          </w:tcPr>
          <w:p w14:paraId="1EEBA0CE" w14:textId="3E73A972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Mutácia EGFR </w:t>
            </w:r>
            <w:r>
              <w:rPr>
                <w:rFonts w:ascii="Times New Roman" w:hAnsi="Times New Roman" w:cs="Times New Roman"/>
                <w:lang w:val="sk-SK"/>
              </w:rPr>
              <w:noBreakHyphen/>
              <w:t xml:space="preserve"> negatívna</w:t>
            </w:r>
          </w:p>
        </w:tc>
        <w:tc>
          <w:tcPr>
            <w:tcW w:w="1461" w:type="dxa"/>
            <w:tcBorders>
              <w:left w:val="nil"/>
              <w:right w:val="nil"/>
            </w:tcBorders>
          </w:tcPr>
          <w:p w14:paraId="1EEBA0CF" w14:textId="77777777" w:rsidR="00444697" w:rsidRPr="00041C3D" w:rsidRDefault="00444697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041C3D">
              <w:rPr>
                <w:rFonts w:ascii="Times New Roman" w:hAnsi="Times New Roman" w:cs="Times New Roman"/>
                <w:lang w:val="sk-SK"/>
              </w:rPr>
              <w:t>189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1EEBA0D0" w14:textId="4E2F73D5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2,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6</w:t>
            </w:r>
            <w:r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 vs 0%</w:t>
            </w:r>
          </w:p>
          <w:p w14:paraId="1EEBA0D1" w14:textId="34BF7E06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[-5,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6</w:t>
            </w:r>
            <w:r>
              <w:rPr>
                <w:rFonts w:ascii="Times New Roman" w:hAnsi="Times New Roman" w:cs="Times New Roman"/>
                <w:lang w:val="sk-SK"/>
              </w:rPr>
              <w:t> %; 7,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3</w:t>
            </w:r>
            <w:r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%]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1EEBA0D2" w14:textId="375B358E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10</w:t>
            </w:r>
          </w:p>
          <w:p w14:paraId="1EEBA0D3" w14:textId="1AF3D094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[0,78; 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56]</w:t>
            </w:r>
          </w:p>
          <w:p w14:paraId="1EEBA0D4" w14:textId="53050358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2,0 m vs 2,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6 m</w:t>
            </w:r>
          </w:p>
          <w:p w14:paraId="1EEBA0D5" w14:textId="591788D6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p=0,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5771</w:t>
            </w:r>
          </w:p>
        </w:tc>
        <w:tc>
          <w:tcPr>
            <w:tcW w:w="2065" w:type="dxa"/>
            <w:tcBorders>
              <w:left w:val="nil"/>
              <w:right w:val="nil"/>
            </w:tcBorders>
          </w:tcPr>
          <w:p w14:paraId="1EEBA0D6" w14:textId="7400D56C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16</w:t>
            </w:r>
          </w:p>
          <w:p w14:paraId="1EEBA0D7" w14:textId="36476DE6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[0,79; 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72]</w:t>
            </w:r>
          </w:p>
          <w:p w14:paraId="1EEBA0D8" w14:textId="542D2DA5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3,7 m vs 5,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9 m</w:t>
            </w:r>
          </w:p>
          <w:p w14:paraId="1EEBA0D9" w14:textId="19228EB7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p=0,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4449</w:t>
            </w:r>
          </w:p>
        </w:tc>
      </w:tr>
      <w:tr w:rsidR="007E1C65" w:rsidRPr="00041C3D" w14:paraId="1EEBA0E7" w14:textId="77777777" w:rsidTr="009C4113">
        <w:trPr>
          <w:tblHeader/>
        </w:trPr>
        <w:tc>
          <w:tcPr>
            <w:tcW w:w="1908" w:type="dxa"/>
            <w:tcBorders>
              <w:left w:val="nil"/>
              <w:right w:val="nil"/>
            </w:tcBorders>
          </w:tcPr>
          <w:p w14:paraId="1EEBA0DB" w14:textId="0621720A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Nefajčiari</w:t>
            </w:r>
          </w:p>
        </w:tc>
        <w:tc>
          <w:tcPr>
            <w:tcW w:w="1461" w:type="dxa"/>
            <w:tcBorders>
              <w:left w:val="nil"/>
              <w:right w:val="nil"/>
            </w:tcBorders>
          </w:tcPr>
          <w:p w14:paraId="1EEBA0DC" w14:textId="77777777" w:rsidR="00444697" w:rsidRPr="00041C3D" w:rsidRDefault="00444697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041C3D">
              <w:rPr>
                <w:rFonts w:ascii="Times New Roman" w:hAnsi="Times New Roman" w:cs="Times New Roman"/>
                <w:lang w:val="sk-SK"/>
              </w:rPr>
              <w:t>375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1EEBA0DD" w14:textId="38B51105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18,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1</w:t>
            </w:r>
            <w:r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 vs 0%</w:t>
            </w:r>
          </w:p>
          <w:p w14:paraId="1EEBA0DE" w14:textId="5C6E5B1D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[12,3 %; 24,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0 %]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1EEBA0DF" w14:textId="0CB68953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55</w:t>
            </w:r>
          </w:p>
          <w:p w14:paraId="1EEBA0E0" w14:textId="7D0341BE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[0,42, 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72]</w:t>
            </w:r>
          </w:p>
          <w:p w14:paraId="1EEBA0E1" w14:textId="2824C1C7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5,6 m vs 2,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8 m</w:t>
            </w:r>
          </w:p>
          <w:p w14:paraId="1EEBA0E2" w14:textId="502F77E9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p&lt;0,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0001</w:t>
            </w:r>
          </w:p>
        </w:tc>
        <w:tc>
          <w:tcPr>
            <w:tcW w:w="2065" w:type="dxa"/>
            <w:tcBorders>
              <w:left w:val="nil"/>
              <w:right w:val="nil"/>
            </w:tcBorders>
          </w:tcPr>
          <w:p w14:paraId="1EEBA0E3" w14:textId="13D1F6FF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67</w:t>
            </w:r>
          </w:p>
          <w:p w14:paraId="1EEBA0E4" w14:textId="49F63092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[0,49; 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92]</w:t>
            </w:r>
          </w:p>
          <w:p w14:paraId="1EEBA0E5" w14:textId="55A4C8BD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8,9 m vs 6,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1 m</w:t>
            </w:r>
          </w:p>
          <w:p w14:paraId="1EEBA0E6" w14:textId="2A1CBC9D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p=0,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0124</w:t>
            </w:r>
          </w:p>
        </w:tc>
      </w:tr>
      <w:tr w:rsidR="007E1C65" w:rsidRPr="00041C3D" w14:paraId="1EEBA0F4" w14:textId="77777777" w:rsidTr="009C4113">
        <w:trPr>
          <w:tblHeader/>
        </w:trPr>
        <w:tc>
          <w:tcPr>
            <w:tcW w:w="1908" w:type="dxa"/>
            <w:tcBorders>
              <w:left w:val="nil"/>
              <w:right w:val="nil"/>
            </w:tcBorders>
          </w:tcPr>
          <w:p w14:paraId="1EEBA0E8" w14:textId="18360ECC" w:rsidR="00444697" w:rsidRPr="00041C3D" w:rsidRDefault="00206EBF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F</w:t>
            </w:r>
            <w:r w:rsidR="00BB018B">
              <w:rPr>
                <w:rFonts w:ascii="Times New Roman" w:hAnsi="Times New Roman" w:cs="Times New Roman"/>
                <w:lang w:val="sk-SK"/>
              </w:rPr>
              <w:t>ajčiari</w:t>
            </w:r>
          </w:p>
        </w:tc>
        <w:tc>
          <w:tcPr>
            <w:tcW w:w="1461" w:type="dxa"/>
            <w:tcBorders>
              <w:left w:val="nil"/>
              <w:right w:val="nil"/>
            </w:tcBorders>
          </w:tcPr>
          <w:p w14:paraId="1EEBA0E9" w14:textId="77777777" w:rsidR="00444697" w:rsidRPr="00041C3D" w:rsidRDefault="00444697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041C3D">
              <w:rPr>
                <w:rFonts w:ascii="Times New Roman" w:hAnsi="Times New Roman" w:cs="Times New Roman"/>
                <w:lang w:val="sk-SK"/>
              </w:rPr>
              <w:t>1317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1EEBA0EA" w14:textId="0D00E32B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5,3 % vs 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6</w:t>
            </w:r>
            <w:r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</w:t>
            </w:r>
          </w:p>
          <w:p w14:paraId="1EEBA0EB" w14:textId="1D0E5D5F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4</w:t>
            </w:r>
            <w:r>
              <w:rPr>
                <w:rFonts w:ascii="Times New Roman" w:hAnsi="Times New Roman" w:cs="Times New Roman"/>
                <w:lang w:val="sk-SK"/>
              </w:rPr>
              <w:t> %; 5,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7</w:t>
            </w:r>
            <w:r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%]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1EEBA0EC" w14:textId="00700C5B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89</w:t>
            </w:r>
          </w:p>
          <w:p w14:paraId="1EEBA0ED" w14:textId="772F290D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[0,78; 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01]</w:t>
            </w:r>
          </w:p>
          <w:p w14:paraId="1EEBA0EE" w14:textId="3668AD3B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2,7 m vs 2,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6 m</w:t>
            </w:r>
          </w:p>
          <w:p w14:paraId="1EEBA0EF" w14:textId="550751B7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p=0,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0707</w:t>
            </w:r>
          </w:p>
        </w:tc>
        <w:tc>
          <w:tcPr>
            <w:tcW w:w="2065" w:type="dxa"/>
            <w:tcBorders>
              <w:left w:val="nil"/>
              <w:right w:val="nil"/>
            </w:tcBorders>
          </w:tcPr>
          <w:p w14:paraId="1EEBA0F0" w14:textId="4220BAAB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92</w:t>
            </w:r>
          </w:p>
          <w:p w14:paraId="1EEBA0F1" w14:textId="44F7CE3D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[0,79; 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06]</w:t>
            </w:r>
          </w:p>
          <w:p w14:paraId="1EEBA0F2" w14:textId="526E6389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5,0 m vs 4,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9 m</w:t>
            </w:r>
          </w:p>
          <w:p w14:paraId="1EEBA0F3" w14:textId="2B5A8A26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p=0,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2420</w:t>
            </w:r>
          </w:p>
        </w:tc>
      </w:tr>
      <w:tr w:rsidR="007E1C65" w:rsidRPr="00041C3D" w14:paraId="1EEBA101" w14:textId="77777777" w:rsidTr="009C4113">
        <w:trPr>
          <w:tblHeader/>
        </w:trPr>
        <w:tc>
          <w:tcPr>
            <w:tcW w:w="1908" w:type="dxa"/>
            <w:tcBorders>
              <w:left w:val="nil"/>
              <w:bottom w:val="single" w:sz="4" w:space="0" w:color="auto"/>
              <w:right w:val="nil"/>
            </w:tcBorders>
          </w:tcPr>
          <w:p w14:paraId="1EEBA0F5" w14:textId="659AE964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Ázijská </w:t>
            </w:r>
            <w:r w:rsidR="00BB018B">
              <w:rPr>
                <w:rFonts w:ascii="Times New Roman" w:hAnsi="Times New Roman" w:cs="Times New Roman"/>
                <w:lang w:val="sk-SK"/>
              </w:rPr>
              <w:t>populácia</w:t>
            </w:r>
          </w:p>
        </w:tc>
        <w:tc>
          <w:tcPr>
            <w:tcW w:w="1461" w:type="dxa"/>
            <w:tcBorders>
              <w:left w:val="nil"/>
              <w:bottom w:val="single" w:sz="4" w:space="0" w:color="auto"/>
              <w:right w:val="nil"/>
            </w:tcBorders>
          </w:tcPr>
          <w:p w14:paraId="1EEBA0F6" w14:textId="77777777" w:rsidR="00444697" w:rsidRPr="00041C3D" w:rsidRDefault="00444697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041C3D">
              <w:rPr>
                <w:rFonts w:ascii="Times New Roman" w:hAnsi="Times New Roman" w:cs="Times New Roman"/>
                <w:lang w:val="sk-SK"/>
              </w:rPr>
              <w:t>342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1EEBA0F7" w14:textId="5A12D374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12,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4</w:t>
            </w:r>
            <w:r>
              <w:rPr>
                <w:rFonts w:ascii="Times New Roman" w:hAnsi="Times New Roman" w:cs="Times New Roman"/>
                <w:lang w:val="sk-SK"/>
              </w:rPr>
              <w:t> % vs 2,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1</w:t>
            </w:r>
            <w:r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</w:t>
            </w:r>
          </w:p>
          <w:p w14:paraId="1EEBA0F8" w14:textId="3E3CC560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[4,0 %; 15,8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%]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1EEBA0F9" w14:textId="76E1C2B8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69</w:t>
            </w:r>
          </w:p>
          <w:p w14:paraId="1EEBA0FA" w14:textId="1B45C4FA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[0,52; 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91]</w:t>
            </w:r>
          </w:p>
          <w:p w14:paraId="1EEBA0FB" w14:textId="612AD338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4,4 m vs 2,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2 m</w:t>
            </w:r>
          </w:p>
          <w:p w14:paraId="1EEBA0FC" w14:textId="36348FF6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p=0,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0084</w:t>
            </w:r>
          </w:p>
        </w:tc>
        <w:tc>
          <w:tcPr>
            <w:tcW w:w="2065" w:type="dxa"/>
            <w:tcBorders>
              <w:left w:val="nil"/>
              <w:bottom w:val="single" w:sz="4" w:space="0" w:color="auto"/>
              <w:right w:val="nil"/>
            </w:tcBorders>
          </w:tcPr>
          <w:p w14:paraId="1EEBA0FD" w14:textId="707FB34A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66</w:t>
            </w:r>
          </w:p>
          <w:p w14:paraId="1EEBA0FE" w14:textId="102DD54B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[0,48; 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91]</w:t>
            </w:r>
          </w:p>
          <w:p w14:paraId="1EEBA0FF" w14:textId="2F520D54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9,5 m vs 5,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5 m</w:t>
            </w:r>
          </w:p>
          <w:p w14:paraId="1EEBA100" w14:textId="68D44831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p=0,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0100</w:t>
            </w:r>
          </w:p>
        </w:tc>
      </w:tr>
      <w:tr w:rsidR="007E1C65" w:rsidRPr="00041C3D" w14:paraId="1EEBA10E" w14:textId="77777777" w:rsidTr="009C4113">
        <w:trPr>
          <w:tblHeader/>
        </w:trPr>
        <w:tc>
          <w:tcPr>
            <w:tcW w:w="1908" w:type="dxa"/>
            <w:tcBorders>
              <w:left w:val="nil"/>
              <w:bottom w:val="single" w:sz="12" w:space="0" w:color="auto"/>
              <w:right w:val="nil"/>
            </w:tcBorders>
          </w:tcPr>
          <w:p w14:paraId="1EEBA102" w14:textId="5A04EF7F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Neázijská populácia</w:t>
            </w:r>
          </w:p>
        </w:tc>
        <w:tc>
          <w:tcPr>
            <w:tcW w:w="1461" w:type="dxa"/>
            <w:tcBorders>
              <w:left w:val="nil"/>
              <w:bottom w:val="single" w:sz="12" w:space="0" w:color="auto"/>
              <w:right w:val="nil"/>
            </w:tcBorders>
          </w:tcPr>
          <w:p w14:paraId="1EEBA103" w14:textId="77777777" w:rsidR="00444697" w:rsidRPr="00041C3D" w:rsidRDefault="00444697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041C3D">
              <w:rPr>
                <w:rFonts w:ascii="Times New Roman" w:hAnsi="Times New Roman" w:cs="Times New Roman"/>
                <w:lang w:val="sk-SK"/>
              </w:rPr>
              <w:t>1350</w:t>
            </w:r>
          </w:p>
        </w:tc>
        <w:tc>
          <w:tcPr>
            <w:tcW w:w="1984" w:type="dxa"/>
            <w:tcBorders>
              <w:left w:val="nil"/>
              <w:bottom w:val="single" w:sz="12" w:space="0" w:color="auto"/>
              <w:right w:val="nil"/>
            </w:tcBorders>
          </w:tcPr>
          <w:p w14:paraId="1EEBA104" w14:textId="3481FA81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6,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8</w:t>
            </w:r>
            <w:r>
              <w:rPr>
                <w:rFonts w:ascii="Times New Roman" w:hAnsi="Times New Roman" w:cs="Times New Roman"/>
                <w:lang w:val="sk-SK"/>
              </w:rPr>
              <w:t> % vs 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</w:t>
            </w:r>
            <w:r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</w:t>
            </w:r>
          </w:p>
          <w:p w14:paraId="1EEBA105" w14:textId="4D687787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[3,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5</w:t>
            </w:r>
            <w:r>
              <w:rPr>
                <w:rFonts w:ascii="Times New Roman" w:hAnsi="Times New Roman" w:cs="Times New Roman"/>
                <w:lang w:val="sk-SK"/>
              </w:rPr>
              <w:t> %; 7,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9</w:t>
            </w:r>
            <w:r>
              <w:rPr>
                <w:rFonts w:ascii="Times New Roman" w:hAnsi="Times New Roman" w:cs="Times New Roman"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%]</w:t>
            </w:r>
          </w:p>
        </w:tc>
        <w:tc>
          <w:tcPr>
            <w:tcW w:w="2126" w:type="dxa"/>
            <w:tcBorders>
              <w:left w:val="nil"/>
              <w:bottom w:val="single" w:sz="12" w:space="0" w:color="auto"/>
              <w:right w:val="nil"/>
            </w:tcBorders>
          </w:tcPr>
          <w:p w14:paraId="1EEBA106" w14:textId="40D31E26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86</w:t>
            </w:r>
          </w:p>
          <w:p w14:paraId="1EEBA107" w14:textId="792C5B15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[0,76; 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98]</w:t>
            </w:r>
          </w:p>
          <w:p w14:paraId="1EEBA108" w14:textId="5D580462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2,9 m vs 2,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7 m</w:t>
            </w:r>
          </w:p>
          <w:p w14:paraId="1EEBA109" w14:textId="3641E86E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p=0,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0197</w:t>
            </w:r>
          </w:p>
        </w:tc>
        <w:tc>
          <w:tcPr>
            <w:tcW w:w="2065" w:type="dxa"/>
            <w:tcBorders>
              <w:left w:val="nil"/>
              <w:bottom w:val="single" w:sz="12" w:space="0" w:color="auto"/>
              <w:right w:val="nil"/>
            </w:tcBorders>
          </w:tcPr>
          <w:p w14:paraId="1EEBA10A" w14:textId="66269AED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HR 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92</w:t>
            </w:r>
          </w:p>
          <w:p w14:paraId="1EEBA10B" w14:textId="5A60C492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[0,80; 1,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07]</w:t>
            </w:r>
          </w:p>
          <w:p w14:paraId="1EEBA10C" w14:textId="2B7B2B30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5,2 m vs 5,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1 m</w:t>
            </w:r>
          </w:p>
          <w:p w14:paraId="1EEBA10D" w14:textId="6FD11CEE" w:rsidR="00444697" w:rsidRPr="00041C3D" w:rsidRDefault="007E1C65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p=0,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2942</w:t>
            </w:r>
          </w:p>
        </w:tc>
      </w:tr>
    </w:tbl>
    <w:p w14:paraId="1EEBA10F" w14:textId="7EDBAA99" w:rsidR="00444697" w:rsidRPr="00041C3D" w:rsidRDefault="007F6F71">
      <w:pPr>
        <w:spacing w:after="0" w:line="240" w:lineRule="auto"/>
        <w:rPr>
          <w:rFonts w:ascii="Times New Roman" w:hAnsi="Times New Roman" w:cs="Times New Roman"/>
          <w:sz w:val="20"/>
          <w:lang w:val="sk-SK"/>
        </w:rPr>
      </w:pPr>
      <w:r>
        <w:rPr>
          <w:rFonts w:ascii="Times New Roman" w:hAnsi="Times New Roman" w:cs="Times New Roman"/>
          <w:sz w:val="20"/>
          <w:lang w:val="sk-SK"/>
        </w:rPr>
        <w:t>a</w:t>
      </w:r>
      <w:r>
        <w:rPr>
          <w:rFonts w:ascii="Times New Roman" w:hAnsi="Times New Roman" w:cs="Times New Roman"/>
          <w:sz w:val="20"/>
          <w:lang w:val="sk-SK"/>
        </w:rPr>
        <w:tab/>
        <w:t>uvedené hodnoty sú pre gefitinib verzus placebo</w:t>
      </w:r>
    </w:p>
    <w:p w14:paraId="1EEBA110" w14:textId="41C0E819" w:rsidR="00444697" w:rsidRPr="00041C3D" w:rsidRDefault="007F6F71">
      <w:pPr>
        <w:spacing w:after="0" w:line="240" w:lineRule="auto"/>
        <w:rPr>
          <w:rFonts w:ascii="Times New Roman" w:hAnsi="Times New Roman" w:cs="Times New Roman"/>
          <w:sz w:val="20"/>
          <w:lang w:val="sk-SK"/>
        </w:rPr>
      </w:pPr>
      <w:r>
        <w:rPr>
          <w:rFonts w:ascii="Times New Roman" w:hAnsi="Times New Roman" w:cs="Times New Roman"/>
          <w:sz w:val="20"/>
          <w:lang w:val="sk-SK"/>
        </w:rPr>
        <w:t>b</w:t>
      </w:r>
      <w:r>
        <w:rPr>
          <w:rFonts w:ascii="Times New Roman" w:hAnsi="Times New Roman" w:cs="Times New Roman"/>
          <w:sz w:val="20"/>
          <w:lang w:val="sk-SK"/>
        </w:rPr>
        <w:tab/>
      </w:r>
      <w:r w:rsidR="00206EBF">
        <w:rPr>
          <w:rFonts w:ascii="Times New Roman" w:hAnsi="Times New Roman" w:cs="Times New Roman"/>
          <w:sz w:val="20"/>
          <w:lang w:val="sk-SK"/>
        </w:rPr>
        <w:t>„</w:t>
      </w:r>
      <w:r>
        <w:rPr>
          <w:rFonts w:ascii="Times New Roman" w:hAnsi="Times New Roman" w:cs="Times New Roman"/>
          <w:sz w:val="20"/>
          <w:lang w:val="sk-SK"/>
        </w:rPr>
        <w:t>m</w:t>
      </w:r>
      <w:r w:rsidR="00206EBF">
        <w:rPr>
          <w:rFonts w:ascii="Times New Roman" w:hAnsi="Times New Roman" w:cs="Times New Roman"/>
          <w:sz w:val="20"/>
          <w:lang w:val="sk-SK"/>
        </w:rPr>
        <w:t>“</w:t>
      </w:r>
      <w:r>
        <w:rPr>
          <w:rFonts w:ascii="Times New Roman" w:hAnsi="Times New Roman" w:cs="Times New Roman"/>
          <w:sz w:val="20"/>
          <w:lang w:val="sk-SK"/>
        </w:rPr>
        <w:t xml:space="preserve"> je medián v mesiacoch</w:t>
      </w:r>
      <w:r w:rsidR="00444697" w:rsidRPr="00041C3D">
        <w:rPr>
          <w:rFonts w:ascii="Times New Roman" w:hAnsi="Times New Roman" w:cs="Times New Roman"/>
          <w:sz w:val="20"/>
          <w:lang w:val="sk-SK"/>
        </w:rPr>
        <w:t xml:space="preserve">. </w:t>
      </w:r>
      <w:r>
        <w:rPr>
          <w:rFonts w:ascii="Times New Roman" w:hAnsi="Times New Roman" w:cs="Times New Roman"/>
          <w:sz w:val="20"/>
          <w:lang w:val="sk-SK"/>
        </w:rPr>
        <w:t xml:space="preserve">Čísla v hranatých zátvorkách sú </w:t>
      </w:r>
      <w:r w:rsidR="00444697" w:rsidRPr="00041C3D">
        <w:rPr>
          <w:rFonts w:ascii="Times New Roman" w:hAnsi="Times New Roman" w:cs="Times New Roman"/>
          <w:sz w:val="20"/>
          <w:lang w:val="sk-SK"/>
        </w:rPr>
        <w:t xml:space="preserve">95 % </w:t>
      </w:r>
      <w:r>
        <w:rPr>
          <w:rFonts w:ascii="Times New Roman" w:hAnsi="Times New Roman" w:cs="Times New Roman"/>
          <w:sz w:val="20"/>
          <w:lang w:val="sk-SK"/>
        </w:rPr>
        <w:t xml:space="preserve">interval spoľahlivosti pre </w:t>
      </w:r>
      <w:r w:rsidR="00444697" w:rsidRPr="00041C3D">
        <w:rPr>
          <w:rFonts w:ascii="Times New Roman" w:hAnsi="Times New Roman" w:cs="Times New Roman"/>
          <w:sz w:val="20"/>
          <w:lang w:val="sk-SK"/>
        </w:rPr>
        <w:t>HR</w:t>
      </w:r>
    </w:p>
    <w:p w14:paraId="1EEBA111" w14:textId="2094D6BC" w:rsidR="00444697" w:rsidRPr="00041C3D" w:rsidRDefault="00193641">
      <w:pPr>
        <w:spacing w:after="0" w:line="240" w:lineRule="auto"/>
        <w:rPr>
          <w:rFonts w:ascii="Times New Roman" w:hAnsi="Times New Roman" w:cs="Times New Roman"/>
          <w:sz w:val="20"/>
          <w:lang w:val="sk-SK"/>
        </w:rPr>
      </w:pPr>
      <w:r>
        <w:rPr>
          <w:rFonts w:ascii="Times New Roman" w:hAnsi="Times New Roman" w:cs="Times New Roman"/>
          <w:sz w:val="20"/>
          <w:lang w:val="sk-SK"/>
        </w:rPr>
        <w:t>c</w:t>
      </w:r>
      <w:r>
        <w:rPr>
          <w:rFonts w:ascii="Times New Roman" w:hAnsi="Times New Roman" w:cs="Times New Roman"/>
          <w:sz w:val="20"/>
          <w:lang w:val="sk-SK"/>
        </w:rPr>
        <w:tab/>
        <w:t>stratifikovaný</w:t>
      </w:r>
      <w:r w:rsidR="00444697" w:rsidRPr="00041C3D">
        <w:rPr>
          <w:rFonts w:ascii="Times New Roman" w:hAnsi="Times New Roman" w:cs="Times New Roman"/>
          <w:sz w:val="20"/>
          <w:lang w:val="sk-SK"/>
        </w:rPr>
        <w:t xml:space="preserve"> log-rank test </w:t>
      </w:r>
      <w:r>
        <w:rPr>
          <w:rFonts w:ascii="Times New Roman" w:hAnsi="Times New Roman" w:cs="Times New Roman"/>
          <w:sz w:val="20"/>
          <w:lang w:val="sk-SK"/>
        </w:rPr>
        <w:t xml:space="preserve">pre celkovú populáciu, inak </w:t>
      </w:r>
      <w:r w:rsidR="00206EBF">
        <w:rPr>
          <w:rFonts w:ascii="Times New Roman" w:hAnsi="Times New Roman" w:cs="Times New Roman"/>
          <w:sz w:val="20"/>
          <w:lang w:val="sk-SK"/>
        </w:rPr>
        <w:t>C</w:t>
      </w:r>
      <w:r>
        <w:rPr>
          <w:rFonts w:ascii="Times New Roman" w:hAnsi="Times New Roman" w:cs="Times New Roman"/>
          <w:sz w:val="20"/>
          <w:lang w:val="sk-SK"/>
        </w:rPr>
        <w:t>ox</w:t>
      </w:r>
      <w:r w:rsidR="00206EBF">
        <w:rPr>
          <w:rFonts w:ascii="Times New Roman" w:hAnsi="Times New Roman" w:cs="Times New Roman"/>
          <w:sz w:val="20"/>
          <w:lang w:val="sk-SK"/>
        </w:rPr>
        <w:t>ov</w:t>
      </w:r>
      <w:r>
        <w:rPr>
          <w:rFonts w:ascii="Times New Roman" w:hAnsi="Times New Roman" w:cs="Times New Roman"/>
          <w:sz w:val="20"/>
          <w:lang w:val="sk-SK"/>
        </w:rPr>
        <w:t xml:space="preserve"> model proporcionálnych rizík </w:t>
      </w:r>
    </w:p>
    <w:p w14:paraId="1EEBA112" w14:textId="5317FC88" w:rsidR="00444697" w:rsidRPr="00041C3D" w:rsidRDefault="007F6F71">
      <w:pPr>
        <w:spacing w:after="0" w:line="240" w:lineRule="auto"/>
        <w:ind w:left="705" w:hanging="705"/>
        <w:rPr>
          <w:rFonts w:ascii="Times New Roman" w:hAnsi="Times New Roman" w:cs="Times New Roman"/>
          <w:sz w:val="20"/>
          <w:lang w:val="sk-SK"/>
        </w:rPr>
      </w:pPr>
      <w:r>
        <w:rPr>
          <w:rFonts w:ascii="Times New Roman" w:hAnsi="Times New Roman" w:cs="Times New Roman"/>
          <w:sz w:val="20"/>
          <w:lang w:val="sk-SK"/>
        </w:rPr>
        <w:t>d</w:t>
      </w:r>
      <w:r>
        <w:rPr>
          <w:rFonts w:ascii="Times New Roman" w:hAnsi="Times New Roman" w:cs="Times New Roman"/>
          <w:sz w:val="20"/>
          <w:lang w:val="sk-SK"/>
        </w:rPr>
        <w:tab/>
        <w:t>Ázijská populácia s vylúčením pacientov indického pôvodu, vzťahuje sa na rasový pôvod a nie na miesto narodenia</w:t>
      </w:r>
    </w:p>
    <w:p w14:paraId="1EEBA113" w14:textId="22AE58B8" w:rsidR="00444697" w:rsidRPr="00041C3D" w:rsidRDefault="00444697">
      <w:pPr>
        <w:spacing w:after="0" w:line="240" w:lineRule="auto"/>
        <w:rPr>
          <w:rFonts w:ascii="Times New Roman" w:hAnsi="Times New Roman" w:cs="Times New Roman"/>
          <w:sz w:val="20"/>
          <w:lang w:val="sk-SK"/>
        </w:rPr>
      </w:pPr>
      <w:r w:rsidRPr="00041C3D">
        <w:rPr>
          <w:rFonts w:ascii="Times New Roman" w:hAnsi="Times New Roman" w:cs="Times New Roman"/>
          <w:sz w:val="20"/>
          <w:lang w:val="sk-SK"/>
        </w:rPr>
        <w:t>N</w:t>
      </w:r>
      <w:r w:rsidRPr="00041C3D">
        <w:rPr>
          <w:rFonts w:ascii="Times New Roman" w:hAnsi="Times New Roman" w:cs="Times New Roman"/>
          <w:sz w:val="20"/>
          <w:lang w:val="sk-SK"/>
        </w:rPr>
        <w:tab/>
      </w:r>
      <w:r w:rsidR="007F6F71">
        <w:rPr>
          <w:rFonts w:ascii="Times New Roman" w:hAnsi="Times New Roman" w:cs="Times New Roman"/>
          <w:sz w:val="20"/>
          <w:lang w:val="sk-SK"/>
        </w:rPr>
        <w:t>počet randomizovaných pacientov</w:t>
      </w:r>
    </w:p>
    <w:p w14:paraId="1EEBA114" w14:textId="6E7F1586" w:rsidR="00444697" w:rsidRPr="00041C3D" w:rsidRDefault="007F6F71">
      <w:pPr>
        <w:spacing w:after="0" w:line="240" w:lineRule="auto"/>
        <w:rPr>
          <w:rFonts w:ascii="Times New Roman" w:hAnsi="Times New Roman" w:cs="Times New Roman"/>
          <w:sz w:val="20"/>
          <w:lang w:val="sk-SK"/>
        </w:rPr>
      </w:pPr>
      <w:r>
        <w:rPr>
          <w:rFonts w:ascii="Times New Roman" w:hAnsi="Times New Roman" w:cs="Times New Roman"/>
          <w:sz w:val="20"/>
          <w:lang w:val="sk-SK"/>
        </w:rPr>
        <w:t>NC</w:t>
      </w:r>
      <w:r>
        <w:rPr>
          <w:rFonts w:ascii="Times New Roman" w:hAnsi="Times New Roman" w:cs="Times New Roman"/>
          <w:sz w:val="20"/>
          <w:lang w:val="sk-SK"/>
        </w:rPr>
        <w:tab/>
        <w:t>nebolo počítané pre celkové prežívanie</w:t>
      </w:r>
      <w:r w:rsidR="00444697" w:rsidRPr="00041C3D">
        <w:rPr>
          <w:rFonts w:ascii="Times New Roman" w:hAnsi="Times New Roman" w:cs="Times New Roman"/>
          <w:sz w:val="20"/>
          <w:lang w:val="sk-SK"/>
        </w:rPr>
        <w:t xml:space="preserve"> HR </w:t>
      </w:r>
      <w:r>
        <w:rPr>
          <w:rFonts w:ascii="Times New Roman" w:hAnsi="Times New Roman" w:cs="Times New Roman"/>
          <w:sz w:val="20"/>
          <w:lang w:val="sk-SK"/>
        </w:rPr>
        <w:t>lebo počet príhod bol príliš malý</w:t>
      </w:r>
    </w:p>
    <w:p w14:paraId="1EEBA115" w14:textId="1BEF2876" w:rsidR="00444697" w:rsidRPr="00041C3D" w:rsidRDefault="007F6F71">
      <w:pPr>
        <w:spacing w:after="0" w:line="240" w:lineRule="auto"/>
        <w:rPr>
          <w:rFonts w:ascii="Times New Roman" w:hAnsi="Times New Roman" w:cs="Times New Roman"/>
          <w:sz w:val="20"/>
          <w:lang w:val="sk-SK"/>
        </w:rPr>
      </w:pPr>
      <w:r>
        <w:rPr>
          <w:rFonts w:ascii="Times New Roman" w:hAnsi="Times New Roman" w:cs="Times New Roman"/>
          <w:sz w:val="20"/>
          <w:lang w:val="sk-SK"/>
        </w:rPr>
        <w:t>NR</w:t>
      </w:r>
      <w:r>
        <w:rPr>
          <w:rFonts w:ascii="Times New Roman" w:hAnsi="Times New Roman" w:cs="Times New Roman"/>
          <w:sz w:val="20"/>
          <w:lang w:val="sk-SK"/>
        </w:rPr>
        <w:tab/>
        <w:t>nedosiahnuté</w:t>
      </w:r>
    </w:p>
    <w:p w14:paraId="1EEBA116" w14:textId="64D1DF5B" w:rsidR="00444697" w:rsidRPr="00041C3D" w:rsidRDefault="007F6F71">
      <w:pPr>
        <w:spacing w:after="0" w:line="240" w:lineRule="auto"/>
        <w:rPr>
          <w:rFonts w:ascii="Times New Roman" w:hAnsi="Times New Roman" w:cs="Times New Roman"/>
          <w:sz w:val="20"/>
          <w:lang w:val="sk-SK"/>
        </w:rPr>
      </w:pPr>
      <w:r>
        <w:rPr>
          <w:rFonts w:ascii="Times New Roman" w:hAnsi="Times New Roman" w:cs="Times New Roman"/>
          <w:sz w:val="20"/>
          <w:lang w:val="sk-SK"/>
        </w:rPr>
        <w:t>HR</w:t>
      </w:r>
      <w:r>
        <w:rPr>
          <w:rFonts w:ascii="Times New Roman" w:hAnsi="Times New Roman" w:cs="Times New Roman"/>
          <w:sz w:val="20"/>
          <w:lang w:val="sk-SK"/>
        </w:rPr>
        <w:tab/>
        <w:t>Pomer rizika (pomer rizika</w:t>
      </w:r>
      <w:r w:rsidR="00444697" w:rsidRPr="00041C3D">
        <w:rPr>
          <w:rFonts w:ascii="Times New Roman" w:hAnsi="Times New Roman" w:cs="Times New Roman"/>
          <w:sz w:val="20"/>
          <w:lang w:val="sk-SK"/>
        </w:rPr>
        <w:t xml:space="preserve"> &lt;1 </w:t>
      </w:r>
      <w:r>
        <w:rPr>
          <w:rFonts w:ascii="Times New Roman" w:hAnsi="Times New Roman" w:cs="Times New Roman"/>
          <w:sz w:val="20"/>
          <w:lang w:val="sk-SK"/>
        </w:rPr>
        <w:t>v prospech</w:t>
      </w:r>
      <w:r w:rsidR="00444697" w:rsidRPr="00041C3D">
        <w:rPr>
          <w:rFonts w:ascii="Times New Roman" w:hAnsi="Times New Roman" w:cs="Times New Roman"/>
          <w:sz w:val="20"/>
          <w:lang w:val="sk-SK"/>
        </w:rPr>
        <w:t xml:space="preserve"> gefitinib</w:t>
      </w:r>
      <w:r>
        <w:rPr>
          <w:rFonts w:ascii="Times New Roman" w:hAnsi="Times New Roman" w:cs="Times New Roman"/>
          <w:sz w:val="20"/>
          <w:lang w:val="sk-SK"/>
        </w:rPr>
        <w:t>u</w:t>
      </w:r>
      <w:r w:rsidR="00444697" w:rsidRPr="00041C3D">
        <w:rPr>
          <w:rFonts w:ascii="Times New Roman" w:hAnsi="Times New Roman" w:cs="Times New Roman"/>
          <w:sz w:val="20"/>
          <w:lang w:val="sk-SK"/>
        </w:rPr>
        <w:t>)</w:t>
      </w:r>
    </w:p>
    <w:p w14:paraId="1EEBA117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18" w14:textId="4782011D" w:rsidR="00444697" w:rsidRPr="00041C3D" w:rsidRDefault="00206EB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764601">
        <w:rPr>
          <w:rFonts w:ascii="Times New Roman" w:hAnsi="Times New Roman" w:cs="Times New Roman"/>
          <w:lang w:val="sk-SK"/>
        </w:rPr>
        <w:t>M</w:t>
      </w:r>
      <w:r w:rsidR="008F27A9">
        <w:rPr>
          <w:rFonts w:ascii="Times New Roman" w:hAnsi="Times New Roman" w:cs="Times New Roman"/>
          <w:lang w:val="sk-SK"/>
        </w:rPr>
        <w:t>ulticentrická štúdia</w:t>
      </w:r>
      <w:r w:rsidR="00444697" w:rsidRPr="00041C3D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s jednou skupinou </w:t>
      </w:r>
      <w:r w:rsidR="00444697" w:rsidRPr="00041C3D">
        <w:rPr>
          <w:rFonts w:ascii="Times New Roman" w:hAnsi="Times New Roman" w:cs="Times New Roman"/>
          <w:lang w:val="sk-SK"/>
        </w:rPr>
        <w:t>IFUM</w:t>
      </w:r>
      <w:r w:rsidR="008F27A9">
        <w:rPr>
          <w:rFonts w:ascii="Times New Roman" w:hAnsi="Times New Roman" w:cs="Times New Roman"/>
          <w:lang w:val="sk-SK"/>
        </w:rPr>
        <w:t xml:space="preserve"> bola</w:t>
      </w:r>
      <w:r w:rsidR="00045E6E">
        <w:rPr>
          <w:rFonts w:ascii="Times New Roman" w:hAnsi="Times New Roman" w:cs="Times New Roman"/>
          <w:lang w:val="sk-SK"/>
        </w:rPr>
        <w:t xml:space="preserve"> </w:t>
      </w:r>
      <w:r w:rsidR="008F27A9">
        <w:rPr>
          <w:rFonts w:ascii="Times New Roman" w:hAnsi="Times New Roman" w:cs="Times New Roman"/>
          <w:lang w:val="sk-SK"/>
        </w:rPr>
        <w:t>vykon</w:t>
      </w:r>
      <w:r>
        <w:rPr>
          <w:rFonts w:ascii="Times New Roman" w:hAnsi="Times New Roman" w:cs="Times New Roman"/>
          <w:lang w:val="sk-SK"/>
        </w:rPr>
        <w:t>a</w:t>
      </w:r>
      <w:r w:rsidR="008F27A9">
        <w:rPr>
          <w:rFonts w:ascii="Times New Roman" w:hAnsi="Times New Roman" w:cs="Times New Roman"/>
          <w:lang w:val="sk-SK"/>
        </w:rPr>
        <w:t>ná u pacientov kaukazskej populácie</w:t>
      </w:r>
      <w:r w:rsidR="00444697" w:rsidRPr="00041C3D">
        <w:rPr>
          <w:rFonts w:ascii="Times New Roman" w:hAnsi="Times New Roman" w:cs="Times New Roman"/>
          <w:lang w:val="sk-SK"/>
        </w:rPr>
        <w:t xml:space="preserve"> </w:t>
      </w:r>
      <w:r w:rsidR="008F27A9">
        <w:rPr>
          <w:rFonts w:ascii="Times New Roman" w:hAnsi="Times New Roman" w:cs="Times New Roman"/>
          <w:lang w:val="sk-SK"/>
        </w:rPr>
        <w:t xml:space="preserve"> </w:t>
      </w:r>
      <w:r w:rsidR="00444697" w:rsidRPr="00041C3D">
        <w:rPr>
          <w:rFonts w:ascii="Times New Roman" w:hAnsi="Times New Roman" w:cs="Times New Roman"/>
          <w:lang w:val="sk-SK"/>
        </w:rPr>
        <w:t xml:space="preserve">(n=106) </w:t>
      </w:r>
      <w:r w:rsidR="008F27A9">
        <w:rPr>
          <w:rFonts w:ascii="Times New Roman" w:hAnsi="Times New Roman" w:cs="Times New Roman"/>
          <w:lang w:val="sk-SK"/>
        </w:rPr>
        <w:t>s</w:t>
      </w:r>
      <w:r>
        <w:rPr>
          <w:rFonts w:ascii="Times New Roman" w:hAnsi="Times New Roman" w:cs="Times New Roman"/>
          <w:lang w:val="sk-SK"/>
        </w:rPr>
        <w:t> </w:t>
      </w:r>
      <w:r w:rsidR="008F27A9">
        <w:rPr>
          <w:rFonts w:ascii="Times New Roman" w:hAnsi="Times New Roman" w:cs="Times New Roman"/>
          <w:lang w:val="sk-SK"/>
        </w:rPr>
        <w:t>pozitívnou</w:t>
      </w:r>
      <w:r>
        <w:rPr>
          <w:rFonts w:ascii="Times New Roman" w:hAnsi="Times New Roman" w:cs="Times New Roman"/>
          <w:lang w:val="sk-SK"/>
        </w:rPr>
        <w:t>,</w:t>
      </w:r>
      <w:r w:rsidR="008F27A9">
        <w:rPr>
          <w:rFonts w:ascii="Times New Roman" w:hAnsi="Times New Roman" w:cs="Times New Roman"/>
          <w:lang w:val="sk-SK"/>
        </w:rPr>
        <w:t xml:space="preserve"> aktivujúcou, senzibilizujúcou mutáciou </w:t>
      </w:r>
      <w:r w:rsidR="00444697" w:rsidRPr="00041C3D">
        <w:rPr>
          <w:rFonts w:ascii="Times New Roman" w:hAnsi="Times New Roman" w:cs="Times New Roman"/>
          <w:lang w:val="sk-SK"/>
        </w:rPr>
        <w:t xml:space="preserve">EGFR </w:t>
      </w:r>
      <w:r w:rsidR="008F27A9">
        <w:rPr>
          <w:rFonts w:ascii="Times New Roman" w:hAnsi="Times New Roman" w:cs="Times New Roman"/>
          <w:lang w:val="sk-SK"/>
        </w:rPr>
        <w:t>u</w:t>
      </w:r>
      <w:r w:rsidR="00444697" w:rsidRPr="00041C3D">
        <w:rPr>
          <w:rFonts w:ascii="Times New Roman" w:hAnsi="Times New Roman" w:cs="Times New Roman"/>
          <w:lang w:val="sk-SK"/>
        </w:rPr>
        <w:t xml:space="preserve"> NSCLC </w:t>
      </w:r>
      <w:r w:rsidR="008F27A9">
        <w:rPr>
          <w:rFonts w:ascii="Times New Roman" w:hAnsi="Times New Roman" w:cs="Times New Roman"/>
          <w:lang w:val="sk-SK"/>
        </w:rPr>
        <w:t xml:space="preserve">na potvrdenie, že pôsobenie </w:t>
      </w:r>
      <w:r w:rsidR="00444697" w:rsidRPr="00041C3D">
        <w:rPr>
          <w:rFonts w:ascii="Times New Roman" w:hAnsi="Times New Roman" w:cs="Times New Roman"/>
          <w:lang w:val="sk-SK"/>
        </w:rPr>
        <w:t>gefitinib</w:t>
      </w:r>
      <w:r w:rsidR="008F27A9">
        <w:rPr>
          <w:rFonts w:ascii="Times New Roman" w:hAnsi="Times New Roman" w:cs="Times New Roman"/>
          <w:lang w:val="sk-SK"/>
        </w:rPr>
        <w:t xml:space="preserve">u je podobné u kaukazskej a ázijskej populácie. </w:t>
      </w:r>
      <w:r w:rsidR="00444697" w:rsidRPr="00041C3D">
        <w:rPr>
          <w:rFonts w:ascii="Times New Roman" w:hAnsi="Times New Roman" w:cs="Times New Roman"/>
          <w:lang w:val="sk-SK"/>
        </w:rPr>
        <w:t xml:space="preserve">ORR </w:t>
      </w:r>
      <w:r w:rsidR="008F27A9">
        <w:rPr>
          <w:rFonts w:ascii="Times New Roman" w:hAnsi="Times New Roman" w:cs="Times New Roman"/>
          <w:lang w:val="sk-SK"/>
        </w:rPr>
        <w:t xml:space="preserve">bolo podľa hodnotenia </w:t>
      </w:r>
      <w:r>
        <w:rPr>
          <w:rFonts w:ascii="Times New Roman" w:hAnsi="Times New Roman" w:cs="Times New Roman"/>
          <w:lang w:val="sk-SK"/>
        </w:rPr>
        <w:t>skúšajúceho</w:t>
      </w:r>
      <w:r w:rsidR="008F27A9">
        <w:rPr>
          <w:rFonts w:ascii="Times New Roman" w:hAnsi="Times New Roman" w:cs="Times New Roman"/>
          <w:lang w:val="sk-SK"/>
        </w:rPr>
        <w:t xml:space="preserve"> </w:t>
      </w:r>
      <w:r w:rsidR="00444697" w:rsidRPr="00041C3D">
        <w:rPr>
          <w:rFonts w:ascii="Times New Roman" w:hAnsi="Times New Roman" w:cs="Times New Roman"/>
          <w:lang w:val="sk-SK"/>
        </w:rPr>
        <w:t>70</w:t>
      </w:r>
      <w:r w:rsidR="008F27A9">
        <w:rPr>
          <w:rFonts w:ascii="Times New Roman" w:hAnsi="Times New Roman" w:cs="Times New Roman"/>
          <w:lang w:val="sk-SK"/>
        </w:rPr>
        <w:t> % a medián PFS bol 9,7 mesiaca</w:t>
      </w:r>
      <w:r w:rsidR="00444697" w:rsidRPr="00041C3D">
        <w:rPr>
          <w:rFonts w:ascii="Times New Roman" w:hAnsi="Times New Roman" w:cs="Times New Roman"/>
          <w:lang w:val="sk-SK"/>
        </w:rPr>
        <w:t xml:space="preserve">. </w:t>
      </w:r>
      <w:r w:rsidR="008F27A9">
        <w:rPr>
          <w:rFonts w:ascii="Times New Roman" w:hAnsi="Times New Roman" w:cs="Times New Roman"/>
          <w:lang w:val="sk-SK"/>
        </w:rPr>
        <w:t>Tieto údaje sú podobné údajom zo štúdie IPASS</w:t>
      </w:r>
      <w:r w:rsidR="00444697" w:rsidRPr="00041C3D">
        <w:rPr>
          <w:rFonts w:ascii="Times New Roman" w:hAnsi="Times New Roman" w:cs="Times New Roman"/>
          <w:lang w:val="sk-SK"/>
        </w:rPr>
        <w:t>.</w:t>
      </w:r>
    </w:p>
    <w:p w14:paraId="1EEBA119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1A" w14:textId="45764FF9" w:rsidR="00444697" w:rsidRPr="00041C3D" w:rsidRDefault="008F27A9">
      <w:pPr>
        <w:keepNext/>
        <w:spacing w:after="0" w:line="240" w:lineRule="auto"/>
        <w:rPr>
          <w:rFonts w:ascii="Times New Roman" w:hAnsi="Times New Roman" w:cs="Times New Roman"/>
          <w:i/>
          <w:lang w:val="sk-SK"/>
        </w:rPr>
      </w:pPr>
      <w:r>
        <w:rPr>
          <w:rFonts w:ascii="Times New Roman" w:hAnsi="Times New Roman" w:cs="Times New Roman"/>
          <w:i/>
          <w:lang w:val="sk-SK"/>
        </w:rPr>
        <w:t xml:space="preserve">Stav mutácie </w:t>
      </w:r>
      <w:r w:rsidR="00444697" w:rsidRPr="00041C3D">
        <w:rPr>
          <w:rFonts w:ascii="Times New Roman" w:hAnsi="Times New Roman" w:cs="Times New Roman"/>
          <w:i/>
          <w:lang w:val="sk-SK"/>
        </w:rPr>
        <w:t>EGFR</w:t>
      </w:r>
      <w:r>
        <w:rPr>
          <w:rFonts w:ascii="Times New Roman" w:hAnsi="Times New Roman" w:cs="Times New Roman"/>
          <w:i/>
          <w:lang w:val="sk-SK"/>
        </w:rPr>
        <w:t xml:space="preserve"> a klinické charakteristiky</w:t>
      </w:r>
    </w:p>
    <w:p w14:paraId="1EEBA11B" w14:textId="6171948B" w:rsidR="00444697" w:rsidRPr="00041C3D" w:rsidRDefault="002F096B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Viacrozmernou analýzou u 786 pacientov kaukazskej populácie z klinických štúdií s gefitinibom* (tabuľka 7) sa preukázalo, že</w:t>
      </w:r>
      <w:r w:rsidR="00A43D1F" w:rsidRPr="00041C3D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klinické charakteristiky ako nefajčiar</w:t>
      </w:r>
      <w:r w:rsidR="00444697" w:rsidRPr="00041C3D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 xml:space="preserve">histologický adenokarcinóm a ženské pohlavie sú nezávislými predpovedajúcimi faktormi pre prítomnosť </w:t>
      </w:r>
      <w:r w:rsidR="00206EBF">
        <w:rPr>
          <w:rFonts w:ascii="Times New Roman" w:hAnsi="Times New Roman" w:cs="Times New Roman"/>
          <w:lang w:val="sk-SK"/>
        </w:rPr>
        <w:t>pozitívnej</w:t>
      </w:r>
      <w:r>
        <w:rPr>
          <w:rFonts w:ascii="Times New Roman" w:hAnsi="Times New Roman" w:cs="Times New Roman"/>
          <w:lang w:val="sk-SK"/>
        </w:rPr>
        <w:t xml:space="preserve"> mutácie EGFR. U ázijských pacientov bol tiež vyšší výskyt nádorov</w:t>
      </w:r>
      <w:r w:rsidR="00444697" w:rsidRPr="00041C3D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s pozitívnou mutáciou EGFR</w:t>
      </w:r>
      <w:r w:rsidR="00444697" w:rsidRPr="00041C3D">
        <w:rPr>
          <w:rFonts w:ascii="Times New Roman" w:hAnsi="Times New Roman" w:cs="Times New Roman"/>
          <w:lang w:val="sk-SK"/>
        </w:rPr>
        <w:t>.</w:t>
      </w:r>
    </w:p>
    <w:p w14:paraId="1EEBA11C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01"/>
        <w:gridCol w:w="1398"/>
        <w:gridCol w:w="2368"/>
        <w:gridCol w:w="3719"/>
      </w:tblGrid>
      <w:tr w:rsidR="00444697" w:rsidRPr="00041C3D" w14:paraId="1EEBA11E" w14:textId="77777777" w:rsidTr="009C4113">
        <w:trPr>
          <w:tblHeader/>
        </w:trPr>
        <w:tc>
          <w:tcPr>
            <w:tcW w:w="954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EBA11D" w14:textId="5D5C7E9F" w:rsidR="00444697" w:rsidRPr="00041C3D" w:rsidRDefault="00D5587E" w:rsidP="00D5587E">
            <w:pPr>
              <w:rPr>
                <w:rFonts w:ascii="Times New Roman" w:hAnsi="Times New Roman" w:cs="Times New Roman"/>
                <w:b/>
                <w:bCs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lang w:val="sk-SK"/>
              </w:rPr>
              <w:lastRenderedPageBreak/>
              <w:t>Tabuľka 7 Súhrn viacrozmernej</w:t>
            </w:r>
            <w:r w:rsidR="00444697" w:rsidRPr="00041C3D">
              <w:rPr>
                <w:rFonts w:ascii="Times New Roman" w:hAnsi="Times New Roman" w:cs="Times New Roman"/>
                <w:b/>
                <w:bCs/>
                <w:lang w:val="sk-SK"/>
              </w:rPr>
              <w:t xml:space="preserve"> logistic</w:t>
            </w:r>
            <w:r>
              <w:rPr>
                <w:rFonts w:ascii="Times New Roman" w:hAnsi="Times New Roman" w:cs="Times New Roman"/>
                <w:b/>
                <w:bCs/>
                <w:lang w:val="sk-SK"/>
              </w:rPr>
              <w:t>kej regresnej analýzy</w:t>
            </w:r>
            <w:r w:rsidR="00444697" w:rsidRPr="00041C3D">
              <w:rPr>
                <w:rFonts w:ascii="Times New Roman" w:hAnsi="Times New Roman" w:cs="Times New Roman"/>
                <w:b/>
                <w:bCs/>
                <w:lang w:val="sk-SK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sk-SK"/>
              </w:rPr>
              <w:t>zameranej na identifikáciu faktorov, ktoré nezávisle predpovedajú prítomnosť mutácií</w:t>
            </w:r>
            <w:r w:rsidR="00444697" w:rsidRPr="00041C3D">
              <w:rPr>
                <w:rFonts w:ascii="Times New Roman" w:hAnsi="Times New Roman" w:cs="Times New Roman"/>
                <w:b/>
                <w:bCs/>
                <w:lang w:val="sk-SK"/>
              </w:rPr>
              <w:t xml:space="preserve"> EGFR </w:t>
            </w:r>
            <w:r>
              <w:rPr>
                <w:rFonts w:ascii="Times New Roman" w:hAnsi="Times New Roman" w:cs="Times New Roman"/>
                <w:b/>
                <w:bCs/>
                <w:lang w:val="sk-SK"/>
              </w:rPr>
              <w:t>u</w:t>
            </w:r>
            <w:r w:rsidR="00444697" w:rsidRPr="00041C3D">
              <w:rPr>
                <w:rFonts w:ascii="Times New Roman" w:hAnsi="Times New Roman" w:cs="Times New Roman"/>
                <w:b/>
                <w:bCs/>
                <w:lang w:val="sk-SK"/>
              </w:rPr>
              <w:t xml:space="preserve"> 786 </w:t>
            </w:r>
            <w:r>
              <w:rPr>
                <w:rFonts w:ascii="Times New Roman" w:hAnsi="Times New Roman" w:cs="Times New Roman"/>
                <w:b/>
                <w:bCs/>
                <w:lang w:val="sk-SK"/>
              </w:rPr>
              <w:t>pacientov kaukazskej populácie</w:t>
            </w:r>
            <w:r w:rsidR="00444697" w:rsidRPr="00041C3D">
              <w:rPr>
                <w:rFonts w:ascii="Times New Roman" w:hAnsi="Times New Roman" w:cs="Times New Roman"/>
                <w:b/>
                <w:bCs/>
                <w:lang w:val="sk-SK"/>
              </w:rPr>
              <w:t>*</w:t>
            </w:r>
          </w:p>
        </w:tc>
      </w:tr>
      <w:tr w:rsidR="001D7446" w:rsidRPr="00041C3D" w14:paraId="1EEBA123" w14:textId="77777777" w:rsidTr="009C4113">
        <w:trPr>
          <w:tblHeader/>
        </w:trPr>
        <w:tc>
          <w:tcPr>
            <w:tcW w:w="18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EBA11F" w14:textId="0519A678" w:rsidR="00444697" w:rsidRPr="00041C3D" w:rsidRDefault="001D7446" w:rsidP="001D7446">
            <w:pPr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Fa</w:t>
            </w:r>
            <w:r w:rsidR="00B17BD0">
              <w:rPr>
                <w:rFonts w:ascii="Times New Roman" w:hAnsi="Times New Roman" w:cs="Times New Roman"/>
                <w:b/>
                <w:lang w:val="sk-SK"/>
              </w:rPr>
              <w:t>k</w:t>
            </w:r>
            <w:r>
              <w:rPr>
                <w:rFonts w:ascii="Times New Roman" w:hAnsi="Times New Roman" w:cs="Times New Roman"/>
                <w:b/>
                <w:lang w:val="sk-SK"/>
              </w:rPr>
              <w:t xml:space="preserve">tory </w:t>
            </w:r>
            <w:r w:rsidR="00764601">
              <w:rPr>
                <w:rFonts w:ascii="Times New Roman" w:hAnsi="Times New Roman" w:cs="Times New Roman"/>
                <w:b/>
                <w:lang w:val="sk-SK"/>
              </w:rPr>
              <w:t>predpovedajúce</w:t>
            </w:r>
            <w:r>
              <w:rPr>
                <w:rFonts w:ascii="Times New Roman" w:hAnsi="Times New Roman" w:cs="Times New Roman"/>
                <w:b/>
                <w:lang w:val="sk-SK"/>
              </w:rPr>
              <w:t xml:space="preserve"> prítomnosť mutácie</w:t>
            </w:r>
            <w:r w:rsidR="00444697" w:rsidRPr="00041C3D">
              <w:rPr>
                <w:rFonts w:ascii="Times New Roman" w:hAnsi="Times New Roman" w:cs="Times New Roman"/>
                <w:b/>
                <w:lang w:val="sk-SK"/>
              </w:rPr>
              <w:t xml:space="preserve"> EGFR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EBA120" w14:textId="1B5F26DF" w:rsidR="00444697" w:rsidRPr="00041C3D" w:rsidRDefault="00D5587E">
            <w:pPr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p</w:t>
            </w:r>
            <w:r>
              <w:rPr>
                <w:rFonts w:ascii="Times New Roman" w:hAnsi="Times New Roman" w:cs="Times New Roman"/>
                <w:b/>
                <w:lang w:val="sk-SK"/>
              </w:rPr>
              <w:noBreakHyphen/>
              <w:t>hodnota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EBA121" w14:textId="267C841B" w:rsidR="00444697" w:rsidRPr="00041C3D" w:rsidRDefault="00D5587E" w:rsidP="00D5587E">
            <w:pPr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Pravdepodobnosť</w:t>
            </w:r>
            <w:r w:rsidR="00444697" w:rsidRPr="00041C3D">
              <w:rPr>
                <w:rFonts w:ascii="Times New Roman" w:hAnsi="Times New Roman" w:cs="Times New Roman"/>
                <w:b/>
                <w:lang w:val="sk-SK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k-SK"/>
              </w:rPr>
              <w:t>mutácie EGFR</w:t>
            </w:r>
          </w:p>
        </w:tc>
        <w:tc>
          <w:tcPr>
            <w:tcW w:w="390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EBA122" w14:textId="1A11E96A" w:rsidR="00444697" w:rsidRPr="00041C3D" w:rsidRDefault="00D5587E" w:rsidP="00D5587E">
            <w:pPr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Pozitívna prediktívna hodnota (9,</w:t>
            </w:r>
            <w:r w:rsidR="00444697" w:rsidRPr="00041C3D">
              <w:rPr>
                <w:rFonts w:ascii="Times New Roman" w:hAnsi="Times New Roman" w:cs="Times New Roman"/>
                <w:b/>
                <w:lang w:val="sk-SK"/>
              </w:rPr>
              <w:t>5</w:t>
            </w:r>
            <w:r>
              <w:rPr>
                <w:rFonts w:ascii="Times New Roman" w:hAnsi="Times New Roman" w:cs="Times New Roman"/>
                <w:b/>
                <w:lang w:val="sk-SK"/>
              </w:rPr>
              <w:t> </w:t>
            </w:r>
            <w:r w:rsidR="00444697" w:rsidRPr="00041C3D">
              <w:rPr>
                <w:rFonts w:ascii="Times New Roman" w:hAnsi="Times New Roman" w:cs="Times New Roman"/>
                <w:b/>
                <w:lang w:val="sk-SK"/>
              </w:rPr>
              <w:t xml:space="preserve">% </w:t>
            </w:r>
            <w:r>
              <w:rPr>
                <w:rFonts w:ascii="Times New Roman" w:hAnsi="Times New Roman" w:cs="Times New Roman"/>
                <w:b/>
                <w:lang w:val="sk-SK"/>
              </w:rPr>
              <w:t>celkovej populácie má</w:t>
            </w:r>
            <w:r w:rsidR="00444697" w:rsidRPr="00041C3D">
              <w:rPr>
                <w:rFonts w:ascii="Times New Roman" w:hAnsi="Times New Roman" w:cs="Times New Roman"/>
                <w:b/>
                <w:lang w:val="sk-SK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k-SK"/>
              </w:rPr>
              <w:t xml:space="preserve">pozitívnu mutáciu </w:t>
            </w:r>
            <w:r w:rsidR="00444697" w:rsidRPr="00041C3D">
              <w:rPr>
                <w:rFonts w:ascii="Times New Roman" w:hAnsi="Times New Roman" w:cs="Times New Roman"/>
                <w:b/>
                <w:lang w:val="sk-SK"/>
              </w:rPr>
              <w:t>EGFR (M+))</w:t>
            </w:r>
          </w:p>
        </w:tc>
      </w:tr>
      <w:tr w:rsidR="001D7446" w:rsidRPr="00041C3D" w14:paraId="1EEBA129" w14:textId="77777777" w:rsidTr="009C4113">
        <w:trPr>
          <w:tblHeader/>
        </w:trPr>
        <w:tc>
          <w:tcPr>
            <w:tcW w:w="1809" w:type="dxa"/>
            <w:tcBorders>
              <w:top w:val="single" w:sz="12" w:space="0" w:color="auto"/>
              <w:left w:val="nil"/>
              <w:right w:val="nil"/>
            </w:tcBorders>
          </w:tcPr>
          <w:p w14:paraId="1EEBA124" w14:textId="55912B2F" w:rsidR="00444697" w:rsidRPr="00041C3D" w:rsidRDefault="00D5587E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Fajčenie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right w:val="nil"/>
            </w:tcBorders>
          </w:tcPr>
          <w:p w14:paraId="1EEBA125" w14:textId="19458DA7" w:rsidR="00444697" w:rsidRPr="00041C3D" w:rsidRDefault="00D5587E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&lt;0,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0001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right w:val="nil"/>
            </w:tcBorders>
          </w:tcPr>
          <w:p w14:paraId="1EEBA126" w14:textId="44140889" w:rsidR="00444697" w:rsidRPr="00041C3D" w:rsidRDefault="00166AFC" w:rsidP="00166AF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6,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5</w:t>
            </w:r>
            <w:r>
              <w:rPr>
                <w:rFonts w:ascii="Times New Roman" w:hAnsi="Times New Roman" w:cs="Times New Roman"/>
                <w:lang w:val="sk-SK"/>
              </w:rPr>
              <w:t>-krát vyššia u nefajčiarov ako u fajčiarov</w:t>
            </w:r>
          </w:p>
        </w:tc>
        <w:tc>
          <w:tcPr>
            <w:tcW w:w="3907" w:type="dxa"/>
            <w:tcBorders>
              <w:top w:val="single" w:sz="12" w:space="0" w:color="auto"/>
              <w:left w:val="nil"/>
              <w:right w:val="nil"/>
            </w:tcBorders>
          </w:tcPr>
          <w:p w14:paraId="1EEBA127" w14:textId="2F2465CC" w:rsidR="00444697" w:rsidRPr="00041C3D" w:rsidRDefault="00444697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041C3D">
              <w:rPr>
                <w:rFonts w:ascii="Times New Roman" w:hAnsi="Times New Roman" w:cs="Times New Roman"/>
                <w:lang w:val="sk-SK"/>
              </w:rPr>
              <w:t>28/70 (40</w:t>
            </w:r>
            <w:r w:rsidR="00166AFC">
              <w:rPr>
                <w:rFonts w:ascii="Times New Roman" w:hAnsi="Times New Roman" w:cs="Times New Roman"/>
                <w:lang w:val="sk-SK"/>
              </w:rPr>
              <w:t> %) nefajčiarov sú</w:t>
            </w:r>
            <w:r w:rsidRPr="00041C3D">
              <w:rPr>
                <w:rFonts w:ascii="Times New Roman" w:hAnsi="Times New Roman" w:cs="Times New Roman"/>
                <w:lang w:val="sk-SK"/>
              </w:rPr>
              <w:t xml:space="preserve"> M+</w:t>
            </w:r>
          </w:p>
          <w:p w14:paraId="1EEBA128" w14:textId="4F98396C" w:rsidR="00444697" w:rsidRPr="00041C3D" w:rsidRDefault="00166AF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47/716 (7 %) fajčiarov sú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 xml:space="preserve"> M+</w:t>
            </w:r>
          </w:p>
        </w:tc>
      </w:tr>
      <w:tr w:rsidR="001D7446" w:rsidRPr="00041C3D" w14:paraId="1EEBA12E" w14:textId="77777777" w:rsidTr="009C4113">
        <w:trPr>
          <w:tblHeader/>
        </w:trPr>
        <w:tc>
          <w:tcPr>
            <w:tcW w:w="1809" w:type="dxa"/>
            <w:tcBorders>
              <w:left w:val="nil"/>
              <w:bottom w:val="single" w:sz="4" w:space="0" w:color="auto"/>
              <w:right w:val="nil"/>
            </w:tcBorders>
          </w:tcPr>
          <w:p w14:paraId="1EEBA12A" w14:textId="5F40F754" w:rsidR="00444697" w:rsidRPr="00041C3D" w:rsidRDefault="00D5587E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Histológia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1EEBA12B" w14:textId="3B388C82" w:rsidR="00444697" w:rsidRPr="00041C3D" w:rsidRDefault="00D5587E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&lt;0,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0001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1EEBA12C" w14:textId="256B3261" w:rsidR="00444697" w:rsidRPr="00041C3D" w:rsidRDefault="00166AFC" w:rsidP="00166AF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4,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4</w:t>
            </w:r>
            <w:r>
              <w:rPr>
                <w:rFonts w:ascii="Times New Roman" w:hAnsi="Times New Roman" w:cs="Times New Roman"/>
                <w:lang w:val="sk-SK"/>
              </w:rPr>
              <w:t>-krát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 </w:t>
            </w:r>
            <w:r>
              <w:rPr>
                <w:rFonts w:ascii="Times New Roman" w:hAnsi="Times New Roman" w:cs="Times New Roman"/>
                <w:lang w:val="sk-SK"/>
              </w:rPr>
              <w:t>vyššia u adenokarcinómu ako bez adenokarcinómu</w:t>
            </w:r>
          </w:p>
        </w:tc>
        <w:tc>
          <w:tcPr>
            <w:tcW w:w="3907" w:type="dxa"/>
            <w:tcBorders>
              <w:left w:val="nil"/>
              <w:bottom w:val="single" w:sz="4" w:space="0" w:color="auto"/>
              <w:right w:val="nil"/>
            </w:tcBorders>
          </w:tcPr>
          <w:p w14:paraId="17E6E3B0" w14:textId="77777777" w:rsidR="00166AFC" w:rsidRDefault="00444697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041C3D">
              <w:rPr>
                <w:rFonts w:ascii="Times New Roman" w:hAnsi="Times New Roman" w:cs="Times New Roman"/>
                <w:lang w:val="sk-SK"/>
              </w:rPr>
              <w:t>63/396 (16</w:t>
            </w:r>
            <w:r w:rsidR="00166AFC">
              <w:rPr>
                <w:rFonts w:ascii="Times New Roman" w:hAnsi="Times New Roman" w:cs="Times New Roman"/>
                <w:lang w:val="sk-SK"/>
              </w:rPr>
              <w:t> %) pacientov s histológiou adenokarcinómu sú</w:t>
            </w:r>
            <w:r w:rsidRPr="00041C3D">
              <w:rPr>
                <w:rFonts w:ascii="Times New Roman" w:hAnsi="Times New Roman" w:cs="Times New Roman"/>
                <w:lang w:val="sk-SK"/>
              </w:rPr>
              <w:t xml:space="preserve"> M+ </w:t>
            </w:r>
          </w:p>
          <w:p w14:paraId="1EEBA12D" w14:textId="4A8DA0EB" w:rsidR="00444697" w:rsidRPr="00041C3D" w:rsidRDefault="00444697" w:rsidP="00166AF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041C3D">
              <w:rPr>
                <w:rFonts w:ascii="Times New Roman" w:hAnsi="Times New Roman" w:cs="Times New Roman"/>
                <w:lang w:val="sk-SK"/>
              </w:rPr>
              <w:t>12/390 (3</w:t>
            </w:r>
            <w:r w:rsidR="00166AFC">
              <w:rPr>
                <w:rFonts w:ascii="Times New Roman" w:hAnsi="Times New Roman" w:cs="Times New Roman"/>
                <w:lang w:val="sk-SK"/>
              </w:rPr>
              <w:t xml:space="preserve"> %) pacientov s histológiou bez </w:t>
            </w:r>
            <w:r w:rsidRPr="00041C3D">
              <w:rPr>
                <w:rFonts w:ascii="Times New Roman" w:hAnsi="Times New Roman" w:cs="Times New Roman"/>
                <w:lang w:val="sk-SK"/>
              </w:rPr>
              <w:t>a</w:t>
            </w:r>
            <w:r w:rsidR="00166AFC">
              <w:rPr>
                <w:rFonts w:ascii="Times New Roman" w:hAnsi="Times New Roman" w:cs="Times New Roman"/>
                <w:lang w:val="sk-SK"/>
              </w:rPr>
              <w:t>denokarcinómu</w:t>
            </w:r>
            <w:r w:rsidRPr="00041C3D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166AFC">
              <w:rPr>
                <w:rFonts w:ascii="Times New Roman" w:hAnsi="Times New Roman" w:cs="Times New Roman"/>
                <w:lang w:val="sk-SK"/>
              </w:rPr>
              <w:t>sú</w:t>
            </w:r>
            <w:r w:rsidRPr="00041C3D">
              <w:rPr>
                <w:rFonts w:ascii="Times New Roman" w:hAnsi="Times New Roman" w:cs="Times New Roman"/>
                <w:lang w:val="sk-SK"/>
              </w:rPr>
              <w:t xml:space="preserve"> M+</w:t>
            </w:r>
          </w:p>
        </w:tc>
      </w:tr>
      <w:tr w:rsidR="001D7446" w:rsidRPr="00041C3D" w14:paraId="1EEBA134" w14:textId="77777777" w:rsidTr="009C4113">
        <w:trPr>
          <w:tblHeader/>
        </w:trPr>
        <w:tc>
          <w:tcPr>
            <w:tcW w:w="1809" w:type="dxa"/>
            <w:tcBorders>
              <w:left w:val="nil"/>
              <w:bottom w:val="single" w:sz="12" w:space="0" w:color="auto"/>
              <w:right w:val="nil"/>
            </w:tcBorders>
          </w:tcPr>
          <w:p w14:paraId="1EEBA12F" w14:textId="40B8C683" w:rsidR="00444697" w:rsidRPr="00041C3D" w:rsidRDefault="00D5587E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Pohlavie</w:t>
            </w: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nil"/>
            </w:tcBorders>
          </w:tcPr>
          <w:p w14:paraId="1EEBA130" w14:textId="0F7862B5" w:rsidR="00444697" w:rsidRPr="00041C3D" w:rsidRDefault="00D5587E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0,</w:t>
            </w:r>
            <w:r w:rsidR="00444697" w:rsidRPr="00041C3D">
              <w:rPr>
                <w:rFonts w:ascii="Times New Roman" w:hAnsi="Times New Roman" w:cs="Times New Roman"/>
                <w:lang w:val="sk-SK"/>
              </w:rPr>
              <w:t>0397</w:t>
            </w:r>
          </w:p>
        </w:tc>
        <w:tc>
          <w:tcPr>
            <w:tcW w:w="2410" w:type="dxa"/>
            <w:tcBorders>
              <w:left w:val="nil"/>
              <w:bottom w:val="single" w:sz="12" w:space="0" w:color="auto"/>
              <w:right w:val="nil"/>
            </w:tcBorders>
          </w:tcPr>
          <w:p w14:paraId="1EEBA132" w14:textId="1F484ADF" w:rsidR="00444697" w:rsidRPr="00041C3D" w:rsidRDefault="00166AFC" w:rsidP="00166AF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1,7-krát vyššia u žien ako u mužov</w:t>
            </w:r>
          </w:p>
        </w:tc>
        <w:tc>
          <w:tcPr>
            <w:tcW w:w="3907" w:type="dxa"/>
            <w:tcBorders>
              <w:left w:val="nil"/>
              <w:bottom w:val="single" w:sz="12" w:space="0" w:color="auto"/>
              <w:right w:val="nil"/>
            </w:tcBorders>
          </w:tcPr>
          <w:p w14:paraId="2066374B" w14:textId="77777777" w:rsidR="00166AFC" w:rsidRDefault="00444697" w:rsidP="00166AF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041C3D">
              <w:rPr>
                <w:rFonts w:ascii="Times New Roman" w:hAnsi="Times New Roman" w:cs="Times New Roman"/>
                <w:lang w:val="sk-SK"/>
              </w:rPr>
              <w:t>40/235 (17</w:t>
            </w:r>
            <w:r w:rsidR="00166AFC">
              <w:rPr>
                <w:rFonts w:ascii="Times New Roman" w:hAnsi="Times New Roman" w:cs="Times New Roman"/>
                <w:lang w:val="sk-SK"/>
              </w:rPr>
              <w:t> </w:t>
            </w:r>
            <w:r w:rsidRPr="00041C3D">
              <w:rPr>
                <w:rFonts w:ascii="Times New Roman" w:hAnsi="Times New Roman" w:cs="Times New Roman"/>
                <w:lang w:val="sk-SK"/>
              </w:rPr>
              <w:t xml:space="preserve">%) </w:t>
            </w:r>
            <w:r w:rsidR="00166AFC">
              <w:rPr>
                <w:rFonts w:ascii="Times New Roman" w:hAnsi="Times New Roman" w:cs="Times New Roman"/>
                <w:lang w:val="sk-SK"/>
              </w:rPr>
              <w:t>žien sú</w:t>
            </w:r>
            <w:r w:rsidRPr="00041C3D">
              <w:rPr>
                <w:rFonts w:ascii="Times New Roman" w:hAnsi="Times New Roman" w:cs="Times New Roman"/>
                <w:lang w:val="sk-SK"/>
              </w:rPr>
              <w:t xml:space="preserve"> M+ </w:t>
            </w:r>
          </w:p>
          <w:p w14:paraId="1EEBA133" w14:textId="4415F618" w:rsidR="00444697" w:rsidRPr="00041C3D" w:rsidRDefault="00444697" w:rsidP="00166AFC">
            <w:pPr>
              <w:jc w:val="center"/>
              <w:rPr>
                <w:rFonts w:ascii="Times New Roman" w:hAnsi="Times New Roman" w:cs="Times New Roman"/>
                <w:lang w:val="sk-SK"/>
              </w:rPr>
            </w:pPr>
            <w:r w:rsidRPr="00041C3D">
              <w:rPr>
                <w:rFonts w:ascii="Times New Roman" w:hAnsi="Times New Roman" w:cs="Times New Roman"/>
                <w:lang w:val="sk-SK"/>
              </w:rPr>
              <w:t>35/551 (6</w:t>
            </w:r>
            <w:r w:rsidR="00166AFC">
              <w:rPr>
                <w:rFonts w:ascii="Times New Roman" w:hAnsi="Times New Roman" w:cs="Times New Roman"/>
                <w:lang w:val="sk-SK"/>
              </w:rPr>
              <w:t> %) žien sú</w:t>
            </w:r>
            <w:r w:rsidRPr="00041C3D">
              <w:rPr>
                <w:rFonts w:ascii="Times New Roman" w:hAnsi="Times New Roman" w:cs="Times New Roman"/>
                <w:lang w:val="sk-SK"/>
              </w:rPr>
              <w:t xml:space="preserve"> M+</w:t>
            </w:r>
          </w:p>
        </w:tc>
      </w:tr>
    </w:tbl>
    <w:p w14:paraId="1EEBA135" w14:textId="62D4C575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041C3D">
        <w:rPr>
          <w:rFonts w:ascii="Times New Roman" w:hAnsi="Times New Roman" w:cs="Times New Roman"/>
          <w:sz w:val="20"/>
          <w:lang w:val="sk-SK"/>
        </w:rPr>
        <w:t>*</w:t>
      </w:r>
      <w:r w:rsidR="00166AFC">
        <w:rPr>
          <w:rFonts w:ascii="Times New Roman" w:hAnsi="Times New Roman" w:cs="Times New Roman"/>
          <w:sz w:val="20"/>
          <w:lang w:val="sk-SK"/>
        </w:rPr>
        <w:t>z nasledujúcich štúdií</w:t>
      </w:r>
      <w:r w:rsidRPr="00041C3D">
        <w:rPr>
          <w:rFonts w:ascii="Times New Roman" w:hAnsi="Times New Roman" w:cs="Times New Roman"/>
          <w:sz w:val="20"/>
          <w:lang w:val="sk-SK"/>
        </w:rPr>
        <w:t>: INTEREST, ISEL, INTACT 1&amp;2, IDEAL 1&amp;2, INVITE</w:t>
      </w:r>
    </w:p>
    <w:p w14:paraId="1EEBA136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37" w14:textId="5D5AD11A" w:rsidR="00444697" w:rsidRPr="00041C3D" w:rsidRDefault="00166AFC" w:rsidP="00473F05">
      <w:pPr>
        <w:keepNext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5.2</w:t>
      </w:r>
      <w:r>
        <w:rPr>
          <w:rFonts w:ascii="Times New Roman" w:eastAsia="Times New Roman" w:hAnsi="Times New Roman" w:cs="Times New Roman"/>
          <w:b/>
          <w:bCs/>
          <w:lang w:val="sk-SK"/>
        </w:rPr>
        <w:tab/>
        <w:t>Farmakokinetické vlastnosti</w:t>
      </w:r>
    </w:p>
    <w:p w14:paraId="1EEBA138" w14:textId="77777777" w:rsidR="00444697" w:rsidRPr="00041C3D" w:rsidRDefault="00444697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39" w14:textId="3DEE019B" w:rsidR="00444697" w:rsidRPr="00041C3D" w:rsidRDefault="0031384F" w:rsidP="00473F05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u w:val="single" w:color="000000"/>
          <w:lang w:val="sk-SK"/>
        </w:rPr>
        <w:t>Absorpcia</w:t>
      </w:r>
    </w:p>
    <w:p w14:paraId="1EEBA13A" w14:textId="7A93C641" w:rsidR="00444697" w:rsidRPr="00041C3D" w:rsidRDefault="00362EF6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Absorpcia gefitinibu je po perorálnom podaní pomalšia a maximálna koncentrácia gefitinibu</w:t>
      </w:r>
      <w:r w:rsidR="001D7446">
        <w:rPr>
          <w:rFonts w:ascii="Times New Roman" w:eastAsia="Times New Roman" w:hAnsi="Times New Roman" w:cs="Times New Roman"/>
          <w:lang w:val="sk-SK"/>
        </w:rPr>
        <w:t xml:space="preserve"> v plazme je zvyčajne 3 až 7 </w:t>
      </w:r>
      <w:r>
        <w:rPr>
          <w:rFonts w:ascii="Times New Roman" w:eastAsia="Times New Roman" w:hAnsi="Times New Roman" w:cs="Times New Roman"/>
          <w:lang w:val="sk-SK"/>
        </w:rPr>
        <w:t>hodín po podaní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. </w:t>
      </w:r>
      <w:r w:rsidR="008C66F1">
        <w:rPr>
          <w:rFonts w:ascii="Times New Roman" w:eastAsia="Times New Roman" w:hAnsi="Times New Roman" w:cs="Times New Roman"/>
          <w:lang w:val="sk-SK"/>
        </w:rPr>
        <w:t xml:space="preserve">Priemerná absolútna biologická dostupnosť je u pacientov s karcinómom </w:t>
      </w:r>
      <w:r w:rsidR="00444697" w:rsidRPr="00041C3D">
        <w:rPr>
          <w:rFonts w:ascii="Times New Roman" w:eastAsia="Times New Roman" w:hAnsi="Times New Roman" w:cs="Times New Roman"/>
          <w:lang w:val="sk-SK"/>
        </w:rPr>
        <w:t>59</w:t>
      </w:r>
      <w:r w:rsidR="008C66F1">
        <w:rPr>
          <w:rFonts w:ascii="Times New Roman" w:eastAsia="Times New Roman" w:hAnsi="Times New Roman" w:cs="Times New Roman"/>
          <w:lang w:val="sk-SK"/>
        </w:rPr>
        <w:t> </w:t>
      </w:r>
      <w:r w:rsidR="00444697" w:rsidRPr="00041C3D">
        <w:rPr>
          <w:rFonts w:ascii="Times New Roman" w:eastAsia="Times New Roman" w:hAnsi="Times New Roman" w:cs="Times New Roman"/>
          <w:lang w:val="sk-SK"/>
        </w:rPr>
        <w:t>%</w:t>
      </w:r>
      <w:r w:rsidR="008C66F1">
        <w:rPr>
          <w:rFonts w:ascii="Times New Roman" w:eastAsia="Times New Roman" w:hAnsi="Times New Roman" w:cs="Times New Roman"/>
          <w:lang w:val="sk-SK"/>
        </w:rPr>
        <w:t xml:space="preserve">. Expozícia </w:t>
      </w:r>
      <w:r w:rsidR="00444697" w:rsidRPr="00041C3D">
        <w:rPr>
          <w:rFonts w:ascii="Times New Roman" w:eastAsia="Times New Roman" w:hAnsi="Times New Roman" w:cs="Times New Roman"/>
          <w:lang w:val="sk-SK"/>
        </w:rPr>
        <w:t>gefitinib</w:t>
      </w:r>
      <w:r w:rsidR="008C66F1">
        <w:rPr>
          <w:rFonts w:ascii="Times New Roman" w:eastAsia="Times New Roman" w:hAnsi="Times New Roman" w:cs="Times New Roman"/>
          <w:lang w:val="sk-SK"/>
        </w:rPr>
        <w:t>u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8C66F1">
        <w:rPr>
          <w:rFonts w:ascii="Times New Roman" w:eastAsia="Times New Roman" w:hAnsi="Times New Roman" w:cs="Times New Roman"/>
          <w:lang w:val="sk-SK"/>
        </w:rPr>
        <w:t>nie je výrazne ovplyvnená jedlom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. </w:t>
      </w:r>
      <w:r w:rsidR="008C66F1">
        <w:rPr>
          <w:rFonts w:ascii="Times New Roman" w:eastAsia="Times New Roman" w:hAnsi="Times New Roman" w:cs="Times New Roman"/>
          <w:lang w:val="sk-SK"/>
        </w:rPr>
        <w:t>V skúšaní u zdravých dobrovoľníkov, ktorých pH</w:t>
      </w:r>
      <w:r w:rsidR="001D7446">
        <w:rPr>
          <w:rFonts w:ascii="Times New Roman" w:eastAsia="Times New Roman" w:hAnsi="Times New Roman" w:cs="Times New Roman"/>
          <w:lang w:val="sk-SK"/>
        </w:rPr>
        <w:t xml:space="preserve"> žalúdka bolo udržiavané nad pH </w:t>
      </w:r>
      <w:r w:rsidR="008C66F1">
        <w:rPr>
          <w:rFonts w:ascii="Times New Roman" w:eastAsia="Times New Roman" w:hAnsi="Times New Roman" w:cs="Times New Roman"/>
          <w:lang w:val="sk-SK"/>
        </w:rPr>
        <w:t>5 bola expozícia gefitinibu znížená o </w:t>
      </w:r>
      <w:r w:rsidR="00444697" w:rsidRPr="00041C3D">
        <w:rPr>
          <w:rFonts w:ascii="Times New Roman" w:eastAsia="Times New Roman" w:hAnsi="Times New Roman" w:cs="Times New Roman"/>
          <w:lang w:val="sk-SK"/>
        </w:rPr>
        <w:t>47</w:t>
      </w:r>
      <w:r w:rsidR="008C66F1">
        <w:rPr>
          <w:rFonts w:ascii="Times New Roman" w:eastAsia="Times New Roman" w:hAnsi="Times New Roman" w:cs="Times New Roman"/>
          <w:lang w:val="sk-SK"/>
        </w:rPr>
        <w:t> 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%, </w:t>
      </w:r>
      <w:r w:rsidR="008C66F1">
        <w:rPr>
          <w:rFonts w:ascii="Times New Roman" w:eastAsia="Times New Roman" w:hAnsi="Times New Roman" w:cs="Times New Roman"/>
          <w:lang w:val="sk-SK"/>
        </w:rPr>
        <w:t xml:space="preserve">pravdepodobne z dôvodu zhoršenej rozpustnosti </w:t>
      </w:r>
      <w:r w:rsidR="00444697" w:rsidRPr="00041C3D">
        <w:rPr>
          <w:rFonts w:ascii="Times New Roman" w:eastAsia="Times New Roman" w:hAnsi="Times New Roman" w:cs="Times New Roman"/>
          <w:lang w:val="sk-SK"/>
        </w:rPr>
        <w:t>gefitinib</w:t>
      </w:r>
      <w:r w:rsidR="008C66F1">
        <w:rPr>
          <w:rFonts w:ascii="Times New Roman" w:eastAsia="Times New Roman" w:hAnsi="Times New Roman" w:cs="Times New Roman"/>
          <w:lang w:val="sk-SK"/>
        </w:rPr>
        <w:t>u v žalúdku (pozri časti</w:t>
      </w:r>
      <w:r w:rsidR="00444697" w:rsidRPr="00041C3D">
        <w:rPr>
          <w:rFonts w:ascii="Times New Roman" w:eastAsia="Times New Roman" w:hAnsi="Times New Roman" w:cs="Times New Roman"/>
          <w:spacing w:val="-3"/>
          <w:lang w:val="sk-SK"/>
        </w:rPr>
        <w:t> </w:t>
      </w:r>
      <w:r w:rsidR="008C66F1">
        <w:rPr>
          <w:rFonts w:ascii="Times New Roman" w:eastAsia="Times New Roman" w:hAnsi="Times New Roman" w:cs="Times New Roman"/>
          <w:lang w:val="sk-SK"/>
        </w:rPr>
        <w:t>4.4 a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4.5).</w:t>
      </w:r>
    </w:p>
    <w:p w14:paraId="1EEBA13B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3C" w14:textId="7354E274" w:rsidR="00444697" w:rsidRPr="00041C3D" w:rsidRDefault="0031384F" w:rsidP="00473F05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u w:val="single" w:color="000000"/>
          <w:lang w:val="sk-SK"/>
        </w:rPr>
        <w:t>Distribúcia</w:t>
      </w:r>
    </w:p>
    <w:p w14:paraId="1EEBA13D" w14:textId="5A74D913" w:rsidR="00444697" w:rsidRPr="00041C3D" w:rsidRDefault="008C66F1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8C66F1">
        <w:rPr>
          <w:rFonts w:ascii="Times New Roman" w:eastAsia="Times New Roman" w:hAnsi="Times New Roman" w:cs="Times New Roman"/>
          <w:lang w:val="sk-SK"/>
        </w:rPr>
        <w:t xml:space="preserve">Priemerný distribučný objem </w:t>
      </w:r>
      <w:r>
        <w:rPr>
          <w:rFonts w:ascii="Times New Roman" w:eastAsia="Times New Roman" w:hAnsi="Times New Roman" w:cs="Times New Roman"/>
          <w:lang w:val="sk-SK"/>
        </w:rPr>
        <w:t xml:space="preserve">gefitinibu </w:t>
      </w:r>
      <w:r w:rsidRPr="008C66F1">
        <w:rPr>
          <w:rFonts w:ascii="Times New Roman" w:eastAsia="Times New Roman" w:hAnsi="Times New Roman" w:cs="Times New Roman"/>
          <w:lang w:val="sk-SK"/>
        </w:rPr>
        <w:t>v rovnovážnom stave</w:t>
      </w:r>
      <w:r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1400 </w:t>
      </w:r>
      <w:r w:rsidR="00444697" w:rsidRPr="00041C3D">
        <w:rPr>
          <w:rFonts w:ascii="Times New Roman" w:eastAsia="Times New Roman" w:hAnsi="Times New Roman" w:cs="Times New Roman"/>
          <w:lang w:val="sk-SK"/>
        </w:rPr>
        <w:t>l</w:t>
      </w:r>
      <w:r>
        <w:rPr>
          <w:rFonts w:ascii="Times New Roman" w:eastAsia="Times New Roman" w:hAnsi="Times New Roman" w:cs="Times New Roman"/>
          <w:lang w:val="sk-SK"/>
        </w:rPr>
        <w:t>, čo naznačuje rozsiahlu distribúciu do tkanív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. </w:t>
      </w:r>
      <w:r w:rsidR="00DE545C">
        <w:rPr>
          <w:rFonts w:ascii="Times New Roman" w:eastAsia="Times New Roman" w:hAnsi="Times New Roman" w:cs="Times New Roman"/>
          <w:lang w:val="sk-SK"/>
        </w:rPr>
        <w:t>Väzba na plazmatické bielkoviny je približne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90</w:t>
      </w:r>
      <w:r w:rsidR="00DE545C">
        <w:rPr>
          <w:rFonts w:ascii="Times New Roman" w:eastAsia="Times New Roman" w:hAnsi="Times New Roman" w:cs="Times New Roman"/>
          <w:lang w:val="sk-SK"/>
        </w:rPr>
        <w:t> 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%. Gefitinib </w:t>
      </w:r>
      <w:r w:rsidR="00DE545C">
        <w:rPr>
          <w:rFonts w:ascii="Times New Roman" w:eastAsia="Times New Roman" w:hAnsi="Times New Roman" w:cs="Times New Roman"/>
          <w:lang w:val="sk-SK"/>
        </w:rPr>
        <w:t>sa viaže na sérový albumín a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DE545C">
        <w:rPr>
          <w:rFonts w:ascii="Times New Roman" w:eastAsia="Times New Roman" w:hAnsi="Times New Roman" w:cs="Times New Roman"/>
          <w:lang w:val="sk-SK"/>
        </w:rPr>
        <w:t>α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1</w:t>
      </w:r>
      <w:r w:rsidR="00444697" w:rsidRPr="00041C3D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="00DE545C">
        <w:rPr>
          <w:rFonts w:ascii="Times New Roman" w:eastAsia="Times New Roman" w:hAnsi="Times New Roman" w:cs="Times New Roman"/>
          <w:lang w:val="sk-SK"/>
        </w:rPr>
        <w:t>kyslý glykoproteí</w:t>
      </w:r>
      <w:r w:rsidR="00444697" w:rsidRPr="00041C3D">
        <w:rPr>
          <w:rFonts w:ascii="Times New Roman" w:eastAsia="Times New Roman" w:hAnsi="Times New Roman" w:cs="Times New Roman"/>
          <w:lang w:val="sk-SK"/>
        </w:rPr>
        <w:t>n.</w:t>
      </w:r>
    </w:p>
    <w:p w14:paraId="1EEBA13E" w14:textId="77777777" w:rsidR="00444697" w:rsidRPr="00041C3D" w:rsidRDefault="00444697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EEBA13F" w14:textId="7F2B012E" w:rsidR="00444697" w:rsidRPr="00041C3D" w:rsidRDefault="00444697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041C3D">
        <w:rPr>
          <w:rFonts w:ascii="Times New Roman" w:eastAsia="Times New Roman" w:hAnsi="Times New Roman" w:cs="Times New Roman"/>
          <w:i/>
          <w:lang w:val="sk-SK"/>
        </w:rPr>
        <w:t xml:space="preserve">In vitro </w:t>
      </w:r>
      <w:r w:rsidR="00DE545C">
        <w:rPr>
          <w:rFonts w:ascii="Times New Roman" w:eastAsia="Times New Roman" w:hAnsi="Times New Roman" w:cs="Times New Roman"/>
          <w:lang w:val="sk-SK"/>
        </w:rPr>
        <w:t>údaje</w:t>
      </w:r>
      <w:r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DE545C">
        <w:rPr>
          <w:rFonts w:ascii="Times New Roman" w:eastAsia="Times New Roman" w:hAnsi="Times New Roman" w:cs="Times New Roman"/>
          <w:lang w:val="sk-SK"/>
        </w:rPr>
        <w:t>naznačujú, že gefitinib je substrátom</w:t>
      </w:r>
      <w:r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886F11">
        <w:rPr>
          <w:rFonts w:ascii="Times New Roman" w:eastAsia="Times New Roman" w:hAnsi="Times New Roman" w:cs="Times New Roman"/>
          <w:lang w:val="sk-SK"/>
        </w:rPr>
        <w:t>membránového transportného proteínu Pg-p</w:t>
      </w:r>
      <w:r w:rsidRPr="00041C3D">
        <w:rPr>
          <w:rFonts w:ascii="Times New Roman" w:eastAsia="Times New Roman" w:hAnsi="Times New Roman" w:cs="Times New Roman"/>
          <w:lang w:val="sk-SK"/>
        </w:rPr>
        <w:t xml:space="preserve">. </w:t>
      </w:r>
    </w:p>
    <w:p w14:paraId="1EEBA140" w14:textId="77777777" w:rsidR="00444697" w:rsidRPr="00041C3D" w:rsidRDefault="00444697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EEBA141" w14:textId="106371FE" w:rsidR="00444697" w:rsidRPr="00041C3D" w:rsidRDefault="0031384F" w:rsidP="00473F05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u w:val="single" w:color="000000"/>
          <w:lang w:val="sk-SK"/>
        </w:rPr>
        <w:t>Biotransformácia</w:t>
      </w:r>
    </w:p>
    <w:p w14:paraId="1EEBA142" w14:textId="0E299646" w:rsidR="00444697" w:rsidRPr="00041C3D" w:rsidRDefault="00886F11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886F11">
        <w:rPr>
          <w:rFonts w:ascii="Times New Roman" w:eastAsia="Times New Roman" w:hAnsi="Times New Roman" w:cs="Times New Roman"/>
          <w:position w:val="1"/>
          <w:lang w:val="sk-SK"/>
        </w:rPr>
        <w:t>Údaje</w:t>
      </w:r>
      <w:r>
        <w:rPr>
          <w:rFonts w:ascii="Times New Roman" w:eastAsia="Times New Roman" w:hAnsi="Times New Roman" w:cs="Times New Roman"/>
          <w:i/>
          <w:position w:val="1"/>
          <w:lang w:val="sk-SK"/>
        </w:rPr>
        <w:t xml:space="preserve"> i</w:t>
      </w:r>
      <w:r w:rsidR="00444697" w:rsidRPr="00041C3D">
        <w:rPr>
          <w:rFonts w:ascii="Times New Roman" w:eastAsia="Times New Roman" w:hAnsi="Times New Roman" w:cs="Times New Roman"/>
          <w:i/>
          <w:position w:val="1"/>
          <w:lang w:val="sk-SK"/>
        </w:rPr>
        <w:t xml:space="preserve">n vitro </w:t>
      </w:r>
      <w:r w:rsidRPr="00886F11">
        <w:rPr>
          <w:rFonts w:ascii="Times New Roman" w:eastAsia="Times New Roman" w:hAnsi="Times New Roman" w:cs="Times New Roman"/>
          <w:position w:val="1"/>
          <w:lang w:val="sk-SK"/>
        </w:rPr>
        <w:t>naznačujú, že</w:t>
      </w:r>
      <w:r>
        <w:rPr>
          <w:rFonts w:ascii="Times New Roman" w:eastAsia="Times New Roman" w:hAnsi="Times New Roman" w:cs="Times New Roman"/>
          <w:position w:val="1"/>
          <w:lang w:val="sk-SK"/>
        </w:rPr>
        <w:t xml:space="preserve"> CYP3A4 a CYP2D6 sú</w:t>
      </w:r>
      <w:r w:rsidR="00444697" w:rsidRPr="00041C3D">
        <w:rPr>
          <w:rFonts w:ascii="Times New Roman" w:eastAsia="Times New Roman" w:hAnsi="Times New Roman" w:cs="Times New Roman"/>
          <w:position w:val="1"/>
          <w:lang w:val="sk-SK"/>
        </w:rPr>
        <w:t xml:space="preserve"> </w:t>
      </w:r>
      <w:r>
        <w:rPr>
          <w:rFonts w:ascii="Times New Roman" w:eastAsia="Times New Roman" w:hAnsi="Times New Roman" w:cs="Times New Roman"/>
          <w:position w:val="1"/>
          <w:lang w:val="sk-SK"/>
        </w:rPr>
        <w:t xml:space="preserve">hlavnými izoenzýmami </w:t>
      </w:r>
      <w:r w:rsidR="00444697" w:rsidRPr="00041C3D">
        <w:rPr>
          <w:rFonts w:ascii="Times New Roman" w:eastAsia="Times New Roman" w:hAnsi="Times New Roman" w:cs="Times New Roman"/>
          <w:position w:val="1"/>
          <w:lang w:val="sk-SK"/>
        </w:rPr>
        <w:t>P450</w:t>
      </w:r>
      <w:r>
        <w:rPr>
          <w:rFonts w:ascii="Times New Roman" w:eastAsia="Times New Roman" w:hAnsi="Times New Roman" w:cs="Times New Roman"/>
          <w:position w:val="1"/>
          <w:lang w:val="sk-SK"/>
        </w:rPr>
        <w:t>, podieľajúcimi sa na oxidačnom metabolizme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gefitinib</w:t>
      </w:r>
      <w:r>
        <w:rPr>
          <w:rFonts w:ascii="Times New Roman" w:eastAsia="Times New Roman" w:hAnsi="Times New Roman" w:cs="Times New Roman"/>
          <w:lang w:val="sk-SK"/>
        </w:rPr>
        <w:t>u</w:t>
      </w:r>
      <w:r w:rsidR="00444697" w:rsidRPr="00041C3D">
        <w:rPr>
          <w:rFonts w:ascii="Times New Roman" w:eastAsia="Times New Roman" w:hAnsi="Times New Roman" w:cs="Times New Roman"/>
          <w:lang w:val="sk-SK"/>
        </w:rPr>
        <w:t>.</w:t>
      </w:r>
    </w:p>
    <w:p w14:paraId="1EEBA143" w14:textId="40226BFD" w:rsidR="00444697" w:rsidRPr="00041C3D" w:rsidRDefault="00886F11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886F11">
        <w:rPr>
          <w:rFonts w:ascii="Times New Roman" w:eastAsia="Times New Roman" w:hAnsi="Times New Roman" w:cs="Times New Roman"/>
          <w:lang w:val="sk-SK"/>
        </w:rPr>
        <w:t>Štúdie</w:t>
      </w:r>
      <w:r>
        <w:rPr>
          <w:rFonts w:ascii="Times New Roman" w:eastAsia="Times New Roman" w:hAnsi="Times New Roman" w:cs="Times New Roman"/>
          <w:i/>
          <w:lang w:val="sk-SK"/>
        </w:rPr>
        <w:t xml:space="preserve"> i</w:t>
      </w:r>
      <w:r w:rsidR="00444697" w:rsidRPr="00041C3D">
        <w:rPr>
          <w:rFonts w:ascii="Times New Roman" w:eastAsia="Times New Roman" w:hAnsi="Times New Roman" w:cs="Times New Roman"/>
          <w:i/>
          <w:lang w:val="sk-SK"/>
        </w:rPr>
        <w:t xml:space="preserve">n vitro </w:t>
      </w:r>
      <w:r w:rsidR="00B7355D" w:rsidRPr="00B7355D">
        <w:rPr>
          <w:rFonts w:ascii="Times New Roman" w:eastAsia="Times New Roman" w:hAnsi="Times New Roman" w:cs="Times New Roman"/>
          <w:lang w:val="sk-SK"/>
        </w:rPr>
        <w:t>pre</w:t>
      </w:r>
      <w:r w:rsidRPr="00B7355D"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lang w:val="sk-SK"/>
        </w:rPr>
        <w:t>kázali, že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gefitinib </w:t>
      </w:r>
      <w:r w:rsidR="00C16D0D">
        <w:rPr>
          <w:rFonts w:ascii="Times New Roman" w:eastAsia="Times New Roman" w:hAnsi="Times New Roman" w:cs="Times New Roman"/>
          <w:lang w:val="sk-SK"/>
        </w:rPr>
        <w:t xml:space="preserve">má obmedzenú schopnosť inhibovať 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CYP2D6. Gefitinib </w:t>
      </w:r>
      <w:r w:rsidR="00C16D0D">
        <w:rPr>
          <w:rFonts w:ascii="Times New Roman" w:eastAsia="Times New Roman" w:hAnsi="Times New Roman" w:cs="Times New Roman"/>
          <w:lang w:val="sk-SK"/>
        </w:rPr>
        <w:t>nevykazuje v štúdiách na zvieratách účinok na indukciu enzýmov, ani významnú inhibíciu (</w:t>
      </w:r>
      <w:r w:rsidR="00C16D0D" w:rsidRPr="00553BDD">
        <w:rPr>
          <w:rFonts w:ascii="Times New Roman" w:eastAsia="Times New Roman" w:hAnsi="Times New Roman" w:cs="Times New Roman"/>
          <w:i/>
          <w:lang w:val="sk-SK"/>
        </w:rPr>
        <w:t>in vitro</w:t>
      </w:r>
      <w:r w:rsidR="00C16D0D">
        <w:rPr>
          <w:rFonts w:ascii="Times New Roman" w:eastAsia="Times New Roman" w:hAnsi="Times New Roman" w:cs="Times New Roman"/>
          <w:lang w:val="sk-SK"/>
        </w:rPr>
        <w:t>) akéhokoľvek iného enzýmu cytochrómu</w:t>
      </w:r>
      <w:r w:rsidR="00444697" w:rsidRPr="00041C3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444697" w:rsidRPr="00041C3D">
        <w:rPr>
          <w:rFonts w:ascii="Times New Roman" w:eastAsia="Times New Roman" w:hAnsi="Times New Roman" w:cs="Times New Roman"/>
          <w:lang w:val="sk-SK"/>
        </w:rPr>
        <w:t>P450.</w:t>
      </w:r>
    </w:p>
    <w:p w14:paraId="1EEBA144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45" w14:textId="6B10735A" w:rsidR="00444697" w:rsidRPr="00041C3D" w:rsidRDefault="00444697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041C3D">
        <w:rPr>
          <w:rFonts w:ascii="Times New Roman" w:eastAsia="Times New Roman" w:hAnsi="Times New Roman" w:cs="Times New Roman"/>
          <w:lang w:val="sk-SK"/>
        </w:rPr>
        <w:t xml:space="preserve">Gefitinib </w:t>
      </w:r>
      <w:r w:rsidR="00C16D0D">
        <w:rPr>
          <w:rFonts w:ascii="Times New Roman" w:eastAsia="Times New Roman" w:hAnsi="Times New Roman" w:cs="Times New Roman"/>
          <w:lang w:val="sk-SK"/>
        </w:rPr>
        <w:t xml:space="preserve">sa u ľudí extenzívne metabolizuje. </w:t>
      </w:r>
      <w:r w:rsidR="00E5217C">
        <w:rPr>
          <w:rFonts w:ascii="Times New Roman" w:eastAsia="Times New Roman" w:hAnsi="Times New Roman" w:cs="Times New Roman"/>
          <w:lang w:val="sk-SK"/>
        </w:rPr>
        <w:t>V </w:t>
      </w:r>
      <w:r w:rsidR="00E0509B">
        <w:rPr>
          <w:rFonts w:ascii="Times New Roman" w:eastAsia="Times New Roman" w:hAnsi="Times New Roman" w:cs="Times New Roman"/>
          <w:lang w:val="sk-SK"/>
        </w:rPr>
        <w:t>exkrétoch</w:t>
      </w:r>
      <w:r w:rsidR="00E5217C">
        <w:rPr>
          <w:rFonts w:ascii="Times New Roman" w:eastAsia="Times New Roman" w:hAnsi="Times New Roman" w:cs="Times New Roman"/>
          <w:lang w:val="sk-SK"/>
        </w:rPr>
        <w:t xml:space="preserve"> bolo kompletne identifikovaných p</w:t>
      </w:r>
      <w:r w:rsidR="00C16D0D">
        <w:rPr>
          <w:rFonts w:ascii="Times New Roman" w:eastAsia="Times New Roman" w:hAnsi="Times New Roman" w:cs="Times New Roman"/>
          <w:lang w:val="sk-SK"/>
        </w:rPr>
        <w:t>äť</w:t>
      </w:r>
      <w:r w:rsidR="00E5217C">
        <w:rPr>
          <w:rFonts w:ascii="Times New Roman" w:eastAsia="Times New Roman" w:hAnsi="Times New Roman" w:cs="Times New Roman"/>
          <w:lang w:val="sk-SK"/>
        </w:rPr>
        <w:t xml:space="preserve"> metabolitov</w:t>
      </w:r>
      <w:r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E5217C">
        <w:rPr>
          <w:rFonts w:ascii="Times New Roman" w:eastAsia="Times New Roman" w:hAnsi="Times New Roman" w:cs="Times New Roman"/>
          <w:lang w:val="sk-SK"/>
        </w:rPr>
        <w:t>a v plazme 8</w:t>
      </w:r>
      <w:r w:rsidR="001D7446">
        <w:rPr>
          <w:rFonts w:ascii="Times New Roman" w:eastAsia="Times New Roman" w:hAnsi="Times New Roman" w:cs="Times New Roman"/>
          <w:lang w:val="sk-SK"/>
        </w:rPr>
        <w:t> </w:t>
      </w:r>
      <w:r w:rsidR="00E5217C">
        <w:rPr>
          <w:rFonts w:ascii="Times New Roman" w:eastAsia="Times New Roman" w:hAnsi="Times New Roman" w:cs="Times New Roman"/>
          <w:lang w:val="sk-SK"/>
        </w:rPr>
        <w:t xml:space="preserve">metabolitov. Hlavným identifikovaným metablitom bol </w:t>
      </w:r>
      <w:r w:rsidRPr="00041C3D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041C3D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041C3D">
        <w:rPr>
          <w:rFonts w:ascii="Times New Roman" w:eastAsia="Times New Roman" w:hAnsi="Times New Roman" w:cs="Times New Roman"/>
          <w:lang w:val="sk-SK"/>
        </w:rPr>
        <w:t xml:space="preserve">demetyl gefitinib, </w:t>
      </w:r>
      <w:r w:rsidR="00E5217C">
        <w:rPr>
          <w:rFonts w:ascii="Times New Roman" w:eastAsia="Times New Roman" w:hAnsi="Times New Roman" w:cs="Times New Roman"/>
          <w:lang w:val="sk-SK"/>
        </w:rPr>
        <w:t>ktor</w:t>
      </w:r>
      <w:r w:rsidR="00E0509B">
        <w:rPr>
          <w:rFonts w:ascii="Times New Roman" w:eastAsia="Times New Roman" w:hAnsi="Times New Roman" w:cs="Times New Roman"/>
          <w:lang w:val="sk-SK"/>
        </w:rPr>
        <w:t>ý</w:t>
      </w:r>
      <w:r w:rsidR="00E5217C">
        <w:rPr>
          <w:rFonts w:ascii="Times New Roman" w:eastAsia="Times New Roman" w:hAnsi="Times New Roman" w:cs="Times New Roman"/>
          <w:lang w:val="sk-SK"/>
        </w:rPr>
        <w:t xml:space="preserve"> je </w:t>
      </w:r>
      <w:r w:rsidRPr="00041C3D">
        <w:rPr>
          <w:rFonts w:ascii="Times New Roman" w:eastAsia="Times New Roman" w:hAnsi="Times New Roman" w:cs="Times New Roman"/>
          <w:lang w:val="sk-SK"/>
        </w:rPr>
        <w:t>14</w:t>
      </w:r>
      <w:r w:rsidRPr="00041C3D">
        <w:rPr>
          <w:rFonts w:ascii="Times New Roman" w:eastAsia="Times New Roman" w:hAnsi="Times New Roman" w:cs="Times New Roman"/>
          <w:spacing w:val="-4"/>
          <w:lang w:val="sk-SK"/>
        </w:rPr>
        <w:noBreakHyphen/>
      </w:r>
      <w:r w:rsidR="00E5217C">
        <w:rPr>
          <w:rFonts w:ascii="Times New Roman" w:eastAsia="Times New Roman" w:hAnsi="Times New Roman" w:cs="Times New Roman"/>
          <w:lang w:val="sk-SK"/>
        </w:rPr>
        <w:t>násobne</w:t>
      </w:r>
      <w:r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E5217C">
        <w:rPr>
          <w:rFonts w:ascii="Times New Roman" w:eastAsia="Times New Roman" w:hAnsi="Times New Roman" w:cs="Times New Roman"/>
          <w:lang w:val="sk-SK"/>
        </w:rPr>
        <w:t>menej účinný ako gefitinib v inhibícii EGFR stimulovaného bunkového rastu a nemal žiadny inhibičný účinok na rast nádorových buniek u myší</w:t>
      </w:r>
      <w:r w:rsidRPr="00041C3D">
        <w:rPr>
          <w:rFonts w:ascii="Times New Roman" w:eastAsia="Times New Roman" w:hAnsi="Times New Roman" w:cs="Times New Roman"/>
          <w:lang w:val="sk-SK"/>
        </w:rPr>
        <w:t xml:space="preserve">. </w:t>
      </w:r>
      <w:r w:rsidR="00E5217C">
        <w:rPr>
          <w:rFonts w:ascii="Times New Roman" w:eastAsia="Times New Roman" w:hAnsi="Times New Roman" w:cs="Times New Roman"/>
          <w:lang w:val="sk-SK"/>
        </w:rPr>
        <w:t xml:space="preserve">Nepredpokladá sa preto, že by prispieval ku klinickej aktivite gefitinibu. </w:t>
      </w:r>
    </w:p>
    <w:p w14:paraId="1EEBA146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47" w14:textId="63CB5AEC" w:rsidR="00444697" w:rsidRPr="00041C3D" w:rsidRDefault="004038E8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 xml:space="preserve">V skúškach </w:t>
      </w:r>
      <w:r w:rsidRPr="00041C3D">
        <w:rPr>
          <w:rFonts w:ascii="Times New Roman" w:eastAsia="Times New Roman" w:hAnsi="Times New Roman" w:cs="Times New Roman"/>
          <w:i/>
          <w:lang w:val="sk-SK"/>
        </w:rPr>
        <w:t>in vitro</w:t>
      </w:r>
      <w:r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 xml:space="preserve">sa preukázalo, že tvorba </w:t>
      </w:r>
      <w:r w:rsidR="00444697" w:rsidRPr="00041C3D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="00444697" w:rsidRPr="00041C3D">
        <w:rPr>
          <w:rFonts w:ascii="Times New Roman" w:eastAsia="Times New Roman" w:hAnsi="Times New Roman" w:cs="Times New Roman"/>
          <w:spacing w:val="-4"/>
          <w:lang w:val="sk-SK"/>
        </w:rPr>
        <w:noBreakHyphen/>
      </w:r>
      <w:r w:rsidR="00E33406">
        <w:rPr>
          <w:rFonts w:ascii="Times New Roman" w:eastAsia="Times New Roman" w:hAnsi="Times New Roman" w:cs="Times New Roman"/>
          <w:lang w:val="sk-SK"/>
        </w:rPr>
        <w:t>demet</w:t>
      </w:r>
      <w:r w:rsidR="00444697" w:rsidRPr="00041C3D">
        <w:rPr>
          <w:rFonts w:ascii="Times New Roman" w:eastAsia="Times New Roman" w:hAnsi="Times New Roman" w:cs="Times New Roman"/>
          <w:lang w:val="sk-SK"/>
        </w:rPr>
        <w:t>yl gefitinib</w:t>
      </w:r>
      <w:r>
        <w:rPr>
          <w:rFonts w:ascii="Times New Roman" w:eastAsia="Times New Roman" w:hAnsi="Times New Roman" w:cs="Times New Roman"/>
          <w:lang w:val="sk-SK"/>
        </w:rPr>
        <w:t>u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prebieha prostredníctvom CYP2D6. Úloha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CYP2D6 </w:t>
      </w:r>
      <w:r>
        <w:rPr>
          <w:rFonts w:ascii="Times New Roman" w:eastAsia="Times New Roman" w:hAnsi="Times New Roman" w:cs="Times New Roman"/>
          <w:lang w:val="sk-SK"/>
        </w:rPr>
        <w:t>v metab</w:t>
      </w:r>
      <w:r w:rsidR="00B17BD0">
        <w:rPr>
          <w:rFonts w:ascii="Times New Roman" w:eastAsia="Times New Roman" w:hAnsi="Times New Roman" w:cs="Times New Roman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 xml:space="preserve">lickom klírense </w:t>
      </w:r>
      <w:r w:rsidR="00444697" w:rsidRPr="00041C3D">
        <w:rPr>
          <w:rFonts w:ascii="Times New Roman" w:eastAsia="Times New Roman" w:hAnsi="Times New Roman" w:cs="Times New Roman"/>
          <w:lang w:val="sk-SK"/>
        </w:rPr>
        <w:t>gefitinib</w:t>
      </w:r>
      <w:r>
        <w:rPr>
          <w:rFonts w:ascii="Times New Roman" w:eastAsia="Times New Roman" w:hAnsi="Times New Roman" w:cs="Times New Roman"/>
          <w:lang w:val="sk-SK"/>
        </w:rPr>
        <w:t>u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bola hodnotená v klinickom skúšaní u zdravých dobrovoľníkov</w:t>
      </w:r>
      <w:r w:rsidR="00B21715"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lang w:val="sk-SK"/>
        </w:rPr>
        <w:t xml:space="preserve"> </w:t>
      </w:r>
      <w:r w:rsidR="00E0509B">
        <w:rPr>
          <w:rFonts w:ascii="Times New Roman" w:eastAsia="Times New Roman" w:hAnsi="Times New Roman" w:cs="Times New Roman"/>
          <w:lang w:val="sk-SK"/>
        </w:rPr>
        <w:t>so stanoveným genotypom</w:t>
      </w:r>
      <w:r w:rsidR="00B21715" w:rsidRPr="00B21715">
        <w:rPr>
          <w:rFonts w:ascii="Times New Roman" w:eastAsia="Times New Roman" w:hAnsi="Times New Roman" w:cs="Times New Roman"/>
          <w:lang w:val="sk-SK"/>
        </w:rPr>
        <w:t xml:space="preserve"> CYP2D6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. </w:t>
      </w:r>
      <w:r w:rsidR="00B21715">
        <w:rPr>
          <w:rFonts w:ascii="Times New Roman" w:eastAsia="Times New Roman" w:hAnsi="Times New Roman" w:cs="Times New Roman"/>
          <w:lang w:val="sk-SK"/>
        </w:rPr>
        <w:t>U </w:t>
      </w:r>
      <w:r w:rsidR="00E0509B">
        <w:rPr>
          <w:rFonts w:ascii="Times New Roman" w:eastAsia="Times New Roman" w:hAnsi="Times New Roman" w:cs="Times New Roman"/>
          <w:lang w:val="sk-SK"/>
        </w:rPr>
        <w:t>pomalých</w:t>
      </w:r>
      <w:r w:rsidR="00B21715">
        <w:rPr>
          <w:rFonts w:ascii="Times New Roman" w:eastAsia="Times New Roman" w:hAnsi="Times New Roman" w:cs="Times New Roman"/>
          <w:lang w:val="sk-SK"/>
        </w:rPr>
        <w:t xml:space="preserve"> metabolizérov </w:t>
      </w:r>
      <w:r w:rsidR="00E33406">
        <w:rPr>
          <w:rFonts w:ascii="Times New Roman" w:eastAsia="Times New Roman" w:hAnsi="Times New Roman" w:cs="Times New Roman"/>
          <w:lang w:val="sk-SK"/>
        </w:rPr>
        <w:t>neboli vy</w:t>
      </w:r>
      <w:r w:rsidR="00E0509B">
        <w:rPr>
          <w:rFonts w:ascii="Times New Roman" w:eastAsia="Times New Roman" w:hAnsi="Times New Roman" w:cs="Times New Roman"/>
          <w:lang w:val="sk-SK"/>
        </w:rPr>
        <w:t>tvorené</w:t>
      </w:r>
      <w:r w:rsidR="00E33406">
        <w:rPr>
          <w:rFonts w:ascii="Times New Roman" w:eastAsia="Times New Roman" w:hAnsi="Times New Roman" w:cs="Times New Roman"/>
          <w:lang w:val="sk-SK"/>
        </w:rPr>
        <w:t xml:space="preserve"> merateľné hladiny </w:t>
      </w:r>
      <w:r w:rsidR="00444697" w:rsidRPr="00041C3D">
        <w:rPr>
          <w:rFonts w:ascii="Times New Roman" w:eastAsia="Times New Roman" w:hAnsi="Times New Roman" w:cs="Times New Roman"/>
          <w:spacing w:val="-3"/>
          <w:lang w:val="sk-SK"/>
        </w:rPr>
        <w:t>O</w:t>
      </w:r>
      <w:r w:rsidR="00444697" w:rsidRPr="00041C3D">
        <w:rPr>
          <w:rFonts w:ascii="Times New Roman" w:eastAsia="Times New Roman" w:hAnsi="Times New Roman" w:cs="Times New Roman"/>
          <w:spacing w:val="-4"/>
          <w:lang w:val="sk-SK"/>
        </w:rPr>
        <w:noBreakHyphen/>
      </w:r>
      <w:r w:rsidR="00444697" w:rsidRPr="00041C3D">
        <w:rPr>
          <w:rFonts w:ascii="Times New Roman" w:eastAsia="Times New Roman" w:hAnsi="Times New Roman" w:cs="Times New Roman"/>
          <w:spacing w:val="1"/>
          <w:lang w:val="sk-SK"/>
        </w:rPr>
        <w:t>de</w:t>
      </w:r>
      <w:r w:rsidR="00444697" w:rsidRPr="00041C3D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E33406">
        <w:rPr>
          <w:rFonts w:ascii="Times New Roman" w:eastAsia="Times New Roman" w:hAnsi="Times New Roman" w:cs="Times New Roman"/>
          <w:lang w:val="sk-SK"/>
        </w:rPr>
        <w:t>et</w:t>
      </w:r>
      <w:r w:rsidR="00444697" w:rsidRPr="00041C3D">
        <w:rPr>
          <w:rFonts w:ascii="Times New Roman" w:eastAsia="Times New Roman" w:hAnsi="Times New Roman" w:cs="Times New Roman"/>
          <w:lang w:val="sk-SK"/>
        </w:rPr>
        <w:t>yl gefitinib</w:t>
      </w:r>
      <w:r w:rsidR="00E33406">
        <w:rPr>
          <w:rFonts w:ascii="Times New Roman" w:eastAsia="Times New Roman" w:hAnsi="Times New Roman" w:cs="Times New Roman"/>
          <w:lang w:val="sk-SK"/>
        </w:rPr>
        <w:t>u</w:t>
      </w:r>
      <w:r w:rsidR="0027738A">
        <w:rPr>
          <w:rFonts w:ascii="Times New Roman" w:eastAsia="Times New Roman" w:hAnsi="Times New Roman" w:cs="Times New Roman"/>
          <w:lang w:val="sk-SK"/>
        </w:rPr>
        <w:t>.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27738A">
        <w:rPr>
          <w:rFonts w:ascii="Times New Roman" w:eastAsia="Times New Roman" w:hAnsi="Times New Roman" w:cs="Times New Roman"/>
          <w:lang w:val="sk-SK"/>
        </w:rPr>
        <w:t>Hladiny expozície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gefitinib</w:t>
      </w:r>
      <w:r w:rsidR="0027738A">
        <w:rPr>
          <w:rFonts w:ascii="Times New Roman" w:eastAsia="Times New Roman" w:hAnsi="Times New Roman" w:cs="Times New Roman"/>
          <w:lang w:val="sk-SK"/>
        </w:rPr>
        <w:t>u dosiahnuté u</w:t>
      </w:r>
      <w:r w:rsidR="00E0509B">
        <w:rPr>
          <w:rFonts w:ascii="Times New Roman" w:eastAsia="Times New Roman" w:hAnsi="Times New Roman" w:cs="Times New Roman"/>
          <w:lang w:val="sk-SK"/>
        </w:rPr>
        <w:t xml:space="preserve"> skupiny rýchlych </w:t>
      </w:r>
      <w:r w:rsidR="0027738A">
        <w:rPr>
          <w:rFonts w:ascii="Times New Roman" w:eastAsia="Times New Roman" w:hAnsi="Times New Roman" w:cs="Times New Roman"/>
          <w:lang w:val="sk-SK"/>
        </w:rPr>
        <w:t>metabolizérov, ako aj u</w:t>
      </w:r>
      <w:r w:rsidR="00E0509B">
        <w:rPr>
          <w:rFonts w:ascii="Times New Roman" w:eastAsia="Times New Roman" w:hAnsi="Times New Roman" w:cs="Times New Roman"/>
          <w:lang w:val="sk-SK"/>
        </w:rPr>
        <w:t xml:space="preserve"> pomalých</w:t>
      </w:r>
      <w:r w:rsidR="0027738A">
        <w:rPr>
          <w:rFonts w:ascii="Times New Roman" w:eastAsia="Times New Roman" w:hAnsi="Times New Roman" w:cs="Times New Roman"/>
          <w:lang w:val="sk-SK"/>
        </w:rPr>
        <w:t xml:space="preserve"> metabolizérov </w:t>
      </w:r>
      <w:r w:rsidR="000C3E7D">
        <w:rPr>
          <w:rFonts w:ascii="Times New Roman" w:eastAsia="Times New Roman" w:hAnsi="Times New Roman" w:cs="Times New Roman"/>
          <w:lang w:val="sk-SK"/>
        </w:rPr>
        <w:t xml:space="preserve">mali širokú škálu hodnôt a prekrývali sa, ale priemerná expozícia gefitinibu bola </w:t>
      </w:r>
      <w:r w:rsidR="00444697" w:rsidRPr="00041C3D">
        <w:rPr>
          <w:rFonts w:ascii="Times New Roman" w:eastAsia="Times New Roman" w:hAnsi="Times New Roman" w:cs="Times New Roman"/>
          <w:lang w:val="sk-SK"/>
        </w:rPr>
        <w:t>2</w:t>
      </w:r>
      <w:r w:rsidR="00444697" w:rsidRPr="00041C3D">
        <w:rPr>
          <w:rFonts w:ascii="Times New Roman" w:eastAsia="Times New Roman" w:hAnsi="Times New Roman" w:cs="Times New Roman"/>
          <w:spacing w:val="-4"/>
          <w:lang w:val="sk-SK"/>
        </w:rPr>
        <w:noBreakHyphen/>
      </w:r>
      <w:r w:rsidR="000C3E7D">
        <w:rPr>
          <w:rFonts w:ascii="Times New Roman" w:eastAsia="Times New Roman" w:hAnsi="Times New Roman" w:cs="Times New Roman"/>
          <w:lang w:val="sk-SK"/>
        </w:rPr>
        <w:t>násobne vyššia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7D496B">
        <w:rPr>
          <w:rFonts w:ascii="Times New Roman" w:eastAsia="Times New Roman" w:hAnsi="Times New Roman" w:cs="Times New Roman"/>
          <w:lang w:val="sk-SK"/>
        </w:rPr>
        <w:t xml:space="preserve">v skupine </w:t>
      </w:r>
      <w:r w:rsidR="00E0509B">
        <w:rPr>
          <w:rFonts w:ascii="Times New Roman" w:eastAsia="Times New Roman" w:hAnsi="Times New Roman" w:cs="Times New Roman"/>
          <w:lang w:val="sk-SK"/>
        </w:rPr>
        <w:t>pomalých</w:t>
      </w:r>
      <w:r w:rsidR="007D496B">
        <w:rPr>
          <w:rFonts w:ascii="Times New Roman" w:eastAsia="Times New Roman" w:hAnsi="Times New Roman" w:cs="Times New Roman"/>
          <w:lang w:val="sk-SK"/>
        </w:rPr>
        <w:t xml:space="preserve"> metabolizérov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. </w:t>
      </w:r>
      <w:r w:rsidR="007D496B">
        <w:rPr>
          <w:rFonts w:ascii="Times New Roman" w:eastAsia="Times New Roman" w:hAnsi="Times New Roman" w:cs="Times New Roman"/>
          <w:lang w:val="sk-SK"/>
        </w:rPr>
        <w:t xml:space="preserve">Vyššie priemerné expozície, ktoré by mohli byť dosiahnuté u ľudí bez aktívneho </w:t>
      </w:r>
      <w:r w:rsidR="00444697" w:rsidRPr="00041C3D">
        <w:rPr>
          <w:rFonts w:ascii="Times New Roman" w:eastAsia="Times New Roman" w:hAnsi="Times New Roman" w:cs="Times New Roman"/>
          <w:lang w:val="sk-SK"/>
        </w:rPr>
        <w:t>CYP2D6</w:t>
      </w:r>
      <w:r w:rsidR="007D496B">
        <w:rPr>
          <w:rFonts w:ascii="Times New Roman" w:eastAsia="Times New Roman" w:hAnsi="Times New Roman" w:cs="Times New Roman"/>
          <w:lang w:val="sk-SK"/>
        </w:rPr>
        <w:t xml:space="preserve">, môžu byť klinicky relevantné, </w:t>
      </w:r>
      <w:r w:rsidR="00647E87" w:rsidRPr="00647E87">
        <w:rPr>
          <w:rFonts w:ascii="Times New Roman" w:eastAsia="Times New Roman" w:hAnsi="Times New Roman" w:cs="Times New Roman"/>
          <w:lang w:val="sk-SK"/>
        </w:rPr>
        <w:t>keďže</w:t>
      </w:r>
      <w:r w:rsidR="007D496B">
        <w:rPr>
          <w:rFonts w:ascii="Times New Roman" w:eastAsia="Times New Roman" w:hAnsi="Times New Roman" w:cs="Times New Roman"/>
          <w:lang w:val="sk-SK"/>
        </w:rPr>
        <w:t xml:space="preserve"> nežiaduce účinky súvisia s dávkou a expozíciou</w:t>
      </w:r>
      <w:r w:rsidR="00444697" w:rsidRPr="00041C3D">
        <w:rPr>
          <w:rFonts w:ascii="Times New Roman" w:eastAsia="Times New Roman" w:hAnsi="Times New Roman" w:cs="Times New Roman"/>
          <w:lang w:val="sk-SK"/>
        </w:rPr>
        <w:t>.</w:t>
      </w:r>
    </w:p>
    <w:p w14:paraId="1EEBA148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49" w14:textId="27492EBE" w:rsidR="00444697" w:rsidRPr="00041C3D" w:rsidRDefault="0031384F" w:rsidP="00473F05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u w:val="single" w:color="000000"/>
          <w:lang w:val="sk-SK"/>
        </w:rPr>
        <w:lastRenderedPageBreak/>
        <w:t>Eliminácia</w:t>
      </w:r>
    </w:p>
    <w:p w14:paraId="1EEBA14A" w14:textId="305CDAE4" w:rsidR="00444697" w:rsidRPr="00041C3D" w:rsidRDefault="00444697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041C3D">
        <w:rPr>
          <w:rFonts w:ascii="Times New Roman" w:eastAsia="Times New Roman" w:hAnsi="Times New Roman" w:cs="Times New Roman"/>
          <w:lang w:val="sk-SK"/>
        </w:rPr>
        <w:t xml:space="preserve">Gefitinib </w:t>
      </w:r>
      <w:r w:rsidR="007D496B">
        <w:rPr>
          <w:rFonts w:ascii="Times New Roman" w:eastAsia="Times New Roman" w:hAnsi="Times New Roman" w:cs="Times New Roman"/>
          <w:lang w:val="sk-SK"/>
        </w:rPr>
        <w:t>sa vylučuje prevažne vo forme metabolitov stolicou</w:t>
      </w:r>
      <w:r w:rsidRPr="00041C3D">
        <w:rPr>
          <w:rFonts w:ascii="Times New Roman" w:eastAsia="Times New Roman" w:hAnsi="Times New Roman" w:cs="Times New Roman"/>
          <w:lang w:val="sk-SK"/>
        </w:rPr>
        <w:t xml:space="preserve">, </w:t>
      </w:r>
      <w:r w:rsidR="007D496B">
        <w:rPr>
          <w:rFonts w:ascii="Times New Roman" w:eastAsia="Times New Roman" w:hAnsi="Times New Roman" w:cs="Times New Roman"/>
          <w:lang w:val="sk-SK"/>
        </w:rPr>
        <w:t xml:space="preserve">eliminácia </w:t>
      </w:r>
      <w:r w:rsidRPr="00041C3D">
        <w:rPr>
          <w:rFonts w:ascii="Times New Roman" w:eastAsia="Times New Roman" w:hAnsi="Times New Roman" w:cs="Times New Roman"/>
          <w:lang w:val="sk-SK"/>
        </w:rPr>
        <w:t>gefitinib</w:t>
      </w:r>
      <w:r w:rsidR="007D496B">
        <w:rPr>
          <w:rFonts w:ascii="Times New Roman" w:eastAsia="Times New Roman" w:hAnsi="Times New Roman" w:cs="Times New Roman"/>
          <w:lang w:val="sk-SK"/>
        </w:rPr>
        <w:t>u a jeho metabolitov</w:t>
      </w:r>
      <w:r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7D496B">
        <w:rPr>
          <w:rFonts w:ascii="Times New Roman" w:eastAsia="Times New Roman" w:hAnsi="Times New Roman" w:cs="Times New Roman"/>
          <w:lang w:val="sk-SK"/>
        </w:rPr>
        <w:t xml:space="preserve">obličkami predstavuje menej ako </w:t>
      </w:r>
      <w:r w:rsidRPr="00041C3D">
        <w:rPr>
          <w:rFonts w:ascii="Times New Roman" w:eastAsia="Times New Roman" w:hAnsi="Times New Roman" w:cs="Times New Roman"/>
          <w:lang w:val="sk-SK"/>
        </w:rPr>
        <w:t>4</w:t>
      </w:r>
      <w:r w:rsidR="007D496B">
        <w:rPr>
          <w:rFonts w:ascii="Times New Roman" w:eastAsia="Times New Roman" w:hAnsi="Times New Roman" w:cs="Times New Roman"/>
          <w:lang w:val="sk-SK"/>
        </w:rPr>
        <w:t> </w:t>
      </w:r>
      <w:r w:rsidRPr="00041C3D">
        <w:rPr>
          <w:rFonts w:ascii="Times New Roman" w:eastAsia="Times New Roman" w:hAnsi="Times New Roman" w:cs="Times New Roman"/>
          <w:lang w:val="sk-SK"/>
        </w:rPr>
        <w:t xml:space="preserve">% </w:t>
      </w:r>
      <w:r w:rsidR="00901293">
        <w:rPr>
          <w:rFonts w:ascii="Times New Roman" w:eastAsia="Times New Roman" w:hAnsi="Times New Roman" w:cs="Times New Roman"/>
          <w:lang w:val="sk-SK"/>
        </w:rPr>
        <w:t>podanej dávky</w:t>
      </w:r>
      <w:r w:rsidRPr="00041C3D">
        <w:rPr>
          <w:rFonts w:ascii="Times New Roman" w:eastAsia="Times New Roman" w:hAnsi="Times New Roman" w:cs="Times New Roman"/>
          <w:lang w:val="sk-SK"/>
        </w:rPr>
        <w:t>.</w:t>
      </w:r>
    </w:p>
    <w:p w14:paraId="1EEBA14B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4C" w14:textId="49229916" w:rsidR="00444697" w:rsidRPr="00041C3D" w:rsidRDefault="00901293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Celkový plazmatický klírens g</w:t>
      </w:r>
      <w:r w:rsidR="00444697" w:rsidRPr="00041C3D">
        <w:rPr>
          <w:rFonts w:ascii="Times New Roman" w:eastAsia="Times New Roman" w:hAnsi="Times New Roman" w:cs="Times New Roman"/>
          <w:lang w:val="sk-SK"/>
        </w:rPr>
        <w:t>efitinib</w:t>
      </w:r>
      <w:r>
        <w:rPr>
          <w:rFonts w:ascii="Times New Roman" w:eastAsia="Times New Roman" w:hAnsi="Times New Roman" w:cs="Times New Roman"/>
          <w:lang w:val="sk-SK"/>
        </w:rPr>
        <w:t xml:space="preserve">u je približne </w:t>
      </w:r>
      <w:r w:rsidR="00444697" w:rsidRPr="00041C3D">
        <w:rPr>
          <w:rFonts w:ascii="Times New Roman" w:eastAsia="Times New Roman" w:hAnsi="Times New Roman" w:cs="Times New Roman"/>
          <w:lang w:val="sk-SK"/>
        </w:rPr>
        <w:t>500</w:t>
      </w:r>
      <w:r w:rsidR="00444697" w:rsidRPr="00041C3D">
        <w:rPr>
          <w:rFonts w:ascii="Times New Roman" w:eastAsia="Times New Roman" w:hAnsi="Times New Roman" w:cs="Times New Roman"/>
          <w:spacing w:val="-3"/>
          <w:lang w:val="sk-SK"/>
        </w:rPr>
        <w:t> </w:t>
      </w:r>
      <w:r>
        <w:rPr>
          <w:rFonts w:ascii="Times New Roman" w:eastAsia="Times New Roman" w:hAnsi="Times New Roman" w:cs="Times New Roman"/>
          <w:lang w:val="sk-SK"/>
        </w:rPr>
        <w:t>ml/min a priemerný terminá</w:t>
      </w:r>
      <w:r w:rsidR="00444697" w:rsidRPr="00041C3D">
        <w:rPr>
          <w:rFonts w:ascii="Times New Roman" w:eastAsia="Times New Roman" w:hAnsi="Times New Roman" w:cs="Times New Roman"/>
          <w:lang w:val="sk-SK"/>
        </w:rPr>
        <w:t>l</w:t>
      </w:r>
      <w:r>
        <w:rPr>
          <w:rFonts w:ascii="Times New Roman" w:eastAsia="Times New Roman" w:hAnsi="Times New Roman" w:cs="Times New Roman"/>
          <w:lang w:val="sk-SK"/>
        </w:rPr>
        <w:t>ny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polčas je u onkologických pacientov 41 hodín. Podávanie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gefitinib</w:t>
      </w:r>
      <w:r>
        <w:rPr>
          <w:rFonts w:ascii="Times New Roman" w:eastAsia="Times New Roman" w:hAnsi="Times New Roman" w:cs="Times New Roman"/>
          <w:lang w:val="sk-SK"/>
        </w:rPr>
        <w:t>u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raz denne vedie k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444697" w:rsidRPr="00041C3D">
        <w:rPr>
          <w:rFonts w:ascii="Times New Roman" w:eastAsia="Times New Roman" w:hAnsi="Times New Roman" w:cs="Times New Roman"/>
          <w:spacing w:val="-1"/>
          <w:lang w:val="sk-SK"/>
        </w:rPr>
        <w:t>2</w:t>
      </w:r>
      <w:r w:rsidR="009B4A1C" w:rsidRPr="00041C3D">
        <w:rPr>
          <w:rFonts w:ascii="Times New Roman" w:eastAsia="Times New Roman" w:hAnsi="Times New Roman" w:cs="Times New Roman"/>
          <w:lang w:val="sk-SK"/>
        </w:rPr>
        <w:t xml:space="preserve">- </w:t>
      </w:r>
      <w:r>
        <w:rPr>
          <w:rFonts w:ascii="Times New Roman" w:eastAsia="Times New Roman" w:hAnsi="Times New Roman" w:cs="Times New Roman"/>
          <w:lang w:val="sk-SK"/>
        </w:rPr>
        <w:t>až</w:t>
      </w:r>
      <w:r w:rsidR="00444697" w:rsidRPr="00041C3D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444697" w:rsidRPr="00041C3D">
        <w:rPr>
          <w:rFonts w:ascii="Times New Roman" w:eastAsia="Times New Roman" w:hAnsi="Times New Roman" w:cs="Times New Roman"/>
          <w:lang w:val="sk-SK"/>
        </w:rPr>
        <w:t>8</w:t>
      </w:r>
      <w:r w:rsidR="009B4A1C" w:rsidRPr="00041C3D">
        <w:rPr>
          <w:rFonts w:ascii="Times New Roman" w:eastAsia="Times New Roman" w:hAnsi="Times New Roman" w:cs="Times New Roman"/>
          <w:spacing w:val="-4"/>
          <w:lang w:val="sk-SK"/>
        </w:rPr>
        <w:noBreakHyphen/>
      </w:r>
      <w:r>
        <w:rPr>
          <w:rFonts w:ascii="Times New Roman" w:eastAsia="Times New Roman" w:hAnsi="Times New Roman" w:cs="Times New Roman"/>
          <w:lang w:val="sk-SK"/>
        </w:rPr>
        <w:t>násobnej akumulácii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, </w:t>
      </w:r>
      <w:r w:rsidR="00735E7E">
        <w:rPr>
          <w:rFonts w:ascii="Times New Roman" w:eastAsia="Times New Roman" w:hAnsi="Times New Roman" w:cs="Times New Roman"/>
          <w:lang w:val="sk-SK"/>
        </w:rPr>
        <w:t>pričom rovnovážne expozície sa dosahujú po 7 až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10</w:t>
      </w:r>
      <w:r w:rsidR="00444697" w:rsidRPr="00041C3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="00735E7E">
        <w:rPr>
          <w:rFonts w:ascii="Times New Roman" w:eastAsia="Times New Roman" w:hAnsi="Times New Roman" w:cs="Times New Roman"/>
          <w:lang w:val="sk-SK"/>
        </w:rPr>
        <w:t>dávkach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. </w:t>
      </w:r>
      <w:r w:rsidR="00735E7E">
        <w:rPr>
          <w:rFonts w:ascii="Times New Roman" w:eastAsia="Times New Roman" w:hAnsi="Times New Roman" w:cs="Times New Roman"/>
          <w:lang w:val="sk-SK"/>
        </w:rPr>
        <w:t>Cirkulujúce plazmatické koncentrácie v ustálenom stave sa zvyčajne udržiavajú v</w:t>
      </w:r>
      <w:r w:rsidR="00B84E41">
        <w:rPr>
          <w:rFonts w:ascii="Times New Roman" w:eastAsia="Times New Roman" w:hAnsi="Times New Roman" w:cs="Times New Roman"/>
          <w:lang w:val="sk-SK"/>
        </w:rPr>
        <w:t xml:space="preserve"> rozmedzí </w:t>
      </w:r>
      <w:r w:rsidR="00444697" w:rsidRPr="00041C3D">
        <w:rPr>
          <w:rFonts w:ascii="Times New Roman" w:eastAsia="Times New Roman" w:hAnsi="Times New Roman" w:cs="Times New Roman"/>
          <w:spacing w:val="-1"/>
          <w:lang w:val="sk-SK"/>
        </w:rPr>
        <w:t>2</w:t>
      </w:r>
      <w:r w:rsidR="009B4A1C" w:rsidRPr="00041C3D">
        <w:rPr>
          <w:rFonts w:ascii="Times New Roman" w:eastAsia="Times New Roman" w:hAnsi="Times New Roman" w:cs="Times New Roman"/>
          <w:lang w:val="sk-SK"/>
        </w:rPr>
        <w:t xml:space="preserve">- </w:t>
      </w:r>
      <w:r w:rsidR="00735E7E">
        <w:rPr>
          <w:rFonts w:ascii="Times New Roman" w:eastAsia="Times New Roman" w:hAnsi="Times New Roman" w:cs="Times New Roman"/>
          <w:lang w:val="sk-SK"/>
        </w:rPr>
        <w:t>až</w:t>
      </w:r>
      <w:r w:rsidR="00444697" w:rsidRPr="00041C3D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444697" w:rsidRPr="00041C3D">
        <w:rPr>
          <w:rFonts w:ascii="Times New Roman" w:eastAsia="Times New Roman" w:hAnsi="Times New Roman" w:cs="Times New Roman"/>
          <w:spacing w:val="-2"/>
          <w:lang w:val="sk-SK"/>
        </w:rPr>
        <w:t>3</w:t>
      </w:r>
      <w:r w:rsidR="009B4A1C" w:rsidRPr="00041C3D">
        <w:rPr>
          <w:rFonts w:ascii="Times New Roman" w:eastAsia="Times New Roman" w:hAnsi="Times New Roman" w:cs="Times New Roman"/>
          <w:spacing w:val="-4"/>
          <w:lang w:val="sk-SK"/>
        </w:rPr>
        <w:noBreakHyphen/>
      </w:r>
      <w:r w:rsidR="00735E7E">
        <w:rPr>
          <w:rFonts w:ascii="Times New Roman" w:eastAsia="Times New Roman" w:hAnsi="Times New Roman" w:cs="Times New Roman"/>
          <w:lang w:val="sk-SK"/>
        </w:rPr>
        <w:t>násob</w:t>
      </w:r>
      <w:r w:rsidR="00B84E41">
        <w:rPr>
          <w:rFonts w:ascii="Times New Roman" w:eastAsia="Times New Roman" w:hAnsi="Times New Roman" w:cs="Times New Roman"/>
          <w:lang w:val="sk-SK"/>
        </w:rPr>
        <w:t>ku</w:t>
      </w:r>
      <w:r w:rsidR="00735E7E">
        <w:rPr>
          <w:rFonts w:ascii="Times New Roman" w:eastAsia="Times New Roman" w:hAnsi="Times New Roman" w:cs="Times New Roman"/>
          <w:lang w:val="sk-SK"/>
        </w:rPr>
        <w:t xml:space="preserve"> počas </w:t>
      </w:r>
      <w:r w:rsidR="00444697" w:rsidRPr="00041C3D">
        <w:rPr>
          <w:rFonts w:ascii="Times New Roman" w:eastAsia="Times New Roman" w:hAnsi="Times New Roman" w:cs="Times New Roman"/>
          <w:lang w:val="sk-SK"/>
        </w:rPr>
        <w:t>24</w:t>
      </w:r>
      <w:r w:rsidR="009B4A1C" w:rsidRPr="00041C3D">
        <w:rPr>
          <w:rFonts w:ascii="Times New Roman" w:eastAsia="Times New Roman" w:hAnsi="Times New Roman" w:cs="Times New Roman"/>
          <w:spacing w:val="-4"/>
          <w:lang w:val="sk-SK"/>
        </w:rPr>
        <w:noBreakHyphen/>
      </w:r>
      <w:r w:rsidR="00735E7E">
        <w:rPr>
          <w:rFonts w:ascii="Times New Roman" w:eastAsia="Times New Roman" w:hAnsi="Times New Roman" w:cs="Times New Roman"/>
          <w:lang w:val="sk-SK"/>
        </w:rPr>
        <w:t>hodinového dávkovacieho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interval</w:t>
      </w:r>
      <w:r w:rsidR="00735E7E">
        <w:rPr>
          <w:rFonts w:ascii="Times New Roman" w:eastAsia="Times New Roman" w:hAnsi="Times New Roman" w:cs="Times New Roman"/>
          <w:lang w:val="sk-SK"/>
        </w:rPr>
        <w:t>u</w:t>
      </w:r>
      <w:r w:rsidR="00444697" w:rsidRPr="00041C3D">
        <w:rPr>
          <w:rFonts w:ascii="Times New Roman" w:eastAsia="Times New Roman" w:hAnsi="Times New Roman" w:cs="Times New Roman"/>
          <w:lang w:val="sk-SK"/>
        </w:rPr>
        <w:t>.</w:t>
      </w:r>
    </w:p>
    <w:p w14:paraId="1EEBA14D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4E" w14:textId="2DB13B6A" w:rsidR="00444697" w:rsidRPr="00041C3D" w:rsidRDefault="00735E7E" w:rsidP="00473F05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Osobitné skupiny pacientov</w:t>
      </w:r>
    </w:p>
    <w:p w14:paraId="1EEBA14F" w14:textId="4CB3510B" w:rsidR="00444697" w:rsidRPr="00041C3D" w:rsidRDefault="00735E7E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V analýzach populačných farmakokinetických údajov</w:t>
      </w:r>
      <w:r w:rsidR="009308C4">
        <w:rPr>
          <w:rFonts w:ascii="Times New Roman" w:eastAsia="Times New Roman" w:hAnsi="Times New Roman" w:cs="Times New Roman"/>
          <w:lang w:val="sk-SK"/>
        </w:rPr>
        <w:t xml:space="preserve"> onkologických pacientov nebol zistený žiaden vzťah medzi predpokladanou </w:t>
      </w:r>
      <w:r w:rsidR="00B84E41">
        <w:rPr>
          <w:rFonts w:ascii="Times New Roman" w:eastAsia="Times New Roman" w:hAnsi="Times New Roman" w:cs="Times New Roman"/>
          <w:lang w:val="sk-SK"/>
        </w:rPr>
        <w:t xml:space="preserve">minimálnou </w:t>
      </w:r>
      <w:r w:rsidR="009308C4">
        <w:rPr>
          <w:rFonts w:ascii="Times New Roman" w:eastAsia="Times New Roman" w:hAnsi="Times New Roman" w:cs="Times New Roman"/>
          <w:lang w:val="sk-SK"/>
        </w:rPr>
        <w:t>koncentráciou v ustálenom stave a vekom pacienta, telesnou hmotnosťou, pohlavím, etnickým pôvodom alebo klírensom kreatinínu (viac ako</w:t>
      </w:r>
      <w:r w:rsidR="00444697" w:rsidRPr="00041C3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444697" w:rsidRPr="00041C3D">
        <w:rPr>
          <w:rFonts w:ascii="Times New Roman" w:eastAsia="Times New Roman" w:hAnsi="Times New Roman" w:cs="Times New Roman"/>
          <w:lang w:val="sk-SK"/>
        </w:rPr>
        <w:t>20 </w:t>
      </w:r>
      <w:r w:rsidR="00444697" w:rsidRPr="00041C3D">
        <w:rPr>
          <w:rFonts w:ascii="Times New Roman" w:eastAsia="Times New Roman" w:hAnsi="Times New Roman" w:cs="Times New Roman"/>
          <w:spacing w:val="-1"/>
          <w:lang w:val="sk-SK"/>
        </w:rPr>
        <w:t>ml/min</w:t>
      </w:r>
      <w:r w:rsidR="00444697" w:rsidRPr="00041C3D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="00444697" w:rsidRPr="00041C3D">
        <w:rPr>
          <w:rFonts w:ascii="Times New Roman" w:eastAsia="Times New Roman" w:hAnsi="Times New Roman" w:cs="Times New Roman"/>
          <w:lang w:val="sk-SK"/>
        </w:rPr>
        <w:t>.</w:t>
      </w:r>
    </w:p>
    <w:p w14:paraId="1EEBA150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51" w14:textId="1BEC7DBD" w:rsidR="00444697" w:rsidRPr="00041C3D" w:rsidRDefault="009308C4" w:rsidP="00473F05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Porucha funkcie pečene</w:t>
      </w:r>
    </w:p>
    <w:p w14:paraId="1EEBA152" w14:textId="5D41D0A9" w:rsidR="00444697" w:rsidRPr="00041C3D" w:rsidRDefault="009308C4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Vo fáze I otvorenej štúdie u pacientov s miernou,</w:t>
      </w:r>
      <w:r w:rsidR="00587B33">
        <w:rPr>
          <w:rFonts w:ascii="Times New Roman" w:eastAsia="Times New Roman" w:hAnsi="Times New Roman" w:cs="Times New Roman"/>
          <w:lang w:val="sk-SK"/>
        </w:rPr>
        <w:t xml:space="preserve"> stredne </w:t>
      </w:r>
      <w:r w:rsidR="00B84E41">
        <w:rPr>
          <w:rFonts w:ascii="Times New Roman" w:eastAsia="Times New Roman" w:hAnsi="Times New Roman" w:cs="Times New Roman"/>
          <w:lang w:val="sk-SK"/>
        </w:rPr>
        <w:t>závažnou</w:t>
      </w:r>
      <w:r w:rsidR="00587B33">
        <w:rPr>
          <w:rFonts w:ascii="Times New Roman" w:eastAsia="Times New Roman" w:hAnsi="Times New Roman" w:cs="Times New Roman"/>
          <w:lang w:val="sk-SK"/>
        </w:rPr>
        <w:t xml:space="preserve"> alebo </w:t>
      </w:r>
      <w:r w:rsidR="00B84E41">
        <w:rPr>
          <w:rFonts w:ascii="Times New Roman" w:eastAsia="Times New Roman" w:hAnsi="Times New Roman" w:cs="Times New Roman"/>
          <w:lang w:val="sk-SK"/>
        </w:rPr>
        <w:t>závažnou</w:t>
      </w:r>
      <w:r>
        <w:rPr>
          <w:rFonts w:ascii="Times New Roman" w:eastAsia="Times New Roman" w:hAnsi="Times New Roman" w:cs="Times New Roman"/>
          <w:lang w:val="sk-SK"/>
        </w:rPr>
        <w:t xml:space="preserve"> poruchou funkcie pečene z dôvodu cirh</w:t>
      </w:r>
      <w:r w:rsidR="002878FA">
        <w:rPr>
          <w:rFonts w:ascii="Times New Roman" w:eastAsia="Times New Roman" w:hAnsi="Times New Roman" w:cs="Times New Roman"/>
          <w:lang w:val="sk-SK"/>
        </w:rPr>
        <w:t>ó</w:t>
      </w:r>
      <w:r>
        <w:rPr>
          <w:rFonts w:ascii="Times New Roman" w:eastAsia="Times New Roman" w:hAnsi="Times New Roman" w:cs="Times New Roman"/>
          <w:lang w:val="sk-SK"/>
        </w:rPr>
        <w:t xml:space="preserve">zy </w:t>
      </w:r>
      <w:r w:rsidR="002878FA" w:rsidRPr="00041C3D">
        <w:rPr>
          <w:rFonts w:ascii="Times New Roman" w:eastAsia="Times New Roman" w:hAnsi="Times New Roman" w:cs="Times New Roman"/>
          <w:lang w:val="sk-SK"/>
        </w:rPr>
        <w:t>(</w:t>
      </w:r>
      <w:r w:rsidR="002878FA">
        <w:rPr>
          <w:rFonts w:ascii="Times New Roman" w:eastAsia="Times New Roman" w:hAnsi="Times New Roman" w:cs="Times New Roman"/>
          <w:lang w:val="sk-SK"/>
        </w:rPr>
        <w:t>podľa</w:t>
      </w:r>
      <w:r w:rsidR="002878FA" w:rsidRPr="00041C3D">
        <w:rPr>
          <w:rFonts w:ascii="Times New Roman" w:eastAsia="Times New Roman" w:hAnsi="Times New Roman" w:cs="Times New Roman"/>
          <w:lang w:val="sk-SK"/>
        </w:rPr>
        <w:t xml:space="preserve"> Chil</w:t>
      </w:r>
      <w:r w:rsidR="002878FA" w:rsidRPr="00041C3D">
        <w:rPr>
          <w:rFonts w:ascii="Times New Roman" w:eastAsia="Times New Roman" w:hAnsi="Times New Roman" w:cs="Times New Roman"/>
          <w:spacing w:val="-3"/>
          <w:lang w:val="sk-SK"/>
        </w:rPr>
        <w:t>d</w:t>
      </w:r>
      <w:r w:rsidR="00B84E41">
        <w:rPr>
          <w:rFonts w:ascii="Times New Roman" w:eastAsia="Times New Roman" w:hAnsi="Times New Roman" w:cs="Times New Roman"/>
          <w:spacing w:val="-3"/>
          <w:lang w:val="sk-SK"/>
        </w:rPr>
        <w:t>ovej</w:t>
      </w:r>
      <w:r w:rsidR="002878FA" w:rsidRPr="00041C3D">
        <w:rPr>
          <w:rFonts w:ascii="Times New Roman" w:eastAsia="Times New Roman" w:hAnsi="Times New Roman" w:cs="Times New Roman"/>
          <w:spacing w:val="-2"/>
          <w:lang w:val="sk-SK"/>
        </w:rPr>
        <w:noBreakHyphen/>
      </w:r>
      <w:r w:rsidR="002878FA" w:rsidRPr="00041C3D">
        <w:rPr>
          <w:rFonts w:ascii="Times New Roman" w:eastAsia="Times New Roman" w:hAnsi="Times New Roman" w:cs="Times New Roman"/>
          <w:lang w:val="sk-SK"/>
        </w:rPr>
        <w:t>Pugh</w:t>
      </w:r>
      <w:r w:rsidR="002878FA">
        <w:rPr>
          <w:rFonts w:ascii="Times New Roman" w:eastAsia="Times New Roman" w:hAnsi="Times New Roman" w:cs="Times New Roman"/>
          <w:lang w:val="sk-SK"/>
        </w:rPr>
        <w:t>ovej klasifikácie)</w:t>
      </w:r>
      <w:r w:rsidR="00587B33">
        <w:rPr>
          <w:rFonts w:ascii="Times New Roman" w:eastAsia="Times New Roman" w:hAnsi="Times New Roman" w:cs="Times New Roman"/>
          <w:lang w:val="sk-SK"/>
        </w:rPr>
        <w:t xml:space="preserve"> bolo po podaní jedn</w:t>
      </w:r>
      <w:r w:rsidR="00B84E41">
        <w:rPr>
          <w:rFonts w:ascii="Times New Roman" w:eastAsia="Times New Roman" w:hAnsi="Times New Roman" w:cs="Times New Roman"/>
          <w:lang w:val="sk-SK"/>
        </w:rPr>
        <w:t>orazovej</w:t>
      </w:r>
      <w:r w:rsidR="00587B33">
        <w:rPr>
          <w:rFonts w:ascii="Times New Roman" w:eastAsia="Times New Roman" w:hAnsi="Times New Roman" w:cs="Times New Roman"/>
          <w:lang w:val="sk-SK"/>
        </w:rPr>
        <w:t xml:space="preserve"> dávky </w:t>
      </w:r>
      <w:r w:rsidR="00444697" w:rsidRPr="00041C3D">
        <w:rPr>
          <w:rFonts w:ascii="Times New Roman" w:eastAsia="Times New Roman" w:hAnsi="Times New Roman" w:cs="Times New Roman"/>
          <w:lang w:val="sk-SK"/>
        </w:rPr>
        <w:t>gefitinib</w:t>
      </w:r>
      <w:r w:rsidR="00587B33">
        <w:rPr>
          <w:rFonts w:ascii="Times New Roman" w:eastAsia="Times New Roman" w:hAnsi="Times New Roman" w:cs="Times New Roman"/>
          <w:lang w:val="sk-SK"/>
        </w:rPr>
        <w:t>u 250 mg pozorované zvýšenie expozície vo všetkých skupinách v porovnaní s kontrolnou skupinou zdravých jedincov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. </w:t>
      </w:r>
      <w:r w:rsidR="00587B33">
        <w:rPr>
          <w:rFonts w:ascii="Times New Roman" w:eastAsia="Times New Roman" w:hAnsi="Times New Roman" w:cs="Times New Roman"/>
          <w:lang w:val="sk-SK"/>
        </w:rPr>
        <w:t xml:space="preserve">U pacientov so stredne </w:t>
      </w:r>
      <w:r w:rsidR="00B84E41">
        <w:rPr>
          <w:rFonts w:ascii="Times New Roman" w:eastAsia="Times New Roman" w:hAnsi="Times New Roman" w:cs="Times New Roman"/>
          <w:lang w:val="sk-SK"/>
        </w:rPr>
        <w:t>závažnou</w:t>
      </w:r>
      <w:r w:rsidR="00587B33">
        <w:rPr>
          <w:rFonts w:ascii="Times New Roman" w:eastAsia="Times New Roman" w:hAnsi="Times New Roman" w:cs="Times New Roman"/>
          <w:lang w:val="sk-SK"/>
        </w:rPr>
        <w:t xml:space="preserve"> a </w:t>
      </w:r>
      <w:r w:rsidR="00B84E41">
        <w:rPr>
          <w:rFonts w:ascii="Times New Roman" w:eastAsia="Times New Roman" w:hAnsi="Times New Roman" w:cs="Times New Roman"/>
          <w:lang w:val="sk-SK"/>
        </w:rPr>
        <w:t>závažnou</w:t>
      </w:r>
      <w:r w:rsidR="00587B33">
        <w:rPr>
          <w:rFonts w:ascii="Times New Roman" w:eastAsia="Times New Roman" w:hAnsi="Times New Roman" w:cs="Times New Roman"/>
          <w:lang w:val="sk-SK"/>
        </w:rPr>
        <w:t xml:space="preserve"> poruchou funkcie pečene bolo pozorované priemerne 3,</w:t>
      </w:r>
      <w:r w:rsidR="00444697" w:rsidRPr="00041C3D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="009B4A1C" w:rsidRPr="00041C3D">
        <w:rPr>
          <w:rFonts w:ascii="Times New Roman" w:eastAsia="Times New Roman" w:hAnsi="Times New Roman" w:cs="Times New Roman"/>
          <w:spacing w:val="-4"/>
          <w:lang w:val="sk-SK"/>
        </w:rPr>
        <w:noBreakHyphen/>
      </w:r>
      <w:r w:rsidR="00587B33">
        <w:rPr>
          <w:rFonts w:ascii="Times New Roman" w:eastAsia="Times New Roman" w:hAnsi="Times New Roman" w:cs="Times New Roman"/>
          <w:lang w:val="sk-SK"/>
        </w:rPr>
        <w:t>násobné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587B33">
        <w:rPr>
          <w:rFonts w:ascii="Times New Roman" w:eastAsia="Times New Roman" w:hAnsi="Times New Roman" w:cs="Times New Roman"/>
          <w:lang w:val="sk-SK"/>
        </w:rPr>
        <w:t xml:space="preserve">zvýšenie expozície </w:t>
      </w:r>
      <w:r w:rsidR="00444697" w:rsidRPr="00041C3D">
        <w:rPr>
          <w:rFonts w:ascii="Times New Roman" w:eastAsia="Times New Roman" w:hAnsi="Times New Roman" w:cs="Times New Roman"/>
          <w:lang w:val="sk-SK"/>
        </w:rPr>
        <w:t>gefitinib</w:t>
      </w:r>
      <w:r w:rsidR="00587B33">
        <w:rPr>
          <w:rFonts w:ascii="Times New Roman" w:eastAsia="Times New Roman" w:hAnsi="Times New Roman" w:cs="Times New Roman"/>
          <w:lang w:val="sk-SK"/>
        </w:rPr>
        <w:t>u.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9A77D6">
        <w:rPr>
          <w:rFonts w:ascii="Times New Roman" w:eastAsia="Times New Roman" w:hAnsi="Times New Roman" w:cs="Times New Roman"/>
          <w:lang w:val="sk-SK"/>
        </w:rPr>
        <w:t>Žiaden pacient nemal rakovinu, všetci mali cirhózu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9A77D6">
        <w:rPr>
          <w:rFonts w:ascii="Times New Roman" w:eastAsia="Times New Roman" w:hAnsi="Times New Roman" w:cs="Times New Roman"/>
          <w:lang w:val="sk-SK"/>
        </w:rPr>
        <w:t>pečene a niektorí mali hepatitídu. Toto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9A77D6">
        <w:rPr>
          <w:rFonts w:ascii="Times New Roman" w:eastAsia="Times New Roman" w:hAnsi="Times New Roman" w:cs="Times New Roman"/>
          <w:lang w:val="sk-SK"/>
        </w:rPr>
        <w:t>zvýšenie expozície môže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9A77D6">
        <w:rPr>
          <w:rFonts w:ascii="Times New Roman" w:eastAsia="Times New Roman" w:hAnsi="Times New Roman" w:cs="Times New Roman"/>
          <w:lang w:val="sk-SK"/>
        </w:rPr>
        <w:t xml:space="preserve">byť klinicky relevantné, </w:t>
      </w:r>
      <w:r w:rsidR="00B84E41" w:rsidRPr="00B84E41">
        <w:rPr>
          <w:rFonts w:ascii="Times New Roman" w:eastAsia="Times New Roman" w:hAnsi="Times New Roman" w:cs="Times New Roman"/>
          <w:lang w:val="sk-SK"/>
        </w:rPr>
        <w:t>keďže</w:t>
      </w:r>
      <w:r w:rsidR="009A77D6">
        <w:rPr>
          <w:rFonts w:ascii="Times New Roman" w:eastAsia="Times New Roman" w:hAnsi="Times New Roman" w:cs="Times New Roman"/>
          <w:lang w:val="sk-SK"/>
        </w:rPr>
        <w:t xml:space="preserve"> nežiaduce skúsenosti súvisia s dávkou a expozíciou </w:t>
      </w:r>
      <w:r w:rsidR="00444697" w:rsidRPr="00041C3D">
        <w:rPr>
          <w:rFonts w:ascii="Times New Roman" w:eastAsia="Times New Roman" w:hAnsi="Times New Roman" w:cs="Times New Roman"/>
          <w:lang w:val="sk-SK"/>
        </w:rPr>
        <w:t>gefitinib</w:t>
      </w:r>
      <w:r w:rsidR="009A77D6">
        <w:rPr>
          <w:rFonts w:ascii="Times New Roman" w:eastAsia="Times New Roman" w:hAnsi="Times New Roman" w:cs="Times New Roman"/>
          <w:lang w:val="sk-SK"/>
        </w:rPr>
        <w:t>u</w:t>
      </w:r>
      <w:r w:rsidR="00444697" w:rsidRPr="00041C3D">
        <w:rPr>
          <w:rFonts w:ascii="Times New Roman" w:eastAsia="Times New Roman" w:hAnsi="Times New Roman" w:cs="Times New Roman"/>
          <w:lang w:val="sk-SK"/>
        </w:rPr>
        <w:t>.</w:t>
      </w:r>
    </w:p>
    <w:p w14:paraId="1EEBA153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54" w14:textId="7F8FA3E6" w:rsidR="00444697" w:rsidRPr="00041C3D" w:rsidRDefault="00444697" w:rsidP="00473F05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041C3D">
        <w:rPr>
          <w:rFonts w:ascii="Times New Roman" w:eastAsia="Times New Roman" w:hAnsi="Times New Roman" w:cs="Times New Roman"/>
          <w:lang w:val="sk-SK"/>
        </w:rPr>
        <w:t xml:space="preserve">Gefitinib </w:t>
      </w:r>
      <w:r w:rsidR="009A77D6">
        <w:rPr>
          <w:rFonts w:ascii="Times New Roman" w:eastAsia="Times New Roman" w:hAnsi="Times New Roman" w:cs="Times New Roman"/>
          <w:lang w:val="sk-SK"/>
        </w:rPr>
        <w:t>bol hod</w:t>
      </w:r>
      <w:r w:rsidR="001D7446">
        <w:rPr>
          <w:rFonts w:ascii="Times New Roman" w:eastAsia="Times New Roman" w:hAnsi="Times New Roman" w:cs="Times New Roman"/>
          <w:lang w:val="sk-SK"/>
        </w:rPr>
        <w:t>notený v klinickom skúšaní u 41 </w:t>
      </w:r>
      <w:r w:rsidR="009A77D6">
        <w:rPr>
          <w:rFonts w:ascii="Times New Roman" w:eastAsia="Times New Roman" w:hAnsi="Times New Roman" w:cs="Times New Roman"/>
          <w:lang w:val="sk-SK"/>
        </w:rPr>
        <w:t>pacientov so solí</w:t>
      </w:r>
      <w:r w:rsidRPr="00041C3D">
        <w:rPr>
          <w:rFonts w:ascii="Times New Roman" w:eastAsia="Times New Roman" w:hAnsi="Times New Roman" w:cs="Times New Roman"/>
          <w:lang w:val="sk-SK"/>
        </w:rPr>
        <w:t>d</w:t>
      </w:r>
      <w:r w:rsidR="009A77D6">
        <w:rPr>
          <w:rFonts w:ascii="Times New Roman" w:eastAsia="Times New Roman" w:hAnsi="Times New Roman" w:cs="Times New Roman"/>
          <w:lang w:val="sk-SK"/>
        </w:rPr>
        <w:t>nymi tumormi a normá</w:t>
      </w:r>
      <w:r w:rsidRPr="00041C3D">
        <w:rPr>
          <w:rFonts w:ascii="Times New Roman" w:eastAsia="Times New Roman" w:hAnsi="Times New Roman" w:cs="Times New Roman"/>
          <w:lang w:val="sk-SK"/>
        </w:rPr>
        <w:t>l</w:t>
      </w:r>
      <w:r w:rsidR="009A77D6">
        <w:rPr>
          <w:rFonts w:ascii="Times New Roman" w:eastAsia="Times New Roman" w:hAnsi="Times New Roman" w:cs="Times New Roman"/>
          <w:lang w:val="sk-SK"/>
        </w:rPr>
        <w:t>nou funkciou pečene alebo</w:t>
      </w:r>
      <w:r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9A77D6">
        <w:rPr>
          <w:rFonts w:ascii="Times New Roman" w:eastAsia="Times New Roman" w:hAnsi="Times New Roman" w:cs="Times New Roman"/>
          <w:lang w:val="sk-SK"/>
        </w:rPr>
        <w:t xml:space="preserve">stredne </w:t>
      </w:r>
      <w:r w:rsidR="00B84E41">
        <w:rPr>
          <w:rFonts w:ascii="Times New Roman" w:eastAsia="Times New Roman" w:hAnsi="Times New Roman" w:cs="Times New Roman"/>
          <w:lang w:val="sk-SK"/>
        </w:rPr>
        <w:t>závažnou</w:t>
      </w:r>
      <w:r w:rsidR="009A77D6">
        <w:rPr>
          <w:rFonts w:ascii="Times New Roman" w:eastAsia="Times New Roman" w:hAnsi="Times New Roman" w:cs="Times New Roman"/>
          <w:lang w:val="sk-SK"/>
        </w:rPr>
        <w:t xml:space="preserve"> až </w:t>
      </w:r>
      <w:r w:rsidR="00B84E41">
        <w:rPr>
          <w:rFonts w:ascii="Times New Roman" w:eastAsia="Times New Roman" w:hAnsi="Times New Roman" w:cs="Times New Roman"/>
          <w:lang w:val="sk-SK"/>
        </w:rPr>
        <w:t>závažnou</w:t>
      </w:r>
      <w:r w:rsidR="009A77D6">
        <w:rPr>
          <w:rFonts w:ascii="Times New Roman" w:eastAsia="Times New Roman" w:hAnsi="Times New Roman" w:cs="Times New Roman"/>
          <w:lang w:val="sk-SK"/>
        </w:rPr>
        <w:t xml:space="preserve"> poruchou funkcie pečene (klasifikovanou</w:t>
      </w:r>
      <w:r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B84E41" w:rsidRPr="00B84E41">
        <w:rPr>
          <w:rFonts w:ascii="Times New Roman" w:eastAsia="Times New Roman" w:hAnsi="Times New Roman" w:cs="Times New Roman"/>
          <w:lang w:val="sk-SK"/>
        </w:rPr>
        <w:t>na základe východiskových hodnôt všeobecných kritérií toxicity</w:t>
      </w:r>
      <w:r w:rsidR="009A77D6">
        <w:rPr>
          <w:rFonts w:ascii="Times New Roman" w:eastAsia="Times New Roman" w:hAnsi="Times New Roman" w:cs="Times New Roman"/>
          <w:lang w:val="sk-SK"/>
        </w:rPr>
        <w:t xml:space="preserve"> pre</w:t>
      </w:r>
      <w:r w:rsidR="00574FC3">
        <w:rPr>
          <w:rFonts w:ascii="Times New Roman" w:eastAsia="Times New Roman" w:hAnsi="Times New Roman" w:cs="Times New Roman"/>
          <w:lang w:val="sk-SK"/>
        </w:rPr>
        <w:t xml:space="preserve"> AST, alkalickú fosfatázu a bilirubí</w:t>
      </w:r>
      <w:r w:rsidRPr="00041C3D">
        <w:rPr>
          <w:rFonts w:ascii="Times New Roman" w:eastAsia="Times New Roman" w:hAnsi="Times New Roman" w:cs="Times New Roman"/>
          <w:lang w:val="sk-SK"/>
        </w:rPr>
        <w:t xml:space="preserve">n) </w:t>
      </w:r>
      <w:r w:rsidR="00574FC3">
        <w:rPr>
          <w:rFonts w:ascii="Times New Roman" w:eastAsia="Times New Roman" w:hAnsi="Times New Roman" w:cs="Times New Roman"/>
          <w:lang w:val="sk-SK"/>
        </w:rPr>
        <w:t>v dôsledku metastáz v pečeni</w:t>
      </w:r>
      <w:r w:rsidRPr="00041C3D">
        <w:rPr>
          <w:rFonts w:ascii="Times New Roman" w:eastAsia="Times New Roman" w:hAnsi="Times New Roman" w:cs="Times New Roman"/>
          <w:lang w:val="sk-SK"/>
        </w:rPr>
        <w:t xml:space="preserve">. </w:t>
      </w:r>
      <w:r w:rsidR="00574FC3">
        <w:rPr>
          <w:rFonts w:ascii="Times New Roman" w:eastAsia="Times New Roman" w:hAnsi="Times New Roman" w:cs="Times New Roman"/>
          <w:lang w:val="sk-SK"/>
        </w:rPr>
        <w:t xml:space="preserve">Ukázalo sa, že po podávaní gefitinibu v dennej dávke </w:t>
      </w:r>
      <w:r w:rsidRPr="00041C3D">
        <w:rPr>
          <w:rFonts w:ascii="Times New Roman" w:eastAsia="Times New Roman" w:hAnsi="Times New Roman" w:cs="Times New Roman"/>
          <w:lang w:val="sk-SK"/>
        </w:rPr>
        <w:t>250</w:t>
      </w:r>
      <w:r w:rsidRPr="00041C3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041C3D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="00574FC3">
        <w:rPr>
          <w:rFonts w:ascii="Times New Roman" w:eastAsia="Times New Roman" w:hAnsi="Times New Roman" w:cs="Times New Roman"/>
          <w:lang w:val="sk-SK"/>
        </w:rPr>
        <w:t>g</w:t>
      </w:r>
      <w:r w:rsidR="0075072C">
        <w:rPr>
          <w:rFonts w:ascii="Times New Roman" w:eastAsia="Times New Roman" w:hAnsi="Times New Roman" w:cs="Times New Roman"/>
          <w:lang w:val="sk-SK"/>
        </w:rPr>
        <w:t xml:space="preserve"> boli čas na dosiahnutie ustáleného stavu</w:t>
      </w:r>
      <w:r w:rsidRPr="00041C3D">
        <w:rPr>
          <w:rFonts w:ascii="Times New Roman" w:eastAsia="Times New Roman" w:hAnsi="Times New Roman" w:cs="Times New Roman"/>
          <w:lang w:val="sk-SK"/>
        </w:rPr>
        <w:t xml:space="preserve">, </w:t>
      </w:r>
      <w:r w:rsidR="0075072C">
        <w:rPr>
          <w:rFonts w:ascii="Times New Roman" w:eastAsia="Times New Roman" w:hAnsi="Times New Roman" w:cs="Times New Roman"/>
          <w:lang w:val="sk-SK"/>
        </w:rPr>
        <w:t>celkový plazmatický klírens</w:t>
      </w:r>
      <w:r w:rsidRPr="00041C3D">
        <w:rPr>
          <w:rFonts w:ascii="Times New Roman" w:eastAsia="Times New Roman" w:hAnsi="Times New Roman" w:cs="Times New Roman"/>
          <w:lang w:val="sk-SK"/>
        </w:rPr>
        <w:t xml:space="preserve"> (C</w:t>
      </w:r>
      <w:r w:rsidRPr="00041C3D">
        <w:rPr>
          <w:rFonts w:ascii="Times New Roman" w:eastAsia="Times New Roman" w:hAnsi="Times New Roman" w:cs="Times New Roman"/>
          <w:vertAlign w:val="subscript"/>
          <w:lang w:val="sk-SK"/>
        </w:rPr>
        <w:t>maxSS</w:t>
      </w:r>
      <w:r w:rsidRPr="00041C3D">
        <w:rPr>
          <w:rFonts w:ascii="Times New Roman" w:eastAsia="Times New Roman" w:hAnsi="Times New Roman" w:cs="Times New Roman"/>
          <w:lang w:val="sk-SK"/>
        </w:rPr>
        <w:t>)</w:t>
      </w:r>
      <w:r w:rsidRPr="00041C3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75072C">
        <w:rPr>
          <w:rFonts w:ascii="Times New Roman" w:eastAsia="Times New Roman" w:hAnsi="Times New Roman" w:cs="Times New Roman"/>
          <w:lang w:val="sk-SK"/>
        </w:rPr>
        <w:t xml:space="preserve">a expozícia v ustálenom stave </w:t>
      </w:r>
      <w:r w:rsidRPr="00041C3D">
        <w:rPr>
          <w:rFonts w:ascii="Times New Roman" w:eastAsia="Times New Roman" w:hAnsi="Times New Roman" w:cs="Times New Roman"/>
          <w:lang w:val="sk-SK"/>
        </w:rPr>
        <w:t>(AUC</w:t>
      </w:r>
      <w:r w:rsidRPr="00041C3D">
        <w:rPr>
          <w:rFonts w:ascii="Times New Roman" w:eastAsia="Times New Roman" w:hAnsi="Times New Roman" w:cs="Times New Roman"/>
          <w:vertAlign w:val="subscript"/>
          <w:lang w:val="sk-SK"/>
        </w:rPr>
        <w:t>24SS</w:t>
      </w:r>
      <w:r w:rsidRPr="00041C3D">
        <w:rPr>
          <w:rFonts w:ascii="Times New Roman" w:eastAsia="Times New Roman" w:hAnsi="Times New Roman" w:cs="Times New Roman"/>
          <w:lang w:val="sk-SK"/>
        </w:rPr>
        <w:t>)</w:t>
      </w:r>
      <w:r w:rsidRPr="00041C3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75072C">
        <w:rPr>
          <w:rFonts w:ascii="Times New Roman" w:eastAsia="Times New Roman" w:hAnsi="Times New Roman" w:cs="Times New Roman"/>
          <w:lang w:val="sk-SK"/>
        </w:rPr>
        <w:t xml:space="preserve">podobné u skupiny pacientov s normálnou </w:t>
      </w:r>
      <w:r w:rsidR="00E35B6E">
        <w:rPr>
          <w:rFonts w:ascii="Times New Roman" w:eastAsia="Times New Roman" w:hAnsi="Times New Roman" w:cs="Times New Roman"/>
          <w:lang w:val="sk-SK"/>
        </w:rPr>
        <w:t xml:space="preserve">funkciou pečene </w:t>
      </w:r>
      <w:r w:rsidR="0075072C">
        <w:rPr>
          <w:rFonts w:ascii="Times New Roman" w:eastAsia="Times New Roman" w:hAnsi="Times New Roman" w:cs="Times New Roman"/>
          <w:lang w:val="sk-SK"/>
        </w:rPr>
        <w:t xml:space="preserve">a stredne </w:t>
      </w:r>
      <w:r w:rsidR="00B84E41">
        <w:rPr>
          <w:rFonts w:ascii="Times New Roman" w:eastAsia="Times New Roman" w:hAnsi="Times New Roman" w:cs="Times New Roman"/>
          <w:lang w:val="sk-SK"/>
        </w:rPr>
        <w:t>závažnou</w:t>
      </w:r>
      <w:r w:rsidR="00E35B6E">
        <w:rPr>
          <w:rFonts w:ascii="Times New Roman" w:eastAsia="Times New Roman" w:hAnsi="Times New Roman" w:cs="Times New Roman"/>
          <w:lang w:val="sk-SK"/>
        </w:rPr>
        <w:t xml:space="preserve"> poruchou funkcie pečene</w:t>
      </w:r>
      <w:r w:rsidRPr="00041C3D">
        <w:rPr>
          <w:rFonts w:ascii="Times New Roman" w:eastAsia="Times New Roman" w:hAnsi="Times New Roman" w:cs="Times New Roman"/>
          <w:lang w:val="sk-SK"/>
        </w:rPr>
        <w:t xml:space="preserve">. </w:t>
      </w:r>
      <w:r w:rsidR="00E35B6E">
        <w:rPr>
          <w:rFonts w:ascii="Times New Roman" w:eastAsia="Times New Roman" w:hAnsi="Times New Roman" w:cs="Times New Roman"/>
          <w:lang w:val="sk-SK"/>
        </w:rPr>
        <w:t xml:space="preserve">Údaje </w:t>
      </w:r>
      <w:r w:rsidR="001D7446">
        <w:rPr>
          <w:rFonts w:ascii="Times New Roman" w:eastAsia="Times New Roman" w:hAnsi="Times New Roman" w:cs="Times New Roman"/>
          <w:lang w:val="sk-SK"/>
        </w:rPr>
        <w:t>zo sledovania 4 </w:t>
      </w:r>
      <w:r w:rsidR="00E35B6E">
        <w:rPr>
          <w:rFonts w:ascii="Times New Roman" w:eastAsia="Times New Roman" w:hAnsi="Times New Roman" w:cs="Times New Roman"/>
          <w:lang w:val="sk-SK"/>
        </w:rPr>
        <w:t>pacientov s</w:t>
      </w:r>
      <w:r w:rsidR="00B84E41">
        <w:rPr>
          <w:rFonts w:ascii="Times New Roman" w:eastAsia="Times New Roman" w:hAnsi="Times New Roman" w:cs="Times New Roman"/>
          <w:lang w:val="sk-SK"/>
        </w:rPr>
        <w:t>o závažnou poruchou</w:t>
      </w:r>
      <w:r w:rsidR="00E35B6E">
        <w:rPr>
          <w:rFonts w:ascii="Times New Roman" w:eastAsia="Times New Roman" w:hAnsi="Times New Roman" w:cs="Times New Roman"/>
          <w:lang w:val="sk-SK"/>
        </w:rPr>
        <w:t xml:space="preserve"> funkcie pečene z dôvodu metastáz v pečeni naznačujú, že expozície v ustálenom stave sú u týchto pacientov podobné ako u pacientov s normálnou funkciou pečene.</w:t>
      </w:r>
    </w:p>
    <w:p w14:paraId="1EEBA155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56" w14:textId="03C8BE33" w:rsidR="00444697" w:rsidRPr="00041C3D" w:rsidRDefault="0031384F" w:rsidP="00473F0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5.3</w:t>
      </w:r>
      <w:r>
        <w:rPr>
          <w:rFonts w:ascii="Times New Roman" w:eastAsia="Times New Roman" w:hAnsi="Times New Roman" w:cs="Times New Roman"/>
          <w:b/>
          <w:bCs/>
          <w:lang w:val="sk-SK"/>
        </w:rPr>
        <w:tab/>
        <w:t>Predklinické údaje o bezpečnosti</w:t>
      </w:r>
    </w:p>
    <w:p w14:paraId="1EEBA157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59" w14:textId="6CEDEC27" w:rsidR="00444697" w:rsidRPr="00614EDF" w:rsidRDefault="0031384F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 xml:space="preserve">Nežiaduce reakcie, ktoré sa nepozorovali v klinických štúdiách, ale pozorovali sa u zvierat pri expozičných hladinách podobných klinickým expozičným hladinám a s možnou relevantnosťou </w:t>
      </w:r>
      <w:r w:rsidR="000C3AC2">
        <w:rPr>
          <w:rFonts w:ascii="Times New Roman" w:eastAsia="Times New Roman" w:hAnsi="Times New Roman" w:cs="Times New Roman"/>
          <w:lang w:val="sk-SK"/>
        </w:rPr>
        <w:t>ku klinickému používaniu boli nasledovné</w:t>
      </w:r>
      <w:r w:rsidR="00614EDF">
        <w:rPr>
          <w:rFonts w:ascii="Times New Roman" w:eastAsia="Times New Roman" w:hAnsi="Times New Roman" w:cs="Times New Roman"/>
          <w:lang w:val="sk-SK"/>
        </w:rPr>
        <w:t>:</w:t>
      </w:r>
    </w:p>
    <w:p w14:paraId="4E4F13FE" w14:textId="77777777" w:rsidR="003F0DBA" w:rsidRPr="00041C3D" w:rsidRDefault="003F0DBA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5A" w14:textId="7E8988D4" w:rsidR="00444697" w:rsidRPr="00041C3D" w:rsidRDefault="00444697" w:rsidP="007E12B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041C3D">
        <w:rPr>
          <w:rFonts w:ascii="Times New Roman" w:eastAsia="Symbol" w:hAnsi="Times New Roman" w:cs="Times New Roman"/>
          <w:lang w:val="sk-SK"/>
        </w:rPr>
        <w:t>-</w:t>
      </w:r>
      <w:r w:rsidRPr="00041C3D">
        <w:rPr>
          <w:rFonts w:ascii="Times New Roman" w:eastAsia="Symbol" w:hAnsi="Times New Roman" w:cs="Times New Roman"/>
          <w:lang w:val="sk-SK"/>
        </w:rPr>
        <w:tab/>
      </w:r>
      <w:r w:rsidR="003F0DBA">
        <w:rPr>
          <w:rFonts w:ascii="Times New Roman" w:eastAsia="Symbol" w:hAnsi="Times New Roman" w:cs="Times New Roman"/>
          <w:lang w:val="sk-SK"/>
        </w:rPr>
        <w:t xml:space="preserve">korneálna </w:t>
      </w:r>
      <w:r w:rsidR="00614EDF">
        <w:rPr>
          <w:rFonts w:ascii="Times New Roman" w:eastAsia="Times New Roman" w:hAnsi="Times New Roman" w:cs="Times New Roman"/>
          <w:lang w:val="sk-SK"/>
        </w:rPr>
        <w:t>epiteliárna atrofia</w:t>
      </w:r>
      <w:r w:rsidR="006C385D">
        <w:rPr>
          <w:rFonts w:ascii="Times New Roman" w:eastAsia="Times New Roman" w:hAnsi="Times New Roman" w:cs="Times New Roman"/>
          <w:lang w:val="sk-SK"/>
        </w:rPr>
        <w:t xml:space="preserve"> a</w:t>
      </w:r>
      <w:r w:rsidR="00614EDF">
        <w:rPr>
          <w:rFonts w:ascii="Times New Roman" w:eastAsia="Times New Roman" w:hAnsi="Times New Roman" w:cs="Times New Roman"/>
          <w:lang w:val="sk-SK"/>
        </w:rPr>
        <w:t xml:space="preserve"> korneá</w:t>
      </w:r>
      <w:r w:rsidRPr="00041C3D">
        <w:rPr>
          <w:rFonts w:ascii="Times New Roman" w:eastAsia="Times New Roman" w:hAnsi="Times New Roman" w:cs="Times New Roman"/>
          <w:lang w:val="sk-SK"/>
        </w:rPr>
        <w:t>l</w:t>
      </w:r>
      <w:r w:rsidR="00614EDF">
        <w:rPr>
          <w:rFonts w:ascii="Times New Roman" w:eastAsia="Times New Roman" w:hAnsi="Times New Roman" w:cs="Times New Roman"/>
          <w:lang w:val="sk-SK"/>
        </w:rPr>
        <w:t>na</w:t>
      </w:r>
      <w:r w:rsidRPr="00041C3D">
        <w:rPr>
          <w:rFonts w:ascii="Times New Roman" w:eastAsia="Times New Roman" w:hAnsi="Times New Roman" w:cs="Times New Roman"/>
          <w:lang w:val="sk-SK"/>
        </w:rPr>
        <w:t xml:space="preserve"> t</w:t>
      </w:r>
      <w:r w:rsidR="00614EDF">
        <w:rPr>
          <w:rFonts w:ascii="Times New Roman" w:eastAsia="Times New Roman" w:hAnsi="Times New Roman" w:cs="Times New Roman"/>
          <w:lang w:val="sk-SK"/>
        </w:rPr>
        <w:t>ranslucencia,</w:t>
      </w:r>
    </w:p>
    <w:p w14:paraId="1EEBA15B" w14:textId="448FAEC2" w:rsidR="00444697" w:rsidRPr="00041C3D" w:rsidRDefault="00444697" w:rsidP="007E12B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041C3D">
        <w:rPr>
          <w:rFonts w:ascii="Times New Roman" w:eastAsia="Symbol" w:hAnsi="Times New Roman" w:cs="Times New Roman"/>
          <w:lang w:val="sk-SK"/>
        </w:rPr>
        <w:t>-</w:t>
      </w:r>
      <w:r w:rsidRPr="00041C3D">
        <w:rPr>
          <w:rFonts w:ascii="Times New Roman" w:eastAsia="Symbol" w:hAnsi="Times New Roman" w:cs="Times New Roman"/>
          <w:lang w:val="sk-SK"/>
        </w:rPr>
        <w:tab/>
      </w:r>
      <w:r w:rsidR="00614EDF">
        <w:rPr>
          <w:rFonts w:ascii="Times New Roman" w:eastAsia="Times New Roman" w:hAnsi="Times New Roman" w:cs="Times New Roman"/>
          <w:lang w:val="sk-SK"/>
        </w:rPr>
        <w:t>nekróza</w:t>
      </w:r>
      <w:r w:rsidR="00661C09" w:rsidRPr="00661C09">
        <w:t xml:space="preserve"> </w:t>
      </w:r>
      <w:r w:rsidR="00661C09" w:rsidRPr="00661C09">
        <w:rPr>
          <w:rFonts w:ascii="Times New Roman" w:eastAsia="Times New Roman" w:hAnsi="Times New Roman" w:cs="Times New Roman"/>
          <w:lang w:val="sk-SK"/>
        </w:rPr>
        <w:t>renálnych papíl</w:t>
      </w:r>
      <w:r w:rsidR="00614EDF">
        <w:rPr>
          <w:rFonts w:ascii="Times New Roman" w:eastAsia="Times New Roman" w:hAnsi="Times New Roman" w:cs="Times New Roman"/>
          <w:lang w:val="sk-SK"/>
        </w:rPr>
        <w:t>,</w:t>
      </w:r>
    </w:p>
    <w:p w14:paraId="1EEBA15C" w14:textId="14948A00" w:rsidR="00444697" w:rsidRPr="00041C3D" w:rsidRDefault="00444697" w:rsidP="007E12B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041C3D">
        <w:rPr>
          <w:rFonts w:ascii="Times New Roman" w:eastAsia="Symbol" w:hAnsi="Times New Roman" w:cs="Times New Roman"/>
          <w:lang w:val="sk-SK"/>
        </w:rPr>
        <w:t>-</w:t>
      </w:r>
      <w:r w:rsidRPr="00041C3D">
        <w:rPr>
          <w:rFonts w:ascii="Times New Roman" w:eastAsia="Symbol" w:hAnsi="Times New Roman" w:cs="Times New Roman"/>
          <w:lang w:val="sk-SK"/>
        </w:rPr>
        <w:tab/>
      </w:r>
      <w:r w:rsidR="00614EDF">
        <w:rPr>
          <w:rFonts w:ascii="Times New Roman" w:eastAsia="Times New Roman" w:hAnsi="Times New Roman" w:cs="Times New Roman"/>
          <w:lang w:val="sk-SK"/>
        </w:rPr>
        <w:t>hepatocelulá</w:t>
      </w:r>
      <w:r w:rsidRPr="00041C3D">
        <w:rPr>
          <w:rFonts w:ascii="Times New Roman" w:eastAsia="Times New Roman" w:hAnsi="Times New Roman" w:cs="Times New Roman"/>
          <w:lang w:val="sk-SK"/>
        </w:rPr>
        <w:t>r</w:t>
      </w:r>
      <w:r w:rsidR="00614EDF">
        <w:rPr>
          <w:rFonts w:ascii="Times New Roman" w:eastAsia="Times New Roman" w:hAnsi="Times New Roman" w:cs="Times New Roman"/>
          <w:lang w:val="sk-SK"/>
        </w:rPr>
        <w:t>na nekróza a eozinofilná sínusová makrofágová infiltrácia.</w:t>
      </w:r>
    </w:p>
    <w:p w14:paraId="1EEBA15D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5E" w14:textId="575FB482" w:rsidR="00444697" w:rsidRPr="00041C3D" w:rsidRDefault="00614EDF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Údaje z predklinických štúdií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444697" w:rsidRPr="00041C3D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="00444697" w:rsidRPr="00041C3D">
        <w:rPr>
          <w:rFonts w:ascii="Times New Roman" w:eastAsia="Times New Roman" w:hAnsi="Times New Roman" w:cs="Times New Roman"/>
          <w:i/>
          <w:lang w:val="sk-SK"/>
        </w:rPr>
        <w:t>in</w:t>
      </w:r>
      <w:r w:rsidR="00444697" w:rsidRPr="00041C3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="00444697" w:rsidRPr="00041C3D">
        <w:rPr>
          <w:rFonts w:ascii="Times New Roman" w:eastAsia="Times New Roman" w:hAnsi="Times New Roman" w:cs="Times New Roman"/>
          <w:i/>
          <w:lang w:val="sk-SK"/>
        </w:rPr>
        <w:t>vitro</w:t>
      </w:r>
      <w:r w:rsidR="00444697" w:rsidRPr="00041C3D">
        <w:rPr>
          <w:rFonts w:ascii="Times New Roman" w:eastAsia="Times New Roman" w:hAnsi="Times New Roman" w:cs="Times New Roman"/>
          <w:lang w:val="sk-SK"/>
        </w:rPr>
        <w:t>)</w:t>
      </w:r>
      <w:r w:rsidR="00444697" w:rsidRPr="00041C3D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val="sk-SK"/>
        </w:rPr>
        <w:t>naznačujú, že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gefitinib </w:t>
      </w:r>
      <w:r>
        <w:rPr>
          <w:rFonts w:ascii="Times New Roman" w:eastAsia="Times New Roman" w:hAnsi="Times New Roman" w:cs="Times New Roman"/>
          <w:lang w:val="sk-SK"/>
        </w:rPr>
        <w:t xml:space="preserve">má schopnosť </w:t>
      </w:r>
      <w:r w:rsidR="00805D2C">
        <w:rPr>
          <w:rFonts w:ascii="Times New Roman" w:eastAsia="Times New Roman" w:hAnsi="Times New Roman" w:cs="Times New Roman"/>
          <w:lang w:val="sk-SK"/>
        </w:rPr>
        <w:t>inhibovať akčný potenciál procesu repolarizácie srdca (napr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. QT interval). </w:t>
      </w:r>
      <w:r w:rsidR="00805D2C">
        <w:rPr>
          <w:rFonts w:ascii="Times New Roman" w:eastAsia="Times New Roman" w:hAnsi="Times New Roman" w:cs="Times New Roman"/>
          <w:lang w:val="sk-SK"/>
        </w:rPr>
        <w:t>Klinické skúsenosti nepreukázali príčinnú súvislosť medzi predĺžením QT intervalu a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gefitinib</w:t>
      </w:r>
      <w:r w:rsidR="00805D2C">
        <w:rPr>
          <w:rFonts w:ascii="Times New Roman" w:eastAsia="Times New Roman" w:hAnsi="Times New Roman" w:cs="Times New Roman"/>
          <w:lang w:val="sk-SK"/>
        </w:rPr>
        <w:t>om</w:t>
      </w:r>
      <w:r w:rsidR="00444697" w:rsidRPr="00041C3D">
        <w:rPr>
          <w:rFonts w:ascii="Times New Roman" w:eastAsia="Times New Roman" w:hAnsi="Times New Roman" w:cs="Times New Roman"/>
          <w:lang w:val="sk-SK"/>
        </w:rPr>
        <w:t>.</w:t>
      </w:r>
    </w:p>
    <w:p w14:paraId="1EEBA15F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60" w14:textId="4BF90A0B" w:rsidR="00444697" w:rsidRPr="00041C3D" w:rsidRDefault="00805D2C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 xml:space="preserve">Pri dávke </w:t>
      </w:r>
      <w:r w:rsidRPr="00041C3D">
        <w:rPr>
          <w:rFonts w:ascii="Times New Roman" w:eastAsia="Times New Roman" w:hAnsi="Times New Roman" w:cs="Times New Roman"/>
          <w:lang w:val="sk-SK"/>
        </w:rPr>
        <w:t>20</w:t>
      </w:r>
      <w:r>
        <w:rPr>
          <w:rFonts w:ascii="Times New Roman" w:eastAsia="Times New Roman" w:hAnsi="Times New Roman" w:cs="Times New Roman"/>
          <w:spacing w:val="-1"/>
          <w:lang w:val="sk-SK"/>
        </w:rPr>
        <w:t> mg/kg/deň</w:t>
      </w:r>
      <w:r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bolo pozorované zníženie fertility samíc potkanov</w:t>
      </w:r>
      <w:r w:rsidR="00444697" w:rsidRPr="00041C3D">
        <w:rPr>
          <w:rFonts w:ascii="Times New Roman" w:eastAsia="Times New Roman" w:hAnsi="Times New Roman" w:cs="Times New Roman"/>
          <w:spacing w:val="-1"/>
          <w:lang w:val="sk-SK"/>
        </w:rPr>
        <w:t>.</w:t>
      </w:r>
    </w:p>
    <w:p w14:paraId="1EEBA161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62" w14:textId="57301A39" w:rsidR="00444697" w:rsidRPr="00041C3D" w:rsidRDefault="00805D2C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Publikované štúdie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preukázali, že u geneticky modifikovaných myší, u ktorých chýbala expresia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EGFR, </w:t>
      </w:r>
      <w:r>
        <w:rPr>
          <w:rFonts w:ascii="Times New Roman" w:eastAsia="Times New Roman" w:hAnsi="Times New Roman" w:cs="Times New Roman"/>
          <w:lang w:val="sk-SK"/>
        </w:rPr>
        <w:t>sa prejavili vývojové defekty súvisiace</w:t>
      </w:r>
      <w:r w:rsidR="0096486D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 epiteliálnou nezrelosťou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rôznych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orgánov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vrátane</w:t>
      </w:r>
      <w:r>
        <w:rPr>
          <w:rFonts w:ascii="Times New Roman" w:eastAsia="Times New Roman" w:hAnsi="Times New Roman" w:cs="Times New Roman"/>
          <w:lang w:val="sk-SK"/>
        </w:rPr>
        <w:t xml:space="preserve"> kože</w:t>
      </w:r>
      <w:r w:rsidR="00FB56DB">
        <w:rPr>
          <w:rFonts w:ascii="Times New Roman" w:eastAsia="Times New Roman" w:hAnsi="Times New Roman" w:cs="Times New Roman"/>
          <w:lang w:val="sk-SK"/>
        </w:rPr>
        <w:t>, gastrointestiná</w:t>
      </w:r>
      <w:r w:rsidR="00444697" w:rsidRPr="00041C3D">
        <w:rPr>
          <w:rFonts w:ascii="Times New Roman" w:eastAsia="Times New Roman" w:hAnsi="Times New Roman" w:cs="Times New Roman"/>
          <w:lang w:val="sk-SK"/>
        </w:rPr>
        <w:t>l</w:t>
      </w:r>
      <w:r w:rsidR="00FB56DB">
        <w:rPr>
          <w:rFonts w:ascii="Times New Roman" w:eastAsia="Times New Roman" w:hAnsi="Times New Roman" w:cs="Times New Roman"/>
          <w:lang w:val="sk-SK"/>
        </w:rPr>
        <w:t>neho trak</w:t>
      </w:r>
      <w:r w:rsidR="00444697" w:rsidRPr="00041C3D">
        <w:rPr>
          <w:rFonts w:ascii="Times New Roman" w:eastAsia="Times New Roman" w:hAnsi="Times New Roman" w:cs="Times New Roman"/>
          <w:lang w:val="sk-SK"/>
        </w:rPr>
        <w:t>t</w:t>
      </w:r>
      <w:r w:rsidR="00FB56DB">
        <w:rPr>
          <w:rFonts w:ascii="Times New Roman" w:eastAsia="Times New Roman" w:hAnsi="Times New Roman" w:cs="Times New Roman"/>
          <w:lang w:val="sk-SK"/>
        </w:rPr>
        <w:t>u a pľúc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. </w:t>
      </w:r>
      <w:r w:rsidR="0096486D">
        <w:rPr>
          <w:rFonts w:ascii="Times New Roman" w:eastAsia="Times New Roman" w:hAnsi="Times New Roman" w:cs="Times New Roman"/>
          <w:lang w:val="sk-SK"/>
        </w:rPr>
        <w:t xml:space="preserve">Pri podávaní gefitinibu </w:t>
      </w:r>
      <w:r w:rsidR="00CA0879">
        <w:rPr>
          <w:rFonts w:ascii="Times New Roman" w:eastAsia="Times New Roman" w:hAnsi="Times New Roman" w:cs="Times New Roman"/>
          <w:lang w:val="sk-SK"/>
        </w:rPr>
        <w:t xml:space="preserve">v </w:t>
      </w:r>
      <w:r w:rsidR="0096486D" w:rsidRPr="00CA0879">
        <w:rPr>
          <w:rFonts w:ascii="Times New Roman" w:eastAsia="Times New Roman" w:hAnsi="Times New Roman" w:cs="Times New Roman"/>
          <w:lang w:val="sk-SK"/>
        </w:rPr>
        <w:t>najvy</w:t>
      </w:r>
      <w:r w:rsidR="0096486D" w:rsidRPr="00CA0879">
        <w:rPr>
          <w:rFonts w:ascii="Times New Roman" w:eastAsia="Times New Roman" w:hAnsi="Times New Roman" w:cs="Times New Roman" w:hint="eastAsia"/>
          <w:lang w:val="sk-SK"/>
        </w:rPr>
        <w:t>šší</w:t>
      </w:r>
      <w:r w:rsidR="0096486D" w:rsidRPr="00CA0879">
        <w:rPr>
          <w:rFonts w:ascii="Times New Roman" w:eastAsia="Times New Roman" w:hAnsi="Times New Roman" w:cs="Times New Roman"/>
          <w:lang w:val="sk-SK"/>
        </w:rPr>
        <w:t>ch d</w:t>
      </w:r>
      <w:r w:rsidR="0096486D" w:rsidRPr="00CA0879">
        <w:rPr>
          <w:rFonts w:ascii="Times New Roman" w:eastAsia="Times New Roman" w:hAnsi="Times New Roman" w:cs="Times New Roman" w:hint="eastAsia"/>
          <w:lang w:val="sk-SK"/>
        </w:rPr>
        <w:t>á</w:t>
      </w:r>
      <w:r w:rsidR="0096486D" w:rsidRPr="00CA0879">
        <w:rPr>
          <w:rFonts w:ascii="Times New Roman" w:eastAsia="Times New Roman" w:hAnsi="Times New Roman" w:cs="Times New Roman"/>
          <w:lang w:val="sk-SK"/>
        </w:rPr>
        <w:t>vkach (30 mg/kg/de</w:t>
      </w:r>
      <w:r w:rsidR="0096486D" w:rsidRPr="00CA0879">
        <w:rPr>
          <w:rFonts w:ascii="Times New Roman" w:eastAsia="Times New Roman" w:hAnsi="Times New Roman" w:cs="Times New Roman" w:hint="eastAsia"/>
          <w:lang w:val="sk-SK"/>
        </w:rPr>
        <w:t>ň</w:t>
      </w:r>
      <w:r w:rsidR="00CA0879">
        <w:rPr>
          <w:rFonts w:ascii="Times New Roman" w:eastAsia="Times New Roman" w:hAnsi="Times New Roman" w:cs="Times New Roman"/>
          <w:lang w:val="sk-SK"/>
        </w:rPr>
        <w:t>)</w:t>
      </w:r>
      <w:r w:rsidR="0096486D">
        <w:rPr>
          <w:rFonts w:ascii="Times New Roman" w:eastAsia="Times New Roman" w:hAnsi="Times New Roman" w:cs="Times New Roman"/>
          <w:lang w:val="sk-SK"/>
        </w:rPr>
        <w:t xml:space="preserve"> potkanom počas organogenézy nebol pozorovaný žiaden účinok </w:t>
      </w:r>
      <w:r w:rsidR="00CA0879">
        <w:rPr>
          <w:rFonts w:ascii="Times New Roman" w:eastAsia="Times New Roman" w:hAnsi="Times New Roman" w:cs="Times New Roman"/>
          <w:lang w:val="sk-SK"/>
        </w:rPr>
        <w:t>na embryofetálny vývoj, u králikov však bola pozorovaná pri dávkach 20 mg/kg/deň</w:t>
      </w:r>
      <w:r w:rsidR="00CA0879" w:rsidRPr="00041C3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CA0879">
        <w:rPr>
          <w:rFonts w:ascii="Times New Roman" w:eastAsia="Times New Roman" w:hAnsi="Times New Roman" w:cs="Times New Roman"/>
          <w:lang w:val="sk-SK"/>
        </w:rPr>
        <w:t>a vyšších redukcia hmotnosti plodov</w:t>
      </w:r>
      <w:r w:rsidR="00444697" w:rsidRPr="00041C3D">
        <w:rPr>
          <w:rFonts w:ascii="Times New Roman" w:eastAsia="Times New Roman" w:hAnsi="Times New Roman" w:cs="Times New Roman"/>
          <w:lang w:val="sk-SK"/>
        </w:rPr>
        <w:t>.</w:t>
      </w:r>
      <w:r w:rsidR="00444697" w:rsidRPr="00041C3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CA0879">
        <w:rPr>
          <w:rFonts w:ascii="Times New Roman" w:eastAsia="Times New Roman" w:hAnsi="Times New Roman" w:cs="Times New Roman"/>
          <w:spacing w:val="-1"/>
          <w:lang w:val="sk-SK"/>
        </w:rPr>
        <w:t>Ani u jedného živočíšneho druhu neboli pozorované žiadne liečivom indukované malformácie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. </w:t>
      </w:r>
      <w:r w:rsidR="00CA0879">
        <w:rPr>
          <w:rFonts w:ascii="Times New Roman" w:eastAsia="Times New Roman" w:hAnsi="Times New Roman" w:cs="Times New Roman"/>
          <w:lang w:val="sk-SK"/>
        </w:rPr>
        <w:t xml:space="preserve">U potkanov bolo </w:t>
      </w:r>
      <w:r w:rsidR="00CA0879">
        <w:rPr>
          <w:rFonts w:ascii="Times New Roman" w:eastAsia="Times New Roman" w:hAnsi="Times New Roman" w:cs="Times New Roman"/>
          <w:lang w:val="sk-SK"/>
        </w:rPr>
        <w:lastRenderedPageBreak/>
        <w:t xml:space="preserve">pozorované zníženie prežívania mláďat pri podávaní </w:t>
      </w:r>
      <w:r w:rsidR="00247387">
        <w:rPr>
          <w:rFonts w:ascii="Times New Roman" w:eastAsia="Times New Roman" w:hAnsi="Times New Roman" w:cs="Times New Roman"/>
          <w:lang w:val="sk-SK"/>
        </w:rPr>
        <w:t xml:space="preserve">počas gravidity a pôrodu </w:t>
      </w:r>
      <w:r w:rsidR="00CA0879">
        <w:rPr>
          <w:rFonts w:ascii="Times New Roman" w:eastAsia="Times New Roman" w:hAnsi="Times New Roman" w:cs="Times New Roman"/>
          <w:lang w:val="sk-SK"/>
        </w:rPr>
        <w:t>v </w:t>
      </w:r>
      <w:r w:rsidR="00247387">
        <w:rPr>
          <w:rFonts w:ascii="Times New Roman" w:eastAsia="Times New Roman" w:hAnsi="Times New Roman" w:cs="Times New Roman"/>
          <w:lang w:val="sk-SK"/>
        </w:rPr>
        <w:t>dávkach</w:t>
      </w:r>
      <w:r w:rsidR="00CA0879">
        <w:rPr>
          <w:rFonts w:ascii="Times New Roman" w:eastAsia="Times New Roman" w:hAnsi="Times New Roman" w:cs="Times New Roman"/>
          <w:lang w:val="sk-SK"/>
        </w:rPr>
        <w:t xml:space="preserve"> </w:t>
      </w:r>
      <w:r w:rsidR="00444697" w:rsidRPr="00041C3D">
        <w:rPr>
          <w:rFonts w:ascii="Times New Roman" w:eastAsia="Times New Roman" w:hAnsi="Times New Roman" w:cs="Times New Roman"/>
          <w:lang w:val="sk-SK"/>
        </w:rPr>
        <w:t>20</w:t>
      </w:r>
      <w:r w:rsidR="00247387">
        <w:rPr>
          <w:rFonts w:ascii="Times New Roman" w:eastAsia="Times New Roman" w:hAnsi="Times New Roman" w:cs="Times New Roman"/>
          <w:spacing w:val="-1"/>
          <w:lang w:val="sk-SK"/>
        </w:rPr>
        <w:t> mg/kg/deň</w:t>
      </w:r>
      <w:r w:rsidR="00444697" w:rsidRPr="00041C3D">
        <w:rPr>
          <w:rFonts w:ascii="Times New Roman" w:eastAsia="Times New Roman" w:hAnsi="Times New Roman" w:cs="Times New Roman"/>
          <w:spacing w:val="-1"/>
          <w:lang w:val="sk-SK"/>
        </w:rPr>
        <w:t>.</w:t>
      </w:r>
    </w:p>
    <w:p w14:paraId="1EEBA163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64" w14:textId="7DAF9F47" w:rsidR="00444697" w:rsidRPr="00041C3D" w:rsidRDefault="00263328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 xml:space="preserve">Po perorálnom podaní gefitinibu značeného </w:t>
      </w:r>
      <w:r w:rsidR="00661C09">
        <w:rPr>
          <w:rFonts w:ascii="Times New Roman" w:eastAsia="Times New Roman" w:hAnsi="Times New Roman" w:cs="Times New Roman"/>
          <w:lang w:val="sk-SK"/>
        </w:rPr>
        <w:t>C</w:t>
      </w:r>
      <w:r>
        <w:rPr>
          <w:rFonts w:ascii="Times New Roman" w:eastAsia="Times New Roman" w:hAnsi="Times New Roman" w:cs="Times New Roman"/>
          <w:lang w:val="sk-SK"/>
        </w:rPr>
        <w:t xml:space="preserve">-14 </w:t>
      </w:r>
      <w:r w:rsidR="00661C09">
        <w:rPr>
          <w:rFonts w:ascii="Times New Roman" w:eastAsia="Times New Roman" w:hAnsi="Times New Roman" w:cs="Times New Roman"/>
          <w:lang w:val="sk-SK"/>
        </w:rPr>
        <w:t>laktujúcim</w:t>
      </w:r>
      <w:r>
        <w:rPr>
          <w:rFonts w:ascii="Times New Roman" w:eastAsia="Times New Roman" w:hAnsi="Times New Roman" w:cs="Times New Roman"/>
          <w:lang w:val="sk-SK"/>
        </w:rPr>
        <w:t xml:space="preserve"> potkanom 14 dní po narodení boli koncentrácie rádioaktivity v m</w:t>
      </w:r>
      <w:r w:rsidR="00444697" w:rsidRPr="00041C3D">
        <w:rPr>
          <w:rFonts w:ascii="Times New Roman" w:eastAsia="Times New Roman" w:hAnsi="Times New Roman" w:cs="Times New Roman"/>
          <w:lang w:val="sk-SK"/>
        </w:rPr>
        <w:t>l</w:t>
      </w:r>
      <w:r>
        <w:rPr>
          <w:rFonts w:ascii="Times New Roman" w:eastAsia="Times New Roman" w:hAnsi="Times New Roman" w:cs="Times New Roman"/>
          <w:lang w:val="sk-SK"/>
        </w:rPr>
        <w:t>ie</w:t>
      </w:r>
      <w:r w:rsidR="00444697" w:rsidRPr="00041C3D">
        <w:rPr>
          <w:rFonts w:ascii="Times New Roman" w:eastAsia="Times New Roman" w:hAnsi="Times New Roman" w:cs="Times New Roman"/>
          <w:lang w:val="sk-SK"/>
        </w:rPr>
        <w:t>k</w:t>
      </w:r>
      <w:r>
        <w:rPr>
          <w:rFonts w:ascii="Times New Roman" w:eastAsia="Times New Roman" w:hAnsi="Times New Roman" w:cs="Times New Roman"/>
          <w:lang w:val="sk-SK"/>
        </w:rPr>
        <w:t>u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1</w:t>
      </w:r>
      <w:r w:rsidR="00444697" w:rsidRPr="00041C3D">
        <w:rPr>
          <w:rFonts w:ascii="Times New Roman" w:eastAsia="Times New Roman" w:hAnsi="Times New Roman" w:cs="Times New Roman"/>
          <w:spacing w:val="-1"/>
          <w:lang w:val="sk-SK"/>
        </w:rPr>
        <w:t>1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až </w:t>
      </w:r>
      <w:r>
        <w:rPr>
          <w:rFonts w:ascii="Times New Roman" w:eastAsia="Times New Roman" w:hAnsi="Times New Roman" w:cs="Times New Roman"/>
          <w:lang w:val="sk-SK"/>
        </w:rPr>
        <w:t>19-násobne vyššie ako v krvi</w:t>
      </w:r>
      <w:r w:rsidR="00444697" w:rsidRPr="00041C3D">
        <w:rPr>
          <w:rFonts w:ascii="Times New Roman" w:eastAsia="Times New Roman" w:hAnsi="Times New Roman" w:cs="Times New Roman"/>
          <w:lang w:val="sk-SK"/>
        </w:rPr>
        <w:t>.</w:t>
      </w:r>
    </w:p>
    <w:p w14:paraId="1EEBA165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66" w14:textId="495C5E46" w:rsidR="00444697" w:rsidRPr="00041C3D" w:rsidRDefault="00444697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041C3D">
        <w:rPr>
          <w:rFonts w:ascii="Times New Roman" w:eastAsia="Times New Roman" w:hAnsi="Times New Roman" w:cs="Times New Roman"/>
          <w:lang w:val="sk-SK"/>
        </w:rPr>
        <w:t xml:space="preserve">Gefitinib </w:t>
      </w:r>
      <w:r w:rsidR="00263328">
        <w:rPr>
          <w:rFonts w:ascii="Times New Roman" w:eastAsia="Times New Roman" w:hAnsi="Times New Roman" w:cs="Times New Roman"/>
          <w:lang w:val="sk-SK"/>
        </w:rPr>
        <w:t>nepreukázal žiaden genotoxický potenciál</w:t>
      </w:r>
      <w:r w:rsidRPr="00041C3D">
        <w:rPr>
          <w:rFonts w:ascii="Times New Roman" w:eastAsia="Times New Roman" w:hAnsi="Times New Roman" w:cs="Times New Roman"/>
          <w:lang w:val="sk-SK"/>
        </w:rPr>
        <w:t>.</w:t>
      </w:r>
    </w:p>
    <w:p w14:paraId="1EEBA167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61A8886" w14:textId="074577DB" w:rsidR="0025335B" w:rsidRPr="0025335B" w:rsidRDefault="00263328" w:rsidP="0025335B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V</w:t>
      </w:r>
      <w:r w:rsidR="00444697" w:rsidRPr="0025335B">
        <w:rPr>
          <w:rFonts w:ascii="Times New Roman" w:eastAsia="Times New Roman" w:hAnsi="Times New Roman" w:cs="Times New Roman"/>
          <w:lang w:val="sk-SK"/>
        </w:rPr>
        <w:t xml:space="preserve"> </w:t>
      </w:r>
      <w:r w:rsidR="00444697" w:rsidRPr="00041C3D">
        <w:rPr>
          <w:rFonts w:ascii="Times New Roman" w:eastAsia="Times New Roman" w:hAnsi="Times New Roman" w:cs="Times New Roman"/>
          <w:lang w:val="sk-SK"/>
        </w:rPr>
        <w:t>2</w:t>
      </w:r>
      <w:r w:rsidR="00444697" w:rsidRPr="0025335B">
        <w:rPr>
          <w:rFonts w:ascii="Times New Roman" w:eastAsia="Times New Roman" w:hAnsi="Times New Roman" w:cs="Times New Roman"/>
          <w:lang w:val="sk-SK"/>
        </w:rPr>
        <w:noBreakHyphen/>
      </w:r>
      <w:r>
        <w:rPr>
          <w:rFonts w:ascii="Times New Roman" w:eastAsia="Times New Roman" w:hAnsi="Times New Roman" w:cs="Times New Roman"/>
          <w:lang w:val="sk-SK"/>
        </w:rPr>
        <w:t>ročnej štúdii karcinogeni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ty </w:t>
      </w:r>
      <w:r>
        <w:rPr>
          <w:rFonts w:ascii="Times New Roman" w:eastAsia="Times New Roman" w:hAnsi="Times New Roman" w:cs="Times New Roman"/>
          <w:lang w:val="sk-SK"/>
        </w:rPr>
        <w:t>u</w:t>
      </w:r>
      <w:r w:rsidR="0025335B">
        <w:rPr>
          <w:rFonts w:ascii="Times New Roman" w:eastAsia="Times New Roman" w:hAnsi="Times New Roman" w:cs="Times New Roman"/>
          <w:lang w:val="sk-SK"/>
        </w:rPr>
        <w:t> </w:t>
      </w:r>
      <w:r>
        <w:rPr>
          <w:rFonts w:ascii="Times New Roman" w:eastAsia="Times New Roman" w:hAnsi="Times New Roman" w:cs="Times New Roman"/>
          <w:lang w:val="sk-SK"/>
        </w:rPr>
        <w:t>potkanov</w:t>
      </w:r>
      <w:r w:rsidR="0025335B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 zistilo malé, ale štatisticky významné zvýšenie incidencie hepatocelulárnych adenómov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 samcov aj samíc potkanov a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25335B" w:rsidRPr="0025335B">
        <w:rPr>
          <w:rFonts w:ascii="Times New Roman" w:eastAsia="Times New Roman" w:hAnsi="Times New Roman" w:cs="Times New Roman"/>
          <w:lang w:val="sk-SK"/>
        </w:rPr>
        <w:t>hemangiosark</w:t>
      </w:r>
      <w:r w:rsidR="0025335B" w:rsidRPr="0025335B">
        <w:rPr>
          <w:rFonts w:ascii="Times New Roman" w:eastAsia="Times New Roman" w:hAnsi="Times New Roman" w:cs="Times New Roman" w:hint="eastAsia"/>
          <w:lang w:val="sk-SK"/>
        </w:rPr>
        <w:t>ó</w:t>
      </w:r>
      <w:r w:rsidR="0025335B" w:rsidRPr="0025335B">
        <w:rPr>
          <w:rFonts w:ascii="Times New Roman" w:eastAsia="Times New Roman" w:hAnsi="Times New Roman" w:cs="Times New Roman"/>
          <w:lang w:val="sk-SK"/>
        </w:rPr>
        <w:t>mov</w:t>
      </w:r>
    </w:p>
    <w:p w14:paraId="1EEBA168" w14:textId="446DFE80" w:rsidR="00444697" w:rsidRPr="00041C3D" w:rsidRDefault="0025335B" w:rsidP="0025335B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25335B">
        <w:rPr>
          <w:rFonts w:ascii="Times New Roman" w:eastAsia="Times New Roman" w:hAnsi="Times New Roman" w:cs="Times New Roman"/>
          <w:lang w:val="sk-SK"/>
        </w:rPr>
        <w:t>mezenteri</w:t>
      </w:r>
      <w:r w:rsidRPr="0025335B">
        <w:rPr>
          <w:rFonts w:ascii="Times New Roman" w:eastAsia="Times New Roman" w:hAnsi="Times New Roman" w:cs="Times New Roman" w:hint="eastAsia"/>
          <w:lang w:val="sk-SK"/>
        </w:rPr>
        <w:t>á</w:t>
      </w:r>
      <w:r w:rsidRPr="0025335B">
        <w:rPr>
          <w:rFonts w:ascii="Times New Roman" w:eastAsia="Times New Roman" w:hAnsi="Times New Roman" w:cs="Times New Roman"/>
          <w:lang w:val="sk-SK"/>
        </w:rPr>
        <w:t>lnych lymfatick</w:t>
      </w:r>
      <w:r w:rsidRPr="0025335B">
        <w:rPr>
          <w:rFonts w:ascii="Times New Roman" w:eastAsia="Times New Roman" w:hAnsi="Times New Roman" w:cs="Times New Roman" w:hint="eastAsia"/>
          <w:lang w:val="sk-SK"/>
        </w:rPr>
        <w:t>ý</w:t>
      </w:r>
      <w:r w:rsidRPr="0025335B">
        <w:rPr>
          <w:rFonts w:ascii="Times New Roman" w:eastAsia="Times New Roman" w:hAnsi="Times New Roman" w:cs="Times New Roman"/>
          <w:lang w:val="sk-SK"/>
        </w:rPr>
        <w:t>ch uzl</w:t>
      </w:r>
      <w:r w:rsidRPr="0025335B">
        <w:rPr>
          <w:rFonts w:ascii="Times New Roman" w:eastAsia="Times New Roman" w:hAnsi="Times New Roman" w:cs="Times New Roman" w:hint="eastAsia"/>
          <w:lang w:val="sk-SK"/>
        </w:rPr>
        <w:t>í</w:t>
      </w:r>
      <w:r w:rsidRPr="0025335B">
        <w:rPr>
          <w:rFonts w:ascii="Times New Roman" w:eastAsia="Times New Roman" w:hAnsi="Times New Roman" w:cs="Times New Roman"/>
          <w:lang w:val="sk-SK"/>
        </w:rPr>
        <w:t>n</w:t>
      </w:r>
      <w:r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 samíc potkanov len pri najvyššej dávke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(10</w:t>
      </w:r>
      <w:r w:rsidR="00444697" w:rsidRPr="00041C3D">
        <w:rPr>
          <w:rFonts w:ascii="Times New Roman" w:eastAsia="Times New Roman" w:hAnsi="Times New Roman" w:cs="Times New Roman"/>
          <w:spacing w:val="-1"/>
          <w:lang w:val="sk-SK"/>
        </w:rPr>
        <w:t> </w:t>
      </w:r>
      <w:r>
        <w:rPr>
          <w:rFonts w:ascii="Times New Roman" w:eastAsia="Times New Roman" w:hAnsi="Times New Roman" w:cs="Times New Roman"/>
          <w:lang w:val="sk-SK"/>
        </w:rPr>
        <w:t>mg/kg/deň)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. </w:t>
      </w:r>
      <w:r>
        <w:rPr>
          <w:rFonts w:ascii="Times New Roman" w:eastAsia="Times New Roman" w:hAnsi="Times New Roman" w:cs="Times New Roman"/>
          <w:lang w:val="sk-SK"/>
        </w:rPr>
        <w:t>Hepatocelulárne adenómy</w:t>
      </w:r>
      <w:r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boli tiež pozorované v 2-ročnej štúdii k</w:t>
      </w:r>
      <w:r w:rsidR="00444697" w:rsidRPr="00041C3D">
        <w:rPr>
          <w:rFonts w:ascii="Times New Roman" w:eastAsia="Times New Roman" w:hAnsi="Times New Roman" w:cs="Times New Roman"/>
          <w:lang w:val="sk-SK"/>
        </w:rPr>
        <w:t>arc</w:t>
      </w:r>
      <w:r w:rsidR="00444697" w:rsidRPr="00041C3D">
        <w:rPr>
          <w:rFonts w:ascii="Times New Roman" w:eastAsia="Times New Roman" w:hAnsi="Times New Roman" w:cs="Times New Roman"/>
          <w:spacing w:val="-2"/>
          <w:lang w:val="sk-SK"/>
        </w:rPr>
        <w:t>i</w:t>
      </w:r>
      <w:r>
        <w:rPr>
          <w:rFonts w:ascii="Times New Roman" w:eastAsia="Times New Roman" w:hAnsi="Times New Roman" w:cs="Times New Roman"/>
          <w:lang w:val="sk-SK"/>
        </w:rPr>
        <w:t>nogeni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ty </w:t>
      </w:r>
      <w:r>
        <w:rPr>
          <w:rFonts w:ascii="Times New Roman" w:eastAsia="Times New Roman" w:hAnsi="Times New Roman" w:cs="Times New Roman"/>
          <w:lang w:val="sk-SK"/>
        </w:rPr>
        <w:t>u myší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, </w:t>
      </w:r>
      <w:r>
        <w:rPr>
          <w:rFonts w:ascii="Times New Roman" w:eastAsia="Times New Roman" w:hAnsi="Times New Roman" w:cs="Times New Roman"/>
          <w:lang w:val="sk-SK"/>
        </w:rPr>
        <w:t>čo dokazuje mierne zvýšená incidencia tohto nálezu u samcov myší pri strednej dávke a u samcov aj samíc myší pri najvyššej dávke. Tieto účinky sa ukázali ako štatisticky významné u samíc myší, nie však u samcov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. </w:t>
      </w:r>
      <w:r w:rsidR="00007C2D">
        <w:rPr>
          <w:rFonts w:ascii="Times New Roman" w:eastAsia="Times New Roman" w:hAnsi="Times New Roman" w:cs="Times New Roman"/>
          <w:lang w:val="sk-SK"/>
        </w:rPr>
        <w:t>Pri podávaní neúčinných množstiev liečiva myšiam a potkanom nebol pozorovaný žiaden rozdiel v klinickej expozícii. Klinický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  <w:r w:rsidR="00007C2D">
        <w:rPr>
          <w:rFonts w:ascii="Times New Roman" w:eastAsia="Times New Roman" w:hAnsi="Times New Roman" w:cs="Times New Roman"/>
          <w:lang w:val="sk-SK"/>
        </w:rPr>
        <w:t>význam týchto zistení nie je známy</w:t>
      </w:r>
      <w:r w:rsidR="00444697" w:rsidRPr="00041C3D">
        <w:rPr>
          <w:rFonts w:ascii="Times New Roman" w:eastAsia="Times New Roman" w:hAnsi="Times New Roman" w:cs="Times New Roman"/>
          <w:lang w:val="sk-SK"/>
        </w:rPr>
        <w:t>.</w:t>
      </w:r>
    </w:p>
    <w:p w14:paraId="1EEBA169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6A" w14:textId="73B06461" w:rsidR="00444697" w:rsidRPr="00041C3D" w:rsidRDefault="00007C2D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 xml:space="preserve">Výsledky </w:t>
      </w:r>
      <w:r w:rsidR="00444697" w:rsidRPr="00041C3D">
        <w:rPr>
          <w:rFonts w:ascii="Times New Roman" w:eastAsia="Times New Roman" w:hAnsi="Times New Roman" w:cs="Times New Roman"/>
          <w:i/>
          <w:lang w:val="sk-SK"/>
        </w:rPr>
        <w:t xml:space="preserve">in vitro </w:t>
      </w:r>
      <w:r>
        <w:rPr>
          <w:rFonts w:ascii="Times New Roman" w:eastAsia="Times New Roman" w:hAnsi="Times New Roman" w:cs="Times New Roman"/>
          <w:lang w:val="sk-SK"/>
        </w:rPr>
        <w:t>štúdie f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ototoxicity </w:t>
      </w:r>
      <w:r>
        <w:rPr>
          <w:rFonts w:ascii="Times New Roman" w:eastAsia="Times New Roman" w:hAnsi="Times New Roman" w:cs="Times New Roman"/>
          <w:lang w:val="sk-SK"/>
        </w:rPr>
        <w:t>preukázali, že gefitinib môže mať fototoxický potenciá</w:t>
      </w:r>
      <w:r w:rsidR="00444697" w:rsidRPr="00041C3D">
        <w:rPr>
          <w:rFonts w:ascii="Times New Roman" w:eastAsia="Times New Roman" w:hAnsi="Times New Roman" w:cs="Times New Roman"/>
          <w:lang w:val="sk-SK"/>
        </w:rPr>
        <w:t>l.</w:t>
      </w:r>
    </w:p>
    <w:p w14:paraId="1EEBA16B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6C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6D" w14:textId="5F5C7635" w:rsidR="00444697" w:rsidRPr="00041C3D" w:rsidRDefault="00444697" w:rsidP="00473F05">
      <w:pPr>
        <w:keepNext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041C3D">
        <w:rPr>
          <w:rFonts w:ascii="Times New Roman" w:eastAsia="Times New Roman" w:hAnsi="Times New Roman" w:cs="Times New Roman"/>
          <w:b/>
          <w:bCs/>
          <w:lang w:val="sk-SK"/>
        </w:rPr>
        <w:t>6.</w:t>
      </w:r>
      <w:r w:rsidRPr="00041C3D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="008F047E">
        <w:rPr>
          <w:rFonts w:ascii="Times New Roman" w:eastAsia="Times New Roman" w:hAnsi="Times New Roman" w:cs="Times New Roman"/>
          <w:b/>
          <w:bCs/>
          <w:spacing w:val="-1"/>
          <w:lang w:val="sk-SK"/>
        </w:rPr>
        <w:t>FARMACEUTICKÉ INFORMÁCIE</w:t>
      </w:r>
    </w:p>
    <w:p w14:paraId="1EEBA16E" w14:textId="77777777" w:rsidR="00444697" w:rsidRPr="00041C3D" w:rsidRDefault="00444697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6F" w14:textId="5C359C5B" w:rsidR="00444697" w:rsidRPr="00041C3D" w:rsidRDefault="008F047E" w:rsidP="00473F05">
      <w:pPr>
        <w:keepNext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6.1</w:t>
      </w:r>
      <w:r>
        <w:rPr>
          <w:rFonts w:ascii="Times New Roman" w:eastAsia="Times New Roman" w:hAnsi="Times New Roman" w:cs="Times New Roman"/>
          <w:b/>
          <w:bCs/>
          <w:lang w:val="sk-SK"/>
        </w:rPr>
        <w:tab/>
        <w:t>Zoznam pomocných látok</w:t>
      </w:r>
    </w:p>
    <w:p w14:paraId="1EEBA170" w14:textId="77777777" w:rsidR="00444697" w:rsidRPr="00041C3D" w:rsidRDefault="00444697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71" w14:textId="1DD1955D" w:rsidR="00444697" w:rsidRPr="00041C3D" w:rsidRDefault="008F047E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Jadro tablety</w:t>
      </w:r>
    </w:p>
    <w:p w14:paraId="1EEBA172" w14:textId="03451296" w:rsidR="00444697" w:rsidRPr="00041C3D" w:rsidRDefault="001C71E8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l</w:t>
      </w:r>
      <w:r w:rsidR="00015FAA">
        <w:rPr>
          <w:rFonts w:ascii="Times New Roman" w:eastAsia="Times New Roman" w:hAnsi="Times New Roman" w:cs="Times New Roman"/>
          <w:lang w:val="sk-SK"/>
        </w:rPr>
        <w:t>aktóza, monohydrát</w:t>
      </w:r>
    </w:p>
    <w:p w14:paraId="47C15323" w14:textId="2A77B5F0" w:rsidR="00015FAA" w:rsidRPr="001C71E8" w:rsidRDefault="001C71E8" w:rsidP="001C71E8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m</w:t>
      </w:r>
      <w:r w:rsidR="00015FAA" w:rsidRPr="001C71E8">
        <w:rPr>
          <w:rFonts w:ascii="Times New Roman" w:eastAsia="Times New Roman" w:hAnsi="Times New Roman" w:cs="Times New Roman"/>
          <w:lang w:val="sk-SK"/>
        </w:rPr>
        <w:t xml:space="preserve">ikrokryštalická celulóza </w:t>
      </w:r>
    </w:p>
    <w:p w14:paraId="2AA11503" w14:textId="7B6B2EE5" w:rsidR="001C71E8" w:rsidRPr="001C71E8" w:rsidRDefault="001C71E8" w:rsidP="001C71E8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k</w:t>
      </w:r>
      <w:r w:rsidRPr="001C71E8">
        <w:rPr>
          <w:rFonts w:ascii="Times New Roman" w:eastAsia="Times New Roman" w:hAnsi="Times New Roman" w:cs="Times New Roman"/>
          <w:lang w:val="sk-SK"/>
        </w:rPr>
        <w:t xml:space="preserve">roskarmelóza, sodná soľ </w:t>
      </w:r>
    </w:p>
    <w:p w14:paraId="33337FB8" w14:textId="5D3E4A8A" w:rsidR="001C71E8" w:rsidRPr="001C71E8" w:rsidRDefault="001C71E8" w:rsidP="001C71E8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l</w:t>
      </w:r>
      <w:r w:rsidRPr="001C71E8">
        <w:rPr>
          <w:rFonts w:ascii="Times New Roman" w:eastAsia="Times New Roman" w:hAnsi="Times New Roman" w:cs="Times New Roman"/>
          <w:lang w:val="sk-SK"/>
        </w:rPr>
        <w:t xml:space="preserve">aurylsíran sodný </w:t>
      </w:r>
    </w:p>
    <w:p w14:paraId="1EEBA176" w14:textId="5CF0B937" w:rsidR="00444697" w:rsidRPr="001C71E8" w:rsidRDefault="001C71E8" w:rsidP="001C71E8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p</w:t>
      </w:r>
      <w:r w:rsidRPr="001C71E8">
        <w:rPr>
          <w:rFonts w:ascii="Times New Roman" w:eastAsia="Times New Roman" w:hAnsi="Times New Roman" w:cs="Times New Roman"/>
          <w:lang w:val="sk-SK"/>
        </w:rPr>
        <w:t xml:space="preserve">ovidón 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7C641C19" w14:textId="50BE0D72" w:rsidR="001C71E8" w:rsidRPr="001C71E8" w:rsidRDefault="001C71E8" w:rsidP="001C71E8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s</w:t>
      </w:r>
      <w:r w:rsidRPr="001C71E8">
        <w:rPr>
          <w:rFonts w:ascii="Times New Roman" w:eastAsia="Times New Roman" w:hAnsi="Times New Roman" w:cs="Times New Roman"/>
          <w:lang w:val="sk-SK"/>
        </w:rPr>
        <w:t xml:space="preserve">tearan horečnatý </w:t>
      </w:r>
    </w:p>
    <w:p w14:paraId="1EEBA178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highlight w:val="yellow"/>
          <w:lang w:val="sk-SK"/>
        </w:rPr>
      </w:pPr>
    </w:p>
    <w:p w14:paraId="1EEBA179" w14:textId="2925D4FF" w:rsidR="00444697" w:rsidRPr="00041C3D" w:rsidRDefault="008F047E" w:rsidP="00473F05">
      <w:pPr>
        <w:spacing w:after="0" w:line="240" w:lineRule="auto"/>
        <w:rPr>
          <w:rFonts w:ascii="Times New Roman" w:eastAsia="Times New Roman" w:hAnsi="Times New Roman" w:cs="Times New Roman"/>
          <w:strike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Obal tablety</w:t>
      </w:r>
    </w:p>
    <w:p w14:paraId="787614D9" w14:textId="557E595B" w:rsidR="00EE0B6B" w:rsidRDefault="00EE0B6B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Opadry II hnedá 85F165081:</w:t>
      </w:r>
    </w:p>
    <w:p w14:paraId="1EEBA17B" w14:textId="355245DC" w:rsidR="00444697" w:rsidRPr="00041C3D" w:rsidRDefault="00EE0B6B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P</w:t>
      </w:r>
      <w:r w:rsidR="001C71E8">
        <w:rPr>
          <w:rFonts w:ascii="Times New Roman" w:eastAsia="Times New Roman" w:hAnsi="Times New Roman" w:cs="Times New Roman"/>
          <w:lang w:val="sk-SK"/>
        </w:rPr>
        <w:t>olyvinylalk</w:t>
      </w:r>
      <w:r w:rsidR="001955DE" w:rsidRPr="00041C3D">
        <w:rPr>
          <w:rFonts w:ascii="Times New Roman" w:eastAsia="Times New Roman" w:hAnsi="Times New Roman" w:cs="Times New Roman"/>
          <w:lang w:val="sk-SK"/>
        </w:rPr>
        <w:t>ohol</w:t>
      </w:r>
    </w:p>
    <w:p w14:paraId="1EEBA17C" w14:textId="7E895AA8" w:rsidR="00444697" w:rsidRPr="00041C3D" w:rsidRDefault="001C71E8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mak</w:t>
      </w:r>
      <w:r w:rsidR="001955DE" w:rsidRPr="00041C3D">
        <w:rPr>
          <w:rFonts w:ascii="Times New Roman" w:eastAsia="Times New Roman" w:hAnsi="Times New Roman" w:cs="Times New Roman"/>
          <w:lang w:val="sk-SK"/>
        </w:rPr>
        <w:t>rogol</w:t>
      </w:r>
      <w:r w:rsidR="00EE0B6B">
        <w:rPr>
          <w:rFonts w:ascii="Times New Roman" w:eastAsia="Times New Roman" w:hAnsi="Times New Roman" w:cs="Times New Roman"/>
          <w:lang w:val="sk-SK"/>
        </w:rPr>
        <w:t xml:space="preserve"> 3350</w:t>
      </w:r>
    </w:p>
    <w:p w14:paraId="276A5B9C" w14:textId="45A22E77" w:rsidR="001C71E8" w:rsidRPr="001C71E8" w:rsidRDefault="001C71E8" w:rsidP="001C71E8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m</w:t>
      </w:r>
      <w:r w:rsidRPr="001C71E8">
        <w:rPr>
          <w:rFonts w:ascii="Times New Roman" w:eastAsia="Times New Roman" w:hAnsi="Times New Roman" w:cs="Times New Roman"/>
          <w:lang w:val="sk-SK"/>
        </w:rPr>
        <w:t xml:space="preserve">astenec </w:t>
      </w:r>
    </w:p>
    <w:p w14:paraId="1645A844" w14:textId="3EC2E678" w:rsidR="001C71E8" w:rsidRPr="001C71E8" w:rsidRDefault="001C71E8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o</w:t>
      </w:r>
      <w:r w:rsidRPr="001C71E8">
        <w:rPr>
          <w:rFonts w:ascii="Times New Roman" w:eastAsia="Times New Roman" w:hAnsi="Times New Roman" w:cs="Times New Roman"/>
          <w:lang w:val="sk-SK"/>
        </w:rPr>
        <w:t xml:space="preserve">xid </w:t>
      </w:r>
      <w:r w:rsidRPr="001C71E8">
        <w:rPr>
          <w:rFonts w:ascii="Times New Roman" w:eastAsia="Times New Roman" w:hAnsi="Times New Roman" w:cs="Times New Roman" w:hint="eastAsia"/>
          <w:lang w:val="sk-SK"/>
        </w:rPr>
        <w:t>ž</w:t>
      </w:r>
      <w:r w:rsidRPr="001C71E8">
        <w:rPr>
          <w:rFonts w:ascii="Times New Roman" w:eastAsia="Times New Roman" w:hAnsi="Times New Roman" w:cs="Times New Roman"/>
          <w:lang w:val="sk-SK"/>
        </w:rPr>
        <w:t>elezit</w:t>
      </w:r>
      <w:r w:rsidRPr="001C71E8">
        <w:rPr>
          <w:rFonts w:ascii="Times New Roman" w:eastAsia="Times New Roman" w:hAnsi="Times New Roman" w:cs="Times New Roman" w:hint="eastAsia"/>
          <w:lang w:val="sk-SK"/>
        </w:rPr>
        <w:t>ý</w:t>
      </w:r>
      <w:r w:rsidRPr="001C71E8">
        <w:rPr>
          <w:rFonts w:ascii="Times New Roman" w:eastAsia="Times New Roman" w:hAnsi="Times New Roman" w:cs="Times New Roman"/>
          <w:lang w:val="sk-SK"/>
        </w:rPr>
        <w:t xml:space="preserve"> </w:t>
      </w:r>
      <w:r w:rsidRPr="001C71E8">
        <w:rPr>
          <w:rFonts w:ascii="Times New Roman" w:eastAsia="Times New Roman" w:hAnsi="Times New Roman" w:cs="Times New Roman" w:hint="eastAsia"/>
          <w:lang w:val="sk-SK"/>
        </w:rPr>
        <w:t>ž</w:t>
      </w:r>
      <w:r w:rsidRPr="001C71E8">
        <w:rPr>
          <w:rFonts w:ascii="Times New Roman" w:eastAsia="Times New Roman" w:hAnsi="Times New Roman" w:cs="Times New Roman"/>
          <w:lang w:val="sk-SK"/>
        </w:rPr>
        <w:t>lt</w:t>
      </w:r>
      <w:r w:rsidRPr="001C71E8">
        <w:rPr>
          <w:rFonts w:ascii="Times New Roman" w:eastAsia="Times New Roman" w:hAnsi="Times New Roman" w:cs="Times New Roman" w:hint="eastAsia"/>
          <w:lang w:val="sk-SK"/>
        </w:rPr>
        <w:t>ý</w:t>
      </w:r>
    </w:p>
    <w:p w14:paraId="7CC77198" w14:textId="4C47FC11" w:rsidR="001C71E8" w:rsidRPr="001C71E8" w:rsidRDefault="001C71E8" w:rsidP="001C71E8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o</w:t>
      </w:r>
      <w:r w:rsidRPr="001C71E8">
        <w:rPr>
          <w:rFonts w:ascii="Times New Roman" w:eastAsia="Times New Roman" w:hAnsi="Times New Roman" w:cs="Times New Roman"/>
          <w:lang w:val="sk-SK"/>
        </w:rPr>
        <w:t xml:space="preserve">xid </w:t>
      </w:r>
      <w:r w:rsidRPr="001C71E8">
        <w:rPr>
          <w:rFonts w:ascii="Times New Roman" w:eastAsia="Times New Roman" w:hAnsi="Times New Roman" w:cs="Times New Roman" w:hint="eastAsia"/>
          <w:lang w:val="sk-SK"/>
        </w:rPr>
        <w:t>ž</w:t>
      </w:r>
      <w:r w:rsidRPr="001C71E8">
        <w:rPr>
          <w:rFonts w:ascii="Times New Roman" w:eastAsia="Times New Roman" w:hAnsi="Times New Roman" w:cs="Times New Roman"/>
          <w:lang w:val="sk-SK"/>
        </w:rPr>
        <w:t>elezit</w:t>
      </w:r>
      <w:r w:rsidRPr="001C71E8">
        <w:rPr>
          <w:rFonts w:ascii="Times New Roman" w:eastAsia="Times New Roman" w:hAnsi="Times New Roman" w:cs="Times New Roman" w:hint="eastAsia"/>
          <w:lang w:val="sk-SK"/>
        </w:rPr>
        <w:t>ý</w:t>
      </w:r>
      <w:r w:rsidRPr="001C71E8">
        <w:rPr>
          <w:rFonts w:ascii="Times New Roman" w:eastAsia="Times New Roman" w:hAnsi="Times New Roman" w:cs="Times New Roman"/>
          <w:lang w:val="sk-SK"/>
        </w:rPr>
        <w:t xml:space="preserve"> </w:t>
      </w:r>
      <w:r w:rsidRPr="001C71E8">
        <w:rPr>
          <w:rFonts w:ascii="Times New Roman" w:eastAsia="Times New Roman" w:hAnsi="Times New Roman" w:cs="Times New Roman" w:hint="eastAsia"/>
          <w:lang w:val="sk-SK"/>
        </w:rPr>
        <w:t>č</w:t>
      </w:r>
      <w:r w:rsidRPr="001C71E8">
        <w:rPr>
          <w:rFonts w:ascii="Times New Roman" w:eastAsia="Times New Roman" w:hAnsi="Times New Roman" w:cs="Times New Roman"/>
          <w:lang w:val="sk-SK"/>
        </w:rPr>
        <w:t>erven</w:t>
      </w:r>
      <w:r w:rsidRPr="001C71E8">
        <w:rPr>
          <w:rFonts w:ascii="Times New Roman" w:eastAsia="Times New Roman" w:hAnsi="Times New Roman" w:cs="Times New Roman" w:hint="eastAsia"/>
          <w:lang w:val="sk-SK"/>
        </w:rPr>
        <w:t>ý</w:t>
      </w:r>
    </w:p>
    <w:p w14:paraId="7FFD3816" w14:textId="47518A01" w:rsidR="001C71E8" w:rsidRPr="001C71E8" w:rsidRDefault="001C71E8" w:rsidP="001C71E8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o</w:t>
      </w:r>
      <w:r w:rsidRPr="001C71E8">
        <w:rPr>
          <w:rFonts w:ascii="Times New Roman" w:eastAsia="Times New Roman" w:hAnsi="Times New Roman" w:cs="Times New Roman"/>
          <w:lang w:val="sk-SK"/>
        </w:rPr>
        <w:t xml:space="preserve">xid titaničitý </w:t>
      </w:r>
    </w:p>
    <w:p w14:paraId="1EEBA181" w14:textId="77777777" w:rsidR="00444697" w:rsidRPr="00041C3D" w:rsidRDefault="00444697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EEBA182" w14:textId="0D8799B0" w:rsidR="00444697" w:rsidRPr="00041C3D" w:rsidRDefault="008F047E" w:rsidP="00473F0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6.2</w:t>
      </w:r>
      <w:r>
        <w:rPr>
          <w:rFonts w:ascii="Times New Roman" w:eastAsia="Times New Roman" w:hAnsi="Times New Roman" w:cs="Times New Roman"/>
          <w:b/>
          <w:bCs/>
          <w:lang w:val="sk-SK"/>
        </w:rPr>
        <w:tab/>
        <w:t>Inkompatibility</w:t>
      </w:r>
    </w:p>
    <w:p w14:paraId="1EEBA183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84" w14:textId="66C2D220" w:rsidR="00444697" w:rsidRPr="00041C3D" w:rsidRDefault="008F047E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Neaplikovateľné</w:t>
      </w:r>
      <w:r w:rsidR="00444697" w:rsidRPr="00041C3D">
        <w:rPr>
          <w:rFonts w:ascii="Times New Roman" w:eastAsia="Times New Roman" w:hAnsi="Times New Roman" w:cs="Times New Roman"/>
          <w:lang w:val="sk-SK"/>
        </w:rPr>
        <w:t>.</w:t>
      </w:r>
    </w:p>
    <w:p w14:paraId="1EEBA185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86" w14:textId="4DE742F7" w:rsidR="00444697" w:rsidRPr="00041C3D" w:rsidRDefault="00652744" w:rsidP="00473F0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6.3</w:t>
      </w:r>
      <w:r>
        <w:rPr>
          <w:rFonts w:ascii="Times New Roman" w:eastAsia="Times New Roman" w:hAnsi="Times New Roman" w:cs="Times New Roman"/>
          <w:b/>
          <w:bCs/>
          <w:lang w:val="sk-SK"/>
        </w:rPr>
        <w:tab/>
        <w:t>Čas použiteľnosti</w:t>
      </w:r>
    </w:p>
    <w:p w14:paraId="1EEBA187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88" w14:textId="78350814" w:rsidR="00444697" w:rsidRPr="00041C3D" w:rsidRDefault="00652744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27 mesiacov</w:t>
      </w:r>
    </w:p>
    <w:p w14:paraId="1EEBA189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8A" w14:textId="034F1F1C" w:rsidR="00444697" w:rsidRPr="00041C3D" w:rsidRDefault="00444697" w:rsidP="00473F05">
      <w:pPr>
        <w:keepNext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041C3D">
        <w:rPr>
          <w:rFonts w:ascii="Times New Roman" w:eastAsia="Times New Roman" w:hAnsi="Times New Roman" w:cs="Times New Roman"/>
          <w:b/>
          <w:bCs/>
          <w:lang w:val="sk-SK"/>
        </w:rPr>
        <w:t>6.4</w:t>
      </w:r>
      <w:r w:rsidR="00652744">
        <w:rPr>
          <w:rFonts w:ascii="Times New Roman" w:eastAsia="Times New Roman" w:hAnsi="Times New Roman" w:cs="Times New Roman"/>
          <w:b/>
          <w:bCs/>
          <w:lang w:val="sk-SK"/>
        </w:rPr>
        <w:tab/>
        <w:t>Špeciálne upozornenia na uchovávanie</w:t>
      </w:r>
    </w:p>
    <w:p w14:paraId="1EEBA18B" w14:textId="77777777" w:rsidR="00444697" w:rsidRPr="00041C3D" w:rsidRDefault="00444697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8D" w14:textId="304EDB92" w:rsidR="00444697" w:rsidRPr="00C7026E" w:rsidRDefault="00C7026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C7026E">
        <w:rPr>
          <w:rFonts w:ascii="Times New Roman" w:eastAsia="Times New Roman" w:hAnsi="Times New Roman" w:cs="Times New Roman"/>
          <w:lang w:val="sk-SK"/>
        </w:rPr>
        <w:t>Tento liek nevyžaduje žiadne zvláštne podmienky na uchovávanie.</w:t>
      </w:r>
    </w:p>
    <w:p w14:paraId="2F821A83" w14:textId="77777777" w:rsidR="00C7026E" w:rsidRPr="00041C3D" w:rsidRDefault="00C7026E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8E" w14:textId="6A8B7264" w:rsidR="00444697" w:rsidRPr="00041C3D" w:rsidRDefault="00652744" w:rsidP="00473F0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6.5</w:t>
      </w:r>
      <w:r>
        <w:rPr>
          <w:rFonts w:ascii="Times New Roman" w:eastAsia="Times New Roman" w:hAnsi="Times New Roman" w:cs="Times New Roman"/>
          <w:b/>
          <w:bCs/>
          <w:lang w:val="sk-SK"/>
        </w:rPr>
        <w:tab/>
        <w:t>Druh obalu a obsah balenia</w:t>
      </w:r>
    </w:p>
    <w:p w14:paraId="1EEBA18F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90" w14:textId="2543D97A" w:rsidR="00444697" w:rsidRPr="00041C3D" w:rsidRDefault="00EE0B6B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OPA/</w:t>
      </w:r>
      <w:r w:rsidR="00483587">
        <w:rPr>
          <w:rFonts w:ascii="Times New Roman" w:hAnsi="Times New Roman" w:cs="Times New Roman"/>
          <w:lang w:val="sk-SK"/>
        </w:rPr>
        <w:t>Al</w:t>
      </w:r>
      <w:r>
        <w:rPr>
          <w:rFonts w:ascii="Times New Roman" w:hAnsi="Times New Roman" w:cs="Times New Roman"/>
          <w:lang w:val="sk-SK"/>
        </w:rPr>
        <w:t>/PVC/</w:t>
      </w:r>
      <w:r w:rsidR="00483587">
        <w:rPr>
          <w:rFonts w:ascii="Times New Roman" w:hAnsi="Times New Roman" w:cs="Times New Roman"/>
          <w:lang w:val="sk-SK"/>
        </w:rPr>
        <w:t>Al</w:t>
      </w:r>
      <w:r w:rsidR="00444697" w:rsidRPr="00041C3D">
        <w:rPr>
          <w:rFonts w:ascii="Times New Roman" w:hAnsi="Times New Roman" w:cs="Times New Roman"/>
          <w:lang w:val="sk-SK"/>
        </w:rPr>
        <w:t xml:space="preserve"> blist</w:t>
      </w:r>
      <w:r>
        <w:rPr>
          <w:rFonts w:ascii="Times New Roman" w:hAnsi="Times New Roman" w:cs="Times New Roman"/>
          <w:lang w:val="sk-SK"/>
        </w:rPr>
        <w:t>re</w:t>
      </w:r>
      <w:r w:rsidR="00444697" w:rsidRPr="00041C3D">
        <w:rPr>
          <w:rFonts w:ascii="Times New Roman" w:hAnsi="Times New Roman" w:cs="Times New Roman"/>
          <w:lang w:val="sk-SK"/>
        </w:rPr>
        <w:t>.</w:t>
      </w:r>
    </w:p>
    <w:p w14:paraId="1EEBA191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highlight w:val="yellow"/>
          <w:lang w:val="sk-SK"/>
        </w:rPr>
      </w:pPr>
    </w:p>
    <w:p w14:paraId="1EEBA192" w14:textId="53872179" w:rsidR="00444697" w:rsidRPr="00041C3D" w:rsidRDefault="00EE0B6B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Balenia</w:t>
      </w:r>
      <w:r w:rsidR="002A2F97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obsahujú</w:t>
      </w:r>
      <w:r w:rsidR="00015FAA">
        <w:rPr>
          <w:rFonts w:ascii="Times New Roman" w:hAnsi="Times New Roman" w:cs="Times New Roman"/>
          <w:lang w:val="sk-SK"/>
        </w:rPr>
        <w:t xml:space="preserve"> </w:t>
      </w:r>
      <w:r w:rsidR="002A2F97">
        <w:rPr>
          <w:rFonts w:ascii="Times New Roman" w:hAnsi="Times New Roman" w:cs="Times New Roman"/>
          <w:lang w:val="sk-SK"/>
        </w:rPr>
        <w:t>30 filmom obalených</w:t>
      </w:r>
      <w:r w:rsidR="00444697" w:rsidRPr="00041C3D">
        <w:rPr>
          <w:rFonts w:ascii="Times New Roman" w:hAnsi="Times New Roman" w:cs="Times New Roman"/>
          <w:lang w:val="sk-SK"/>
        </w:rPr>
        <w:t xml:space="preserve"> tabl</w:t>
      </w:r>
      <w:r w:rsidR="002A2F97">
        <w:rPr>
          <w:rFonts w:ascii="Times New Roman" w:hAnsi="Times New Roman" w:cs="Times New Roman"/>
          <w:lang w:val="sk-SK"/>
        </w:rPr>
        <w:t>iet v blistri alebo</w:t>
      </w:r>
      <w:r w:rsidR="007A1D13">
        <w:rPr>
          <w:rFonts w:ascii="Times New Roman" w:hAnsi="Times New Roman" w:cs="Times New Roman"/>
          <w:lang w:val="sk-SK"/>
        </w:rPr>
        <w:t xml:space="preserve"> 30 x 1 filmom obalen</w:t>
      </w:r>
      <w:r w:rsidR="00F07364">
        <w:rPr>
          <w:rFonts w:ascii="Times New Roman" w:hAnsi="Times New Roman" w:cs="Times New Roman"/>
          <w:lang w:val="sk-SK"/>
        </w:rPr>
        <w:t>ú</w:t>
      </w:r>
      <w:r w:rsidR="00015FAA">
        <w:rPr>
          <w:rFonts w:ascii="Times New Roman" w:hAnsi="Times New Roman" w:cs="Times New Roman"/>
          <w:lang w:val="sk-SK"/>
        </w:rPr>
        <w:t xml:space="preserve"> tabl</w:t>
      </w:r>
      <w:r w:rsidR="00F07364">
        <w:rPr>
          <w:rFonts w:ascii="Times New Roman" w:hAnsi="Times New Roman" w:cs="Times New Roman"/>
          <w:lang w:val="sk-SK"/>
        </w:rPr>
        <w:t>etu</w:t>
      </w:r>
      <w:r w:rsidR="00015FAA">
        <w:rPr>
          <w:rFonts w:ascii="Times New Roman" w:hAnsi="Times New Roman" w:cs="Times New Roman"/>
          <w:lang w:val="sk-SK"/>
        </w:rPr>
        <w:t xml:space="preserve"> v</w:t>
      </w:r>
      <w:r>
        <w:rPr>
          <w:rFonts w:ascii="Times New Roman" w:hAnsi="Times New Roman" w:cs="Times New Roman"/>
          <w:lang w:val="sk-SK"/>
        </w:rPr>
        <w:t xml:space="preserve"> perforovanom </w:t>
      </w:r>
      <w:r w:rsidR="00015FAA">
        <w:rPr>
          <w:rFonts w:ascii="Times New Roman" w:hAnsi="Times New Roman" w:cs="Times New Roman"/>
          <w:lang w:val="sk-SK"/>
        </w:rPr>
        <w:t>blistri s jednotlivou dávkou</w:t>
      </w:r>
      <w:r w:rsidR="00444697" w:rsidRPr="00041C3D">
        <w:rPr>
          <w:rFonts w:ascii="Times New Roman" w:hAnsi="Times New Roman" w:cs="Times New Roman"/>
          <w:lang w:val="sk-SK"/>
        </w:rPr>
        <w:t>.</w:t>
      </w:r>
    </w:p>
    <w:p w14:paraId="1EEBA193" w14:textId="77777777" w:rsidR="00444697" w:rsidRPr="00041C3D" w:rsidRDefault="00444697" w:rsidP="00473F05">
      <w:pPr>
        <w:tabs>
          <w:tab w:val="left" w:pos="660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F302DEC" w14:textId="1127DB05" w:rsidR="001955DE" w:rsidRPr="00041C3D" w:rsidRDefault="00015FAA" w:rsidP="00473F05">
      <w:pPr>
        <w:tabs>
          <w:tab w:val="left" w:pos="660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Na trh nemusia byť uvedené všetky veľkosti balenia</w:t>
      </w:r>
      <w:r w:rsidR="001955DE" w:rsidRPr="00041C3D">
        <w:rPr>
          <w:rFonts w:ascii="Times New Roman" w:eastAsia="Times New Roman" w:hAnsi="Times New Roman" w:cs="Times New Roman"/>
          <w:lang w:val="sk-SK"/>
        </w:rPr>
        <w:t>.</w:t>
      </w:r>
    </w:p>
    <w:p w14:paraId="7F363A9B" w14:textId="77777777" w:rsidR="001955DE" w:rsidRPr="00041C3D" w:rsidRDefault="001955DE" w:rsidP="00473F05">
      <w:pPr>
        <w:tabs>
          <w:tab w:val="left" w:pos="660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EEBA194" w14:textId="45BEBA76" w:rsidR="00444697" w:rsidRPr="00041C3D" w:rsidRDefault="00444697" w:rsidP="00473F05">
      <w:pPr>
        <w:keepNext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041C3D">
        <w:rPr>
          <w:rFonts w:ascii="Times New Roman" w:eastAsia="Times New Roman" w:hAnsi="Times New Roman" w:cs="Times New Roman"/>
          <w:b/>
          <w:bCs/>
          <w:lang w:val="sk-SK"/>
        </w:rPr>
        <w:t>6.6</w:t>
      </w:r>
      <w:r w:rsidRPr="00041C3D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="00A84D7E">
        <w:rPr>
          <w:rFonts w:ascii="Times New Roman" w:eastAsia="Times New Roman" w:hAnsi="Times New Roman" w:cs="Times New Roman"/>
          <w:b/>
          <w:bCs/>
          <w:lang w:val="sk-SK"/>
        </w:rPr>
        <w:t>Špeciálne opatrenia na likvidáciu</w:t>
      </w:r>
    </w:p>
    <w:p w14:paraId="1EEBA195" w14:textId="77777777" w:rsidR="00444697" w:rsidRPr="00041C3D" w:rsidRDefault="00444697" w:rsidP="00473F05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96" w14:textId="3089311D" w:rsidR="00444697" w:rsidRPr="00041C3D" w:rsidRDefault="00A84D7E" w:rsidP="00473F0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Všetok nepoužitý liek alebo odpad vzniknutý z lieku sa má zlikvidovať v súlade s národnými požiadavkami</w:t>
      </w:r>
      <w:r w:rsidR="00444697" w:rsidRPr="00041C3D">
        <w:rPr>
          <w:rFonts w:ascii="Times New Roman" w:eastAsia="Times New Roman" w:hAnsi="Times New Roman" w:cs="Times New Roman"/>
          <w:lang w:val="sk-SK"/>
        </w:rPr>
        <w:t>.</w:t>
      </w:r>
    </w:p>
    <w:p w14:paraId="1EEBA197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98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99" w14:textId="06F96A08" w:rsidR="00444697" w:rsidRPr="00041C3D" w:rsidRDefault="00A84D7E" w:rsidP="00473F0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7.</w:t>
      </w:r>
      <w:r>
        <w:rPr>
          <w:rFonts w:ascii="Times New Roman" w:eastAsia="Times New Roman" w:hAnsi="Times New Roman" w:cs="Times New Roman"/>
          <w:b/>
          <w:bCs/>
          <w:lang w:val="sk-SK"/>
        </w:rPr>
        <w:tab/>
        <w:t>DRŽITEĽ ROZHODNUTIA O REGISTRÁCII</w:t>
      </w:r>
    </w:p>
    <w:p w14:paraId="1EEBA19A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0D0D7C0" w14:textId="40C0DDFD" w:rsidR="00A84D7E" w:rsidRPr="00A84D7E" w:rsidRDefault="00A84D7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4D7E">
        <w:rPr>
          <w:rFonts w:ascii="Times New Roman" w:eastAsia="Times New Roman" w:hAnsi="Times New Roman" w:cs="Times New Roman"/>
          <w:lang w:val="sk-SK"/>
        </w:rPr>
        <w:t>Teva B.V.</w:t>
      </w:r>
    </w:p>
    <w:p w14:paraId="42111059" w14:textId="0A2E4E44" w:rsidR="00A84D7E" w:rsidRPr="00A84D7E" w:rsidRDefault="00A84D7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4D7E">
        <w:rPr>
          <w:rFonts w:ascii="Times New Roman" w:eastAsia="Times New Roman" w:hAnsi="Times New Roman" w:cs="Times New Roman"/>
          <w:lang w:val="sk-SK"/>
        </w:rPr>
        <w:t>Swensweg 5</w:t>
      </w:r>
    </w:p>
    <w:p w14:paraId="1EEBA1A1" w14:textId="59B2866A" w:rsidR="00444697" w:rsidRPr="00A84D7E" w:rsidRDefault="00A84D7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4D7E">
        <w:rPr>
          <w:rFonts w:ascii="Times New Roman" w:eastAsia="Times New Roman" w:hAnsi="Times New Roman" w:cs="Times New Roman"/>
          <w:lang w:val="sk-SK"/>
        </w:rPr>
        <w:t>2031 GA Haarlem</w:t>
      </w:r>
    </w:p>
    <w:p w14:paraId="30DB88C5" w14:textId="711AB57F" w:rsidR="00A84D7E" w:rsidRPr="00A84D7E" w:rsidRDefault="00A84D7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4D7E">
        <w:rPr>
          <w:rFonts w:ascii="Times New Roman" w:eastAsia="Times New Roman" w:hAnsi="Times New Roman" w:cs="Times New Roman"/>
          <w:lang w:val="sk-SK"/>
        </w:rPr>
        <w:t>Holandsko</w:t>
      </w:r>
    </w:p>
    <w:p w14:paraId="1EEBA1A2" w14:textId="77777777" w:rsidR="00444697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DF8600B" w14:textId="77777777" w:rsidR="00A84D7E" w:rsidRPr="00041C3D" w:rsidRDefault="00A84D7E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A3" w14:textId="4FDD50AC" w:rsidR="00444697" w:rsidRPr="00041C3D" w:rsidRDefault="00A34BEC" w:rsidP="00473F05">
      <w:pPr>
        <w:keepNext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8.</w:t>
      </w:r>
      <w:r>
        <w:rPr>
          <w:rFonts w:ascii="Times New Roman" w:eastAsia="Times New Roman" w:hAnsi="Times New Roman" w:cs="Times New Roman"/>
          <w:b/>
          <w:bCs/>
          <w:lang w:val="sk-SK"/>
        </w:rPr>
        <w:tab/>
        <w:t>REGISTRAČNÉ ČÍSLO</w:t>
      </w:r>
    </w:p>
    <w:p w14:paraId="1EEBA1A4" w14:textId="77777777" w:rsidR="00444697" w:rsidRPr="00041C3D" w:rsidRDefault="00444697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A6" w14:textId="15CB9BF4" w:rsidR="00444697" w:rsidRDefault="00553BDD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553BDD">
        <w:rPr>
          <w:rFonts w:ascii="Times New Roman" w:hAnsi="Times New Roman" w:cs="Times New Roman"/>
          <w:lang w:val="sk-SK"/>
        </w:rPr>
        <w:t>44/0376/18-S</w:t>
      </w:r>
    </w:p>
    <w:p w14:paraId="3F2AAAB8" w14:textId="77777777" w:rsidR="00553BDD" w:rsidRPr="00041C3D" w:rsidRDefault="00553BDD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A7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A8" w14:textId="3E783918" w:rsidR="00444697" w:rsidRPr="00041C3D" w:rsidRDefault="00A34BEC" w:rsidP="00473F0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9.</w:t>
      </w:r>
      <w:r>
        <w:rPr>
          <w:rFonts w:ascii="Times New Roman" w:eastAsia="Times New Roman" w:hAnsi="Times New Roman" w:cs="Times New Roman"/>
          <w:b/>
          <w:bCs/>
          <w:lang w:val="sk-SK"/>
        </w:rPr>
        <w:tab/>
        <w:t>DÁTUM PRVEJ REGISTRÁCIE/PREDĹŽENIA REGISTRÁCIE</w:t>
      </w:r>
    </w:p>
    <w:p w14:paraId="1EEBA1A9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AA" w14:textId="1ACA9EFD" w:rsidR="00444697" w:rsidRPr="00041C3D" w:rsidRDefault="00A34BEC">
      <w:pPr>
        <w:spacing w:after="0" w:line="240" w:lineRule="auto"/>
        <w:rPr>
          <w:rFonts w:ascii="Times New Roman" w:eastAsia="Times New Roman" w:hAnsi="Times New Roman" w:cs="Times New Roman"/>
          <w:i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Dátum prvej registrácie</w:t>
      </w:r>
      <w:r w:rsidR="00444697" w:rsidRPr="00041C3D">
        <w:rPr>
          <w:rFonts w:ascii="Times New Roman" w:eastAsia="Times New Roman" w:hAnsi="Times New Roman" w:cs="Times New Roman"/>
          <w:lang w:val="sk-SK"/>
        </w:rPr>
        <w:t xml:space="preserve">: </w:t>
      </w:r>
    </w:p>
    <w:p w14:paraId="1EEBA1AE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AF" w14:textId="77777777" w:rsidR="00444697" w:rsidRPr="00041C3D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EBA1B0" w14:textId="3056D785" w:rsidR="00444697" w:rsidRPr="00041C3D" w:rsidRDefault="00A34BEC" w:rsidP="00473F0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10.</w:t>
      </w:r>
      <w:r>
        <w:rPr>
          <w:rFonts w:ascii="Times New Roman" w:eastAsia="Times New Roman" w:hAnsi="Times New Roman" w:cs="Times New Roman"/>
          <w:b/>
          <w:bCs/>
          <w:lang w:val="sk-SK"/>
        </w:rPr>
        <w:tab/>
        <w:t>DÁTUM REVÍZIE TEXTU</w:t>
      </w:r>
    </w:p>
    <w:p w14:paraId="1EEBA1B1" w14:textId="77777777" w:rsidR="00444697" w:rsidRDefault="0044469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7FD55BD" w14:textId="32536A7D" w:rsidR="004D2F40" w:rsidRDefault="004D2F40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11/2018</w:t>
      </w:r>
    </w:p>
    <w:p w14:paraId="7CCF288B" w14:textId="77777777" w:rsidR="004D2F40" w:rsidRPr="00041C3D" w:rsidRDefault="004D2F40">
      <w:pPr>
        <w:spacing w:after="0" w:line="240" w:lineRule="auto"/>
        <w:rPr>
          <w:rFonts w:ascii="Times New Roman" w:hAnsi="Times New Roman" w:cs="Times New Roman"/>
          <w:lang w:val="sk-SK"/>
        </w:rPr>
      </w:pPr>
    </w:p>
    <w:sectPr w:rsidR="004D2F40" w:rsidRPr="00041C3D" w:rsidSect="00553BDD">
      <w:headerReference w:type="default" r:id="rId14"/>
      <w:footerReference w:type="default" r:id="rId15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F5E79" w14:textId="77777777" w:rsidR="00FE4AC1" w:rsidRDefault="00FE4AC1" w:rsidP="00FE4B06">
      <w:pPr>
        <w:spacing w:after="0" w:line="240" w:lineRule="auto"/>
      </w:pPr>
      <w:r>
        <w:separator/>
      </w:r>
    </w:p>
  </w:endnote>
  <w:endnote w:type="continuationSeparator" w:id="0">
    <w:p w14:paraId="734F8951" w14:textId="77777777" w:rsidR="00FE4AC1" w:rsidRDefault="00FE4AC1" w:rsidP="00FE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735268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20601570" w14:textId="2145034A" w:rsidR="00FE4AC1" w:rsidRPr="00473F05" w:rsidRDefault="00FE4AC1" w:rsidP="00473F05">
        <w:pPr>
          <w:pStyle w:val="Pta"/>
          <w:jc w:val="center"/>
          <w:rPr>
            <w:rFonts w:ascii="Arial" w:hAnsi="Arial" w:cs="Arial"/>
            <w:sz w:val="16"/>
            <w:szCs w:val="16"/>
          </w:rPr>
        </w:pPr>
        <w:r w:rsidRPr="00473F05">
          <w:rPr>
            <w:rFonts w:ascii="Arial" w:hAnsi="Arial" w:cs="Arial"/>
            <w:sz w:val="16"/>
            <w:szCs w:val="16"/>
          </w:rPr>
          <w:fldChar w:fldCharType="begin"/>
        </w:r>
        <w:r w:rsidRPr="00473F05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73F05">
          <w:rPr>
            <w:rFonts w:ascii="Arial" w:hAnsi="Arial" w:cs="Arial"/>
            <w:sz w:val="16"/>
            <w:szCs w:val="16"/>
          </w:rPr>
          <w:fldChar w:fldCharType="separate"/>
        </w:r>
        <w:r w:rsidR="00553BDD">
          <w:rPr>
            <w:rFonts w:ascii="Arial" w:hAnsi="Arial" w:cs="Arial"/>
            <w:noProof/>
            <w:sz w:val="16"/>
            <w:szCs w:val="16"/>
          </w:rPr>
          <w:t>16</w:t>
        </w:r>
        <w:r w:rsidRPr="00473F05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3B72B" w14:textId="77777777" w:rsidR="00FE4AC1" w:rsidRDefault="00FE4AC1" w:rsidP="00FE4B06">
      <w:pPr>
        <w:spacing w:after="0" w:line="240" w:lineRule="auto"/>
      </w:pPr>
      <w:r>
        <w:separator/>
      </w:r>
    </w:p>
  </w:footnote>
  <w:footnote w:type="continuationSeparator" w:id="0">
    <w:p w14:paraId="286F7059" w14:textId="77777777" w:rsidR="00FE4AC1" w:rsidRDefault="00FE4AC1" w:rsidP="00FE4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C11E3" w14:textId="266F2EFB" w:rsidR="00FE4AC1" w:rsidRDefault="00FE4AC1" w:rsidP="00CD2733">
    <w:pPr>
      <w:pStyle w:val="Normlnywebov"/>
      <w:jc w:val="both"/>
      <w:rPr>
        <w:sz w:val="18"/>
        <w:szCs w:val="18"/>
      </w:rPr>
    </w:pPr>
    <w:r>
      <w:rPr>
        <w:sz w:val="18"/>
        <w:szCs w:val="18"/>
      </w:rPr>
      <w:t xml:space="preserve">Schválený text k rozhodnutiu o registrácii, ev. č.: </w:t>
    </w:r>
    <w:r w:rsidRPr="00540A0D">
      <w:rPr>
        <w:sz w:val="18"/>
        <w:szCs w:val="18"/>
      </w:rPr>
      <w:t>2017/04492-REG</w:t>
    </w:r>
  </w:p>
  <w:p w14:paraId="26596506" w14:textId="77777777" w:rsidR="00FE4AC1" w:rsidRDefault="00FE4AC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480A73"/>
    <w:multiLevelType w:val="hybridMultilevel"/>
    <w:tmpl w:val="FE06F2C4"/>
    <w:lvl w:ilvl="0" w:tplc="0CBE2EB6">
      <w:start w:val="5"/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07EAF"/>
    <w:multiLevelType w:val="hybridMultilevel"/>
    <w:tmpl w:val="8A6CFC6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305A7"/>
    <w:multiLevelType w:val="hybridMultilevel"/>
    <w:tmpl w:val="4EA6848A"/>
    <w:lvl w:ilvl="0" w:tplc="0CBE2EB6">
      <w:start w:val="5"/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97"/>
    <w:rsid w:val="00007C2D"/>
    <w:rsid w:val="000113A5"/>
    <w:rsid w:val="00015FAA"/>
    <w:rsid w:val="000232A3"/>
    <w:rsid w:val="00024E54"/>
    <w:rsid w:val="0003096A"/>
    <w:rsid w:val="00041C3D"/>
    <w:rsid w:val="00045084"/>
    <w:rsid w:val="00045E6E"/>
    <w:rsid w:val="00052710"/>
    <w:rsid w:val="00066E0D"/>
    <w:rsid w:val="00076221"/>
    <w:rsid w:val="000A48FC"/>
    <w:rsid w:val="000B5154"/>
    <w:rsid w:val="000C3AC2"/>
    <w:rsid w:val="000C3E7D"/>
    <w:rsid w:val="000E3796"/>
    <w:rsid w:val="00115173"/>
    <w:rsid w:val="00133ADC"/>
    <w:rsid w:val="00145438"/>
    <w:rsid w:val="00166AFC"/>
    <w:rsid w:val="00174046"/>
    <w:rsid w:val="001817F0"/>
    <w:rsid w:val="00183446"/>
    <w:rsid w:val="00185A14"/>
    <w:rsid w:val="001867D0"/>
    <w:rsid w:val="00191939"/>
    <w:rsid w:val="00193641"/>
    <w:rsid w:val="001955DE"/>
    <w:rsid w:val="00197960"/>
    <w:rsid w:val="001A5EED"/>
    <w:rsid w:val="001A66D2"/>
    <w:rsid w:val="001C71E8"/>
    <w:rsid w:val="001D7446"/>
    <w:rsid w:val="001E1235"/>
    <w:rsid w:val="001E1C4B"/>
    <w:rsid w:val="001E4EFF"/>
    <w:rsid w:val="00206EBF"/>
    <w:rsid w:val="00222ADC"/>
    <w:rsid w:val="00224BD8"/>
    <w:rsid w:val="00225838"/>
    <w:rsid w:val="00226097"/>
    <w:rsid w:val="00226E5A"/>
    <w:rsid w:val="00233D9E"/>
    <w:rsid w:val="00235EAC"/>
    <w:rsid w:val="00247387"/>
    <w:rsid w:val="0025335B"/>
    <w:rsid w:val="00263328"/>
    <w:rsid w:val="0027738A"/>
    <w:rsid w:val="0028592B"/>
    <w:rsid w:val="002878FA"/>
    <w:rsid w:val="00293005"/>
    <w:rsid w:val="00293FB8"/>
    <w:rsid w:val="002A2168"/>
    <w:rsid w:val="002A2F97"/>
    <w:rsid w:val="002F096B"/>
    <w:rsid w:val="002F4E5E"/>
    <w:rsid w:val="003013CF"/>
    <w:rsid w:val="0030232B"/>
    <w:rsid w:val="00305F99"/>
    <w:rsid w:val="0031384F"/>
    <w:rsid w:val="00324F42"/>
    <w:rsid w:val="00331BE6"/>
    <w:rsid w:val="003610CE"/>
    <w:rsid w:val="00362EF6"/>
    <w:rsid w:val="00374E26"/>
    <w:rsid w:val="00375D77"/>
    <w:rsid w:val="00394460"/>
    <w:rsid w:val="00396AE1"/>
    <w:rsid w:val="003A5B58"/>
    <w:rsid w:val="003B39BD"/>
    <w:rsid w:val="003C1CC9"/>
    <w:rsid w:val="003D71D6"/>
    <w:rsid w:val="003F0DBA"/>
    <w:rsid w:val="003F43B3"/>
    <w:rsid w:val="003F63C6"/>
    <w:rsid w:val="004038E8"/>
    <w:rsid w:val="004046FB"/>
    <w:rsid w:val="00420630"/>
    <w:rsid w:val="00444487"/>
    <w:rsid w:val="00444697"/>
    <w:rsid w:val="00447487"/>
    <w:rsid w:val="004535EB"/>
    <w:rsid w:val="00454F76"/>
    <w:rsid w:val="004702CC"/>
    <w:rsid w:val="00473F05"/>
    <w:rsid w:val="00483587"/>
    <w:rsid w:val="0048416B"/>
    <w:rsid w:val="004945D4"/>
    <w:rsid w:val="004A7D12"/>
    <w:rsid w:val="004C3F3F"/>
    <w:rsid w:val="004D2F40"/>
    <w:rsid w:val="004D3BB3"/>
    <w:rsid w:val="004E326B"/>
    <w:rsid w:val="004E5943"/>
    <w:rsid w:val="004E7A74"/>
    <w:rsid w:val="004F1544"/>
    <w:rsid w:val="004F1671"/>
    <w:rsid w:val="004F7844"/>
    <w:rsid w:val="00522C49"/>
    <w:rsid w:val="0052603C"/>
    <w:rsid w:val="005409F4"/>
    <w:rsid w:val="00540A0D"/>
    <w:rsid w:val="00541081"/>
    <w:rsid w:val="00553BDD"/>
    <w:rsid w:val="00574FC3"/>
    <w:rsid w:val="00587B33"/>
    <w:rsid w:val="005A0BB4"/>
    <w:rsid w:val="005A189A"/>
    <w:rsid w:val="005B403B"/>
    <w:rsid w:val="005C0E3C"/>
    <w:rsid w:val="005C7417"/>
    <w:rsid w:val="005D1F14"/>
    <w:rsid w:val="005E0E7C"/>
    <w:rsid w:val="005E38CF"/>
    <w:rsid w:val="005F2DD1"/>
    <w:rsid w:val="00614EDF"/>
    <w:rsid w:val="00622E8C"/>
    <w:rsid w:val="00642118"/>
    <w:rsid w:val="00647E87"/>
    <w:rsid w:val="0065194F"/>
    <w:rsid w:val="00652744"/>
    <w:rsid w:val="00661C09"/>
    <w:rsid w:val="00676572"/>
    <w:rsid w:val="00676A2B"/>
    <w:rsid w:val="00682FBB"/>
    <w:rsid w:val="00685289"/>
    <w:rsid w:val="006963A8"/>
    <w:rsid w:val="006B295F"/>
    <w:rsid w:val="006C385D"/>
    <w:rsid w:val="006D54AD"/>
    <w:rsid w:val="006F20C6"/>
    <w:rsid w:val="007074D9"/>
    <w:rsid w:val="0072348F"/>
    <w:rsid w:val="00735E7E"/>
    <w:rsid w:val="0074209D"/>
    <w:rsid w:val="0075072C"/>
    <w:rsid w:val="00760A3B"/>
    <w:rsid w:val="00764601"/>
    <w:rsid w:val="00772F52"/>
    <w:rsid w:val="007A051C"/>
    <w:rsid w:val="007A1D13"/>
    <w:rsid w:val="007B16C5"/>
    <w:rsid w:val="007B61FB"/>
    <w:rsid w:val="007B6933"/>
    <w:rsid w:val="007D496B"/>
    <w:rsid w:val="007E12B6"/>
    <w:rsid w:val="007E1C65"/>
    <w:rsid w:val="007E3B32"/>
    <w:rsid w:val="007F64DC"/>
    <w:rsid w:val="007F6F71"/>
    <w:rsid w:val="008045E0"/>
    <w:rsid w:val="00805D2C"/>
    <w:rsid w:val="00820C88"/>
    <w:rsid w:val="008433AD"/>
    <w:rsid w:val="00845B9F"/>
    <w:rsid w:val="008571CC"/>
    <w:rsid w:val="008718D2"/>
    <w:rsid w:val="00871B87"/>
    <w:rsid w:val="008734F6"/>
    <w:rsid w:val="00875536"/>
    <w:rsid w:val="00880312"/>
    <w:rsid w:val="00880B17"/>
    <w:rsid w:val="00886F11"/>
    <w:rsid w:val="00895A6A"/>
    <w:rsid w:val="008B5200"/>
    <w:rsid w:val="008B6280"/>
    <w:rsid w:val="008C57CF"/>
    <w:rsid w:val="008C66F1"/>
    <w:rsid w:val="008F047E"/>
    <w:rsid w:val="008F200B"/>
    <w:rsid w:val="008F27A9"/>
    <w:rsid w:val="00901293"/>
    <w:rsid w:val="009111A8"/>
    <w:rsid w:val="0092077D"/>
    <w:rsid w:val="0092722B"/>
    <w:rsid w:val="009308C4"/>
    <w:rsid w:val="009439E1"/>
    <w:rsid w:val="0096486D"/>
    <w:rsid w:val="00972C97"/>
    <w:rsid w:val="00981276"/>
    <w:rsid w:val="009A77D6"/>
    <w:rsid w:val="009B0582"/>
    <w:rsid w:val="009B4A1C"/>
    <w:rsid w:val="009C4113"/>
    <w:rsid w:val="009D1CF8"/>
    <w:rsid w:val="009D3FA1"/>
    <w:rsid w:val="009D4C3A"/>
    <w:rsid w:val="009F6AC5"/>
    <w:rsid w:val="00A06177"/>
    <w:rsid w:val="00A15DF3"/>
    <w:rsid w:val="00A34BEC"/>
    <w:rsid w:val="00A41A43"/>
    <w:rsid w:val="00A43D1F"/>
    <w:rsid w:val="00A4422D"/>
    <w:rsid w:val="00A82EA6"/>
    <w:rsid w:val="00A84D7E"/>
    <w:rsid w:val="00A903F4"/>
    <w:rsid w:val="00A907AD"/>
    <w:rsid w:val="00AA5F86"/>
    <w:rsid w:val="00AA6A56"/>
    <w:rsid w:val="00AA7EB6"/>
    <w:rsid w:val="00AC38DE"/>
    <w:rsid w:val="00AC5097"/>
    <w:rsid w:val="00AD42ED"/>
    <w:rsid w:val="00AE3E40"/>
    <w:rsid w:val="00AF1B25"/>
    <w:rsid w:val="00B13027"/>
    <w:rsid w:val="00B14E5F"/>
    <w:rsid w:val="00B17BD0"/>
    <w:rsid w:val="00B21715"/>
    <w:rsid w:val="00B23ABB"/>
    <w:rsid w:val="00B438C9"/>
    <w:rsid w:val="00B726C6"/>
    <w:rsid w:val="00B7355D"/>
    <w:rsid w:val="00B75D46"/>
    <w:rsid w:val="00B84E41"/>
    <w:rsid w:val="00BA187D"/>
    <w:rsid w:val="00BA307E"/>
    <w:rsid w:val="00BB018B"/>
    <w:rsid w:val="00BB6F8B"/>
    <w:rsid w:val="00BC364D"/>
    <w:rsid w:val="00BD51A2"/>
    <w:rsid w:val="00BE4A81"/>
    <w:rsid w:val="00BE564D"/>
    <w:rsid w:val="00BF2761"/>
    <w:rsid w:val="00BF7B42"/>
    <w:rsid w:val="00C13688"/>
    <w:rsid w:val="00C16D0D"/>
    <w:rsid w:val="00C22E19"/>
    <w:rsid w:val="00C34DFF"/>
    <w:rsid w:val="00C52B49"/>
    <w:rsid w:val="00C57DB3"/>
    <w:rsid w:val="00C7026E"/>
    <w:rsid w:val="00C728CB"/>
    <w:rsid w:val="00C736AA"/>
    <w:rsid w:val="00C843F1"/>
    <w:rsid w:val="00CA0879"/>
    <w:rsid w:val="00CB3E9A"/>
    <w:rsid w:val="00CB4B3F"/>
    <w:rsid w:val="00CD2541"/>
    <w:rsid w:val="00CD2733"/>
    <w:rsid w:val="00CD2A80"/>
    <w:rsid w:val="00CD4537"/>
    <w:rsid w:val="00CE00F8"/>
    <w:rsid w:val="00D14C5E"/>
    <w:rsid w:val="00D22074"/>
    <w:rsid w:val="00D258CD"/>
    <w:rsid w:val="00D515F1"/>
    <w:rsid w:val="00D5337B"/>
    <w:rsid w:val="00D5587E"/>
    <w:rsid w:val="00D60486"/>
    <w:rsid w:val="00D734E2"/>
    <w:rsid w:val="00D73E8D"/>
    <w:rsid w:val="00D8449A"/>
    <w:rsid w:val="00DA5823"/>
    <w:rsid w:val="00DB02C6"/>
    <w:rsid w:val="00DB0841"/>
    <w:rsid w:val="00DB5DDD"/>
    <w:rsid w:val="00DC7105"/>
    <w:rsid w:val="00DD00F3"/>
    <w:rsid w:val="00DD14D7"/>
    <w:rsid w:val="00DD51C6"/>
    <w:rsid w:val="00DE545C"/>
    <w:rsid w:val="00DF6137"/>
    <w:rsid w:val="00E0509B"/>
    <w:rsid w:val="00E25F0E"/>
    <w:rsid w:val="00E33406"/>
    <w:rsid w:val="00E35B6E"/>
    <w:rsid w:val="00E51334"/>
    <w:rsid w:val="00E5217C"/>
    <w:rsid w:val="00E53D24"/>
    <w:rsid w:val="00E54A30"/>
    <w:rsid w:val="00E65915"/>
    <w:rsid w:val="00E659B8"/>
    <w:rsid w:val="00E723D0"/>
    <w:rsid w:val="00E77E21"/>
    <w:rsid w:val="00EA7637"/>
    <w:rsid w:val="00EB2D75"/>
    <w:rsid w:val="00EC39C7"/>
    <w:rsid w:val="00EC7D84"/>
    <w:rsid w:val="00ED322A"/>
    <w:rsid w:val="00ED429C"/>
    <w:rsid w:val="00ED7DE3"/>
    <w:rsid w:val="00EE0B6B"/>
    <w:rsid w:val="00EE47C8"/>
    <w:rsid w:val="00F07364"/>
    <w:rsid w:val="00F376CB"/>
    <w:rsid w:val="00F414E6"/>
    <w:rsid w:val="00F464C5"/>
    <w:rsid w:val="00F54AEB"/>
    <w:rsid w:val="00F56A2E"/>
    <w:rsid w:val="00F602B8"/>
    <w:rsid w:val="00F65333"/>
    <w:rsid w:val="00F67C1E"/>
    <w:rsid w:val="00F72E69"/>
    <w:rsid w:val="00F83CFF"/>
    <w:rsid w:val="00F96837"/>
    <w:rsid w:val="00FB56DB"/>
    <w:rsid w:val="00FC2216"/>
    <w:rsid w:val="00FC302C"/>
    <w:rsid w:val="00FC33B1"/>
    <w:rsid w:val="00FD144C"/>
    <w:rsid w:val="00FE2EF5"/>
    <w:rsid w:val="00FE4AC1"/>
    <w:rsid w:val="00FE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B9E58"/>
  <w15:docId w15:val="{FBA0D903-A0EC-4753-AD7C-17CEFF76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46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697"/>
    <w:pPr>
      <w:ind w:left="720"/>
      <w:contextualSpacing/>
    </w:pPr>
  </w:style>
  <w:style w:type="paragraph" w:customStyle="1" w:styleId="EMEAEnBodyText">
    <w:name w:val="EMEA En Body Text"/>
    <w:basedOn w:val="Normlny"/>
    <w:rsid w:val="0044469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444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44697"/>
  </w:style>
  <w:style w:type="paragraph" w:styleId="Pta">
    <w:name w:val="footer"/>
    <w:basedOn w:val="Normlny"/>
    <w:link w:val="PtaChar"/>
    <w:uiPriority w:val="99"/>
    <w:unhideWhenUsed/>
    <w:rsid w:val="00444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4697"/>
  </w:style>
  <w:style w:type="character" w:styleId="Hypertextovprepojenie">
    <w:name w:val="Hyperlink"/>
    <w:basedOn w:val="Predvolenpsmoodseku"/>
    <w:uiPriority w:val="99"/>
    <w:unhideWhenUsed/>
    <w:rsid w:val="00444697"/>
    <w:rPr>
      <w:color w:val="0000FF" w:themeColor="hyperlink"/>
      <w:u w:val="single"/>
    </w:rPr>
  </w:style>
  <w:style w:type="paragraph" w:customStyle="1" w:styleId="BodytextAgency">
    <w:name w:val="Body text (Agency)"/>
    <w:basedOn w:val="Normlny"/>
    <w:link w:val="BodytextAgencyChar"/>
    <w:rsid w:val="00444697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444697"/>
    <w:rPr>
      <w:rFonts w:ascii="Verdana" w:eastAsia="Verdana" w:hAnsi="Verdana" w:cs="Verdana"/>
      <w:sz w:val="18"/>
      <w:szCs w:val="18"/>
      <w:lang w:val="en-GB" w:eastAsia="en-GB"/>
    </w:rPr>
  </w:style>
  <w:style w:type="table" w:styleId="Mriekatabuky">
    <w:name w:val="Table Grid"/>
    <w:basedOn w:val="Normlnatabuka"/>
    <w:uiPriority w:val="59"/>
    <w:rsid w:val="00444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B0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0841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41C3D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41C3D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character" w:styleId="Odkaznakomentr">
    <w:name w:val="annotation reference"/>
    <w:uiPriority w:val="99"/>
    <w:unhideWhenUsed/>
    <w:rsid w:val="00041C3D"/>
    <w:rPr>
      <w:sz w:val="16"/>
      <w:szCs w:val="16"/>
    </w:rPr>
  </w:style>
  <w:style w:type="character" w:styleId="Zvraznenie">
    <w:name w:val="Emphasis"/>
    <w:basedOn w:val="Predvolenpsmoodseku"/>
    <w:uiPriority w:val="20"/>
    <w:qFormat/>
    <w:rsid w:val="00FC302C"/>
    <w:rPr>
      <w:b/>
      <w:bCs/>
      <w:i w:val="0"/>
      <w:iCs w:val="0"/>
    </w:rPr>
  </w:style>
  <w:style w:type="character" w:customStyle="1" w:styleId="st1">
    <w:name w:val="st1"/>
    <w:basedOn w:val="Predvolenpsmoodseku"/>
    <w:rsid w:val="00FC302C"/>
  </w:style>
  <w:style w:type="paragraph" w:customStyle="1" w:styleId="Default">
    <w:name w:val="Default"/>
    <w:rsid w:val="00015F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paragraph" w:styleId="Normlnywebov">
    <w:name w:val="Normal (Web)"/>
    <w:basedOn w:val="Normlny"/>
    <w:uiPriority w:val="99"/>
    <w:semiHidden/>
    <w:unhideWhenUsed/>
    <w:rsid w:val="00CD2733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409F4"/>
    <w:pPr>
      <w:tabs>
        <w:tab w:val="clear" w:pos="567"/>
      </w:tabs>
      <w:spacing w:after="200"/>
    </w:pPr>
    <w:rPr>
      <w:rFonts w:asciiTheme="minorHAnsi" w:eastAsiaTheme="minorHAnsi" w:hAnsiTheme="minorHAnsi" w:cstheme="minorBidi"/>
      <w:b/>
      <w:bCs/>
      <w:lang w:val="is-IS" w:eastAsia="en-US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409F4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Reviewer xmlns="a08bf7cd-d2dd-4800-aeca-1c9dd96ccdfc">
      <UserInfo>
        <DisplayName/>
        <AccountId xsi:nil="true"/>
        <AccountType/>
      </UserInfo>
    </Review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DB7250F17F2429EA98D3539B2DC16" ma:contentTypeVersion="16" ma:contentTypeDescription="Create a new document." ma:contentTypeScope="" ma:versionID="ca1777d074ae25de0b61dd56a38c1475">
  <xsd:schema xmlns:xsd="http://www.w3.org/2001/XMLSchema" xmlns:xs="http://www.w3.org/2001/XMLSchema" xmlns:p="http://schemas.microsoft.com/office/2006/metadata/properties" xmlns:ns2="a08bf7cd-d2dd-4800-aeca-1c9dd96ccdfc" xmlns:ns3="http://schemas.microsoft.com/sharepoint/v4" targetNamespace="http://schemas.microsoft.com/office/2006/metadata/properties" ma:root="true" ma:fieldsID="b92203226bdf303ea23badbc8f20641b" ns2:_="" ns3:_="">
    <xsd:import namespace="a08bf7cd-d2dd-4800-aeca-1c9dd96ccdf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2:Review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bf7cd-d2dd-4800-aeca-1c9dd96ccdfc" elementFormDefault="qualified">
    <xsd:import namespace="http://schemas.microsoft.com/office/2006/documentManagement/types"/>
    <xsd:import namespace="http://schemas.microsoft.com/office/infopath/2007/PartnerControls"/>
    <xsd:element name="Reviewer" ma:index="12" nillable="true" ma:displayName="Reviewer" ma:list="UserInfo" ma:SharePointGroup="0" ma:internalName="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6A63B-808E-4629-8C0F-197D01F9A91A}">
  <ds:schemaRefs>
    <ds:schemaRef ds:uri="http://schemas.microsoft.com/sharepoint/v4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a08bf7cd-d2dd-4800-aeca-1c9dd96ccdf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5699C72-3D74-4796-82AC-92959B03F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bf7cd-d2dd-4800-aeca-1c9dd96ccdf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880F61-0BCE-48AD-88D5-AD95C634E1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22AE64-E12A-4C42-964D-9C1ADBA4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6176</Words>
  <Characters>35208</Characters>
  <Application>Microsoft Office Word</Application>
  <DocSecurity>0</DocSecurity>
  <Lines>293</Lines>
  <Paragraphs>82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Actavis</Company>
  <LinksUpToDate>false</LinksUpToDate>
  <CharactersWithSpaces>41302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Karlsdottir, Aslaug Dogg</dc:creator>
  <cp:lastModifiedBy>Lacková, Beáta</cp:lastModifiedBy>
  <cp:revision>3</cp:revision>
  <dcterms:created xsi:type="dcterms:W3CDTF">2018-11-23T07:59:00Z</dcterms:created>
  <dcterms:modified xsi:type="dcterms:W3CDTF">2018-11-23T09:13:00Z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0x010100F65DB7250F17F2429EA98D3539B2DC16</vt:lpwstr>
  </property>
</Properties>
</file>