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bookmarkStart w:id="0" w:name="_GoBack"/>
      <w:bookmarkEnd w:id="0"/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A0467A" w:rsidP="00A440E6">
      <w:pPr>
        <w:rPr>
          <w:noProof/>
          <w:sz w:val="22"/>
        </w:rPr>
      </w:pPr>
    </w:p>
    <w:p w:rsidR="00B17B7F" w:rsidRDefault="00B17B7F" w:rsidP="00CB6D4B">
      <w:pPr>
        <w:rPr>
          <w:noProof/>
          <w:sz w:val="22"/>
        </w:rPr>
      </w:pPr>
      <w:r>
        <w:rPr>
          <w:noProof/>
          <w:sz w:val="22"/>
        </w:rPr>
        <w:t>Lemilvo</w:t>
      </w:r>
      <w:r w:rsidR="00CB6D4B" w:rsidRPr="00EF433E">
        <w:rPr>
          <w:noProof/>
          <w:sz w:val="22"/>
        </w:rPr>
        <w:t xml:space="preserve"> 10 mg </w:t>
      </w:r>
    </w:p>
    <w:p w:rsidR="00B17B7F" w:rsidRDefault="00B17B7F" w:rsidP="00CB6D4B">
      <w:pPr>
        <w:rPr>
          <w:noProof/>
          <w:sz w:val="22"/>
        </w:rPr>
      </w:pPr>
      <w:r>
        <w:rPr>
          <w:noProof/>
          <w:sz w:val="22"/>
        </w:rPr>
        <w:t>Lemilvo 15 mg</w:t>
      </w:r>
    </w:p>
    <w:p w:rsidR="00CB6D4B" w:rsidRPr="00EF433E" w:rsidRDefault="008D44BE" w:rsidP="00CB6D4B">
      <w:pPr>
        <w:rPr>
          <w:noProof/>
          <w:sz w:val="22"/>
        </w:rPr>
      </w:pPr>
      <w:r>
        <w:rPr>
          <w:noProof/>
          <w:sz w:val="22"/>
        </w:rPr>
        <w:t>orodispergovateľné</w:t>
      </w:r>
      <w:r w:rsidRPr="00EF433E">
        <w:rPr>
          <w:noProof/>
          <w:sz w:val="22"/>
        </w:rPr>
        <w:t xml:space="preserve"> </w:t>
      </w:r>
      <w:r w:rsidR="00CB6D4B" w:rsidRPr="00EF433E">
        <w:rPr>
          <w:noProof/>
          <w:sz w:val="22"/>
        </w:rPr>
        <w:t>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CB6D4B" w:rsidRPr="00EF433E" w:rsidRDefault="00CB6D4B" w:rsidP="002E0EC0">
      <w:pPr>
        <w:ind w:right="-2"/>
        <w:rPr>
          <w:sz w:val="22"/>
        </w:rPr>
      </w:pPr>
    </w:p>
    <w:p w:rsidR="00A0467A" w:rsidRPr="003940F4" w:rsidRDefault="006F575C" w:rsidP="002E0EC0">
      <w:pPr>
        <w:ind w:right="-2"/>
        <w:rPr>
          <w:sz w:val="22"/>
        </w:rPr>
      </w:pPr>
      <w:r w:rsidRPr="003940F4">
        <w:rPr>
          <w:sz w:val="22"/>
        </w:rPr>
        <w:t>Každá</w:t>
      </w:r>
      <w:r w:rsidR="00436BC8" w:rsidRPr="003940F4">
        <w:rPr>
          <w:sz w:val="22"/>
        </w:rPr>
        <w:t xml:space="preserve"> orodispergovateľná tableta</w:t>
      </w:r>
      <w:r w:rsidR="00225B8F" w:rsidRPr="003940F4">
        <w:rPr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="00225B8F"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</w:t>
      </w:r>
      <w:r w:rsidR="00225B8F" w:rsidRPr="003940F4">
        <w:rPr>
          <w:noProof/>
          <w:sz w:val="22"/>
        </w:rPr>
        <w:t>0</w:t>
      </w:r>
      <w:r w:rsidR="002D3384" w:rsidRPr="003940F4">
        <w:rPr>
          <w:noProof/>
          <w:sz w:val="22"/>
        </w:rPr>
        <w:t xml:space="preserve"> mg</w:t>
      </w:r>
      <w:r w:rsidR="00CB6D4B" w:rsidRPr="003940F4">
        <w:rPr>
          <w:noProof/>
          <w:sz w:val="22"/>
        </w:rPr>
        <w:t xml:space="preserve"> aripiprazolu</w:t>
      </w:r>
      <w:r w:rsidR="00225B8F" w:rsidRPr="003940F4">
        <w:rPr>
          <w:sz w:val="22"/>
        </w:rPr>
        <w:t>.</w:t>
      </w:r>
    </w:p>
    <w:p w:rsidR="00CB6D4B" w:rsidRPr="003940F4" w:rsidRDefault="007F4DED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:rsidR="007F4DED" w:rsidRPr="003940F4" w:rsidRDefault="00407E86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r w:rsidR="00563D7F" w:rsidRPr="003940F4">
        <w:rPr>
          <w:sz w:val="22"/>
        </w:rPr>
        <w:t>orodispergovateľná</w:t>
      </w:r>
      <w:r w:rsidR="00563D7F" w:rsidRPr="003940F4">
        <w:rPr>
          <w:sz w:val="22"/>
          <w:szCs w:val="22"/>
        </w:rPr>
        <w:t xml:space="preserve"> </w:t>
      </w:r>
      <w:r w:rsidR="007F4DED" w:rsidRPr="003940F4">
        <w:rPr>
          <w:sz w:val="22"/>
          <w:szCs w:val="22"/>
        </w:rPr>
        <w:t xml:space="preserve">tableta </w:t>
      </w:r>
      <w:r w:rsidR="007F4DED" w:rsidRPr="003940F4">
        <w:rPr>
          <w:noProof/>
          <w:sz w:val="22"/>
        </w:rPr>
        <w:t>obsahuje 3 mg aspart</w:t>
      </w:r>
      <w:r w:rsidR="00C209F5" w:rsidRPr="003940F4">
        <w:rPr>
          <w:noProof/>
          <w:sz w:val="22"/>
        </w:rPr>
        <w:t>á</w:t>
      </w:r>
      <w:r w:rsidR="007F4DED" w:rsidRPr="003940F4">
        <w:rPr>
          <w:noProof/>
          <w:sz w:val="22"/>
        </w:rPr>
        <w:t>mu (E951</w:t>
      </w:r>
      <w:r w:rsidR="007F4DED" w:rsidRPr="003940F4">
        <w:rPr>
          <w:noProof/>
          <w:sz w:val="22"/>
          <w:lang w:val="en-US"/>
        </w:rPr>
        <w:t>)</w:t>
      </w:r>
      <w:r w:rsidR="00436BC8" w:rsidRPr="003940F4">
        <w:rPr>
          <w:noProof/>
          <w:sz w:val="22"/>
        </w:rPr>
        <w:t xml:space="preserve">. </w:t>
      </w:r>
    </w:p>
    <w:p w:rsidR="007F4DED" w:rsidRPr="003940F4" w:rsidRDefault="007F4DED" w:rsidP="002E0EC0">
      <w:pPr>
        <w:ind w:right="-2"/>
        <w:rPr>
          <w:sz w:val="22"/>
        </w:rPr>
      </w:pPr>
    </w:p>
    <w:p w:rsidR="00225B8F" w:rsidRPr="003940F4" w:rsidRDefault="00225B8F" w:rsidP="002E0EC0">
      <w:pPr>
        <w:ind w:right="-2"/>
        <w:rPr>
          <w:sz w:val="22"/>
        </w:rPr>
      </w:pPr>
      <w:r w:rsidRPr="003940F4">
        <w:rPr>
          <w:sz w:val="22"/>
        </w:rPr>
        <w:t xml:space="preserve">Každá </w:t>
      </w:r>
      <w:r w:rsidR="00CD4DA7" w:rsidRPr="003940F4">
        <w:rPr>
          <w:sz w:val="22"/>
        </w:rPr>
        <w:t>orodispergovateľná</w:t>
      </w:r>
      <w:r w:rsidR="00CD4DA7" w:rsidRPr="003940F4">
        <w:rPr>
          <w:noProof/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15</w:t>
      </w:r>
      <w:r w:rsidR="002D3384" w:rsidRPr="003940F4">
        <w:rPr>
          <w:noProof/>
          <w:sz w:val="22"/>
        </w:rPr>
        <w:t xml:space="preserve"> mg </w:t>
      </w:r>
      <w:r w:rsidR="00CB6D4B" w:rsidRPr="003940F4">
        <w:rPr>
          <w:noProof/>
          <w:sz w:val="22"/>
        </w:rPr>
        <w:t>aripiprazolu</w:t>
      </w:r>
      <w:r w:rsidRPr="003940F4">
        <w:rPr>
          <w:sz w:val="22"/>
        </w:rPr>
        <w:t>.</w:t>
      </w:r>
    </w:p>
    <w:p w:rsidR="0064264F" w:rsidRPr="003940F4" w:rsidRDefault="0064264F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:rsidR="0064264F" w:rsidRPr="007F4DED" w:rsidRDefault="00407E86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r w:rsidR="00563D7F" w:rsidRPr="003940F4">
        <w:rPr>
          <w:sz w:val="22"/>
        </w:rPr>
        <w:t>orodispergovateľná</w:t>
      </w:r>
      <w:r w:rsidR="00563D7F" w:rsidRPr="00EF433E">
        <w:rPr>
          <w:sz w:val="22"/>
          <w:szCs w:val="22"/>
        </w:rPr>
        <w:t xml:space="preserve"> </w:t>
      </w:r>
      <w:r w:rsidR="0064264F" w:rsidRPr="00EF433E">
        <w:rPr>
          <w:sz w:val="22"/>
          <w:szCs w:val="22"/>
        </w:rPr>
        <w:t xml:space="preserve">tableta </w:t>
      </w:r>
      <w:r w:rsidR="0064264F" w:rsidRPr="00EF433E">
        <w:rPr>
          <w:noProof/>
          <w:sz w:val="22"/>
        </w:rPr>
        <w:t>obsahuje</w:t>
      </w:r>
      <w:r w:rsidR="0064264F">
        <w:rPr>
          <w:noProof/>
          <w:sz w:val="22"/>
        </w:rPr>
        <w:t xml:space="preserve"> </w:t>
      </w:r>
      <w:r w:rsidR="001A4A75">
        <w:rPr>
          <w:noProof/>
          <w:sz w:val="22"/>
        </w:rPr>
        <w:t>4,5</w:t>
      </w:r>
      <w:r w:rsidR="0064264F">
        <w:rPr>
          <w:noProof/>
          <w:sz w:val="22"/>
        </w:rPr>
        <w:t xml:space="preserve"> mg aspart</w:t>
      </w:r>
      <w:r w:rsidR="00C209F5">
        <w:rPr>
          <w:noProof/>
          <w:sz w:val="22"/>
        </w:rPr>
        <w:t>á</w:t>
      </w:r>
      <w:r w:rsidR="0064264F">
        <w:rPr>
          <w:noProof/>
          <w:sz w:val="22"/>
        </w:rPr>
        <w:t>mu (E95</w:t>
      </w:r>
      <w:r w:rsidR="00436BC8">
        <w:rPr>
          <w:noProof/>
          <w:sz w:val="22"/>
        </w:rPr>
        <w:t>1).</w:t>
      </w:r>
    </w:p>
    <w:p w:rsidR="00CB6D4B" w:rsidRPr="00EF433E" w:rsidRDefault="00CB6D4B" w:rsidP="00A440E6">
      <w:pPr>
        <w:rPr>
          <w:sz w:val="22"/>
          <w:szCs w:val="22"/>
        </w:rPr>
      </w:pP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4049C5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10 m</w:t>
      </w:r>
      <w:r w:rsidR="00B32446">
        <w:rPr>
          <w:sz w:val="22"/>
          <w:szCs w:val="24"/>
          <w:lang w:val="sk-SK"/>
        </w:rPr>
        <w:t>g</w:t>
      </w:r>
      <w:r w:rsidR="000F4C9B">
        <w:rPr>
          <w:sz w:val="22"/>
          <w:szCs w:val="24"/>
          <w:lang w:val="sk-SK"/>
        </w:rPr>
        <w:t xml:space="preserve"> </w:t>
      </w:r>
      <w:r>
        <w:rPr>
          <w:sz w:val="22"/>
          <w:szCs w:val="24"/>
          <w:lang w:val="sk-SK"/>
        </w:rPr>
        <w:t>orodispergovateľná 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4049C5" w:rsidP="003C5CEB">
      <w:pPr>
        <w:ind w:right="-2"/>
        <w:rPr>
          <w:sz w:val="22"/>
        </w:rPr>
      </w:pPr>
      <w:r>
        <w:rPr>
          <w:sz w:val="22"/>
        </w:rPr>
        <w:t>Biel</w:t>
      </w:r>
      <w:r w:rsidR="00436BC8">
        <w:rPr>
          <w:sz w:val="22"/>
        </w:rPr>
        <w:t>a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 w:rsidR="004973C3">
        <w:rPr>
          <w:sz w:val="22"/>
        </w:rPr>
        <w:t xml:space="preserve"> </w:t>
      </w:r>
      <w:r w:rsidR="00BB6487">
        <w:rPr>
          <w:sz w:val="22"/>
        </w:rPr>
        <w:t xml:space="preserve">plochého tvaru </w:t>
      </w:r>
      <w:r w:rsidR="004973C3">
        <w:rPr>
          <w:sz w:val="22"/>
        </w:rPr>
        <w:t>zo skosen</w:t>
      </w:r>
      <w:r w:rsidR="000A1721">
        <w:rPr>
          <w:sz w:val="22"/>
        </w:rPr>
        <w:t>ými</w:t>
      </w:r>
      <w:r w:rsidR="00727960"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</w:t>
      </w:r>
      <w:r w:rsidR="00C41348">
        <w:rPr>
          <w:sz w:val="22"/>
        </w:rPr>
        <w:t>i</w:t>
      </w:r>
      <w:r>
        <w:rPr>
          <w:sz w:val="22"/>
        </w:rPr>
        <w:t>emerom 7 mm</w:t>
      </w:r>
      <w:r w:rsidR="003C5CEB" w:rsidRPr="00EF433E">
        <w:rPr>
          <w:sz w:val="22"/>
        </w:rPr>
        <w:t xml:space="preserve"> a</w:t>
      </w:r>
      <w:r w:rsidR="00FB3AB3" w:rsidRPr="00EF433E">
        <w:rPr>
          <w:sz w:val="22"/>
        </w:rPr>
        <w:t> s </w:t>
      </w:r>
      <w:r>
        <w:rPr>
          <w:sz w:val="22"/>
        </w:rPr>
        <w:t>označením „1“</w:t>
      </w:r>
      <w:r w:rsidR="003C5CEB"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="003C5CEB" w:rsidRPr="00EF433E">
        <w:rPr>
          <w:sz w:val="22"/>
        </w:rPr>
        <w:t xml:space="preserve">. </w:t>
      </w:r>
    </w:p>
    <w:p w:rsidR="002F5719" w:rsidRDefault="002F5719" w:rsidP="00A440E6">
      <w:pPr>
        <w:rPr>
          <w:sz w:val="22"/>
        </w:rPr>
      </w:pPr>
    </w:p>
    <w:p w:rsidR="00060F9D" w:rsidRPr="00EF433E" w:rsidRDefault="00060F9D" w:rsidP="00060F9D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15 mg orodispergovateľná t</w:t>
      </w:r>
      <w:r w:rsidRPr="00EF433E">
        <w:rPr>
          <w:sz w:val="22"/>
          <w:szCs w:val="24"/>
          <w:lang w:val="sk-SK"/>
        </w:rPr>
        <w:t xml:space="preserve">ableta </w:t>
      </w:r>
    </w:p>
    <w:p w:rsidR="00060F9D" w:rsidRPr="00EF433E" w:rsidRDefault="00060F9D" w:rsidP="00060F9D">
      <w:pPr>
        <w:ind w:right="-2"/>
        <w:rPr>
          <w:sz w:val="22"/>
        </w:rPr>
      </w:pPr>
      <w:r>
        <w:rPr>
          <w:sz w:val="22"/>
        </w:rPr>
        <w:t>Žlt</w:t>
      </w:r>
      <w:r w:rsidR="00436BC8">
        <w:rPr>
          <w:sz w:val="22"/>
        </w:rPr>
        <w:t>á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>
        <w:rPr>
          <w:sz w:val="22"/>
        </w:rPr>
        <w:t xml:space="preserve"> plochého tvaru s </w:t>
      </w:r>
      <w:r w:rsidRPr="00E908EA">
        <w:rPr>
          <w:sz w:val="22"/>
        </w:rPr>
        <w:t>tmavšími a sv</w:t>
      </w:r>
      <w:r w:rsidR="000A1721" w:rsidRPr="00E908EA">
        <w:rPr>
          <w:sz w:val="22"/>
        </w:rPr>
        <w:t>e</w:t>
      </w:r>
      <w:r w:rsidRPr="00E908EA">
        <w:rPr>
          <w:sz w:val="22"/>
        </w:rPr>
        <w:t>tlejšími</w:t>
      </w:r>
      <w:r>
        <w:rPr>
          <w:sz w:val="22"/>
        </w:rPr>
        <w:t xml:space="preserve"> škvrnami zo skosen</w:t>
      </w:r>
      <w:r w:rsidR="000A1721">
        <w:rPr>
          <w:sz w:val="22"/>
        </w:rPr>
        <w:t>ými</w:t>
      </w:r>
      <w:r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priemerom </w:t>
      </w:r>
      <w:r w:rsidR="00160D12">
        <w:rPr>
          <w:sz w:val="22"/>
        </w:rPr>
        <w:t>8</w:t>
      </w:r>
      <w:r>
        <w:rPr>
          <w:sz w:val="22"/>
        </w:rPr>
        <w:t xml:space="preserve"> mm</w:t>
      </w:r>
      <w:r w:rsidRPr="00EF433E">
        <w:rPr>
          <w:sz w:val="22"/>
        </w:rPr>
        <w:t xml:space="preserve"> a s </w:t>
      </w:r>
      <w:r>
        <w:rPr>
          <w:sz w:val="22"/>
        </w:rPr>
        <w:t>označením „</w:t>
      </w:r>
      <w:r w:rsidR="00160D12">
        <w:rPr>
          <w:sz w:val="22"/>
        </w:rPr>
        <w:t>2</w:t>
      </w:r>
      <w:r>
        <w:rPr>
          <w:sz w:val="22"/>
        </w:rPr>
        <w:t>“</w:t>
      </w:r>
      <w:r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Pr="00EF433E">
        <w:rPr>
          <w:sz w:val="22"/>
        </w:rPr>
        <w:t xml:space="preserve">. </w:t>
      </w:r>
    </w:p>
    <w:p w:rsidR="002F03F9" w:rsidRPr="00EF433E" w:rsidRDefault="002F03F9" w:rsidP="002F03F9">
      <w:pPr>
        <w:rPr>
          <w:sz w:val="22"/>
        </w:rPr>
      </w:pP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A15FFE" w:rsidP="00A440E6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84749C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é</w:t>
      </w:r>
      <w:r w:rsidR="00832C91" w:rsidRPr="00EF433E">
        <w:rPr>
          <w:sz w:val="22"/>
          <w:szCs w:val="22"/>
        </w:rPr>
        <w:t xml:space="preserve"> na liečbu schizofrénie dospelý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a dospievajúci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>.</w:t>
      </w:r>
    </w:p>
    <w:p w:rsidR="00832C91" w:rsidRPr="00EF433E" w:rsidRDefault="00832C91" w:rsidP="00A440E6">
      <w:pPr>
        <w:rPr>
          <w:sz w:val="22"/>
          <w:szCs w:val="22"/>
        </w:rPr>
      </w:pPr>
    </w:p>
    <w:p w:rsidR="000C0AEE" w:rsidRPr="00EF433E" w:rsidRDefault="00A15FFE" w:rsidP="00A440E6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900AB8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é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</w:t>
      </w:r>
      <w:r w:rsidR="00832C91" w:rsidRPr="008029AF">
        <w:rPr>
          <w:sz w:val="22"/>
          <w:szCs w:val="22"/>
        </w:rPr>
        <w:t>,</w:t>
      </w:r>
      <w:r w:rsidR="000C0AEE" w:rsidRPr="008029AF">
        <w:rPr>
          <w:sz w:val="22"/>
          <w:szCs w:val="22"/>
        </w:rPr>
        <w:t xml:space="preserve"> ktor</w:t>
      </w:r>
      <w:r w:rsidR="00BB4AAF" w:rsidRPr="008029AF">
        <w:rPr>
          <w:sz w:val="22"/>
          <w:szCs w:val="22"/>
        </w:rPr>
        <w:t>í</w:t>
      </w:r>
      <w:r w:rsidR="000C0AEE" w:rsidRPr="008029AF">
        <w:rPr>
          <w:sz w:val="22"/>
          <w:szCs w:val="22"/>
        </w:rPr>
        <w:t xml:space="preserve"> mali</w:t>
      </w:r>
      <w:r w:rsidR="000C0AEE" w:rsidRPr="00EF433E">
        <w:rPr>
          <w:sz w:val="22"/>
          <w:szCs w:val="22"/>
        </w:rPr>
        <w:t xml:space="preserve">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:rsidR="00832C91" w:rsidRPr="00EF433E" w:rsidRDefault="00832C91" w:rsidP="00A440E6">
      <w:pPr>
        <w:rPr>
          <w:sz w:val="22"/>
          <w:szCs w:val="22"/>
        </w:rPr>
      </w:pPr>
    </w:p>
    <w:p w:rsidR="000C0AEE" w:rsidRPr="00EF433E" w:rsidRDefault="00A15FFE" w:rsidP="00A440E6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D46C7A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é</w:t>
      </w:r>
      <w:r w:rsidR="000C0AEE" w:rsidRPr="00EF433E">
        <w:rPr>
          <w:sz w:val="22"/>
          <w:szCs w:val="22"/>
        </w:rPr>
        <w:t xml:space="preserve"> na</w:t>
      </w:r>
      <w:r w:rsidR="003C58D7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 xml:space="preserve">liečbu stredne ťažkých a ťažkých manických epizód pri bipolárnej poruche typu I u dospievajúcich vo veku </w:t>
      </w:r>
      <w:r w:rsidR="003C58D7">
        <w:rPr>
          <w:sz w:val="22"/>
          <w:szCs w:val="22"/>
        </w:rPr>
        <w:t xml:space="preserve">od </w:t>
      </w:r>
      <w:r w:rsidR="000C0AEE" w:rsidRPr="00EF433E">
        <w:rPr>
          <w:sz w:val="22"/>
          <w:szCs w:val="22"/>
        </w:rPr>
        <w:t>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8029AF">
        <w:rPr>
          <w:i/>
          <w:sz w:val="22"/>
          <w:u w:val="single"/>
        </w:rPr>
        <w:t>Dospel</w:t>
      </w:r>
      <w:r w:rsidR="00BB4AAF" w:rsidRPr="008029AF">
        <w:rPr>
          <w:i/>
          <w:sz w:val="22"/>
          <w:u w:val="single"/>
        </w:rPr>
        <w:t>í</w:t>
      </w:r>
      <w:r w:rsidRPr="00EF433E">
        <w:rPr>
          <w:i/>
          <w:sz w:val="22"/>
          <w:u w:val="single"/>
        </w:rPr>
        <w:t xml:space="preserve"> </w:t>
      </w:r>
    </w:p>
    <w:p w:rsidR="008D1DE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15FFE">
        <w:rPr>
          <w:sz w:val="22"/>
        </w:rPr>
        <w:t>Lemilva</w:t>
      </w:r>
      <w:r w:rsidR="008D1DEE">
        <w:rPr>
          <w:sz w:val="22"/>
        </w:rPr>
        <w:t xml:space="preserve"> </w:t>
      </w:r>
      <w:r w:rsidRPr="00EF433E">
        <w:rPr>
          <w:sz w:val="22"/>
        </w:rPr>
        <w:t xml:space="preserve">je 10 alebo 15 mg/deň s udržiavacou dávkou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sz w:val="22"/>
        </w:rPr>
        <w:lastRenderedPageBreak/>
        <w:t>15 mg/deň podávaná v dávkovacej schéme jedenkrát denne bez ohľadu na príjem potravy.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A15FFE" w:rsidP="00A440E6">
      <w:pPr>
        <w:rPr>
          <w:sz w:val="22"/>
          <w:szCs w:val="22"/>
        </w:rPr>
      </w:pPr>
      <w:r>
        <w:rPr>
          <w:sz w:val="22"/>
        </w:rPr>
        <w:t>Lemilvo</w:t>
      </w:r>
      <w:r w:rsidR="008D1DE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é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15FFE">
        <w:rPr>
          <w:sz w:val="22"/>
          <w:szCs w:val="22"/>
        </w:rPr>
        <w:t>Lemilva</w:t>
      </w:r>
      <w:r w:rsidR="008D1DE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je 15 mg podávaná raz denne bez ohľadu na </w:t>
      </w:r>
      <w:r w:rsidR="00DD68E6">
        <w:rPr>
          <w:sz w:val="22"/>
          <w:szCs w:val="22"/>
        </w:rPr>
        <w:t>príjem potr</w:t>
      </w:r>
      <w:r w:rsidR="008D1DEE">
        <w:rPr>
          <w:sz w:val="22"/>
          <w:szCs w:val="22"/>
        </w:rPr>
        <w:t>a</w:t>
      </w:r>
      <w:r w:rsidR="00DD68E6">
        <w:rPr>
          <w:sz w:val="22"/>
          <w:szCs w:val="22"/>
        </w:rPr>
        <w:t>vy</w:t>
      </w:r>
      <w:r w:rsidRPr="00EF433E">
        <w:rPr>
          <w:sz w:val="22"/>
          <w:szCs w:val="22"/>
        </w:rPr>
        <w:t xml:space="preserve"> v monoterapii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>Prevencia rekurencie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>na prevenciu rekurencie manických epizód u pacientov užívajúcich aripiprazol v monoterapii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434A1F" w:rsidRDefault="006A1B12" w:rsidP="00A440E6">
      <w:pPr>
        <w:keepNext/>
        <w:rPr>
          <w:i/>
          <w:sz w:val="22"/>
        </w:rPr>
      </w:pPr>
      <w:r w:rsidRPr="00434A1F">
        <w:rPr>
          <w:i/>
          <w:sz w:val="22"/>
        </w:rPr>
        <w:t>Pediatrická populácia</w:t>
      </w:r>
    </w:p>
    <w:p w:rsidR="00A939D0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 xml:space="preserve">vo veku </w:t>
      </w:r>
      <w:r w:rsidR="008D1DEE">
        <w:rPr>
          <w:i/>
          <w:sz w:val="22"/>
        </w:rPr>
        <w:t xml:space="preserve">od </w:t>
      </w:r>
      <w:r w:rsidRPr="00EF433E">
        <w:rPr>
          <w:i/>
          <w:sz w:val="22"/>
        </w:rPr>
        <w:t>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15FFE">
        <w:rPr>
          <w:sz w:val="22"/>
        </w:rPr>
        <w:t>Lemilva</w:t>
      </w:r>
      <w:r w:rsidR="008D1DE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</w:t>
      </w:r>
      <w:r w:rsidR="00F9365B">
        <w:rPr>
          <w:sz w:val="22"/>
          <w:szCs w:val="22"/>
        </w:rPr>
        <w:t xml:space="preserve">sa </w:t>
      </w:r>
      <w:r w:rsidR="007A5BFA" w:rsidRPr="00EF433E">
        <w:rPr>
          <w:sz w:val="22"/>
          <w:szCs w:val="22"/>
        </w:rPr>
        <w:t xml:space="preserve">má začať s dávkou 2 mg (použitím aripiprazolu perorálneho roztoku 1 mg/ml) prvé 2 dni, titrovanou na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8B1A6E" w:rsidP="007A5B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Lemilvo</w:t>
      </w:r>
      <w:r w:rsidR="00A939D0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>
        <w:rPr>
          <w:sz w:val="22"/>
          <w:szCs w:val="22"/>
        </w:rPr>
        <w:t>é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8B1A6E" w:rsidP="008E2713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6214FB">
        <w:rPr>
          <w:sz w:val="22"/>
          <w:szCs w:val="22"/>
        </w:rPr>
        <w:t xml:space="preserve"> sa </w:t>
      </w:r>
      <w:r w:rsidR="00724859">
        <w:rPr>
          <w:sz w:val="22"/>
          <w:szCs w:val="22"/>
        </w:rPr>
        <w:t>ne</w:t>
      </w:r>
      <w:r w:rsidR="006214FB">
        <w:rPr>
          <w:sz w:val="22"/>
          <w:szCs w:val="22"/>
        </w:rPr>
        <w:t>odporúča</w:t>
      </w:r>
      <w:r w:rsidR="007A5BFA" w:rsidRPr="00EF433E">
        <w:rPr>
          <w:sz w:val="22"/>
          <w:szCs w:val="22"/>
        </w:rPr>
        <w:t xml:space="preserve"> použ</w:t>
      </w:r>
      <w:r w:rsidR="006214FB">
        <w:rPr>
          <w:sz w:val="22"/>
          <w:szCs w:val="22"/>
        </w:rPr>
        <w:t>ívať</w:t>
      </w:r>
      <w:r w:rsidR="007A5BFA" w:rsidRPr="00EF433E">
        <w:rPr>
          <w:sz w:val="22"/>
          <w:szCs w:val="22"/>
        </w:rPr>
        <w:t xml:space="preserve"> u pacientov so schizofréniou mladších ako 15 rokov kvôli </w:t>
      </w:r>
      <w:r w:rsidR="00D97D21">
        <w:rPr>
          <w:sz w:val="22"/>
          <w:szCs w:val="22"/>
        </w:rPr>
        <w:t>nedostato</w:t>
      </w:r>
      <w:r w:rsidR="00E9099C">
        <w:rPr>
          <w:sz w:val="22"/>
          <w:szCs w:val="22"/>
        </w:rPr>
        <w:t>čným</w:t>
      </w:r>
      <w:r w:rsidR="007A5BFA" w:rsidRPr="00EF433E">
        <w:rPr>
          <w:sz w:val="22"/>
          <w:szCs w:val="22"/>
        </w:rPr>
        <w:t xml:space="preserve">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373909" w:rsidRDefault="007A5BFA" w:rsidP="008E2713">
      <w:pPr>
        <w:rPr>
          <w:sz w:val="22"/>
        </w:rPr>
      </w:pPr>
      <w:r w:rsidRPr="00EF433E">
        <w:rPr>
          <w:i/>
          <w:sz w:val="22"/>
        </w:rPr>
        <w:t>Manické epizódy pri bipolárnej poruche typu I u dospievajúcich vo veku</w:t>
      </w:r>
      <w:r w:rsidR="00724859">
        <w:rPr>
          <w:i/>
          <w:sz w:val="22"/>
        </w:rPr>
        <w:t xml:space="preserve"> od</w:t>
      </w:r>
      <w:r w:rsidRPr="00EF433E">
        <w:rPr>
          <w:i/>
          <w:sz w:val="22"/>
        </w:rPr>
        <w:t xml:space="preserve"> 13 rokov a starších: </w:t>
      </w:r>
      <w:r w:rsidRPr="00EF433E">
        <w:rPr>
          <w:sz w:val="22"/>
        </w:rPr>
        <w:t xml:space="preserve">odporúčaná denná dávka </w:t>
      </w:r>
      <w:r w:rsidR="008B1A6E">
        <w:rPr>
          <w:sz w:val="22"/>
          <w:szCs w:val="22"/>
        </w:rPr>
        <w:t>Lemilva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>10 mg/deň podávaná podľa dávkovacej schémy raz denne, bez ohľadu na príjem potravy. Liečba sa má začať s dávkou 2 mg (použitím aripiprazolu perorálneho roztoku 1 mg/ml) prvé 2 dni, titrovanou na 5 mg ďalšie 2 dni, aby sa dosiahla odporúčaná denná dávka 10 mg.</w:t>
      </w:r>
      <w:r w:rsidR="00373909">
        <w:rPr>
          <w:sz w:val="22"/>
        </w:rPr>
        <w:t xml:space="preserve"> </w:t>
      </w:r>
    </w:p>
    <w:p w:rsidR="00373909" w:rsidRPr="00EF433E" w:rsidRDefault="00373909" w:rsidP="008E2713">
      <w:pPr>
        <w:rPr>
          <w:sz w:val="22"/>
        </w:rPr>
      </w:pPr>
    </w:p>
    <w:p w:rsidR="00BB4AAF" w:rsidRDefault="00876A70" w:rsidP="008029AF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133550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133550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</w:t>
      </w:r>
      <w:r w:rsidR="00D22AFA">
        <w:rPr>
          <w:sz w:val="22"/>
          <w:szCs w:val="22"/>
        </w:rPr>
        <w:t>príznakov</w:t>
      </w:r>
      <w:r w:rsidRPr="00EF433E">
        <w:rPr>
          <w:sz w:val="22"/>
          <w:szCs w:val="22"/>
        </w:rPr>
        <w:t xml:space="preserve"> a nesmie prekročiť 12 týždňov. Lepšia účinnosť pri vyšších dávkach než je denná dávka 10 mg, sa nedokázala, a denná dávka 30 mg sa spája s podstatne vyššou incidenciou významných nežiaducich </w:t>
      </w:r>
      <w:r w:rsidR="009E486C">
        <w:rPr>
          <w:sz w:val="22"/>
          <w:szCs w:val="22"/>
        </w:rPr>
        <w:t>reakcií</w:t>
      </w:r>
      <w:r w:rsidR="009E486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vrátane príhod súvisiacich s extrapyramídovými </w:t>
      </w:r>
      <w:r w:rsidR="00AC1E90">
        <w:rPr>
          <w:sz w:val="22"/>
          <w:szCs w:val="22"/>
        </w:rPr>
        <w:t>príznakmi</w:t>
      </w:r>
      <w:r w:rsidRPr="00EF433E">
        <w:rPr>
          <w:sz w:val="22"/>
          <w:szCs w:val="22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BB4AAF" w:rsidRDefault="00BB4AAF" w:rsidP="008029AF">
      <w:pPr>
        <w:rPr>
          <w:sz w:val="22"/>
          <w:szCs w:val="22"/>
        </w:rPr>
      </w:pPr>
    </w:p>
    <w:p w:rsidR="00BB4AAF" w:rsidRDefault="00876A70" w:rsidP="008029AF">
      <w:pPr>
        <w:rPr>
          <w:i/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aripiprazolu. Preto sa </w:t>
      </w:r>
      <w:r w:rsidR="008E63C6">
        <w:rPr>
          <w:sz w:val="22"/>
          <w:szCs w:val="22"/>
        </w:rPr>
        <w:t>Lemilvo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BB4AAF" w:rsidRDefault="00BB4AAF" w:rsidP="008029AF">
      <w:pPr>
        <w:rPr>
          <w:sz w:val="22"/>
        </w:rPr>
      </w:pPr>
    </w:p>
    <w:p w:rsidR="00BB4AAF" w:rsidRDefault="00462BEC" w:rsidP="008029AF">
      <w:pPr>
        <w:rPr>
          <w:sz w:val="22"/>
          <w:szCs w:val="22"/>
        </w:rPr>
      </w:pPr>
      <w:r w:rsidRPr="00EF433E">
        <w:rPr>
          <w:i/>
          <w:sz w:val="22"/>
        </w:rPr>
        <w:t xml:space="preserve">Podráždenosť spojená s autistickou poruchou: </w:t>
      </w:r>
      <w:r w:rsidRPr="00EF433E">
        <w:rPr>
          <w:sz w:val="22"/>
        </w:rPr>
        <w:t xml:space="preserve">bezpečnosť a účinnosť </w:t>
      </w:r>
      <w:r w:rsidR="008E63C6">
        <w:rPr>
          <w:sz w:val="22"/>
          <w:szCs w:val="22"/>
        </w:rPr>
        <w:t>Lemilva</w:t>
      </w:r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7340F6" w:rsidRDefault="007340F6" w:rsidP="008029AF">
      <w:pPr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Tourettovým syndrómom</w:t>
      </w:r>
      <w:r w:rsidRPr="00EF433E">
        <w:rPr>
          <w:sz w:val="22"/>
        </w:rPr>
        <w:t xml:space="preserve">: bezpečnosť a účinnosť </w:t>
      </w:r>
      <w:r w:rsidR="008E63C6">
        <w:rPr>
          <w:sz w:val="22"/>
          <w:szCs w:val="22"/>
        </w:rPr>
        <w:t>Lemilva</w:t>
      </w:r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 </w:t>
      </w:r>
      <w:r w:rsidRPr="00EF433E">
        <w:rPr>
          <w:sz w:val="22"/>
          <w:szCs w:val="22"/>
        </w:rPr>
        <w:t xml:space="preserve">detí a dospievajúcich </w:t>
      </w:r>
      <w:r w:rsidR="00C32042">
        <w:rPr>
          <w:sz w:val="22"/>
          <w:szCs w:val="22"/>
        </w:rPr>
        <w:t xml:space="preserve">vo veku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Default="00493CF9" w:rsidP="00A440E6">
      <w:pPr>
        <w:rPr>
          <w:sz w:val="22"/>
        </w:rPr>
      </w:pPr>
    </w:p>
    <w:p w:rsidR="009E486C" w:rsidRDefault="009E486C" w:rsidP="009E486C">
      <w:pPr>
        <w:keepNext/>
        <w:rPr>
          <w:sz w:val="22"/>
          <w:u w:val="single"/>
        </w:rPr>
      </w:pPr>
      <w:r w:rsidRPr="003940F4">
        <w:rPr>
          <w:sz w:val="22"/>
          <w:u w:val="single"/>
        </w:rPr>
        <w:lastRenderedPageBreak/>
        <w:t xml:space="preserve">Osobitné </w:t>
      </w:r>
      <w:r w:rsidR="002A4396">
        <w:rPr>
          <w:sz w:val="22"/>
          <w:u w:val="single"/>
        </w:rPr>
        <w:t>skupiny pacientov</w:t>
      </w:r>
    </w:p>
    <w:p w:rsidR="009E486C" w:rsidRPr="00EF433E" w:rsidRDefault="009E486C" w:rsidP="00A440E6">
      <w:pPr>
        <w:rPr>
          <w:sz w:val="22"/>
        </w:rPr>
      </w:pPr>
    </w:p>
    <w:p w:rsidR="001A458B" w:rsidRPr="005C4213" w:rsidRDefault="000D254B" w:rsidP="00A440E6">
      <w:pPr>
        <w:rPr>
          <w:i/>
          <w:sz w:val="22"/>
        </w:rPr>
      </w:pPr>
      <w:r w:rsidRPr="005C4213">
        <w:rPr>
          <w:i/>
          <w:sz w:val="22"/>
        </w:rPr>
        <w:t>P</w:t>
      </w:r>
      <w:r w:rsidR="001A458B" w:rsidRPr="005C4213">
        <w:rPr>
          <w:i/>
          <w:sz w:val="22"/>
        </w:rPr>
        <w:t>oruch</w:t>
      </w:r>
      <w:r w:rsidRPr="005C4213">
        <w:rPr>
          <w:i/>
          <w:sz w:val="22"/>
        </w:rPr>
        <w:t>a</w:t>
      </w:r>
      <w:r w:rsidR="001A458B" w:rsidRPr="005C4213">
        <w:rPr>
          <w:i/>
          <w:sz w:val="22"/>
        </w:rPr>
        <w:t xml:space="preserve">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Poruch</w:t>
      </w:r>
      <w:r w:rsidR="000D254B" w:rsidRPr="005C4213">
        <w:rPr>
          <w:i/>
          <w:sz w:val="22"/>
          <w:szCs w:val="22"/>
        </w:rPr>
        <w:t>a</w:t>
      </w:r>
      <w:r w:rsidRPr="005C4213">
        <w:rPr>
          <w:i/>
          <w:sz w:val="22"/>
          <w:szCs w:val="22"/>
        </w:rPr>
        <w:t xml:space="preserve">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Starší </w:t>
      </w:r>
      <w:r w:rsidR="00ED5DF4" w:rsidRPr="005C4213">
        <w:rPr>
          <w:i/>
          <w:sz w:val="22"/>
          <w:szCs w:val="22"/>
        </w:rPr>
        <w:t>pacienti</w:t>
      </w:r>
    </w:p>
    <w:p w:rsidR="001A458B" w:rsidRPr="00EF433E" w:rsidRDefault="009E486C" w:rsidP="00A440E6">
      <w:pPr>
        <w:rPr>
          <w:sz w:val="22"/>
          <w:szCs w:val="22"/>
        </w:rPr>
      </w:pPr>
      <w:r w:rsidRPr="009E486C">
        <w:rPr>
          <w:sz w:val="22"/>
          <w:szCs w:val="22"/>
        </w:rPr>
        <w:t>Bezpečnosť a účinnosť</w:t>
      </w:r>
      <w:r w:rsidR="001A458B" w:rsidRPr="00EF433E">
        <w:rPr>
          <w:sz w:val="22"/>
          <w:szCs w:val="22"/>
        </w:rPr>
        <w:t xml:space="preserve"> </w:t>
      </w:r>
      <w:r w:rsidR="008E63C6">
        <w:rPr>
          <w:sz w:val="22"/>
          <w:szCs w:val="22"/>
        </w:rPr>
        <w:t>Lemilva</w:t>
      </w:r>
      <w:r w:rsidR="00C846B1">
        <w:rPr>
          <w:sz w:val="22"/>
          <w:szCs w:val="22"/>
        </w:rPr>
        <w:t xml:space="preserve"> </w:t>
      </w:r>
      <w:r w:rsidR="001A458B" w:rsidRPr="00EF433E">
        <w:rPr>
          <w:sz w:val="22"/>
          <w:szCs w:val="22"/>
        </w:rPr>
        <w:t>v liečbe schizofrénie a</w:t>
      </w:r>
      <w:r w:rsidR="002A4396">
        <w:rPr>
          <w:sz w:val="22"/>
          <w:szCs w:val="22"/>
        </w:rPr>
        <w:t>lebo</w:t>
      </w:r>
      <w:r w:rsidRPr="009E486C">
        <w:rPr>
          <w:sz w:val="22"/>
          <w:szCs w:val="22"/>
          <w:lang w:eastAsia="sk-SK"/>
        </w:rPr>
        <w:t xml:space="preserve"> </w:t>
      </w:r>
      <w:r w:rsidRPr="009E486C">
        <w:rPr>
          <w:sz w:val="22"/>
          <w:szCs w:val="22"/>
        </w:rPr>
        <w:t>manických epizód u</w:t>
      </w:r>
      <w:r w:rsidR="001A458B" w:rsidRPr="00EF433E">
        <w:rPr>
          <w:sz w:val="22"/>
          <w:szCs w:val="22"/>
        </w:rPr>
        <w:t xml:space="preserve"> bipolárnej poruchy typu I u pacientov vo veku </w:t>
      </w:r>
      <w:r w:rsidR="008F2364">
        <w:rPr>
          <w:sz w:val="22"/>
          <w:szCs w:val="22"/>
        </w:rPr>
        <w:t xml:space="preserve">od </w:t>
      </w:r>
      <w:r w:rsidR="001A458B" w:rsidRPr="00EF433E">
        <w:rPr>
          <w:sz w:val="22"/>
          <w:szCs w:val="22"/>
        </w:rPr>
        <w:t>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>Vzhľadom na metabolickú dráhu aripiprazolu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5C4213" w:rsidRDefault="000906AB" w:rsidP="00A440E6">
      <w:pPr>
        <w:rPr>
          <w:i/>
          <w:sz w:val="22"/>
        </w:rPr>
      </w:pPr>
      <w:r w:rsidRPr="005C4213">
        <w:rPr>
          <w:i/>
          <w:sz w:val="22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znížiť. Keď sa inhibítory CYP3A4 alebo CYP2D6 vysadia z kombinovanej liečby</w:t>
      </w:r>
      <w:r w:rsidR="00A90DA5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aripiprazolu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zvýšiť. Keď sa induktor CYP3A4 vysadí z kombinovanej liečby</w:t>
      </w:r>
      <w:r w:rsidR="005A49FF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aripiprazolu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Default="008E63C6" w:rsidP="00A440E6">
      <w:pPr>
        <w:rPr>
          <w:sz w:val="22"/>
        </w:rPr>
      </w:pPr>
      <w:r>
        <w:rPr>
          <w:sz w:val="22"/>
        </w:rPr>
        <w:t>O</w:t>
      </w:r>
      <w:r w:rsidR="001C1F57">
        <w:rPr>
          <w:sz w:val="22"/>
        </w:rPr>
        <w:t>rod</w:t>
      </w:r>
      <w:r w:rsidR="00D501D6">
        <w:rPr>
          <w:sz w:val="22"/>
        </w:rPr>
        <w:t>i</w:t>
      </w:r>
      <w:r w:rsidR="001C1F57">
        <w:rPr>
          <w:sz w:val="22"/>
        </w:rPr>
        <w:t xml:space="preserve">spergovateľné </w:t>
      </w:r>
      <w:r w:rsidR="000906AB" w:rsidRPr="00EF433E">
        <w:rPr>
          <w:sz w:val="22"/>
        </w:rPr>
        <w:t xml:space="preserve">tablety </w:t>
      </w:r>
      <w:r>
        <w:rPr>
          <w:sz w:val="22"/>
          <w:szCs w:val="22"/>
        </w:rPr>
        <w:t xml:space="preserve">Lemilvo </w:t>
      </w:r>
      <w:r w:rsidR="000906AB" w:rsidRPr="00EF433E">
        <w:rPr>
          <w:sz w:val="22"/>
        </w:rPr>
        <w:t>sú určené na perorálne použitie.</w:t>
      </w:r>
    </w:p>
    <w:p w:rsidR="005337F4" w:rsidRPr="00EF433E" w:rsidRDefault="005337F4" w:rsidP="00A440E6">
      <w:pPr>
        <w:rPr>
          <w:sz w:val="22"/>
        </w:rPr>
      </w:pPr>
    </w:p>
    <w:p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Orodispergovateľná tableta sa má dať do úst na jazyk, kde sa rýchlo rozpustí v slinách. Môže sa užiť </w:t>
      </w:r>
    </w:p>
    <w:p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s tekutinou alebo bez nej. Odstránenie neporušenej orodispergovateľnej tablety z úst je obtiažne. </w:t>
      </w:r>
    </w:p>
    <w:p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Orodispergovateľná tableta je krehká, a preto sa musí </w:t>
      </w:r>
      <w:r w:rsidR="00D35640">
        <w:rPr>
          <w:sz w:val="22"/>
        </w:rPr>
        <w:t>užiť</w:t>
      </w:r>
      <w:r w:rsidRPr="009855D0">
        <w:rPr>
          <w:sz w:val="22"/>
        </w:rPr>
        <w:t xml:space="preserve"> okamžite po otvorení blistra. Alebo sa </w:t>
      </w:r>
    </w:p>
    <w:p w:rsidR="009855D0" w:rsidRDefault="009855D0" w:rsidP="009855D0">
      <w:pPr>
        <w:rPr>
          <w:sz w:val="22"/>
        </w:rPr>
      </w:pPr>
      <w:r w:rsidRPr="009855D0">
        <w:rPr>
          <w:sz w:val="22"/>
        </w:rPr>
        <w:t>tableta rozpustí vo vode a vytvorená suspenzia sa vypije.</w:t>
      </w:r>
    </w:p>
    <w:p w:rsidR="005337F4" w:rsidRPr="009855D0" w:rsidRDefault="005337F4" w:rsidP="009855D0">
      <w:pPr>
        <w:rPr>
          <w:sz w:val="22"/>
        </w:rPr>
      </w:pPr>
    </w:p>
    <w:p w:rsidR="000906AB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Orodispergovateľné tablety sa môžu používať ako náhrada tabliet </w:t>
      </w:r>
      <w:r>
        <w:rPr>
          <w:sz w:val="22"/>
        </w:rPr>
        <w:t>obsahujúcic</w:t>
      </w:r>
      <w:r w:rsidR="00EC7079">
        <w:rPr>
          <w:sz w:val="22"/>
        </w:rPr>
        <w:t>h</w:t>
      </w:r>
      <w:r>
        <w:rPr>
          <w:sz w:val="22"/>
        </w:rPr>
        <w:t xml:space="preserve"> aripirazol </w:t>
      </w:r>
      <w:r w:rsidRPr="009855D0">
        <w:rPr>
          <w:sz w:val="22"/>
        </w:rPr>
        <w:t xml:space="preserve">u pacientov, ktorí majú problém prehltnúť tablety </w:t>
      </w:r>
      <w:r w:rsidR="00EC7079">
        <w:rPr>
          <w:sz w:val="22"/>
        </w:rPr>
        <w:t xml:space="preserve">aripirazolu </w:t>
      </w:r>
      <w:r w:rsidRPr="009855D0">
        <w:rPr>
          <w:sz w:val="22"/>
        </w:rPr>
        <w:t>(pozri tiež časť 5.2).</w:t>
      </w:r>
    </w:p>
    <w:p w:rsidR="0098353D" w:rsidRPr="00EF433E" w:rsidRDefault="0098353D" w:rsidP="009855D0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8E0474" w:rsidRPr="005C12DE" w:rsidRDefault="008E0474" w:rsidP="008E0474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u w:val="single"/>
        </w:rPr>
      </w:pPr>
    </w:p>
    <w:p w:rsidR="00587F8B" w:rsidRDefault="00587F8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0912BB" w:rsidRPr="00EF433E" w:rsidRDefault="000912B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FF5B37" w:rsidRDefault="00FF5B37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Samovražedné sklony</w:t>
      </w:r>
    </w:p>
    <w:p w:rsidR="00716560" w:rsidRDefault="00716560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4875A4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 niektorých prípadoch sa pozoroval skoro po začatí liečby alebo zmene antipsychotickej liečby, vrátane liečby aripiprazolom (pozri časť 4.8). Antipsychotická liečba vysokorizikových pacientov si vyžaduje dôkladné sledovanie. 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r w:rsidRPr="00EF433E">
        <w:rPr>
          <w:sz w:val="22"/>
          <w:szCs w:val="22"/>
        </w:rPr>
        <w:t>Aripiprazol sa má opatrne používať u pacientov so znám</w:t>
      </w:r>
      <w:r w:rsidR="000B6001">
        <w:rPr>
          <w:sz w:val="22"/>
          <w:szCs w:val="22"/>
        </w:rPr>
        <w:t>ym</w:t>
      </w:r>
      <w:r w:rsidRPr="00EF433E">
        <w:rPr>
          <w:sz w:val="22"/>
          <w:szCs w:val="22"/>
        </w:rPr>
        <w:t xml:space="preserve"> kardiovaskulárn</w:t>
      </w:r>
      <w:r w:rsidR="000B6001">
        <w:rPr>
          <w:sz w:val="22"/>
          <w:szCs w:val="22"/>
        </w:rPr>
        <w:t>ym ochorením</w:t>
      </w:r>
      <w:r w:rsidRPr="00EF433E">
        <w:rPr>
          <w:sz w:val="22"/>
          <w:szCs w:val="22"/>
        </w:rPr>
        <w:t xml:space="preserve"> (anamnéza infarktu myokardu alebo ischemickej choroby srdca, srdcové zlyhani</w:t>
      </w:r>
      <w:r w:rsidR="00FA721E">
        <w:rPr>
          <w:sz w:val="22"/>
          <w:szCs w:val="22"/>
        </w:rPr>
        <w:t>e</w:t>
      </w:r>
      <w:r w:rsidRPr="00EF433E">
        <w:rPr>
          <w:sz w:val="22"/>
          <w:szCs w:val="22"/>
        </w:rPr>
        <w:t xml:space="preserve"> alebo abnormality vedenia), cerebrovaskulárn</w:t>
      </w:r>
      <w:r w:rsidR="00D70BFD">
        <w:rPr>
          <w:sz w:val="22"/>
          <w:szCs w:val="22"/>
        </w:rPr>
        <w:t>ym o</w:t>
      </w:r>
      <w:r w:rsidRPr="00EF433E">
        <w:rPr>
          <w:sz w:val="22"/>
          <w:szCs w:val="22"/>
        </w:rPr>
        <w:t>chor</w:t>
      </w:r>
      <w:r w:rsidR="00D70BFD">
        <w:rPr>
          <w:sz w:val="22"/>
          <w:szCs w:val="22"/>
        </w:rPr>
        <w:t>ením</w:t>
      </w:r>
      <w:r w:rsidRPr="00EF433E">
        <w:rPr>
          <w:sz w:val="22"/>
          <w:szCs w:val="22"/>
        </w:rPr>
        <w:t xml:space="preserve">, </w:t>
      </w:r>
      <w:r w:rsidR="007474CA">
        <w:rPr>
          <w:sz w:val="22"/>
          <w:szCs w:val="22"/>
        </w:rPr>
        <w:t>stavmi</w:t>
      </w:r>
      <w:r w:rsidRPr="00EF433E">
        <w:rPr>
          <w:sz w:val="22"/>
          <w:szCs w:val="22"/>
        </w:rPr>
        <w:t xml:space="preserve">, ktoré môžu mať vplyv na pacientov s predispozíciou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>(dehydratácia, hypovolémia a liečba antihypertenzívnymi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venózneho tromboembolizmu (VTE) boli hlásené </w:t>
      </w:r>
      <w:r w:rsidRPr="003940F4">
        <w:rPr>
          <w:sz w:val="22"/>
          <w:szCs w:val="22"/>
          <w:lang w:val="sk-SK"/>
        </w:rPr>
        <w:t>pri antipsychoti</w:t>
      </w:r>
      <w:r w:rsidR="00F55C4C" w:rsidRPr="003940F4">
        <w:rPr>
          <w:sz w:val="22"/>
          <w:szCs w:val="22"/>
          <w:lang w:val="sk-SK"/>
        </w:rPr>
        <w:t>c</w:t>
      </w:r>
      <w:r w:rsidRPr="003940F4">
        <w:rPr>
          <w:sz w:val="22"/>
          <w:szCs w:val="22"/>
          <w:lang w:val="sk-SK"/>
        </w:rPr>
        <w:t>k</w:t>
      </w:r>
      <w:r w:rsidR="00093F48" w:rsidRPr="003940F4">
        <w:rPr>
          <w:sz w:val="22"/>
          <w:szCs w:val="22"/>
          <w:lang w:val="sk-SK"/>
        </w:rPr>
        <w:t>ých liekoch</w:t>
      </w:r>
      <w:r w:rsidRPr="003940F4">
        <w:rPr>
          <w:sz w:val="22"/>
          <w:szCs w:val="22"/>
          <w:lang w:val="sk-SK"/>
        </w:rPr>
        <w:t xml:space="preserve">. Pred a počas liečby </w:t>
      </w:r>
      <w:r w:rsidR="00CF7013" w:rsidRPr="003940F4">
        <w:rPr>
          <w:sz w:val="22"/>
          <w:szCs w:val="22"/>
        </w:rPr>
        <w:t>Lemilvom</w:t>
      </w:r>
      <w:r w:rsidR="004875A4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  <w:lang w:val="sk-SK"/>
        </w:rPr>
        <w:t>sa majú stanoviť</w:t>
      </w:r>
      <w:r w:rsidR="00A60BD3" w:rsidRPr="003940F4">
        <w:rPr>
          <w:sz w:val="22"/>
          <w:szCs w:val="22"/>
          <w:lang w:val="sk-SK"/>
        </w:rPr>
        <w:t xml:space="preserve"> všetky možné</w:t>
      </w:r>
      <w:r w:rsidRPr="003940F4">
        <w:rPr>
          <w:sz w:val="22"/>
          <w:szCs w:val="22"/>
          <w:lang w:val="sk-SK"/>
        </w:rPr>
        <w:t xml:space="preserve"> rizikové faktory VTE a vykonať preventívne opatrenia, pretože u pacientov liečených antipsychotikami sú často prítomné získané rizikové faktory VTE.</w:t>
      </w: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3940F4" w:rsidRDefault="00ED5DF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Predĺženie QT intervalu</w:t>
      </w: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štúdiách s aripiprazolom bola incidencia QT predĺženia porovnateľná s placebom. </w:t>
      </w:r>
      <w:r w:rsidR="009E486C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ripiprazol sa má opatrne používať u pacientov s rodinnou anamnézou predĺženia</w:t>
      </w:r>
      <w:r w:rsidR="00232424" w:rsidRPr="003940F4">
        <w:rPr>
          <w:sz w:val="22"/>
          <w:szCs w:val="22"/>
          <w:lang w:val="sk-SK"/>
        </w:rPr>
        <w:t xml:space="preserve"> QT intervalu</w:t>
      </w:r>
      <w:r w:rsidR="00531DE3" w:rsidRPr="003940F4">
        <w:rPr>
          <w:sz w:val="22"/>
          <w:szCs w:val="22"/>
          <w:lang w:val="sk-SK"/>
        </w:rPr>
        <w:t xml:space="preserve"> </w:t>
      </w:r>
      <w:r w:rsidR="00992FEB" w:rsidRPr="003940F4">
        <w:rPr>
          <w:sz w:val="22"/>
          <w:szCs w:val="22"/>
          <w:lang w:val="sk-SK"/>
        </w:rPr>
        <w:t>(pozri časť 4.8)</w:t>
      </w:r>
      <w:r w:rsidRPr="003940F4">
        <w:rPr>
          <w:sz w:val="22"/>
          <w:szCs w:val="22"/>
          <w:lang w:val="sk-SK"/>
        </w:rPr>
        <w:t>.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Tardívna dyskinéza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 jednoročných alebo v kratších klinických skúšaniach boli počas liečby aripiprazolom </w:t>
      </w:r>
      <w:r w:rsidR="00232424" w:rsidRPr="003940F4">
        <w:rPr>
          <w:sz w:val="22"/>
          <w:szCs w:val="22"/>
          <w:lang w:val="sk-SK"/>
        </w:rPr>
        <w:t>menej často</w:t>
      </w:r>
      <w:r w:rsidR="00A60BD3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hlásené prípady </w:t>
      </w:r>
      <w:r w:rsidR="00232424" w:rsidRPr="003940F4">
        <w:rPr>
          <w:sz w:val="22"/>
          <w:szCs w:val="22"/>
          <w:lang w:val="sk-SK"/>
        </w:rPr>
        <w:t xml:space="preserve">akútnej </w:t>
      </w:r>
      <w:r w:rsidRPr="003940F4">
        <w:rPr>
          <w:sz w:val="22"/>
          <w:szCs w:val="22"/>
          <w:lang w:val="sk-SK"/>
        </w:rPr>
        <w:t xml:space="preserve">dyskinézy vzniknutej počas liečby. Pokiaľ sa u pacienta užívajúceho </w:t>
      </w:r>
      <w:r w:rsidR="009E7122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  <w:lang w:val="sk-SK"/>
        </w:rPr>
        <w:t xml:space="preserve">objavia </w:t>
      </w:r>
      <w:r w:rsidR="00A60BD3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>a príznaky tardívnej dyskinézy</w:t>
      </w:r>
      <w:r w:rsidR="00583BE4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má sa zvážiť zníženie dávky alebo prerušenie liečby</w:t>
      </w:r>
      <w:r w:rsidR="009E712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 xml:space="preserve">. Tieto príznaky sa môžu postupom času zhoršovať, alebo môžu </w:t>
      </w:r>
      <w:r w:rsidR="003665F1" w:rsidRPr="003940F4">
        <w:rPr>
          <w:sz w:val="22"/>
          <w:szCs w:val="22"/>
          <w:lang w:val="sk-SK"/>
        </w:rPr>
        <w:t xml:space="preserve">dokonca </w:t>
      </w:r>
      <w:r w:rsidRPr="003940F4">
        <w:rPr>
          <w:sz w:val="22"/>
          <w:szCs w:val="22"/>
          <w:lang w:val="sk-SK"/>
        </w:rPr>
        <w:t>vzniknúť aj po prerušení liečby.</w:t>
      </w: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Iné extrapyramídové symptómy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s deťmi a dospievajúcimi s aripiprazolom sa pozorovala akatízia a parkinsonizmus. Ak sa objavia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</w:t>
      </w:r>
      <w:r w:rsidR="002A7676" w:rsidRPr="003940F4">
        <w:rPr>
          <w:sz w:val="22"/>
          <w:szCs w:val="22"/>
          <w:lang w:val="sk-SK"/>
        </w:rPr>
        <w:t>príznaky</w:t>
      </w:r>
      <w:r w:rsidRPr="003940F4">
        <w:rPr>
          <w:sz w:val="22"/>
          <w:szCs w:val="22"/>
          <w:lang w:val="sk-SK"/>
        </w:rPr>
        <w:t xml:space="preserve"> iných extrapyramídových symptómov u pacienta užívajúceho </w:t>
      </w:r>
      <w:r w:rsidR="00BD3B26" w:rsidRPr="003940F4">
        <w:rPr>
          <w:sz w:val="22"/>
          <w:szCs w:val="22"/>
        </w:rPr>
        <w:t>aripiprazol</w:t>
      </w:r>
      <w:r w:rsidR="00583BE4" w:rsidRPr="003940F4">
        <w:rPr>
          <w:sz w:val="22"/>
          <w:szCs w:val="22"/>
        </w:rPr>
        <w:t>,</w:t>
      </w:r>
      <w:r w:rsidR="00695299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  <w:lang w:val="sk-SK"/>
        </w:rPr>
        <w:t>má sa zvážiť zníženie dávky a starostlivý klinický monitoring.</w:t>
      </w:r>
    </w:p>
    <w:p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Neuroleptický malígny syndróm (NMS)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NMS je potenciálne fatálny komplex </w:t>
      </w:r>
      <w:r w:rsidR="002A7676" w:rsidRPr="003940F4">
        <w:rPr>
          <w:sz w:val="22"/>
          <w:szCs w:val="22"/>
          <w:lang w:val="sk-SK"/>
        </w:rPr>
        <w:t>príznakov</w:t>
      </w:r>
      <w:r w:rsidRPr="003940F4">
        <w:rPr>
          <w:sz w:val="22"/>
          <w:szCs w:val="22"/>
          <w:lang w:val="sk-SK"/>
        </w:rPr>
        <w:t xml:space="preserve"> súvisiaci s podávaním antipsychot</w:t>
      </w:r>
      <w:r w:rsidR="009E486C">
        <w:rPr>
          <w:sz w:val="22"/>
          <w:szCs w:val="22"/>
          <w:lang w:val="sk-SK"/>
        </w:rPr>
        <w:t>ík</w:t>
      </w:r>
      <w:r w:rsidRPr="003940F4">
        <w:rPr>
          <w:sz w:val="22"/>
          <w:szCs w:val="22"/>
          <w:lang w:val="sk-SK"/>
        </w:rPr>
        <w:t xml:space="preserve">. </w:t>
      </w:r>
    </w:p>
    <w:p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znaky môže patriť zvýšená hodnota kreatínfosfokinázy, myoglobinúria (rabdomyolýza) a akútne renálne zlyhanie. Avšak, vyskytla sa tiež zvýšená kreatínfosfokináza 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lastRenderedPageBreak/>
        <w:t xml:space="preserve">a rabdomyolýza nie nevyhnutne spojená s NMS. Ak u pacientov vzniknú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r w:rsidR="009E486C" w:rsidRPr="003940F4">
        <w:rPr>
          <w:sz w:val="22"/>
          <w:szCs w:val="22"/>
          <w:lang w:val="sk-SK"/>
        </w:rPr>
        <w:t>antipsychot</w:t>
      </w:r>
      <w:r w:rsidR="009E486C">
        <w:rPr>
          <w:sz w:val="22"/>
          <w:szCs w:val="22"/>
          <w:lang w:val="sk-SK"/>
        </w:rPr>
        <w:t>ík</w:t>
      </w:r>
      <w:r w:rsidR="00BD3B26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vrátane </w:t>
      </w:r>
      <w:r w:rsidR="00BD3B26" w:rsidRPr="003940F4">
        <w:rPr>
          <w:sz w:val="22"/>
          <w:szCs w:val="22"/>
        </w:rPr>
        <w:t>aripiprazolu</w:t>
      </w:r>
      <w:r w:rsidR="00583BE4" w:rsidRPr="003940F4">
        <w:rPr>
          <w:sz w:val="22"/>
          <w:szCs w:val="22"/>
        </w:rPr>
        <w:t xml:space="preserve">, </w:t>
      </w:r>
      <w:r w:rsidRPr="003940F4">
        <w:rPr>
          <w:sz w:val="22"/>
          <w:szCs w:val="22"/>
          <w:lang w:val="sk-SK"/>
        </w:rPr>
        <w:t>sa musí prerušiť.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 xml:space="preserve">Záchvat 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V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 w:rsidR="00EB799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>.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3940F4">
        <w:rPr>
          <w:sz w:val="22"/>
          <w:szCs w:val="22"/>
          <w:u w:val="single"/>
          <w:lang w:val="sk-SK"/>
        </w:rPr>
        <w:t> </w:t>
      </w:r>
      <w:r w:rsidRPr="003940F4">
        <w:rPr>
          <w:sz w:val="22"/>
          <w:szCs w:val="22"/>
          <w:u w:val="single"/>
          <w:lang w:val="sk-SK"/>
        </w:rPr>
        <w:t>demenciou</w:t>
      </w: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716560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i/>
          <w:sz w:val="22"/>
          <w:szCs w:val="22"/>
        </w:rPr>
        <w:t>Zvýšenie mortality</w:t>
      </w:r>
      <w:r w:rsidR="00182FB1" w:rsidRPr="003940F4">
        <w:rPr>
          <w:sz w:val="22"/>
          <w:szCs w:val="22"/>
          <w:lang w:val="sk-SK"/>
        </w:rPr>
        <w:t xml:space="preserve"> </w:t>
      </w:r>
    </w:p>
    <w:p w:rsidR="006A511A" w:rsidRPr="003940F4" w:rsidRDefault="00716560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6A511A" w:rsidRPr="003940F4">
        <w:rPr>
          <w:sz w:val="22"/>
          <w:szCs w:val="22"/>
          <w:lang w:val="sk-SK"/>
        </w:rPr>
        <w:t xml:space="preserve"> troch placebom kontrolovaných </w:t>
      </w:r>
      <w:r w:rsidR="00BD4C05" w:rsidRPr="003940F4">
        <w:rPr>
          <w:sz w:val="22"/>
          <w:szCs w:val="22"/>
          <w:lang w:val="sk-SK"/>
        </w:rPr>
        <w:t>skúšaniach</w:t>
      </w:r>
      <w:r w:rsidR="006A511A" w:rsidRPr="003940F4">
        <w:rPr>
          <w:sz w:val="22"/>
          <w:szCs w:val="22"/>
          <w:lang w:val="sk-SK"/>
        </w:rPr>
        <w:t xml:space="preserve"> (n = 938; priemerný vek: 82,4 rokov; rozsah: 56-99 rokov) aripiprazolu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starších pacientov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psychózou spojenou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Alzheimerovou chorobou, pacienti liečení aripiprazolom mali zvýšené riziko smrti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placebom. Výskyt smrti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pacientov liečených aripiprazolom bol 3,5 %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1,7 %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placebovej skupine. Aj keď príčiny smrti sú rôzne, väčšina z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nich sa zdá byť pôvodom buď kardiovaskulárna (napr. srdcové zlyhanie, náhla smrť) alebo infekčná (napr. pneumónia)</w:t>
      </w:r>
      <w:r w:rsidR="003450EE" w:rsidRPr="003940F4">
        <w:rPr>
          <w:sz w:val="22"/>
          <w:szCs w:val="22"/>
          <w:lang w:val="sk-SK"/>
        </w:rPr>
        <w:t xml:space="preserve"> (pozri časť 4.8)</w:t>
      </w:r>
      <w:r w:rsidR="006A511A" w:rsidRPr="003940F4">
        <w:rPr>
          <w:sz w:val="22"/>
          <w:szCs w:val="22"/>
          <w:lang w:val="sk-SK"/>
        </w:rPr>
        <w:t>.</w:t>
      </w: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716560" w:rsidRDefault="006A511A" w:rsidP="00F352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  <w:r w:rsidRPr="003940F4">
        <w:rPr>
          <w:i/>
          <w:sz w:val="22"/>
        </w:rPr>
        <w:t>Cerebrovaskulárne nežiaduce reakcie</w:t>
      </w:r>
      <w:r w:rsidR="00182FB1" w:rsidRPr="003940F4">
        <w:rPr>
          <w:i/>
          <w:sz w:val="22"/>
          <w:szCs w:val="24"/>
          <w:lang w:val="sk-SK"/>
        </w:rPr>
        <w:t xml:space="preserve"> </w:t>
      </w:r>
    </w:p>
    <w:p w:rsidR="00BD4C05" w:rsidRPr="003940F4" w:rsidRDefault="00716560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6A511A" w:rsidRPr="003940F4">
        <w:rPr>
          <w:sz w:val="22"/>
          <w:szCs w:val="22"/>
        </w:rPr>
        <w:t xml:space="preserve"> tých istých </w:t>
      </w:r>
      <w:r w:rsidR="00337223" w:rsidRPr="003940F4">
        <w:rPr>
          <w:sz w:val="22"/>
          <w:szCs w:val="22"/>
        </w:rPr>
        <w:t>skúšaniach</w:t>
      </w:r>
      <w:r w:rsidR="006A511A" w:rsidRPr="003940F4">
        <w:rPr>
          <w:sz w:val="22"/>
          <w:szCs w:val="22"/>
        </w:rPr>
        <w:t xml:space="preserve"> boli u pacientov hlásené cerebrovaskulárne nežiaduce reakcie (napr. mŕtvica, prechodný ischemický záchvat) </w:t>
      </w:r>
      <w:r w:rsidR="00060DE2" w:rsidRPr="003940F4">
        <w:rPr>
          <w:sz w:val="22"/>
          <w:szCs w:val="22"/>
        </w:rPr>
        <w:t xml:space="preserve">vrátane smrteľných </w:t>
      </w:r>
      <w:r w:rsidR="00AD4B45" w:rsidRPr="003940F4">
        <w:rPr>
          <w:sz w:val="22"/>
          <w:szCs w:val="22"/>
        </w:rPr>
        <w:t>prípadov</w:t>
      </w:r>
      <w:r w:rsidR="006A511A" w:rsidRPr="003940F4">
        <w:rPr>
          <w:sz w:val="22"/>
          <w:szCs w:val="22"/>
        </w:rPr>
        <w:t xml:space="preserve"> (priemerný vek: 84 rokov; rozsah: 78-88 rokov). Celkov</w:t>
      </w:r>
      <w:r w:rsidR="009D0190" w:rsidRPr="003940F4">
        <w:rPr>
          <w:sz w:val="22"/>
          <w:szCs w:val="22"/>
        </w:rPr>
        <w:t>o</w:t>
      </w:r>
      <w:r w:rsidR="006A511A" w:rsidRPr="003940F4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</w:t>
      </w:r>
      <w:r w:rsidR="00337223" w:rsidRPr="003940F4">
        <w:rPr>
          <w:sz w:val="22"/>
          <w:szCs w:val="22"/>
        </w:rPr>
        <w:t>skúšaniach.</w:t>
      </w:r>
      <w:r w:rsidR="006A511A" w:rsidRPr="003940F4">
        <w:rPr>
          <w:sz w:val="22"/>
          <w:szCs w:val="22"/>
        </w:rPr>
        <w:t xml:space="preserve"> Tento rozdiel nebol štatisticky významný. Avšak </w:t>
      </w:r>
    </w:p>
    <w:p w:rsidR="006A511A" w:rsidRPr="003940F4" w:rsidRDefault="006A511A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  <w:r w:rsidRPr="003940F4">
        <w:rPr>
          <w:sz w:val="22"/>
          <w:szCs w:val="22"/>
        </w:rPr>
        <w:t>v jedn</w:t>
      </w:r>
      <w:r w:rsidR="00337223" w:rsidRPr="003940F4">
        <w:rPr>
          <w:sz w:val="22"/>
          <w:szCs w:val="22"/>
        </w:rPr>
        <w:t>om</w:t>
      </w:r>
      <w:r w:rsidRPr="003940F4">
        <w:rPr>
          <w:sz w:val="22"/>
          <w:szCs w:val="22"/>
        </w:rPr>
        <w:t xml:space="preserve"> z týchto </w:t>
      </w:r>
      <w:r w:rsidR="00337223" w:rsidRPr="003940F4">
        <w:rPr>
          <w:sz w:val="22"/>
          <w:szCs w:val="22"/>
        </w:rPr>
        <w:t>skúšaní</w:t>
      </w:r>
      <w:r w:rsidRPr="003940F4">
        <w:rPr>
          <w:sz w:val="22"/>
          <w:szCs w:val="22"/>
        </w:rPr>
        <w:t xml:space="preserve">, v </w:t>
      </w:r>
      <w:r w:rsidR="00337223" w:rsidRPr="003940F4">
        <w:rPr>
          <w:sz w:val="22"/>
          <w:szCs w:val="22"/>
        </w:rPr>
        <w:t>skúšaní</w:t>
      </w:r>
      <w:r w:rsidRPr="003940F4">
        <w:rPr>
          <w:sz w:val="22"/>
          <w:szCs w:val="22"/>
        </w:rPr>
        <w:t xml:space="preserve"> s fixovanou dávkou, bol významný vzťah reakcie na dávku pre cerebrovaskulárne nežiaduce reakcie u pacientov liečených aripiprazolom</w:t>
      </w:r>
      <w:r w:rsidR="000E7254" w:rsidRPr="003940F4">
        <w:rPr>
          <w:sz w:val="22"/>
          <w:szCs w:val="22"/>
        </w:rPr>
        <w:t xml:space="preserve"> (pozri časť 4.8)</w:t>
      </w:r>
      <w:r w:rsidRPr="003940F4">
        <w:rPr>
          <w:sz w:val="22"/>
          <w:szCs w:val="22"/>
        </w:rPr>
        <w:t xml:space="preserve">. </w:t>
      </w:r>
    </w:p>
    <w:p w:rsidR="000E7254" w:rsidRPr="003940F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:rsidR="006A511A" w:rsidRPr="003940F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</w:rPr>
        <w:t xml:space="preserve">Aripiprazol </w:t>
      </w:r>
      <w:r w:rsidR="006A511A" w:rsidRPr="003940F4">
        <w:rPr>
          <w:sz w:val="22"/>
          <w:szCs w:val="22"/>
          <w:lang w:val="sk-SK"/>
        </w:rPr>
        <w:t>nie je indikovan</w:t>
      </w:r>
      <w:r w:rsidR="00531DE3" w:rsidRPr="003940F4">
        <w:rPr>
          <w:sz w:val="22"/>
          <w:szCs w:val="22"/>
          <w:lang w:val="sk-SK"/>
        </w:rPr>
        <w:t>ý</w:t>
      </w:r>
      <w:r w:rsidR="006A511A" w:rsidRPr="003940F4">
        <w:rPr>
          <w:sz w:val="22"/>
          <w:szCs w:val="22"/>
          <w:lang w:val="sk-SK"/>
        </w:rPr>
        <w:t xml:space="preserve"> pre liečbu </w:t>
      </w:r>
      <w:r w:rsidR="00CB1877" w:rsidRPr="00CB1877">
        <w:rPr>
          <w:sz w:val="22"/>
          <w:szCs w:val="22"/>
          <w:lang w:val="sk-SK"/>
        </w:rPr>
        <w:t>pacientov s psychózou spojenou s demenciou</w:t>
      </w:r>
      <w:r w:rsidR="006A511A" w:rsidRPr="003940F4">
        <w:rPr>
          <w:sz w:val="22"/>
          <w:szCs w:val="22"/>
          <w:lang w:val="sk-SK"/>
        </w:rPr>
        <w:t>.</w:t>
      </w:r>
    </w:p>
    <w:p w:rsidR="006A511A" w:rsidRPr="003940F4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Hyperglykémia a diabetes mellitus</w:t>
      </w:r>
    </w:p>
    <w:p w:rsidR="00301075" w:rsidRPr="003940F4" w:rsidRDefault="00301075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Hyperglykémia v niektorých prípadoch </w:t>
      </w:r>
      <w:r w:rsidR="00060DE2" w:rsidRPr="003940F4">
        <w:rPr>
          <w:sz w:val="22"/>
          <w:szCs w:val="22"/>
          <w:lang w:val="sk-SK"/>
        </w:rPr>
        <w:t xml:space="preserve">extrémna </w:t>
      </w:r>
      <w:r w:rsidRPr="003940F4">
        <w:rPr>
          <w:sz w:val="22"/>
          <w:szCs w:val="22"/>
          <w:lang w:val="sk-SK"/>
        </w:rPr>
        <w:t xml:space="preserve">a spojená s ketoacidózou alebo hyperosmolárnou kómou alebo smrťou bola hlásená u pacientov liečených atypickými antipsychotikami zahŕňajúcimi aripiprazol. Medzi rizikové faktory, ktoré majú vplyv u pacientov s predispozíciou na </w:t>
      </w:r>
      <w:r w:rsidR="00776C70" w:rsidRPr="003940F4">
        <w:rPr>
          <w:sz w:val="22"/>
          <w:szCs w:val="22"/>
          <w:lang w:val="sk-SK"/>
        </w:rPr>
        <w:t>zá</w:t>
      </w:r>
      <w:r w:rsidRPr="003940F4">
        <w:rPr>
          <w:sz w:val="22"/>
          <w:szCs w:val="22"/>
          <w:lang w:val="sk-SK"/>
        </w:rPr>
        <w:t>v</w:t>
      </w:r>
      <w:r w:rsidR="00776C70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žn</w:t>
      </w:r>
      <w:r w:rsidR="00776C70" w:rsidRPr="003940F4">
        <w:rPr>
          <w:sz w:val="22"/>
          <w:szCs w:val="22"/>
          <w:lang w:val="sk-SK"/>
        </w:rPr>
        <w:t>é</w:t>
      </w:r>
      <w:r w:rsidRPr="003940F4">
        <w:rPr>
          <w:sz w:val="22"/>
          <w:szCs w:val="22"/>
          <w:lang w:val="sk-SK"/>
        </w:rPr>
        <w:t xml:space="preserve"> komplikácie, patrí obezita a rodinná anamnéza diabetu. V klinických </w:t>
      </w:r>
      <w:r w:rsidR="0084138E" w:rsidRPr="003940F4">
        <w:rPr>
          <w:sz w:val="22"/>
          <w:szCs w:val="22"/>
          <w:lang w:val="sk-SK"/>
        </w:rPr>
        <w:t>skúšaniach</w:t>
      </w:r>
      <w:r w:rsidRPr="003940F4">
        <w:rPr>
          <w:sz w:val="22"/>
          <w:szCs w:val="22"/>
          <w:lang w:val="sk-SK"/>
        </w:rPr>
        <w:t xml:space="preserve"> aripiprazolu neboli významné rozdiely v stupni výskytu s hyperglykémiou súvisiacimi nežiaduci</w:t>
      </w:r>
      <w:r w:rsidR="00060DE2" w:rsidRPr="003940F4">
        <w:rPr>
          <w:sz w:val="22"/>
          <w:szCs w:val="22"/>
          <w:lang w:val="sk-SK"/>
        </w:rPr>
        <w:t>mi</w:t>
      </w:r>
      <w:r w:rsidRPr="003940F4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aripirazolom a inými </w:t>
      </w:r>
      <w:r w:rsidR="00CB1877" w:rsidRPr="003940F4">
        <w:rPr>
          <w:sz w:val="22"/>
          <w:szCs w:val="22"/>
          <w:lang w:val="sk-SK"/>
        </w:rPr>
        <w:t>antipsychoti</w:t>
      </w:r>
      <w:r w:rsidR="00CB1877">
        <w:rPr>
          <w:sz w:val="22"/>
          <w:szCs w:val="22"/>
          <w:lang w:val="sk-SK"/>
        </w:rPr>
        <w:t>kami</w:t>
      </w:r>
      <w:r w:rsidRPr="003940F4">
        <w:rPr>
          <w:sz w:val="22"/>
          <w:szCs w:val="22"/>
          <w:lang w:val="sk-SK"/>
        </w:rPr>
        <w:t xml:space="preserve"> nie sú dostupné. </w:t>
      </w:r>
      <w:r w:rsidR="007B2B0D" w:rsidRPr="003940F4">
        <w:rPr>
          <w:sz w:val="22"/>
          <w:szCs w:val="22"/>
          <w:lang w:val="sk-SK"/>
        </w:rPr>
        <w:t>Pacienti liečení inými antipsychotik</w:t>
      </w:r>
      <w:r w:rsidR="00CB1877">
        <w:rPr>
          <w:sz w:val="22"/>
          <w:szCs w:val="22"/>
          <w:lang w:val="sk-SK"/>
        </w:rPr>
        <w:t>ami</w:t>
      </w:r>
      <w:r w:rsidR="007B2B0D" w:rsidRPr="003940F4">
        <w:rPr>
          <w:sz w:val="22"/>
          <w:szCs w:val="22"/>
          <w:lang w:val="sk-SK"/>
        </w:rPr>
        <w:t xml:space="preserve"> </w:t>
      </w:r>
      <w:r w:rsidR="00531DE3" w:rsidRPr="003940F4">
        <w:rPr>
          <w:sz w:val="22"/>
          <w:szCs w:val="22"/>
          <w:lang w:val="sk-SK"/>
        </w:rPr>
        <w:t xml:space="preserve"> vrátane </w:t>
      </w:r>
      <w:r w:rsidR="00816161" w:rsidRPr="003940F4">
        <w:rPr>
          <w:sz w:val="22"/>
          <w:szCs w:val="22"/>
        </w:rPr>
        <w:t>aripiprazol</w:t>
      </w:r>
      <w:r w:rsidR="00531DE3" w:rsidRPr="003940F4">
        <w:rPr>
          <w:sz w:val="22"/>
          <w:szCs w:val="22"/>
        </w:rPr>
        <w:t>u</w:t>
      </w:r>
      <w:r w:rsidR="00605799" w:rsidRPr="003940F4">
        <w:rPr>
          <w:sz w:val="22"/>
          <w:szCs w:val="22"/>
        </w:rPr>
        <w:t>,</w:t>
      </w:r>
      <w:r w:rsidR="00695299" w:rsidRPr="003940F4">
        <w:rPr>
          <w:sz w:val="22"/>
          <w:szCs w:val="22"/>
        </w:rPr>
        <w:t xml:space="preserve"> </w:t>
      </w:r>
      <w:r w:rsidR="00BF3F02" w:rsidRPr="003940F4">
        <w:rPr>
          <w:sz w:val="22"/>
          <w:szCs w:val="22"/>
        </w:rPr>
        <w:t xml:space="preserve">sa </w:t>
      </w:r>
      <w:r w:rsidR="007B2B0D" w:rsidRPr="003940F4">
        <w:rPr>
          <w:sz w:val="22"/>
          <w:szCs w:val="22"/>
          <w:lang w:val="sk-SK"/>
        </w:rPr>
        <w:t>majú sledova</w:t>
      </w:r>
      <w:r w:rsidR="00BF3F02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</w:t>
      </w:r>
      <w:r w:rsidR="00AD4B45" w:rsidRPr="003940F4">
        <w:rPr>
          <w:sz w:val="22"/>
          <w:szCs w:val="22"/>
          <w:lang w:val="sk-SK"/>
        </w:rPr>
        <w:t xml:space="preserve">prejavy </w:t>
      </w:r>
      <w:r w:rsidR="007B2B0D" w:rsidRPr="003940F4">
        <w:rPr>
          <w:sz w:val="22"/>
          <w:szCs w:val="22"/>
          <w:lang w:val="sk-SK"/>
        </w:rPr>
        <w:t xml:space="preserve">a príznaky hyperglykémie (ako je polydipsia, polyúria, polyfágia a slabosť) a pacienti s diabetes mellitus alebo s rizikovými faktormi pre diabetes mellitus </w:t>
      </w:r>
      <w:r w:rsidR="0098320D" w:rsidRPr="003940F4">
        <w:rPr>
          <w:sz w:val="22"/>
          <w:szCs w:val="22"/>
          <w:lang w:val="sk-SK"/>
        </w:rPr>
        <w:t xml:space="preserve">sa </w:t>
      </w:r>
      <w:r w:rsidR="007B2B0D" w:rsidRPr="003940F4">
        <w:rPr>
          <w:sz w:val="22"/>
          <w:szCs w:val="22"/>
          <w:lang w:val="sk-SK"/>
        </w:rPr>
        <w:t>majú pravidelne monitorova</w:t>
      </w:r>
      <w:r w:rsidR="0098320D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zhoršenie glukózovej kontroly</w:t>
      </w:r>
      <w:r w:rsidR="00816161" w:rsidRPr="003940F4">
        <w:rPr>
          <w:sz w:val="22"/>
          <w:szCs w:val="22"/>
          <w:lang w:val="sk-SK"/>
        </w:rPr>
        <w:t xml:space="preserve"> (pozri časť 4.8)</w:t>
      </w:r>
      <w:r w:rsidR="007B2B0D" w:rsidRPr="003940F4">
        <w:rPr>
          <w:sz w:val="22"/>
          <w:szCs w:val="22"/>
          <w:lang w:val="sk-SK"/>
        </w:rPr>
        <w:t>.</w:t>
      </w: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Hypersenzitivita </w:t>
      </w:r>
    </w:p>
    <w:p w:rsidR="00301075" w:rsidRPr="003940F4" w:rsidRDefault="00301075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F6668C" w:rsidRPr="003940F4" w:rsidRDefault="00CB1877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H</w:t>
      </w:r>
      <w:r w:rsidR="007B2B0D" w:rsidRPr="003940F4">
        <w:rPr>
          <w:sz w:val="22"/>
          <w:szCs w:val="24"/>
          <w:lang w:val="sk-SK"/>
        </w:rPr>
        <w:t>ypersenzitívne reakcie charakterizované alergickými symptómami môžu vyskytnúť pri aripiprazole (pozri časť 4.8).</w:t>
      </w:r>
    </w:p>
    <w:p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Prírastok telesnej hmotnosti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</w:t>
      </w:r>
      <w:r w:rsidRPr="003940F4">
        <w:rPr>
          <w:sz w:val="22"/>
          <w:szCs w:val="22"/>
          <w:lang w:val="sk-SK"/>
        </w:rPr>
        <w:lastRenderedPageBreak/>
        <w:t xml:space="preserve">lieku na trh sa hlásil prírastok telesnej hmotnosti u pacientov užívajúcich aripiprazol. Ak sa zistí, je to zvyčajne u pacientov s významnými rizikovými faktormi,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</w:t>
      </w:r>
      <w:r w:rsidR="00981053" w:rsidRPr="003940F4">
        <w:rPr>
          <w:sz w:val="22"/>
          <w:szCs w:val="22"/>
          <w:lang w:val="sk-SK"/>
        </w:rPr>
        <w:t>prírastkom</w:t>
      </w:r>
      <w:r w:rsidRPr="003940F4">
        <w:rPr>
          <w:sz w:val="22"/>
          <w:szCs w:val="22"/>
          <w:lang w:val="sk-SK"/>
        </w:rPr>
        <w:t xml:space="preserve">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Dysfágia 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Ezofageálna dysmotilita a aspirácia sú spojené s použitím </w:t>
      </w:r>
      <w:r w:rsidR="00003B74" w:rsidRPr="003940F4">
        <w:rPr>
          <w:sz w:val="22"/>
          <w:szCs w:val="22"/>
          <w:lang w:val="sk-SK"/>
        </w:rPr>
        <w:t>antipsychot</w:t>
      </w:r>
      <w:r w:rsidR="00CB1877">
        <w:rPr>
          <w:sz w:val="22"/>
          <w:szCs w:val="22"/>
          <w:lang w:val="sk-SK"/>
        </w:rPr>
        <w:t>ík</w:t>
      </w:r>
      <w:r w:rsidRPr="003940F4">
        <w:rPr>
          <w:sz w:val="22"/>
          <w:szCs w:val="22"/>
          <w:lang w:val="sk-SK"/>
        </w:rPr>
        <w:t xml:space="preserve"> vrátane aripiprazolu. Aripiprazol sa </w:t>
      </w:r>
      <w:r w:rsidR="00CB1877" w:rsidRPr="003940F4">
        <w:rPr>
          <w:sz w:val="22"/>
          <w:szCs w:val="22"/>
          <w:lang w:val="sk-SK"/>
        </w:rPr>
        <w:t>m</w:t>
      </w:r>
      <w:r w:rsidR="00CB1877">
        <w:rPr>
          <w:sz w:val="22"/>
          <w:szCs w:val="22"/>
          <w:lang w:val="sk-SK"/>
        </w:rPr>
        <w:t>á</w:t>
      </w:r>
      <w:r w:rsidR="00CB1877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používať opatrne u pacientov s rizikom aspiračnej pneumónie.</w:t>
      </w: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Patologické hráčstvo</w:t>
      </w:r>
      <w:r w:rsidR="00CB1877" w:rsidRPr="00CB1877">
        <w:rPr>
          <w:rFonts w:ascii="TimesNewRomanPSMT" w:hAnsi="TimesNewRomanPSMT" w:cs="TimesNewRomanPSMT"/>
          <w:sz w:val="22"/>
          <w:szCs w:val="22"/>
          <w:lang w:val="sk-SK" w:eastAsia="sk-SK"/>
        </w:rPr>
        <w:t xml:space="preserve"> </w:t>
      </w:r>
      <w:r w:rsidR="00CB1877" w:rsidRPr="00CB1877">
        <w:rPr>
          <w:sz w:val="22"/>
          <w:szCs w:val="22"/>
          <w:u w:val="single"/>
          <w:lang w:val="sk-SK"/>
        </w:rPr>
        <w:t>a ďalšie poruchy kontroly impulzov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7B2B0D" w:rsidRPr="00CB1877" w:rsidRDefault="00CB1877" w:rsidP="00434A1F">
      <w:pPr>
        <w:pStyle w:val="Hlavika"/>
        <w:rPr>
          <w:sz w:val="22"/>
          <w:szCs w:val="22"/>
          <w:lang w:val="sk-SK"/>
        </w:rPr>
      </w:pPr>
      <w:r w:rsidRPr="00434A1F">
        <w:rPr>
          <w:sz w:val="22"/>
          <w:szCs w:val="22"/>
          <w:lang w:val="sk-SK"/>
        </w:rPr>
        <w:t xml:space="preserve">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</w:t>
      </w:r>
      <w:r w:rsidRPr="00CB1877">
        <w:rPr>
          <w:sz w:val="22"/>
          <w:szCs w:val="22"/>
          <w:lang w:val="sk-SK"/>
        </w:rPr>
        <w:t>dávky alebo prerušenie užívania lieku (pozri časť 4.8).</w:t>
      </w: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4227E" w:rsidRDefault="00D4227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Pacienti </w:t>
      </w:r>
      <w:r w:rsidRPr="00A9411C">
        <w:rPr>
          <w:sz w:val="22"/>
          <w:szCs w:val="22"/>
          <w:u w:val="single"/>
          <w:lang w:val="sk-SK"/>
        </w:rPr>
        <w:t>s</w:t>
      </w:r>
      <w:r w:rsidR="00C419EA" w:rsidRPr="00A9411C">
        <w:rPr>
          <w:sz w:val="22"/>
          <w:szCs w:val="22"/>
          <w:u w:val="single"/>
          <w:lang w:val="sk-SK"/>
        </w:rPr>
        <w:t> </w:t>
      </w:r>
      <w:r w:rsidRPr="00A9411C">
        <w:rPr>
          <w:sz w:val="22"/>
          <w:szCs w:val="22"/>
          <w:u w:val="single"/>
          <w:lang w:val="sk-SK"/>
        </w:rPr>
        <w:t>feny</w:t>
      </w:r>
      <w:r w:rsidR="00F8215E" w:rsidRPr="00A9411C">
        <w:rPr>
          <w:sz w:val="22"/>
          <w:szCs w:val="22"/>
          <w:u w:val="single"/>
          <w:lang w:val="sk-SK"/>
        </w:rPr>
        <w:t>l</w:t>
      </w:r>
      <w:r w:rsidRPr="00A9411C">
        <w:rPr>
          <w:sz w:val="22"/>
          <w:szCs w:val="22"/>
          <w:u w:val="single"/>
          <w:lang w:val="sk-SK"/>
        </w:rPr>
        <w:t>ketonúriou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D4227E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Orodisp</w:t>
      </w:r>
      <w:r w:rsidR="00CC2DE8" w:rsidRPr="003940F4">
        <w:rPr>
          <w:sz w:val="22"/>
          <w:szCs w:val="22"/>
          <w:lang w:val="sk-SK"/>
        </w:rPr>
        <w:t>e</w:t>
      </w:r>
      <w:r w:rsidRPr="003940F4">
        <w:rPr>
          <w:sz w:val="22"/>
          <w:szCs w:val="22"/>
          <w:lang w:val="sk-SK"/>
        </w:rPr>
        <w:t>rgovateľné tablety obsahujú asp</w:t>
      </w:r>
      <w:r w:rsidR="006F3A87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 xml:space="preserve">rtám, zdroj fenyalanínu, </w:t>
      </w:r>
      <w:r w:rsidR="006F3A87" w:rsidRPr="003940F4">
        <w:rPr>
          <w:sz w:val="22"/>
          <w:szCs w:val="22"/>
          <w:lang w:val="sk-SK"/>
        </w:rPr>
        <w:t>ktorý</w:t>
      </w:r>
      <w:r w:rsidRPr="003940F4">
        <w:rPr>
          <w:sz w:val="22"/>
          <w:szCs w:val="22"/>
          <w:lang w:val="sk-SK"/>
        </w:rPr>
        <w:t xml:space="preserve"> m</w:t>
      </w:r>
      <w:r w:rsidR="006F3A87" w:rsidRPr="003940F4">
        <w:rPr>
          <w:sz w:val="22"/>
          <w:szCs w:val="22"/>
          <w:lang w:val="sk-SK"/>
        </w:rPr>
        <w:t>ô</w:t>
      </w:r>
      <w:r w:rsidRPr="003940F4">
        <w:rPr>
          <w:sz w:val="22"/>
          <w:szCs w:val="22"/>
          <w:lang w:val="sk-SK"/>
        </w:rPr>
        <w:t xml:space="preserve">že byť </w:t>
      </w:r>
      <w:r w:rsidR="000B0FCF" w:rsidRPr="003940F4">
        <w:rPr>
          <w:sz w:val="22"/>
          <w:szCs w:val="22"/>
          <w:lang w:val="sk-SK"/>
        </w:rPr>
        <w:t>š</w:t>
      </w:r>
      <w:r w:rsidRPr="003940F4">
        <w:rPr>
          <w:sz w:val="22"/>
          <w:szCs w:val="22"/>
          <w:lang w:val="sk-SK"/>
        </w:rPr>
        <w:t>kodliv</w:t>
      </w:r>
      <w:r w:rsidR="006F3A87" w:rsidRPr="003940F4">
        <w:rPr>
          <w:sz w:val="22"/>
          <w:szCs w:val="22"/>
          <w:lang w:val="sk-SK"/>
        </w:rPr>
        <w:t>ý</w:t>
      </w:r>
      <w:r w:rsidRPr="003940F4">
        <w:rPr>
          <w:sz w:val="22"/>
          <w:szCs w:val="22"/>
          <w:lang w:val="sk-SK"/>
        </w:rPr>
        <w:t xml:space="preserve"> pre pacientov s fenylketonúriou.</w:t>
      </w:r>
    </w:p>
    <w:p w:rsidR="00283622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Pacienti s komorbiditou ADHD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7B2B0D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Napriek vysokej frekvencii komorbidity bipolárnej poruchy typu I a ADHD sú dostupné veľmi obmedzené údaje o bezpečnosti o súbežnom používaní aripiprazolu a súbežne používaného lieku; preto</w:t>
      </w:r>
      <w:r w:rsidR="00FD684C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ak sa </w:t>
      </w:r>
      <w:r w:rsidR="00531DE3" w:rsidRPr="003940F4">
        <w:rPr>
          <w:sz w:val="22"/>
          <w:szCs w:val="22"/>
          <w:lang w:val="sk-SK"/>
        </w:rPr>
        <w:t>antipsychotick</w:t>
      </w:r>
      <w:r w:rsidR="0064429B" w:rsidRPr="003940F4">
        <w:rPr>
          <w:sz w:val="22"/>
          <w:szCs w:val="22"/>
          <w:lang w:val="sk-SK"/>
        </w:rPr>
        <w:t xml:space="preserve">é lieky </w:t>
      </w:r>
      <w:r w:rsidRPr="003940F4">
        <w:rPr>
          <w:sz w:val="22"/>
          <w:szCs w:val="22"/>
          <w:lang w:val="sk-SK"/>
        </w:rPr>
        <w:t>podávajú súbežne</w:t>
      </w:r>
      <w:r w:rsidR="00605799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je potrebná extrémna opatrnosť.</w:t>
      </w:r>
    </w:p>
    <w:p w:rsidR="00433F04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Liekové a iné interakcie</w:t>
      </w:r>
    </w:p>
    <w:p w:rsidR="00A0467A" w:rsidRPr="003940F4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dôsledku antagonizmu α</w:t>
      </w:r>
      <w:r w:rsidRPr="003940F4">
        <w:rPr>
          <w:sz w:val="16"/>
          <w:szCs w:val="16"/>
        </w:rPr>
        <w:t>1</w:t>
      </w:r>
      <w:r w:rsidRPr="003940F4">
        <w:rPr>
          <w:sz w:val="22"/>
          <w:szCs w:val="22"/>
        </w:rPr>
        <w:t xml:space="preserve">-adrenergných receptorov môže aripiprazol zvyšovať účinok niektorých </w:t>
      </w:r>
      <w:r w:rsidR="00CB1877" w:rsidRPr="00CB1877">
        <w:rPr>
          <w:sz w:val="22"/>
          <w:szCs w:val="22"/>
        </w:rPr>
        <w:t>antihypertenzných liekov</w:t>
      </w:r>
      <w:r w:rsidRPr="003940F4">
        <w:rPr>
          <w:sz w:val="22"/>
          <w:szCs w:val="22"/>
        </w:rPr>
        <w:t>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Vzhľadom na primárne účinky aripiprazolu na CNS sa zvýšená pozornosť musí venovať </w:t>
      </w:r>
      <w:r w:rsidR="00CB1877">
        <w:rPr>
          <w:sz w:val="22"/>
          <w:szCs w:val="22"/>
        </w:rPr>
        <w:t>podávaniu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aripiprazolu v kombinácii s alkoholom alebo inými liekmi pôsobiacimi na CNS s prekrývajúcimi sa nežiaducimi reakciami</w:t>
      </w:r>
      <w:r w:rsidR="00D16AB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ako je sedácia (pozri časť 4.8).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Aripiprazol sa má opatrne používať, ak sa podáva súbežne s liekmi, u ktorých je známe, že zapríčiňujú QT predĺženie alebo elektrolytovú nerovnováhu.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3940F4" w:rsidRDefault="006A115E" w:rsidP="00A440E6">
      <w:pPr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iných liekov </w:t>
      </w:r>
      <w:r w:rsidR="00EF52FA" w:rsidRPr="003940F4">
        <w:rPr>
          <w:sz w:val="22"/>
          <w:szCs w:val="22"/>
          <w:u w:val="single"/>
        </w:rPr>
        <w:t>na</w:t>
      </w:r>
      <w:r w:rsidRPr="003940F4">
        <w:rPr>
          <w:sz w:val="22"/>
          <w:szCs w:val="22"/>
          <w:u w:val="single"/>
        </w:rPr>
        <w:t xml:space="preserve"> ovplyvnenie </w:t>
      </w:r>
      <w:r w:rsidR="00BC3005" w:rsidRPr="003940F4">
        <w:rPr>
          <w:sz w:val="22"/>
          <w:szCs w:val="22"/>
          <w:u w:val="single"/>
        </w:rPr>
        <w:t>aripiprazolu</w:t>
      </w:r>
    </w:p>
    <w:p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Blokátor tvorby žalúdočnej kyseliny, H</w:t>
      </w:r>
      <w:r w:rsidRPr="003940F4">
        <w:rPr>
          <w:sz w:val="14"/>
          <w:szCs w:val="14"/>
        </w:rPr>
        <w:t xml:space="preserve">2 </w:t>
      </w:r>
      <w:r w:rsidRPr="003940F4">
        <w:rPr>
          <w:sz w:val="22"/>
          <w:szCs w:val="22"/>
        </w:rPr>
        <w:t xml:space="preserve">antagonista famotidín, znižuje rýchlosť absorpcie aripiprazolu, ale tento účinok sa nepokladá za klinicky relevantný. </w:t>
      </w:r>
    </w:p>
    <w:p w:rsidR="006A115E" w:rsidRPr="003940F4" w:rsidRDefault="006A115E" w:rsidP="006A115E">
      <w:pPr>
        <w:pStyle w:val="Default"/>
        <w:rPr>
          <w:sz w:val="22"/>
          <w:szCs w:val="22"/>
        </w:rPr>
      </w:pPr>
    </w:p>
    <w:p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Aripiprazol je metabolizovaný mnohopočetnými dráhami zahŕňajúcimi enzýmy CYP2D6 a CYP3A4, ale nie enzýmy CYP1A. Preto nie je potrebná žiadna úprava dávkovania u fajčiarov.</w:t>
      </w:r>
    </w:p>
    <w:p w:rsidR="00D01383" w:rsidRPr="003940F4" w:rsidRDefault="00D01383" w:rsidP="006A115E">
      <w:pPr>
        <w:rPr>
          <w:i/>
          <w:sz w:val="22"/>
          <w:szCs w:val="22"/>
          <w:u w:val="single"/>
        </w:rPr>
      </w:pPr>
    </w:p>
    <w:p w:rsidR="006A115E" w:rsidRPr="005C4213" w:rsidRDefault="006A115E" w:rsidP="006A115E">
      <w:pPr>
        <w:rPr>
          <w:i/>
          <w:sz w:val="22"/>
        </w:rPr>
      </w:pPr>
      <w:r w:rsidRPr="005C4213">
        <w:rPr>
          <w:i/>
          <w:sz w:val="22"/>
          <w:szCs w:val="22"/>
        </w:rPr>
        <w:t>Chinidín a ďalšie inhibítory CYP2D6</w:t>
      </w:r>
    </w:p>
    <w:p w:rsidR="00A0467A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CYP2D6 (chinidín) hodnoty AUC aripiprazolu o 107 %, kým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>boli nezmenené. Hodnoty AUC aktívneho metabolitu dehydro-aripiprazolu sa znížili o 32 %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 xml:space="preserve">o 47 %. Dávka </w:t>
      </w:r>
      <w:r w:rsidR="00C92306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sa má znížiť približne na polovicu predpísanej dávky, ak sa má </w:t>
      </w:r>
      <w:r w:rsidR="00EF52FA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</w:rPr>
        <w:t>podávať súbežne s chinidínom. U ďalších silných inhibítorov CYP2D6 ako sú fluoxetín a</w:t>
      </w:r>
      <w:r w:rsidR="00F67AC0" w:rsidRPr="003940F4">
        <w:rPr>
          <w:sz w:val="22"/>
          <w:szCs w:val="22"/>
        </w:rPr>
        <w:t> </w:t>
      </w:r>
      <w:r w:rsidRPr="003940F4">
        <w:rPr>
          <w:sz w:val="22"/>
          <w:szCs w:val="22"/>
        </w:rPr>
        <w:t>paroxetín je možné očakávať podobné účinky, a preto sa má použiť podobné zníženie dávkovania.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5C4213" w:rsidRDefault="006A115E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Ketokonazol a ďalšie inhibítory CYP3A4</w:t>
      </w:r>
    </w:p>
    <w:p w:rsidR="004A027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 xml:space="preserve">o 37 %. Hodnoty AUC dehydro-aripiprazolu sa zvýšili o </w:t>
      </w:r>
    </w:p>
    <w:p w:rsidR="0058245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77 %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>o 43 %. U pomalých metabolizérov CYP2D6 môže sú</w:t>
      </w:r>
      <w:r w:rsidR="00AB63C5" w:rsidRPr="003940F4">
        <w:rPr>
          <w:sz w:val="22"/>
          <w:szCs w:val="22"/>
        </w:rPr>
        <w:t>bežné</w:t>
      </w:r>
      <w:r w:rsidRPr="003940F4">
        <w:rPr>
          <w:sz w:val="22"/>
          <w:szCs w:val="22"/>
        </w:rPr>
        <w:t xml:space="preserve"> použitie silných inhibítorov CYP3A4 viesť k vyšším plazmatickým koncentráciám aripiprazolu oproti tým, ktoré sú u rýchlych metabolizérov CYP2D6.</w:t>
      </w:r>
    </w:p>
    <w:p w:rsidR="00582457" w:rsidRPr="003940F4" w:rsidRDefault="00582457" w:rsidP="006A115E">
      <w:pPr>
        <w:pStyle w:val="Default"/>
        <w:rPr>
          <w:sz w:val="22"/>
          <w:szCs w:val="22"/>
        </w:rPr>
      </w:pPr>
    </w:p>
    <w:p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Pokiaľ sa uvažuje o sú</w:t>
      </w:r>
      <w:r w:rsidR="00AB63C5" w:rsidRPr="003940F4">
        <w:rPr>
          <w:sz w:val="22"/>
          <w:szCs w:val="22"/>
        </w:rPr>
        <w:t>bežnom</w:t>
      </w:r>
      <w:r w:rsidRPr="003940F4">
        <w:rPr>
          <w:sz w:val="22"/>
          <w:szCs w:val="22"/>
        </w:rPr>
        <w:t xml:space="preserve"> podávaní ketokonazolu alebo iných silných inhibítorov CYP3A4 s</w:t>
      </w:r>
      <w:r w:rsidR="0030514B" w:rsidRPr="003940F4">
        <w:rPr>
          <w:sz w:val="22"/>
          <w:szCs w:val="22"/>
        </w:rPr>
        <w:t xml:space="preserve"> </w:t>
      </w:r>
      <w:r w:rsidR="00582457" w:rsidRPr="003940F4">
        <w:rPr>
          <w:sz w:val="22"/>
          <w:szCs w:val="22"/>
        </w:rPr>
        <w:t>aripiprazolom</w:t>
      </w:r>
      <w:r w:rsidRPr="003940F4">
        <w:rPr>
          <w:sz w:val="22"/>
          <w:szCs w:val="22"/>
        </w:rPr>
        <w:t>, možný úžitok pre pacienta musí prevažovať nad potenciálnymi rizikami. V prípade sú</w:t>
      </w:r>
      <w:r w:rsidR="00AB63C5" w:rsidRPr="003940F4">
        <w:rPr>
          <w:sz w:val="22"/>
          <w:szCs w:val="22"/>
        </w:rPr>
        <w:t>bežného</w:t>
      </w:r>
      <w:r w:rsidRPr="003940F4">
        <w:rPr>
          <w:sz w:val="22"/>
          <w:szCs w:val="22"/>
        </w:rPr>
        <w:t xml:space="preserve"> podávania ketokonazolu s</w:t>
      </w:r>
      <w:r w:rsidR="004A0277" w:rsidRPr="003940F4">
        <w:rPr>
          <w:sz w:val="22"/>
          <w:szCs w:val="22"/>
        </w:rPr>
        <w:t> </w:t>
      </w:r>
      <w:r w:rsidR="00582457" w:rsidRPr="003940F4">
        <w:rPr>
          <w:sz w:val="22"/>
          <w:szCs w:val="22"/>
        </w:rPr>
        <w:t xml:space="preserve">aripiprazolom </w:t>
      </w:r>
      <w:r w:rsidRPr="003940F4">
        <w:rPr>
          <w:sz w:val="22"/>
          <w:szCs w:val="22"/>
        </w:rPr>
        <w:t xml:space="preserve">sa má dávka </w:t>
      </w:r>
      <w:r w:rsidR="00EF52FA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4.2)</w:t>
      </w:r>
      <w:r w:rsidRPr="003940F4">
        <w:rPr>
          <w:sz w:val="22"/>
          <w:szCs w:val="22"/>
        </w:rPr>
        <w:t>.</w:t>
      </w:r>
    </w:p>
    <w:p w:rsidR="006A115E" w:rsidRPr="003940F4" w:rsidRDefault="006A115E" w:rsidP="006A115E">
      <w:pPr>
        <w:pStyle w:val="Default"/>
        <w:rPr>
          <w:sz w:val="22"/>
          <w:szCs w:val="22"/>
        </w:rPr>
      </w:pPr>
    </w:p>
    <w:p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vysadení inhibítora CYP2D6 alebo CYP3A4 sa</w:t>
      </w:r>
      <w:r w:rsidR="00AB63C5" w:rsidRPr="003940F4">
        <w:rPr>
          <w:sz w:val="22"/>
          <w:szCs w:val="22"/>
        </w:rPr>
        <w:t xml:space="preserve"> má</w:t>
      </w:r>
      <w:r w:rsidRPr="003940F4">
        <w:rPr>
          <w:sz w:val="22"/>
          <w:szCs w:val="22"/>
        </w:rPr>
        <w:t xml:space="preserve"> dávka </w:t>
      </w:r>
      <w:r w:rsidR="00582457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zvýšiť na úroveň pred zahájením sprievodnej terapie. </w:t>
      </w:r>
    </w:p>
    <w:p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používaní slabých inhibítorov CYP3A4 (napr.</w:t>
      </w:r>
      <w:r w:rsidR="00D50D09" w:rsidRPr="003940F4">
        <w:rPr>
          <w:sz w:val="22"/>
          <w:szCs w:val="22"/>
        </w:rPr>
        <w:t xml:space="preserve"> diltiazem) alebo</w:t>
      </w:r>
      <w:r w:rsidRPr="003940F4">
        <w:rPr>
          <w:sz w:val="22"/>
          <w:szCs w:val="22"/>
        </w:rPr>
        <w:t xml:space="preserve"> CYP2D6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(napr. escitalopram)</w:t>
      </w:r>
      <w:r w:rsidRPr="003940F4">
        <w:rPr>
          <w:sz w:val="22"/>
          <w:szCs w:val="22"/>
        </w:rPr>
        <w:t xml:space="preserve"> s </w:t>
      </w:r>
      <w:r w:rsidR="00AB63C5" w:rsidRPr="003940F4">
        <w:rPr>
          <w:sz w:val="22"/>
          <w:szCs w:val="22"/>
        </w:rPr>
        <w:t>aripiprazolom</w:t>
      </w:r>
      <w:r w:rsidRPr="003940F4">
        <w:rPr>
          <w:sz w:val="22"/>
          <w:szCs w:val="22"/>
        </w:rPr>
        <w:t xml:space="preserve"> sa môže očakávať mierne zvýšenie koncentrácie aripiprazolu</w:t>
      </w:r>
      <w:r w:rsidR="00CB1877">
        <w:rPr>
          <w:sz w:val="22"/>
          <w:szCs w:val="22"/>
        </w:rPr>
        <w:t xml:space="preserve"> v plazme</w:t>
      </w:r>
      <w:r w:rsidRPr="003940F4">
        <w:rPr>
          <w:sz w:val="22"/>
          <w:szCs w:val="22"/>
        </w:rPr>
        <w:t>.</w:t>
      </w:r>
    </w:p>
    <w:p w:rsidR="00AB63C5" w:rsidRPr="003940F4" w:rsidRDefault="00AB63C5" w:rsidP="006A115E">
      <w:pPr>
        <w:rPr>
          <w:sz w:val="22"/>
          <w:szCs w:val="22"/>
        </w:rPr>
      </w:pPr>
    </w:p>
    <w:p w:rsidR="00AB63C5" w:rsidRPr="005C4213" w:rsidRDefault="00AB63C5" w:rsidP="00AB63C5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Karbamazepín a ďalšie induktory CYP3A4 </w:t>
      </w:r>
    </w:p>
    <w:p w:rsidR="00CB1877" w:rsidRPr="00CB1877" w:rsidRDefault="00AB63C5" w:rsidP="00CB1877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súbežnom podávaní karbamazepínu, silného induktora CYP3A4</w:t>
      </w:r>
      <w:r w:rsidR="00CB1877">
        <w:rPr>
          <w:sz w:val="22"/>
          <w:szCs w:val="22"/>
        </w:rPr>
        <w:t xml:space="preserve"> a</w:t>
      </w:r>
      <w:r w:rsidR="00CB1877" w:rsidRPr="00CB1877">
        <w:rPr>
          <w:sz w:val="22"/>
          <w:szCs w:val="22"/>
        </w:rPr>
        <w:t xml:space="preserve"> perorálneho aripiprazolu</w:t>
      </w:r>
    </w:p>
    <w:p w:rsidR="00AB63C5" w:rsidRPr="003940F4" w:rsidRDefault="00CB1877" w:rsidP="00CB1877">
      <w:pPr>
        <w:pStyle w:val="Default"/>
        <w:rPr>
          <w:sz w:val="22"/>
          <w:szCs w:val="22"/>
        </w:rPr>
      </w:pPr>
      <w:r w:rsidRPr="00CB1877">
        <w:rPr>
          <w:sz w:val="22"/>
          <w:szCs w:val="22"/>
        </w:rPr>
        <w:t>pacientom so schizofréniou alebo schizoafektívnou poruchou,</w:t>
      </w:r>
      <w:r w:rsidR="00AB63C5" w:rsidRPr="003940F4">
        <w:rPr>
          <w:sz w:val="22"/>
          <w:szCs w:val="22"/>
        </w:rPr>
        <w:t xml:space="preserve"> bol geometrický priemer hodnôt C</w:t>
      </w:r>
      <w:r w:rsidR="00AB63C5" w:rsidRPr="003940F4">
        <w:rPr>
          <w:sz w:val="14"/>
          <w:szCs w:val="14"/>
        </w:rPr>
        <w:t xml:space="preserve">max </w:t>
      </w:r>
      <w:r w:rsidR="00AB63C5" w:rsidRPr="003940F4">
        <w:rPr>
          <w:sz w:val="22"/>
          <w:szCs w:val="22"/>
        </w:rPr>
        <w:t>nižší o 68 % a hodnôt AUC o 73 % pre aripiprazol v porovnaní s aripiprazolom (30 mg) podávaným samostatne. Podobne, geometrický priemer hodnôt C</w:t>
      </w:r>
      <w:r w:rsidR="00AB63C5" w:rsidRPr="003940F4">
        <w:rPr>
          <w:sz w:val="14"/>
          <w:szCs w:val="14"/>
        </w:rPr>
        <w:t xml:space="preserve">max </w:t>
      </w:r>
      <w:r w:rsidR="00AB63C5" w:rsidRPr="003940F4">
        <w:rPr>
          <w:sz w:val="22"/>
          <w:szCs w:val="22"/>
        </w:rPr>
        <w:t xml:space="preserve">dehydro-aripiprazolu bol pri súbežnom podávaní karbamazepínu nižší o 69 % a hodnôt AUC o 71 % ako bol geometrický priemer po liečbe samostatným aripiprazolom. </w:t>
      </w:r>
    </w:p>
    <w:p w:rsidR="00AB63C5" w:rsidRPr="003940F4" w:rsidRDefault="00AB63C5" w:rsidP="00AB63C5">
      <w:pPr>
        <w:pStyle w:val="Default"/>
        <w:rPr>
          <w:sz w:val="22"/>
          <w:szCs w:val="22"/>
        </w:rPr>
      </w:pPr>
    </w:p>
    <w:p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Dávka </w:t>
      </w:r>
      <w:r w:rsidR="008A038B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sa má zdvojnásobiť, ak sa má </w:t>
      </w:r>
      <w:r w:rsidR="001E63FF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</w:rPr>
        <w:t xml:space="preserve">podávať súbežne s karbamazepínom. </w:t>
      </w:r>
      <w:r w:rsidR="008072E5" w:rsidRPr="004A4D15">
        <w:rPr>
          <w:sz w:val="22"/>
          <w:szCs w:val="22"/>
        </w:rPr>
        <w:t xml:space="preserve">Pri súbežnom používaní aripiprazolu a </w:t>
      </w:r>
      <w:r w:rsidRPr="004A4D15">
        <w:rPr>
          <w:sz w:val="22"/>
          <w:szCs w:val="22"/>
        </w:rPr>
        <w:t>ďalších induktorov</w:t>
      </w:r>
      <w:r w:rsidRPr="003940F4">
        <w:rPr>
          <w:sz w:val="22"/>
          <w:szCs w:val="22"/>
        </w:rPr>
        <w:t xml:space="preserve"> CYP3A4 (ako sú rifampicín, rifabutín, fenytoín, fenobarbital, primidon, efavirenz, nevirapín a </w:t>
      </w:r>
      <w:r w:rsidR="00424284" w:rsidRPr="003940F4">
        <w:rPr>
          <w:sz w:val="22"/>
          <w:szCs w:val="22"/>
        </w:rPr>
        <w:t>ľ</w:t>
      </w:r>
      <w:r w:rsidRPr="003940F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78134E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>znížiť na odporúčanú dávku.</w:t>
      </w:r>
    </w:p>
    <w:p w:rsidR="00AB63C5" w:rsidRPr="003940F4" w:rsidRDefault="00AB63C5" w:rsidP="00AB63C5">
      <w:pPr>
        <w:rPr>
          <w:sz w:val="22"/>
          <w:szCs w:val="22"/>
        </w:rPr>
      </w:pPr>
    </w:p>
    <w:p w:rsidR="00AB63C5" w:rsidRPr="005C4213" w:rsidRDefault="00AB63C5" w:rsidP="00AB63C5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Valproát a lítium </w:t>
      </w:r>
    </w:p>
    <w:p w:rsidR="00CB1877" w:rsidRPr="00CB1877" w:rsidRDefault="00AB63C5" w:rsidP="00CB1877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podávaní aripiprazolu buď s valproátom alebo lítiom, nenastala žiadna klinicky významná zmena v koncentráciách aripiprazolu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a preto nie je pri podávaní valproátu alebo lítia</w:t>
      </w:r>
    </w:p>
    <w:p w:rsidR="00AB63C5" w:rsidRPr="003940F4" w:rsidRDefault="00CB1877" w:rsidP="00CB1877">
      <w:pPr>
        <w:rPr>
          <w:sz w:val="22"/>
          <w:szCs w:val="22"/>
        </w:rPr>
      </w:pPr>
      <w:r w:rsidRPr="00CB1877">
        <w:rPr>
          <w:sz w:val="22"/>
          <w:szCs w:val="22"/>
        </w:rPr>
        <w:t>s aripiprazolom potrebná úprava dávky.</w:t>
      </w:r>
    </w:p>
    <w:p w:rsidR="00AB63C5" w:rsidRPr="003940F4" w:rsidRDefault="00AB63C5" w:rsidP="00AB63C5">
      <w:pPr>
        <w:rPr>
          <w:sz w:val="22"/>
          <w:szCs w:val="22"/>
        </w:rPr>
      </w:pPr>
    </w:p>
    <w:p w:rsidR="00AB63C5" w:rsidRPr="005C4213" w:rsidRDefault="00AB63C5" w:rsidP="00AB63C5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S</w:t>
      </w:r>
      <w:r w:rsidR="00B9798F" w:rsidRPr="005C4213">
        <w:rPr>
          <w:i/>
          <w:iCs/>
          <w:sz w:val="22"/>
          <w:szCs w:val="22"/>
        </w:rPr>
        <w:t>é</w:t>
      </w:r>
      <w:r w:rsidRPr="005C4213">
        <w:rPr>
          <w:i/>
          <w:iCs/>
          <w:sz w:val="22"/>
          <w:szCs w:val="22"/>
        </w:rPr>
        <w:t xml:space="preserve">rotonínový syndróm </w:t>
      </w:r>
    </w:p>
    <w:p w:rsidR="00B96F16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U pacientov užívajúcich aripiprazol sa hlásili prípady sérotonínového syndrómu a možné </w:t>
      </w:r>
      <w:r w:rsidR="0064376A" w:rsidRPr="003940F4">
        <w:rPr>
          <w:sz w:val="22"/>
          <w:szCs w:val="22"/>
        </w:rPr>
        <w:t xml:space="preserve">prejavy </w:t>
      </w:r>
    </w:p>
    <w:p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a </w:t>
      </w:r>
      <w:r w:rsidR="00881084" w:rsidRPr="003940F4">
        <w:rPr>
          <w:sz w:val="22"/>
          <w:szCs w:val="22"/>
        </w:rPr>
        <w:t>príznaky</w:t>
      </w:r>
      <w:r w:rsidRPr="003940F4">
        <w:rPr>
          <w:sz w:val="22"/>
          <w:szCs w:val="22"/>
        </w:rPr>
        <w:t xml:space="preserve"> tohto stavu sa môžu objaviť najmä v prípadoch sú</w:t>
      </w:r>
      <w:r w:rsidR="00881084" w:rsidRPr="003940F4">
        <w:rPr>
          <w:sz w:val="22"/>
          <w:szCs w:val="22"/>
        </w:rPr>
        <w:t>bež</w:t>
      </w:r>
      <w:r w:rsidRPr="003940F4">
        <w:rPr>
          <w:sz w:val="22"/>
          <w:szCs w:val="22"/>
        </w:rPr>
        <w:t>ného používania s inými s</w:t>
      </w:r>
      <w:r w:rsidR="00B9798F" w:rsidRPr="003940F4">
        <w:rPr>
          <w:sz w:val="22"/>
          <w:szCs w:val="22"/>
        </w:rPr>
        <w:t>é</w:t>
      </w:r>
      <w:r w:rsidRPr="003940F4">
        <w:rPr>
          <w:sz w:val="22"/>
          <w:szCs w:val="22"/>
        </w:rPr>
        <w:t>roton</w:t>
      </w:r>
      <w:r w:rsidR="00EF52FA" w:rsidRPr="003940F4">
        <w:rPr>
          <w:sz w:val="22"/>
          <w:szCs w:val="22"/>
        </w:rPr>
        <w:t>ergnými</w:t>
      </w:r>
      <w:r w:rsidRPr="003940F4">
        <w:rPr>
          <w:sz w:val="22"/>
          <w:szCs w:val="22"/>
        </w:rPr>
        <w:t xml:space="preserve"> lie</w:t>
      </w:r>
      <w:r w:rsidR="00EF52FA" w:rsidRPr="003940F4">
        <w:rPr>
          <w:sz w:val="22"/>
          <w:szCs w:val="22"/>
        </w:rPr>
        <w:t>kmi</w:t>
      </w:r>
      <w:r w:rsidRPr="003940F4">
        <w:rPr>
          <w:sz w:val="22"/>
          <w:szCs w:val="22"/>
        </w:rPr>
        <w:t>, ako sú SSRI/SNRI alebo s</w:t>
      </w:r>
      <w:r w:rsidR="00F8215E">
        <w:rPr>
          <w:sz w:val="22"/>
          <w:szCs w:val="22"/>
        </w:rPr>
        <w:t xml:space="preserve"> </w:t>
      </w:r>
      <w:r w:rsidR="00F8215E" w:rsidRPr="00A9411C">
        <w:rPr>
          <w:sz w:val="22"/>
          <w:szCs w:val="22"/>
        </w:rPr>
        <w:t>liekmi</w:t>
      </w:r>
      <w:r w:rsidRPr="00A9411C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o ktorých je známe, že zvyšujú koncentrácie aripiprazolu (pozri časť 4.8).</w:t>
      </w:r>
    </w:p>
    <w:p w:rsidR="00665630" w:rsidRPr="003940F4" w:rsidRDefault="00665630" w:rsidP="00AB63C5">
      <w:pPr>
        <w:rPr>
          <w:sz w:val="22"/>
          <w:szCs w:val="22"/>
        </w:rPr>
      </w:pPr>
    </w:p>
    <w:p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</w:t>
      </w:r>
      <w:r w:rsidR="00CD7B94" w:rsidRPr="003940F4">
        <w:rPr>
          <w:sz w:val="22"/>
          <w:szCs w:val="22"/>
          <w:u w:val="single"/>
        </w:rPr>
        <w:t xml:space="preserve">aripiprazolu </w:t>
      </w:r>
      <w:r w:rsidRPr="003940F4">
        <w:rPr>
          <w:sz w:val="22"/>
          <w:szCs w:val="22"/>
          <w:u w:val="single"/>
        </w:rPr>
        <w:t xml:space="preserve">pre ovplyvnenie iných liekov </w:t>
      </w:r>
    </w:p>
    <w:p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807798" w:rsidRPr="003940F4">
        <w:rPr>
          <w:sz w:val="22"/>
          <w:szCs w:val="22"/>
        </w:rPr>
        <w:t xml:space="preserve">substrátov </w:t>
      </w:r>
      <w:r w:rsidRPr="003940F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3940F4">
        <w:rPr>
          <w:i/>
          <w:iCs/>
          <w:sz w:val="22"/>
          <w:szCs w:val="22"/>
        </w:rPr>
        <w:t xml:space="preserve">in vitro </w:t>
      </w:r>
      <w:r w:rsidRPr="003940F4">
        <w:rPr>
          <w:sz w:val="22"/>
          <w:szCs w:val="22"/>
        </w:rPr>
        <w:t xml:space="preserve">potenciál pre zmenu metabolizmu sprostredkovaného CYP1A2. Je preto nepravdepodobné, že by aripiprazol spôsobil klinicky významné liekové interakcie sprostredkované týmito enzýmami. </w:t>
      </w:r>
    </w:p>
    <w:p w:rsidR="00665630" w:rsidRPr="003940F4" w:rsidRDefault="00665630" w:rsidP="00665630">
      <w:pPr>
        <w:pStyle w:val="Default"/>
        <w:rPr>
          <w:sz w:val="22"/>
          <w:szCs w:val="22"/>
        </w:rPr>
      </w:pPr>
    </w:p>
    <w:p w:rsidR="00665630" w:rsidRPr="003940F4" w:rsidRDefault="00665630" w:rsidP="00665630">
      <w:pPr>
        <w:rPr>
          <w:b/>
          <w:iCs/>
          <w:sz w:val="22"/>
        </w:rPr>
      </w:pPr>
      <w:r w:rsidRPr="003940F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6A115E" w:rsidRPr="003940F4" w:rsidRDefault="006A115E" w:rsidP="00A440E6">
      <w:pPr>
        <w:rPr>
          <w:b/>
          <w:iCs/>
          <w:sz w:val="22"/>
          <w:u w:val="single"/>
        </w:rPr>
      </w:pPr>
    </w:p>
    <w:p w:rsidR="00A0467A" w:rsidRPr="003940F4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Fertilita, g</w:t>
      </w:r>
      <w:r w:rsidR="00A0467A" w:rsidRPr="003940F4">
        <w:rPr>
          <w:b/>
          <w:sz w:val="22"/>
        </w:rPr>
        <w:t>ravidita a laktácia</w:t>
      </w:r>
    </w:p>
    <w:p w:rsidR="002957F9" w:rsidRPr="003940F4" w:rsidRDefault="002957F9" w:rsidP="00A440E6">
      <w:pPr>
        <w:keepNext/>
        <w:rPr>
          <w:b/>
          <w:sz w:val="22"/>
        </w:rPr>
      </w:pPr>
    </w:p>
    <w:p w:rsidR="00A0467A" w:rsidRDefault="002957F9" w:rsidP="00A440E6">
      <w:pPr>
        <w:keepNext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Gravidita</w:t>
      </w:r>
    </w:p>
    <w:p w:rsidR="0012436F" w:rsidRPr="003940F4" w:rsidRDefault="0012436F" w:rsidP="00A440E6">
      <w:pPr>
        <w:keepNext/>
        <w:rPr>
          <w:sz w:val="22"/>
          <w:szCs w:val="22"/>
          <w:u w:val="single"/>
        </w:rPr>
      </w:pPr>
    </w:p>
    <w:p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</w:t>
      </w:r>
      <w:r w:rsidR="0053055A" w:rsidRPr="003940F4">
        <w:rPr>
          <w:sz w:val="22"/>
          <w:szCs w:val="22"/>
        </w:rPr>
        <w:t>nevylúčili</w:t>
      </w:r>
      <w:r w:rsidRPr="003940F4">
        <w:rPr>
          <w:sz w:val="22"/>
          <w:szCs w:val="22"/>
        </w:rPr>
        <w:t xml:space="preserve"> možnosť vývojovej toxicity (pozri časť 5.3). Pacientkam sa </w:t>
      </w:r>
      <w:r w:rsidR="00CB1877">
        <w:rPr>
          <w:sz w:val="22"/>
          <w:szCs w:val="22"/>
        </w:rPr>
        <w:t>musí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odporučiť, aby svojmu lekárovi oznámili, že sú gravidné alebo</w:t>
      </w:r>
      <w:r w:rsidR="009B3CDA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 počas liečby aripiprazolom graviditu plánujú. Vzhľadom na nedostatočné informácie o bezpečnosti u ľudí a </w:t>
      </w:r>
      <w:r w:rsidR="00B61011" w:rsidRPr="003940F4">
        <w:rPr>
          <w:sz w:val="22"/>
          <w:szCs w:val="22"/>
        </w:rPr>
        <w:t xml:space="preserve">obavy vyvolané </w:t>
      </w:r>
      <w:r w:rsidRPr="003940F4">
        <w:rPr>
          <w:sz w:val="22"/>
          <w:szCs w:val="22"/>
        </w:rPr>
        <w:t>reprodukčnými štúdiami na zvieratách sa tento liek nemá po</w:t>
      </w:r>
      <w:r w:rsidR="009B3CDA" w:rsidRPr="003940F4">
        <w:rPr>
          <w:sz w:val="22"/>
          <w:szCs w:val="22"/>
        </w:rPr>
        <w:t>užívať</w:t>
      </w:r>
      <w:r w:rsidRPr="003940F4">
        <w:rPr>
          <w:sz w:val="22"/>
          <w:szCs w:val="22"/>
        </w:rPr>
        <w:t xml:space="preserve"> počas gravidity, pokiaľ očakávaný prínos liečby zreteľne neprevýši potenciálne riziko pre plod. </w:t>
      </w:r>
    </w:p>
    <w:p w:rsidR="00F2458E" w:rsidRPr="003940F4" w:rsidRDefault="00F2458E" w:rsidP="00665630">
      <w:pPr>
        <w:pStyle w:val="Default"/>
        <w:rPr>
          <w:sz w:val="22"/>
          <w:szCs w:val="22"/>
        </w:rPr>
      </w:pPr>
    </w:p>
    <w:p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U novorodencov, ktorí boli vystavení počas tretieho trimestra gravidity antipsychotikám (vrátane aripiprazolu ), existuje </w:t>
      </w:r>
      <w:r w:rsidR="00B61011" w:rsidRPr="003940F4">
        <w:rPr>
          <w:sz w:val="22"/>
          <w:szCs w:val="22"/>
        </w:rPr>
        <w:t xml:space="preserve">po pôrode </w:t>
      </w:r>
      <w:r w:rsidRPr="003940F4">
        <w:rPr>
          <w:sz w:val="22"/>
          <w:szCs w:val="22"/>
        </w:rPr>
        <w:t xml:space="preserve">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</w:t>
      </w:r>
      <w:r w:rsidR="003D4448" w:rsidRPr="003940F4">
        <w:rPr>
          <w:sz w:val="22"/>
          <w:szCs w:val="22"/>
        </w:rPr>
        <w:t>V dôsledku toh</w:t>
      </w:r>
      <w:r w:rsidR="00020026" w:rsidRPr="003940F4">
        <w:rPr>
          <w:sz w:val="22"/>
          <w:szCs w:val="22"/>
        </w:rPr>
        <w:t>o</w:t>
      </w:r>
      <w:r w:rsidR="003D444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majú byť novorodenci starostlivo sledovaní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4.8)</w:t>
      </w:r>
      <w:r w:rsidRPr="003940F4">
        <w:rPr>
          <w:sz w:val="22"/>
          <w:szCs w:val="22"/>
        </w:rPr>
        <w:t>.</w:t>
      </w:r>
    </w:p>
    <w:p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:rsidR="00C37338" w:rsidRDefault="00C37338" w:rsidP="00E7617F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Dojčenie</w:t>
      </w:r>
    </w:p>
    <w:p w:rsidR="0012436F" w:rsidRPr="003940F4" w:rsidRDefault="0012436F" w:rsidP="00E7617F">
      <w:pPr>
        <w:pStyle w:val="Default"/>
        <w:rPr>
          <w:sz w:val="22"/>
          <w:szCs w:val="22"/>
          <w:u w:val="single"/>
        </w:rPr>
      </w:pPr>
    </w:p>
    <w:p w:rsidR="002A58BB" w:rsidRPr="002A58BB" w:rsidRDefault="00665630" w:rsidP="002A58BB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Aripiprazol sa vylučuje do</w:t>
      </w:r>
      <w:r w:rsidR="00550811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materského mlieka</w:t>
      </w:r>
      <w:r w:rsidR="00FD0334" w:rsidRPr="003940F4">
        <w:rPr>
          <w:sz w:val="22"/>
          <w:szCs w:val="22"/>
        </w:rPr>
        <w:t xml:space="preserve"> u ľudí</w:t>
      </w:r>
      <w:r w:rsidRPr="003940F4">
        <w:rPr>
          <w:sz w:val="22"/>
          <w:szCs w:val="22"/>
        </w:rPr>
        <w:t xml:space="preserve">. </w:t>
      </w:r>
      <w:r w:rsidR="002A58BB" w:rsidRPr="002A58BB">
        <w:rPr>
          <w:sz w:val="22"/>
          <w:szCs w:val="22"/>
        </w:rPr>
        <w:t>Rozhodnutie, či ukončiť dojčenie alebo</w:t>
      </w:r>
      <w:r w:rsidR="002A58BB">
        <w:rPr>
          <w:sz w:val="22"/>
          <w:szCs w:val="22"/>
        </w:rPr>
        <w:t xml:space="preserve"> </w:t>
      </w:r>
      <w:r w:rsidR="002A58BB" w:rsidRPr="002A58BB">
        <w:rPr>
          <w:sz w:val="22"/>
          <w:szCs w:val="22"/>
        </w:rPr>
        <w:t>ukončiť/prerušiť liečbu aripiprazolom sa má urobiť po zvážení prínosu dojčenia pre dieťa a prínosu</w:t>
      </w:r>
    </w:p>
    <w:p w:rsidR="00665630" w:rsidRPr="003940F4" w:rsidRDefault="002A58BB" w:rsidP="002A58BB">
      <w:pPr>
        <w:pStyle w:val="Default"/>
        <w:rPr>
          <w:sz w:val="22"/>
          <w:szCs w:val="22"/>
        </w:rPr>
      </w:pPr>
      <w:r w:rsidRPr="002A58BB">
        <w:rPr>
          <w:sz w:val="22"/>
          <w:szCs w:val="22"/>
        </w:rPr>
        <w:t>liečby pre ženu.</w:t>
      </w:r>
    </w:p>
    <w:p w:rsidR="00E7617F" w:rsidRDefault="00E7617F" w:rsidP="00E7617F">
      <w:pPr>
        <w:rPr>
          <w:sz w:val="22"/>
        </w:rPr>
      </w:pPr>
    </w:p>
    <w:p w:rsidR="002A58BB" w:rsidRDefault="002A58BB" w:rsidP="002A58B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Fertilita</w:t>
      </w:r>
    </w:p>
    <w:p w:rsidR="002A58BB" w:rsidRDefault="002A58BB" w:rsidP="002A58BB">
      <w:pPr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>Na základe údajov zo štúdií reprodukčnej toxicity aripiprazol nemal vplyv na fertilitu.</w:t>
      </w:r>
    </w:p>
    <w:p w:rsidR="008072E5" w:rsidRPr="003940F4" w:rsidRDefault="008072E5" w:rsidP="002A58BB">
      <w:pPr>
        <w:rPr>
          <w:sz w:val="22"/>
        </w:rPr>
      </w:pPr>
    </w:p>
    <w:p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Ovplyvnenie schopnosti viesť vozidlá a obsluhovať stroje</w:t>
      </w:r>
    </w:p>
    <w:p w:rsidR="00A0467A" w:rsidRPr="003940F4" w:rsidRDefault="00A0467A" w:rsidP="00A440E6">
      <w:pPr>
        <w:keepNext/>
        <w:rPr>
          <w:b/>
          <w:sz w:val="22"/>
        </w:rPr>
      </w:pPr>
    </w:p>
    <w:p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>Aripiprazol má malý alebo mierny vplyv na schopnosť viesť vozidlá a obsluhovať stroje z dôvodu</w:t>
      </w:r>
    </w:p>
    <w:p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>možného účinku na nervový systém a zrak, ako je napríklad sedácia, somnolencia, synkopa,</w:t>
      </w:r>
    </w:p>
    <w:p w:rsidR="008072E5" w:rsidRDefault="002A58BB" w:rsidP="00A440E6">
      <w:pPr>
        <w:rPr>
          <w:sz w:val="22"/>
          <w:szCs w:val="22"/>
        </w:rPr>
      </w:pPr>
      <w:r w:rsidRPr="002A58BB">
        <w:rPr>
          <w:sz w:val="22"/>
          <w:szCs w:val="22"/>
        </w:rPr>
        <w:t>rozmazané videnie, diplopia (pozri časť 4.8).</w:t>
      </w:r>
      <w:r w:rsidRPr="002A58BB" w:rsidDel="002A58BB">
        <w:rPr>
          <w:sz w:val="22"/>
          <w:szCs w:val="22"/>
        </w:rPr>
        <w:t xml:space="preserve"> </w:t>
      </w:r>
    </w:p>
    <w:p w:rsidR="00550811" w:rsidRPr="003940F4" w:rsidRDefault="00550811" w:rsidP="00A440E6">
      <w:pPr>
        <w:rPr>
          <w:sz w:val="22"/>
        </w:rPr>
      </w:pPr>
    </w:p>
    <w:p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Nežiaduce účinky</w:t>
      </w:r>
    </w:p>
    <w:p w:rsidR="00A0467A" w:rsidRPr="003940F4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3940F4" w:rsidRDefault="003A12D6" w:rsidP="00A440E6">
      <w:pPr>
        <w:pStyle w:val="Zkladntext"/>
        <w:jc w:val="left"/>
        <w:rPr>
          <w:sz w:val="22"/>
          <w:u w:val="single"/>
        </w:rPr>
      </w:pPr>
      <w:r w:rsidRPr="003940F4">
        <w:rPr>
          <w:sz w:val="22"/>
          <w:u w:val="single"/>
        </w:rPr>
        <w:t>Súhrn bezpečnostného profilu</w:t>
      </w:r>
    </w:p>
    <w:p w:rsidR="00550811" w:rsidRPr="003940F4" w:rsidRDefault="00550811" w:rsidP="00A440E6">
      <w:pPr>
        <w:pStyle w:val="Zkladntext"/>
        <w:jc w:val="left"/>
        <w:rPr>
          <w:sz w:val="22"/>
          <w:u w:val="single"/>
        </w:rPr>
      </w:pPr>
    </w:p>
    <w:p w:rsidR="003A12D6" w:rsidRPr="003940F4" w:rsidRDefault="00550811" w:rsidP="00A440E6">
      <w:pPr>
        <w:pStyle w:val="Zkladntext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Najčastejšími nežiaducimi reakciami v placebom kontrolovaných štúdiách boli akatízia a nauzea, ktoré sa objavili u viac ako 3 % pacientov liečených perorálne podávaným aripiprazolom.</w:t>
      </w:r>
    </w:p>
    <w:p w:rsidR="00550811" w:rsidRPr="003940F4" w:rsidRDefault="00550811" w:rsidP="00A440E6">
      <w:pPr>
        <w:pStyle w:val="Zkladntext"/>
        <w:jc w:val="left"/>
        <w:rPr>
          <w:sz w:val="22"/>
        </w:rPr>
      </w:pPr>
    </w:p>
    <w:p w:rsidR="003A12D6" w:rsidRPr="003940F4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3940F4">
        <w:rPr>
          <w:sz w:val="22"/>
          <w:u w:val="single"/>
        </w:rPr>
        <w:t xml:space="preserve">Tabuľkový zoznam nežiaducich </w:t>
      </w:r>
      <w:r w:rsidR="00D21BB7" w:rsidRPr="003940F4">
        <w:rPr>
          <w:sz w:val="22"/>
          <w:u w:val="single"/>
        </w:rPr>
        <w:t>reakcií</w:t>
      </w:r>
    </w:p>
    <w:p w:rsidR="00550811" w:rsidRDefault="00550811" w:rsidP="00550811">
      <w:pPr>
        <w:pStyle w:val="Default"/>
        <w:rPr>
          <w:sz w:val="22"/>
          <w:szCs w:val="22"/>
        </w:rPr>
      </w:pPr>
    </w:p>
    <w:p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 xml:space="preserve">Výskyt nežiaducich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účink</w:t>
      </w:r>
      <w:r>
        <w:rPr>
          <w:sz w:val="22"/>
          <w:szCs w:val="22"/>
          <w:lang w:eastAsia="sk-SK"/>
        </w:rPr>
        <w:t xml:space="preserve">ov lieku (ADR, z angl. adverse drug reactions)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spojených s liečbou</w:t>
      </w:r>
    </w:p>
    <w:p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>aripiprazolom je uvedený v tabuľke nižšie. Tabuľka vychádza z nežiaducich udalostí hlásených počas</w:t>
      </w:r>
    </w:p>
    <w:p w:rsidR="002A58BB" w:rsidRDefault="002A58BB" w:rsidP="002A58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klinických skúšaní a/alebo po uvedení na trh.</w:t>
      </w:r>
    </w:p>
    <w:p w:rsidR="002A58BB" w:rsidRPr="003940F4" w:rsidRDefault="002A58BB" w:rsidP="00550811">
      <w:pPr>
        <w:pStyle w:val="Default"/>
        <w:rPr>
          <w:sz w:val="22"/>
          <w:szCs w:val="22"/>
        </w:rPr>
      </w:pP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Všetky nežiaduce účinky lieku sú zoradené podľa triedy orgánových systémov a frekvencie: veľmi 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časté (≥ 1/10), časté (≥ 1/100 až &lt; 1/10), menej časté (≥ 1/1 000 až &lt; 1/100), zriedkavé (≥ 1/10 000 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až &lt; 1/1 000), veľmi zriedkavé (&lt; 1/10 000) a neznáme (z dostupných údajov). Pri každej frekvencii </w:t>
      </w:r>
    </w:p>
    <w:p w:rsid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>výskytu sú nežiaduce reakcie zoradené podľa klesajúcej závažnosti.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Frekvenciu výskytu nežiaducich reakcií hlásených po uvedení na trh nie je možné určiť, pretože 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pochádzajú zo spontánnych hlásení. Frekvencia výskytu týchto nežiaducich udalostí je následne </w:t>
      </w:r>
    </w:p>
    <w:p w:rsidR="003A12D6" w:rsidRDefault="008D143A" w:rsidP="00FE1716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>klasifikovaná ako „neznáma“.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2127"/>
        <w:gridCol w:w="2322"/>
        <w:gridCol w:w="2452"/>
      </w:tblGrid>
      <w:tr w:rsidR="008B1DEC" w:rsidTr="00FE1716">
        <w:tc>
          <w:tcPr>
            <w:tcW w:w="1668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7210A" w:rsidRDefault="00F7210A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Časté</w:t>
            </w: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Menej časté</w:t>
            </w: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Neznáme</w:t>
            </w:r>
          </w:p>
        </w:tc>
      </w:tr>
      <w:tr w:rsidR="008B1DEC" w:rsidTr="00FE1716">
        <w:tc>
          <w:tcPr>
            <w:tcW w:w="1668" w:type="dxa"/>
          </w:tcPr>
          <w:p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Poruchy krvi </w:t>
            </w:r>
          </w:p>
          <w:p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a lymfatického </w:t>
            </w:r>
          </w:p>
          <w:p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Leukopénia</w:t>
            </w:r>
          </w:p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Neutropénia</w:t>
            </w:r>
          </w:p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Trombocytopénia</w:t>
            </w:r>
          </w:p>
        </w:tc>
      </w:tr>
      <w:tr w:rsidR="008B1DEC" w:rsidTr="00FE1716">
        <w:tc>
          <w:tcPr>
            <w:tcW w:w="1668" w:type="dxa"/>
          </w:tcPr>
          <w:p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Poruchy </w:t>
            </w:r>
          </w:p>
          <w:p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imunitného </w:t>
            </w:r>
          </w:p>
          <w:p w:rsidR="008B1DEC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5D2732" w:rsidRPr="005D2732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0823F9">
              <w:rPr>
                <w:sz w:val="22"/>
                <w:szCs w:val="22"/>
              </w:rPr>
              <w:t>pruritu</w:t>
            </w:r>
          </w:p>
          <w:p w:rsidR="008B1DEC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>alebo urtikárie)</w:t>
            </w:r>
          </w:p>
        </w:tc>
      </w:tr>
      <w:tr w:rsidR="008B1DEC" w:rsidTr="00FE1716">
        <w:tc>
          <w:tcPr>
            <w:tcW w:w="1668" w:type="dxa"/>
          </w:tcPr>
          <w:p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Poruchy </w:t>
            </w:r>
          </w:p>
          <w:p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endokrinného </w:t>
            </w:r>
          </w:p>
          <w:p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3B5FA2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Hyperprolaktinémia</w:t>
            </w:r>
          </w:p>
        </w:tc>
        <w:tc>
          <w:tcPr>
            <w:tcW w:w="2322" w:type="dxa"/>
          </w:tcPr>
          <w:p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Diabetická hyperosmolárna kóma</w:t>
            </w:r>
          </w:p>
          <w:p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Diabetická ketoacidóza</w:t>
            </w:r>
          </w:p>
          <w:p w:rsidR="00537927" w:rsidRDefault="00537927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23F9" w:rsidTr="00816353">
        <w:tc>
          <w:tcPr>
            <w:tcW w:w="1668" w:type="dxa"/>
          </w:tcPr>
          <w:p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2127" w:type="dxa"/>
          </w:tcPr>
          <w:p w:rsidR="000823F9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mellitus</w:t>
            </w:r>
          </w:p>
        </w:tc>
        <w:tc>
          <w:tcPr>
            <w:tcW w:w="2322" w:type="dxa"/>
          </w:tcPr>
          <w:p w:rsidR="000823F9" w:rsidRPr="003B5FA2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Hyperglykémia</w:t>
            </w:r>
          </w:p>
        </w:tc>
        <w:tc>
          <w:tcPr>
            <w:tcW w:w="2322" w:type="dxa"/>
          </w:tcPr>
          <w:p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Hyponatriémia</w:t>
            </w:r>
          </w:p>
          <w:p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Anorexia</w:t>
            </w:r>
          </w:p>
          <w:p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Zníženie hmotnosti</w:t>
            </w:r>
          </w:p>
          <w:p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hmotnosti </w:t>
            </w:r>
          </w:p>
        </w:tc>
      </w:tr>
      <w:tr w:rsidR="008B1DEC" w:rsidTr="00FE1716">
        <w:tc>
          <w:tcPr>
            <w:tcW w:w="1668" w:type="dxa"/>
          </w:tcPr>
          <w:p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Psychické </w:t>
            </w:r>
          </w:p>
          <w:p w:rsidR="008B1DEC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poruchy</w:t>
            </w:r>
          </w:p>
        </w:tc>
        <w:tc>
          <w:tcPr>
            <w:tcW w:w="2127" w:type="dxa"/>
          </w:tcPr>
          <w:p w:rsidR="000823F9" w:rsidRDefault="000823F9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Insomnia</w:t>
            </w:r>
          </w:p>
          <w:p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Úzkosť</w:t>
            </w:r>
          </w:p>
          <w:p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Nepokoj </w:t>
            </w:r>
          </w:p>
          <w:p w:rsidR="008B1DEC" w:rsidRDefault="008B1DEC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Depresia Hypersexualita </w:t>
            </w:r>
          </w:p>
          <w:p w:rsidR="008B1DEC" w:rsidRDefault="008B1DEC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Pokus o samovraždu </w:t>
            </w:r>
            <w:r>
              <w:rPr>
                <w:sz w:val="22"/>
                <w:szCs w:val="22"/>
              </w:rPr>
              <w:t>Samovraž</w:t>
            </w:r>
            <w:r w:rsidR="00390CE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 w:rsidR="00390CE7">
              <w:rPr>
                <w:sz w:val="22"/>
                <w:szCs w:val="22"/>
              </w:rPr>
              <w:t>né myšlienky</w:t>
            </w:r>
            <w:r>
              <w:rPr>
                <w:sz w:val="22"/>
                <w:szCs w:val="22"/>
              </w:rPr>
              <w:t xml:space="preserve"> a d</w:t>
            </w:r>
            <w:r w:rsidRPr="00087AEE">
              <w:rPr>
                <w:sz w:val="22"/>
                <w:szCs w:val="22"/>
              </w:rPr>
              <w:t>okonaná samovražda</w:t>
            </w:r>
            <w:r>
              <w:rPr>
                <w:sz w:val="22"/>
                <w:szCs w:val="22"/>
              </w:rPr>
              <w:t xml:space="preserve"> (pozri časť 4.4)</w:t>
            </w:r>
          </w:p>
          <w:p w:rsid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Patologické hráčstvo</w:t>
            </w:r>
          </w:p>
          <w:p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Poruchy kontroly impulzov</w:t>
            </w:r>
          </w:p>
          <w:p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Prejedanie sa</w:t>
            </w:r>
          </w:p>
          <w:p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Kompulzívne nakupovanie</w:t>
            </w:r>
          </w:p>
          <w:p w:rsidR="002A58BB" w:rsidRPr="00087AEE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Poriománia</w:t>
            </w:r>
          </w:p>
          <w:p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Agre</w:t>
            </w:r>
            <w:r w:rsidR="000823F9">
              <w:rPr>
                <w:sz w:val="22"/>
                <w:szCs w:val="22"/>
              </w:rPr>
              <w:t>sivita</w:t>
            </w:r>
            <w:r w:rsidRPr="00087AEE">
              <w:rPr>
                <w:sz w:val="22"/>
                <w:szCs w:val="22"/>
              </w:rPr>
              <w:t xml:space="preserve"> </w:t>
            </w:r>
          </w:p>
          <w:p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Agitovanosť </w:t>
            </w:r>
          </w:p>
          <w:p w:rsidR="008B1DEC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Nervozita</w:t>
            </w:r>
          </w:p>
        </w:tc>
      </w:tr>
      <w:tr w:rsidR="008B1DEC" w:rsidTr="00FE1716">
        <w:tc>
          <w:tcPr>
            <w:tcW w:w="1668" w:type="dxa"/>
          </w:tcPr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Poruchy 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nervového </w:t>
            </w:r>
          </w:p>
          <w:p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Akatízia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Extrapyramídová porucha 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Tremor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Bolesť hlavy 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Sedácia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Somnolencia </w:t>
            </w:r>
          </w:p>
          <w:p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Závrat</w:t>
            </w:r>
          </w:p>
        </w:tc>
        <w:tc>
          <w:tcPr>
            <w:tcW w:w="2322" w:type="dxa"/>
          </w:tcPr>
          <w:p w:rsidR="00612EA1" w:rsidRPr="00612EA1" w:rsidRDefault="00F94C8B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Tardívna dyskinéza </w:t>
            </w:r>
            <w:r w:rsidR="00612EA1" w:rsidRPr="00612EA1">
              <w:rPr>
                <w:sz w:val="22"/>
                <w:szCs w:val="22"/>
              </w:rPr>
              <w:t>Dystónia</w:t>
            </w:r>
          </w:p>
          <w:p w:rsidR="008B1DEC" w:rsidRDefault="008B1DEC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Malígny neuroleptický syndróm</w:t>
            </w:r>
          </w:p>
          <w:p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Záchvat typu grand mal </w:t>
            </w:r>
          </w:p>
          <w:p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S</w:t>
            </w:r>
            <w:r w:rsidR="000F5C5C">
              <w:rPr>
                <w:sz w:val="22"/>
                <w:szCs w:val="22"/>
              </w:rPr>
              <w:t>é</w:t>
            </w:r>
            <w:r w:rsidRPr="00612EA1">
              <w:rPr>
                <w:sz w:val="22"/>
                <w:szCs w:val="22"/>
              </w:rPr>
              <w:t xml:space="preserve">rotonínový syndróm </w:t>
            </w:r>
          </w:p>
          <w:p w:rsidR="008B1DEC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Poruchy reči</w:t>
            </w:r>
          </w:p>
        </w:tc>
      </w:tr>
      <w:tr w:rsidR="008B1DEC" w:rsidTr="00FE1716">
        <w:tc>
          <w:tcPr>
            <w:tcW w:w="1668" w:type="dxa"/>
          </w:tcPr>
          <w:p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2127" w:type="dxa"/>
          </w:tcPr>
          <w:p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t>Rozmazané videnie</w:t>
            </w:r>
          </w:p>
        </w:tc>
        <w:tc>
          <w:tcPr>
            <w:tcW w:w="2322" w:type="dxa"/>
          </w:tcPr>
          <w:p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Diplopia</w:t>
            </w: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1DEC" w:rsidTr="00FE1716">
        <w:tc>
          <w:tcPr>
            <w:tcW w:w="1668" w:type="dxa"/>
          </w:tcPr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Poruchy 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srdca a 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srdcovej </w:t>
            </w:r>
          </w:p>
          <w:p w:rsidR="008B1DEC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činnosti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6A12E3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Tachykardia</w:t>
            </w:r>
          </w:p>
        </w:tc>
        <w:tc>
          <w:tcPr>
            <w:tcW w:w="2322" w:type="dxa"/>
          </w:tcPr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Náhla nevysvetliteľná smrť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Torsades de pointes</w:t>
            </w:r>
          </w:p>
          <w:p w:rsidR="000F5C5C" w:rsidRDefault="000F5C5C" w:rsidP="000F5C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Predĺženie QT intervalu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Ventrikulárne arytmie </w:t>
            </w:r>
          </w:p>
          <w:p w:rsidR="0061120C" w:rsidRPr="006A12E3" w:rsidRDefault="0061120C" w:rsidP="00611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Zástava srdca</w:t>
            </w:r>
          </w:p>
          <w:p w:rsid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Bradykardia</w:t>
            </w:r>
          </w:p>
        </w:tc>
      </w:tr>
      <w:tr w:rsidR="008B1DEC" w:rsidTr="00FE1716">
        <w:tc>
          <w:tcPr>
            <w:tcW w:w="1668" w:type="dxa"/>
          </w:tcPr>
          <w:p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Poruchy ciev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2322" w:type="dxa"/>
          </w:tcPr>
          <w:p w:rsidR="00BA1799" w:rsidRP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Venózna tromboembólia </w:t>
            </w:r>
          </w:p>
          <w:p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(vrátane pľúcnej embólie a trombózy hlbokých žíl) </w:t>
            </w:r>
          </w:p>
          <w:p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Hypertenzia</w:t>
            </w:r>
          </w:p>
          <w:p w:rsidR="008B1DEC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Synkopa</w:t>
            </w:r>
          </w:p>
        </w:tc>
      </w:tr>
      <w:tr w:rsidR="004D446B" w:rsidTr="00816353">
        <w:tc>
          <w:tcPr>
            <w:tcW w:w="1668" w:type="dxa"/>
          </w:tcPr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Poruchy </w:t>
            </w:r>
          </w:p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dýchacej </w:t>
            </w:r>
          </w:p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sústavy, </w:t>
            </w:r>
          </w:p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hrudníka a </w:t>
            </w:r>
          </w:p>
          <w:p w:rsidR="004D446B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>mediastín</w:t>
            </w:r>
            <w:r w:rsidR="00F7210A">
              <w:rPr>
                <w:sz w:val="22"/>
                <w:szCs w:val="22"/>
              </w:rPr>
              <w:t>i</w:t>
            </w:r>
            <w:r w:rsidRPr="00D63BFC">
              <w:rPr>
                <w:sz w:val="22"/>
                <w:szCs w:val="22"/>
              </w:rPr>
              <w:t>a</w:t>
            </w:r>
          </w:p>
        </w:tc>
        <w:tc>
          <w:tcPr>
            <w:tcW w:w="2127" w:type="dxa"/>
          </w:tcPr>
          <w:p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4D446B" w:rsidRDefault="00996968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>Štikútanie</w:t>
            </w:r>
          </w:p>
        </w:tc>
        <w:tc>
          <w:tcPr>
            <w:tcW w:w="2322" w:type="dxa"/>
          </w:tcPr>
          <w:p w:rsidR="00996968" w:rsidRPr="00996968" w:rsidRDefault="001D0086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Aspiračná pneumónia </w:t>
            </w:r>
            <w:r w:rsidR="00996968" w:rsidRPr="00996968">
              <w:rPr>
                <w:sz w:val="22"/>
                <w:szCs w:val="22"/>
              </w:rPr>
              <w:t>Orofaryngeálny spazmus</w:t>
            </w:r>
          </w:p>
          <w:p w:rsidR="00996968" w:rsidRPr="00996968" w:rsidRDefault="00996968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Laryngospazmus </w:t>
            </w:r>
          </w:p>
          <w:p w:rsidR="004D446B" w:rsidRDefault="004D446B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446B" w:rsidTr="00816353">
        <w:tc>
          <w:tcPr>
            <w:tcW w:w="1668" w:type="dxa"/>
          </w:tcPr>
          <w:p w:rsidR="00F7210A" w:rsidRPr="00F7210A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 xml:space="preserve">Poruchy </w:t>
            </w:r>
          </w:p>
          <w:p w:rsidR="00F7210A" w:rsidRDefault="00350E6D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F7210A" w:rsidRPr="00F7210A">
              <w:rPr>
                <w:sz w:val="22"/>
                <w:szCs w:val="22"/>
              </w:rPr>
              <w:t>astrointesti</w:t>
            </w:r>
            <w:r w:rsidR="00F7210A">
              <w:rPr>
                <w:sz w:val="22"/>
                <w:szCs w:val="22"/>
              </w:rPr>
              <w:t>-</w:t>
            </w:r>
          </w:p>
          <w:p w:rsidR="004D446B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>nálneho traktu</w:t>
            </w:r>
          </w:p>
        </w:tc>
        <w:tc>
          <w:tcPr>
            <w:tcW w:w="2127" w:type="dxa"/>
          </w:tcPr>
          <w:p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Zápcha </w:t>
            </w:r>
          </w:p>
          <w:p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Dyspepsia</w:t>
            </w:r>
          </w:p>
          <w:p w:rsidR="001D0086" w:rsidRPr="00997C5F" w:rsidRDefault="001D0086" w:rsidP="001D0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Nauzea</w:t>
            </w:r>
          </w:p>
          <w:p w:rsidR="00997C5F" w:rsidRPr="00997C5F" w:rsidRDefault="001D0086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Hypersekrécia slín </w:t>
            </w:r>
            <w:r w:rsidR="00997C5F" w:rsidRPr="00997C5F">
              <w:rPr>
                <w:sz w:val="22"/>
                <w:szCs w:val="22"/>
              </w:rPr>
              <w:t>Vracanie</w:t>
            </w:r>
          </w:p>
          <w:p w:rsidR="004D446B" w:rsidRDefault="004D446B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Pankreatitída</w:t>
            </w:r>
          </w:p>
          <w:p w:rsidR="004D446B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Dysfágia</w:t>
            </w:r>
          </w:p>
          <w:p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Hnačka</w:t>
            </w:r>
          </w:p>
          <w:p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Abdominálne ťažkosti</w:t>
            </w:r>
          </w:p>
          <w:p w:rsidR="00997C5F" w:rsidRDefault="00587649" w:rsidP="00FE1716">
            <w:pPr>
              <w:tabs>
                <w:tab w:val="left" w:pos="0"/>
              </w:tabs>
              <w:ind w:right="-2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E1716">
              <w:rPr>
                <w:sz w:val="22"/>
                <w:szCs w:val="22"/>
              </w:rPr>
              <w:t>epríjemný pocit v žalúdku</w:t>
            </w:r>
          </w:p>
        </w:tc>
      </w:tr>
      <w:tr w:rsidR="00D63BFC" w:rsidTr="00816353">
        <w:tc>
          <w:tcPr>
            <w:tcW w:w="1668" w:type="dxa"/>
          </w:tcPr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Poruchy </w:t>
            </w:r>
          </w:p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pečene a </w:t>
            </w:r>
          </w:p>
          <w:p w:rsidR="00D63BF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žlčových ciest</w:t>
            </w:r>
          </w:p>
        </w:tc>
        <w:tc>
          <w:tcPr>
            <w:tcW w:w="2127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Zlyhanie pečene</w:t>
            </w:r>
          </w:p>
          <w:p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Hepatitída</w:t>
            </w:r>
          </w:p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Žltačka</w:t>
            </w:r>
          </w:p>
          <w:p w:rsidR="00D41259" w:rsidRPr="00D41259" w:rsidRDefault="00D41259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41259" w:rsidRPr="00D41259">
              <w:rPr>
                <w:sz w:val="22"/>
                <w:szCs w:val="22"/>
              </w:rPr>
              <w:t>lanínaminotransferázy</w:t>
            </w:r>
            <w:r w:rsidR="00D41259">
              <w:rPr>
                <w:sz w:val="22"/>
                <w:szCs w:val="22"/>
              </w:rPr>
              <w:t xml:space="preserve"> (A</w:t>
            </w:r>
            <w:r>
              <w:rPr>
                <w:sz w:val="22"/>
                <w:szCs w:val="22"/>
              </w:rPr>
              <w:t>L</w:t>
            </w:r>
            <w:r w:rsidR="00D41259">
              <w:rPr>
                <w:sz w:val="22"/>
                <w:szCs w:val="22"/>
              </w:rPr>
              <w:t>T)</w:t>
            </w:r>
          </w:p>
          <w:p w:rsidR="008004BE" w:rsidRPr="00D41259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D41259">
              <w:rPr>
                <w:sz w:val="22"/>
                <w:szCs w:val="22"/>
              </w:rPr>
              <w:t>spartátaminotransferázy</w:t>
            </w:r>
            <w:r>
              <w:rPr>
                <w:sz w:val="22"/>
                <w:szCs w:val="22"/>
              </w:rPr>
              <w:t xml:space="preserve"> (AST)</w:t>
            </w:r>
          </w:p>
          <w:p w:rsidR="00D41259" w:rsidRPr="00D41259" w:rsidRDefault="00D41259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D41259" w:rsidRPr="00D41259">
              <w:rPr>
                <w:sz w:val="22"/>
                <w:szCs w:val="22"/>
              </w:rPr>
              <w:t>amaglutamyltransferázy</w:t>
            </w:r>
            <w:r w:rsidR="00D41259">
              <w:rPr>
                <w:sz w:val="22"/>
                <w:szCs w:val="22"/>
              </w:rPr>
              <w:t xml:space="preserve"> (G</w:t>
            </w:r>
            <w:r w:rsidR="00B82C1F">
              <w:rPr>
                <w:sz w:val="22"/>
                <w:szCs w:val="22"/>
              </w:rPr>
              <w:t>G</w:t>
            </w:r>
            <w:r w:rsidR="00D41259">
              <w:rPr>
                <w:sz w:val="22"/>
                <w:szCs w:val="22"/>
              </w:rPr>
              <w:t>T)</w:t>
            </w:r>
          </w:p>
          <w:p w:rsid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hladiny alkalickej fosfatázy</w:t>
            </w:r>
          </w:p>
        </w:tc>
      </w:tr>
      <w:tr w:rsidR="00D63BFC" w:rsidTr="00816353">
        <w:tc>
          <w:tcPr>
            <w:tcW w:w="1668" w:type="dxa"/>
          </w:tcPr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Poruchy kože </w:t>
            </w:r>
          </w:p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a podkožného </w:t>
            </w:r>
          </w:p>
          <w:p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Vyrážka</w:t>
            </w:r>
          </w:p>
          <w:p w:rsid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Fotosenzitívna reakcia</w:t>
            </w:r>
          </w:p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Alopécia</w:t>
            </w:r>
          </w:p>
          <w:p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Hyperhidróza</w:t>
            </w:r>
          </w:p>
        </w:tc>
      </w:tr>
      <w:tr w:rsidR="00633FBC" w:rsidTr="00816353">
        <w:tc>
          <w:tcPr>
            <w:tcW w:w="1668" w:type="dxa"/>
          </w:tcPr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Poruchy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kostrovej a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svalovej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sústavy a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spojivového </w:t>
            </w:r>
          </w:p>
          <w:p w:rsidR="00633FBC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Rabdomyolýza</w:t>
            </w:r>
          </w:p>
          <w:p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Myalgia</w:t>
            </w:r>
          </w:p>
          <w:p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Stuhnutosť</w:t>
            </w:r>
          </w:p>
        </w:tc>
      </w:tr>
      <w:tr w:rsidR="00633FBC" w:rsidTr="00816353">
        <w:tc>
          <w:tcPr>
            <w:tcW w:w="1668" w:type="dxa"/>
          </w:tcPr>
          <w:p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Poruchy </w:t>
            </w:r>
          </w:p>
          <w:p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obličiek a </w:t>
            </w:r>
          </w:p>
          <w:p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močových </w:t>
            </w:r>
          </w:p>
          <w:p w:rsidR="00633FBC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ciest</w:t>
            </w:r>
          </w:p>
        </w:tc>
        <w:tc>
          <w:tcPr>
            <w:tcW w:w="2127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Retencia moču</w:t>
            </w:r>
          </w:p>
          <w:p w:rsidR="00633FBC" w:rsidRDefault="00AE7883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D3894" w:rsidRPr="00BD3894">
              <w:rPr>
                <w:sz w:val="22"/>
                <w:szCs w:val="22"/>
              </w:rPr>
              <w:t>nkontinencia</w:t>
            </w:r>
            <w:r>
              <w:rPr>
                <w:sz w:val="22"/>
                <w:szCs w:val="22"/>
              </w:rPr>
              <w:t xml:space="preserve"> moču</w:t>
            </w:r>
          </w:p>
        </w:tc>
      </w:tr>
      <w:tr w:rsidR="001D2E99" w:rsidTr="00816353">
        <w:tc>
          <w:tcPr>
            <w:tcW w:w="1668" w:type="dxa"/>
          </w:tcPr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Stavy v </w:t>
            </w:r>
          </w:p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gravidite, v </w:t>
            </w:r>
          </w:p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lastRenderedPageBreak/>
              <w:t xml:space="preserve">šestonedelí a </w:t>
            </w:r>
          </w:p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perinatálnom </w:t>
            </w:r>
          </w:p>
          <w:p w:rsidR="001D2E99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>období</w:t>
            </w:r>
          </w:p>
        </w:tc>
        <w:tc>
          <w:tcPr>
            <w:tcW w:w="2127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A67A5F" w:rsidRPr="00A67A5F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 xml:space="preserve">Neonatálny abstinenčný </w:t>
            </w:r>
          </w:p>
          <w:p w:rsidR="001D2E99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>syndróm (pozri časť 4.6)</w:t>
            </w:r>
          </w:p>
        </w:tc>
      </w:tr>
      <w:tr w:rsidR="001D2E99" w:rsidTr="00816353">
        <w:tc>
          <w:tcPr>
            <w:tcW w:w="1668" w:type="dxa"/>
          </w:tcPr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reprodukčnéh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o systému a </w:t>
            </w:r>
          </w:p>
          <w:p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prsníkov</w:t>
            </w:r>
          </w:p>
        </w:tc>
        <w:tc>
          <w:tcPr>
            <w:tcW w:w="2127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Priapizmus</w:t>
            </w:r>
          </w:p>
        </w:tc>
      </w:tr>
      <w:tr w:rsidR="001D2E99" w:rsidTr="00816353">
        <w:tc>
          <w:tcPr>
            <w:tcW w:w="1668" w:type="dxa"/>
          </w:tcPr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Celkové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a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reakcie v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mieste </w:t>
            </w:r>
          </w:p>
          <w:p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podania</w:t>
            </w:r>
          </w:p>
        </w:tc>
        <w:tc>
          <w:tcPr>
            <w:tcW w:w="2127" w:type="dxa"/>
          </w:tcPr>
          <w:p w:rsidR="001D2E99" w:rsidRDefault="009512B5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Únava</w:t>
            </w:r>
          </w:p>
        </w:tc>
        <w:tc>
          <w:tcPr>
            <w:tcW w:w="2322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Bolesť v hrudníku </w:t>
            </w:r>
          </w:p>
          <w:p w:rsidR="001D2E99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>Periférny edém</w:t>
            </w:r>
          </w:p>
        </w:tc>
      </w:tr>
      <w:tr w:rsidR="009E6764" w:rsidTr="00816353">
        <w:tc>
          <w:tcPr>
            <w:tcW w:w="1668" w:type="dxa"/>
          </w:tcPr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Laboratórne </w:t>
            </w:r>
          </w:p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a funkčné </w:t>
            </w:r>
          </w:p>
          <w:p w:rsidR="009E6764" w:rsidRPr="009E6764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vyšetrenia</w:t>
            </w:r>
          </w:p>
        </w:tc>
        <w:tc>
          <w:tcPr>
            <w:tcW w:w="2127" w:type="dxa"/>
          </w:tcPr>
          <w:p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Zvýšenie </w:t>
            </w:r>
            <w:r w:rsidR="00AE7883">
              <w:rPr>
                <w:sz w:val="22"/>
                <w:szCs w:val="22"/>
              </w:rPr>
              <w:t xml:space="preserve">hladiny </w:t>
            </w:r>
            <w:r w:rsidRPr="00A82E65">
              <w:rPr>
                <w:sz w:val="22"/>
                <w:szCs w:val="22"/>
              </w:rPr>
              <w:t>glukózy v krvi</w:t>
            </w:r>
          </w:p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Zvýšenie</w:t>
            </w:r>
            <w:r w:rsidR="00AE7883">
              <w:rPr>
                <w:sz w:val="22"/>
                <w:szCs w:val="22"/>
              </w:rPr>
              <w:t xml:space="preserve"> g</w:t>
            </w:r>
            <w:r w:rsidRPr="00A82E65">
              <w:rPr>
                <w:sz w:val="22"/>
                <w:szCs w:val="22"/>
              </w:rPr>
              <w:t xml:space="preserve">lykozylovaného </w:t>
            </w:r>
          </w:p>
          <w:p w:rsidR="009E6764" w:rsidRDefault="00AE7883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A82E65" w:rsidRPr="00A82E65">
              <w:rPr>
                <w:sz w:val="22"/>
                <w:szCs w:val="22"/>
              </w:rPr>
              <w:t>emoglobínu</w:t>
            </w:r>
          </w:p>
          <w:p w:rsidR="00A8095D" w:rsidRDefault="00A8095D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>Kolísanie glukózy v krvi</w:t>
            </w:r>
          </w:p>
          <w:p w:rsidR="00A8095D" w:rsidRP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Zvýšenie hladiny </w:t>
            </w:r>
          </w:p>
          <w:p w:rsid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AE7883" w:rsidRDefault="00AE788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8E36B5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A58BB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i/>
          <w:iCs/>
          <w:strike w:val="0"/>
          <w:sz w:val="22"/>
          <w:szCs w:val="24"/>
        </w:rPr>
        <w:t>Dospelí</w:t>
      </w:r>
    </w:p>
    <w:p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F352E6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Extrapyramídové </w:t>
      </w:r>
      <w:r w:rsidR="00DA47AC" w:rsidRPr="005C4213">
        <w:rPr>
          <w:rFonts w:ascii="Times New Roman" w:hAnsi="Times New Roman" w:cs="Times New Roman"/>
          <w:i/>
          <w:strike w:val="0"/>
          <w:sz w:val="22"/>
          <w:szCs w:val="24"/>
        </w:rPr>
        <w:t>príznaky</w:t>
      </w: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 (EPS</w:t>
      </w:r>
      <w:r w:rsidRPr="00F352E6">
        <w:rPr>
          <w:rFonts w:ascii="Times New Roman" w:hAnsi="Times New Roman" w:cs="Times New Roman"/>
          <w:strike w:val="0"/>
          <w:sz w:val="22"/>
          <w:szCs w:val="24"/>
          <w:u w:val="single"/>
        </w:rPr>
        <w:t>)</w:t>
      </w:r>
    </w:p>
    <w:p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</w:t>
      </w:r>
      <w:r w:rsidR="00AF075A">
        <w:rPr>
          <w:rFonts w:ascii="Times New Roman" w:hAnsi="Times New Roman" w:cs="Times New Roman"/>
          <w:strike w:val="0"/>
          <w:sz w:val="22"/>
          <w:szCs w:val="24"/>
        </w:rPr>
        <w:t>í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aripiprazolom celkovo nižšiu incidenciu (25,8%) EPS zahŕňajúcich parkinsonizmus, akatíziu, dystóniu a dyskinézu v porovnaní s pacientmi liečenými haloperidolom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2C37CD" w:rsidRPr="00EF433E" w:rsidRDefault="002C37CD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dlhodobom 26 týždňov trvajúcom placebom kontrolovanom skúšaní bola u pacientov liečených aripiprazolom incidencia EPS 18,2 % a u pacientov liečených placebom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F352E6" w:rsidRDefault="000B33D1" w:rsidP="000B33D1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Akatízia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pacientov liečených placebom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F352E6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2"/>
        </w:rPr>
        <w:t xml:space="preserve">Dystónia </w:t>
      </w:r>
    </w:p>
    <w:p w:rsidR="00DC4C2B" w:rsidRDefault="000B33D1" w:rsidP="00D87929">
      <w:pPr>
        <w:pStyle w:val="Textkomentra"/>
        <w:rPr>
          <w:sz w:val="22"/>
          <w:szCs w:val="22"/>
        </w:rPr>
      </w:pPr>
      <w:r w:rsidRPr="00F352E6">
        <w:rPr>
          <w:i/>
          <w:sz w:val="22"/>
          <w:szCs w:val="22"/>
        </w:rPr>
        <w:t>Class efekt</w:t>
      </w:r>
      <w:r w:rsidRPr="00EF433E">
        <w:rPr>
          <w:sz w:val="22"/>
          <w:szCs w:val="22"/>
        </w:rPr>
        <w:t xml:space="preserve"> - </w:t>
      </w:r>
      <w:r w:rsidR="00783F1A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dystónie, predĺžené abnormálne kontrakcie svalových skupín, sa môžu objaviť </w:t>
      </w:r>
    </w:p>
    <w:p w:rsidR="000B33D1" w:rsidRDefault="000B33D1" w:rsidP="00F352E6">
      <w:pPr>
        <w:pStyle w:val="Textkomentra"/>
        <w:rPr>
          <w:sz w:val="22"/>
          <w:szCs w:val="22"/>
        </w:rPr>
      </w:pPr>
      <w:r w:rsidRPr="00EF433E">
        <w:rPr>
          <w:sz w:val="22"/>
          <w:szCs w:val="22"/>
        </w:rPr>
        <w:t xml:space="preserve">u citlivých jedincov počas prvých niekoľkých dní liečby. Dystonické symptómy zahŕňajú: spazmus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>Aj keď sa tieto príznaky môžu objaviť pri nízkych dávkach, častejšie a s väčšou závažnosťou sa vyskytujú u vysoko účinných a vo vyšších dávkach podávaných antipsychotických liekov prvej generácie.</w:t>
      </w:r>
      <w:r w:rsidR="00783F1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dystónie je pozorované u mužov a mladších vekových skupín. </w:t>
      </w:r>
    </w:p>
    <w:p w:rsidR="00FA19CD" w:rsidRDefault="00FA19CD" w:rsidP="00F352E6">
      <w:pPr>
        <w:pStyle w:val="Textkomentra"/>
        <w:rPr>
          <w:sz w:val="22"/>
          <w:szCs w:val="22"/>
        </w:rPr>
      </w:pPr>
    </w:p>
    <w:p w:rsidR="00FA19CD" w:rsidRDefault="00FA19CD" w:rsidP="00F352E6">
      <w:pPr>
        <w:pStyle w:val="Textkomentra"/>
        <w:rPr>
          <w:i/>
          <w:sz w:val="22"/>
          <w:szCs w:val="22"/>
        </w:rPr>
      </w:pPr>
      <w:r>
        <w:rPr>
          <w:i/>
          <w:sz w:val="22"/>
          <w:szCs w:val="22"/>
        </w:rPr>
        <w:t>Prolaktín</w:t>
      </w:r>
    </w:p>
    <w:p w:rsidR="00FA19CD" w:rsidRPr="00FA19CD" w:rsidRDefault="00FA19CD" w:rsidP="00F352E6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Počas klinického skúšania pre schválené indikácie a po </w:t>
      </w:r>
      <w:r w:rsidR="00A1258B">
        <w:rPr>
          <w:sz w:val="22"/>
          <w:szCs w:val="22"/>
        </w:rPr>
        <w:t>uvedení</w:t>
      </w:r>
      <w:r>
        <w:rPr>
          <w:sz w:val="22"/>
          <w:szCs w:val="22"/>
        </w:rPr>
        <w:t xml:space="preserve"> na trh bol pri aripiprazole v porovn</w:t>
      </w:r>
      <w:r w:rsidR="00422953">
        <w:rPr>
          <w:sz w:val="22"/>
          <w:szCs w:val="22"/>
        </w:rPr>
        <w:t>an</w:t>
      </w:r>
      <w:r>
        <w:rPr>
          <w:sz w:val="22"/>
          <w:szCs w:val="22"/>
        </w:rPr>
        <w:t>í s východiskovou hodnotou pozorovaný nárast aj pokles prolaktínu v sére (časť 5.1).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A1258B" w:rsidRPr="003940F4" w:rsidRDefault="00A1258B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3940F4">
        <w:rPr>
          <w:rFonts w:ascii="Times New Roman" w:hAnsi="Times New Roman" w:cs="Times New Roman"/>
          <w:i/>
          <w:strike w:val="0"/>
          <w:sz w:val="22"/>
          <w:szCs w:val="22"/>
        </w:rPr>
        <w:t>Laboratórne parametre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</w:t>
      </w:r>
      <w:r w:rsidRPr="005537C1">
        <w:rPr>
          <w:rFonts w:ascii="Times New Roman" w:hAnsi="Times New Roman" w:cs="Times New Roman"/>
          <w:strike w:val="0"/>
          <w:sz w:val="22"/>
          <w:szCs w:val="22"/>
        </w:rPr>
        <w:t>pomere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pacientov, u ktorých sa vyskytli potenciálne klinicky významné zmeny v bežných laboratórnych a lipidových parametroch (pozri časť 5.1), neodhalili žiadne medicínsky dôležité rozdiely. Zvýšenie CPK (kreatínfosfokinázy) zvyčajne prechodné a asymptomatické bolo pozorované u 3,5 % pacientov liečených aripiprazolom v porovnaní s 2,0 % pacientov liečených placebom.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F352E6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 xml:space="preserve">Dospievajúci so schizofréniou vo veku </w:t>
      </w:r>
      <w:r w:rsidR="005537C1">
        <w:rPr>
          <w:rFonts w:ascii="Times New Roman" w:hAnsi="Times New Roman" w:cs="Times New Roman"/>
          <w:i/>
          <w:strike w:val="0"/>
          <w:sz w:val="22"/>
          <w:szCs w:val="24"/>
        </w:rPr>
        <w:t xml:space="preserve">od </w:t>
      </w: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>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="00C95010" w:rsidRPr="00EF433E">
        <w:rPr>
          <w:sz w:val="22"/>
          <w:szCs w:val="22"/>
        </w:rPr>
        <w:t xml:space="preserve">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aripiprazol ako u dospelých užívajúcich aripiprazol (a častejšie ako placebo): </w:t>
      </w:r>
      <w:r w:rsidR="00C95010" w:rsidRPr="00EF433E">
        <w:rPr>
          <w:sz w:val="22"/>
          <w:szCs w:val="22"/>
        </w:rPr>
        <w:t>somnolencia/sedácia a 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ortostatická hypotenzia boli hlásené ako časté (≥ 1/100 až &lt; 1/10). </w:t>
      </w:r>
    </w:p>
    <w:p w:rsidR="000B33D1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:rsidR="00824E92" w:rsidRDefault="00824E92" w:rsidP="000B33D1">
      <w:pPr>
        <w:pStyle w:val="Default"/>
      </w:pPr>
      <w:r>
        <w:t xml:space="preserve"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</w:t>
      </w:r>
      <w:r w:rsidRPr="00A9411C">
        <w:t>krv</w:t>
      </w:r>
      <w:r w:rsidR="000F7995" w:rsidRPr="00A9411C">
        <w:t>i</w:t>
      </w:r>
      <w:r w:rsidRPr="00A9411C">
        <w:t>,</w:t>
      </w:r>
      <w:r>
        <w:t xml:space="preserve"> arytmia a leukopénia boli hlásené často (≥ 1/100, &lt; 1/10). </w:t>
      </w:r>
    </w:p>
    <w:p w:rsidR="00824E92" w:rsidRPr="00EF433E" w:rsidRDefault="00824E92" w:rsidP="000B33D1">
      <w:pPr>
        <w:pStyle w:val="Default"/>
        <w:rPr>
          <w:sz w:val="22"/>
          <w:szCs w:val="22"/>
        </w:rPr>
      </w:pP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61737C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</w:t>
      </w:r>
      <w:r w:rsidR="00F175A0">
        <w:rPr>
          <w:rFonts w:ascii="Times New Roman" w:hAnsi="Times New Roman" w:cs="Times New Roman"/>
          <w:strike w:val="0"/>
          <w:sz w:val="22"/>
          <w:szCs w:val="22"/>
        </w:rPr>
        <w:t>so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schizofréniou, ktorí boli vystavení 5 až 30 mg aripiprazolu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prolaktínu v sére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u žien (&lt; 3 ng/ml) 25,6 % a u mužov (&lt; 2 ng/ml) 45,0 %.</w:t>
      </w:r>
    </w:p>
    <w:p w:rsidR="00482664" w:rsidRDefault="003C0750" w:rsidP="00C95010">
      <w:pPr>
        <w:pStyle w:val="Default"/>
        <w:rPr>
          <w:i/>
          <w:iCs/>
          <w:sz w:val="22"/>
          <w:szCs w:val="22"/>
        </w:rPr>
      </w:pPr>
      <w:r>
        <w:t xml:space="preserve">V </w:t>
      </w:r>
      <w:r w:rsidR="00482664">
        <w:t>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  <w:r w:rsidR="00482664" w:rsidRPr="00F352E6">
        <w:rPr>
          <w:i/>
          <w:iCs/>
          <w:sz w:val="22"/>
          <w:szCs w:val="22"/>
        </w:rPr>
        <w:t xml:space="preserve"> </w:t>
      </w:r>
    </w:p>
    <w:p w:rsidR="00482664" w:rsidRDefault="00482664" w:rsidP="00C95010">
      <w:pPr>
        <w:pStyle w:val="Default"/>
        <w:rPr>
          <w:i/>
          <w:iCs/>
          <w:sz w:val="22"/>
          <w:szCs w:val="22"/>
        </w:rPr>
      </w:pPr>
    </w:p>
    <w:p w:rsidR="00C95010" w:rsidRPr="00F352E6" w:rsidRDefault="00C95010" w:rsidP="00C95010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Manické epizódy pri bipolárnej poruche typu I u dospievajúcich vo veku </w:t>
      </w:r>
      <w:r w:rsidR="0061737C">
        <w:rPr>
          <w:i/>
          <w:iCs/>
          <w:sz w:val="22"/>
          <w:szCs w:val="22"/>
        </w:rPr>
        <w:t xml:space="preserve">od </w:t>
      </w:r>
      <w:r w:rsidRPr="00F352E6">
        <w:rPr>
          <w:i/>
          <w:iCs/>
          <w:sz w:val="22"/>
          <w:szCs w:val="22"/>
        </w:rPr>
        <w:t xml:space="preserve">13 rokov a starších </w:t>
      </w:r>
    </w:p>
    <w:p w:rsidR="0061737C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dospievajúcich s bipolárnou poruchou typu I boli podobné tým, ktoré boli u dospelých s výnimkou nasledovných reakcií: veľmi časté (≥ 1/10) somnolencia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(23,0 %), </w:t>
      </w:r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akatízia (16,0 %) a únava (11,8 %); a časté (≥ 1/100 až &lt; 1/10) abdominálna bolesť v hornej časti, zvýšená tepová frekvencia, zvýšená telesná hmotnosť, zvýšená chuť do jedla, svalové zášklby a dyskinéza.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</w:t>
      </w:r>
      <w:r w:rsidR="002A58BB">
        <w:rPr>
          <w:sz w:val="22"/>
          <w:szCs w:val="22"/>
        </w:rPr>
        <w:t>reakcie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mali pravdepodobný vzťah s odpoveďou na dávku; extrapyram</w:t>
      </w:r>
      <w:r w:rsidR="00FD667E">
        <w:rPr>
          <w:sz w:val="22"/>
          <w:szCs w:val="22"/>
        </w:rPr>
        <w:t>ídová</w:t>
      </w:r>
      <w:r w:rsidRPr="00EF433E">
        <w:rPr>
          <w:sz w:val="22"/>
          <w:szCs w:val="22"/>
        </w:rPr>
        <w:t xml:space="preserve"> porucha (incidencia bola pri 10 mg: 9,1 %; pri 30 mg: 28,8 % a pri placebe: 1,7 %); a akatízia incidencia bola pri 10 mg: 12,1 %; pri 30 mg: 20,3 % a pri placebe: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aripiprazole boli 2,4 kg a 5,8 kg (v uvedenom poradí) a po placebe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somnolencia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61737C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>V pediatrickej populácii s bipolárnou poruchou (10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-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s expozíciou do 30. týždňov bola incidencia nízkych hladín prolaktínu v sére u dievčat (&lt; 3 ng/ml) 28,0 % a u chlapcov (&lt; 2 ng/ml) </w:t>
      </w: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53,3 %.</w:t>
      </w:r>
    </w:p>
    <w:p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A58BB" w:rsidRPr="00434A1F" w:rsidRDefault="002A58BB" w:rsidP="002A58BB">
      <w:pPr>
        <w:pStyle w:val="Zkladntext3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434A1F">
        <w:rPr>
          <w:rFonts w:ascii="Times New Roman" w:hAnsi="Times New Roman" w:cs="Times New Roman"/>
          <w:i/>
          <w:strike w:val="0"/>
          <w:sz w:val="22"/>
          <w:szCs w:val="24"/>
        </w:rPr>
        <w:t>Patologické hráčstvo a ďalšie poruchy kontroly impulzov</w:t>
      </w:r>
    </w:p>
    <w:p w:rsidR="002A58BB" w:rsidRPr="002A58BB" w:rsidRDefault="002A58BB" w:rsidP="002A58BB">
      <w:pPr>
        <w:pStyle w:val="Zkladntext3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>Patologické hráčstvo, hypersexualita, kompulzívne nakupovanie a prejedanie sa alebo kompulzívne</w:t>
      </w:r>
    </w:p>
    <w:p w:rsidR="002A58BB" w:rsidRPr="002A58BB" w:rsidRDefault="002A58BB" w:rsidP="002A58BB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>jedenie sa môžu vyskytnúť u pacientov liečených aripiprazolom (pozri časť 4.4).</w:t>
      </w:r>
    </w:p>
    <w:p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F352E6" w:rsidRDefault="00462EDB" w:rsidP="00462EDB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F352E6">
        <w:rPr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736204">
        <w:rPr>
          <w:noProof/>
          <w:sz w:val="22"/>
          <w:szCs w:val="22"/>
        </w:rPr>
        <w:t xml:space="preserve">na </w:t>
      </w:r>
      <w:r w:rsidRPr="00E92BB7">
        <w:rPr>
          <w:noProof/>
          <w:sz w:val="22"/>
          <w:szCs w:val="22"/>
          <w:highlight w:val="lightGray"/>
        </w:rPr>
        <w:t>národné</w:t>
      </w:r>
      <w:r w:rsidR="00736204">
        <w:rPr>
          <w:noProof/>
          <w:sz w:val="22"/>
          <w:szCs w:val="22"/>
          <w:highlight w:val="lightGray"/>
        </w:rPr>
        <w:t xml:space="preserve"> centrum </w:t>
      </w:r>
      <w:r w:rsidRPr="00E92BB7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 xml:space="preserve">a </w:t>
      </w:r>
      <w:r w:rsidR="007E37D0">
        <w:rPr>
          <w:sz w:val="22"/>
          <w:u w:val="single"/>
          <w:lang w:val="sk-SK"/>
        </w:rPr>
        <w:t>príznaky</w:t>
      </w:r>
      <w:r w:rsidR="000665F8" w:rsidRPr="00EF433E">
        <w:rPr>
          <w:sz w:val="22"/>
          <w:u w:val="single"/>
          <w:lang w:val="sk-SK"/>
        </w:rPr>
        <w:t xml:space="preserve"> </w:t>
      </w:r>
    </w:p>
    <w:p w:rsidR="009D6EDE" w:rsidRPr="00EF433E" w:rsidRDefault="009D6EDE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</w:t>
      </w:r>
      <w:r w:rsidR="003C0AA8">
        <w:rPr>
          <w:sz w:val="22"/>
          <w:szCs w:val="22"/>
        </w:rPr>
        <w:t> zo skúsenosti po uvedení lieku na trh</w:t>
      </w:r>
      <w:r w:rsidRPr="00EF433E">
        <w:rPr>
          <w:sz w:val="22"/>
          <w:szCs w:val="22"/>
        </w:rPr>
        <w:t xml:space="preserve">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samotn</w:t>
      </w:r>
      <w:r w:rsidR="00923777">
        <w:rPr>
          <w:sz w:val="22"/>
          <w:szCs w:val="22"/>
        </w:rPr>
        <w:t>ým</w:t>
      </w:r>
      <w:r w:rsidRPr="00EF433E">
        <w:rPr>
          <w:sz w:val="22"/>
          <w:szCs w:val="22"/>
        </w:rPr>
        <w:t xml:space="preserve"> aripiprazol</w:t>
      </w:r>
      <w:r w:rsidR="00923777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 xml:space="preserve">dové </w:t>
      </w:r>
      <w:r w:rsidR="003C0AA8">
        <w:rPr>
          <w:sz w:val="22"/>
          <w:szCs w:val="22"/>
        </w:rPr>
        <w:t>príznaky</w:t>
      </w:r>
      <w:r w:rsidRPr="00EF433E">
        <w:rPr>
          <w:sz w:val="22"/>
          <w:szCs w:val="22"/>
        </w:rPr>
        <w:t>.</w:t>
      </w:r>
    </w:p>
    <w:p w:rsidR="00235C21" w:rsidRPr="00EF433E" w:rsidRDefault="00235C21" w:rsidP="00A440E6">
      <w:pPr>
        <w:rPr>
          <w:sz w:val="22"/>
        </w:rPr>
      </w:pPr>
    </w:p>
    <w:p w:rsidR="003C13BC" w:rsidRDefault="003C13BC" w:rsidP="00A440E6">
      <w:pPr>
        <w:rPr>
          <w:sz w:val="22"/>
          <w:u w:val="single"/>
        </w:rPr>
      </w:pPr>
      <w:r w:rsidRPr="003940F4">
        <w:rPr>
          <w:sz w:val="22"/>
          <w:u w:val="single"/>
        </w:rPr>
        <w:t>Liečba predávkovania</w:t>
      </w:r>
    </w:p>
    <w:p w:rsidR="009D6EDE" w:rsidRPr="00F352E6" w:rsidRDefault="009D6EDE" w:rsidP="00A440E6">
      <w:pPr>
        <w:rPr>
          <w:sz w:val="22"/>
        </w:rPr>
      </w:pP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oxygenáciu a ventiláciu a na liečbu príznakov. Musí sa zvážiť možnosť </w:t>
      </w:r>
      <w:r w:rsidR="0093176D">
        <w:rPr>
          <w:sz w:val="22"/>
          <w:szCs w:val="22"/>
        </w:rPr>
        <w:t>podania</w:t>
      </w:r>
      <w:r w:rsidRPr="00EF433E">
        <w:rPr>
          <w:sz w:val="22"/>
          <w:szCs w:val="22"/>
        </w:rPr>
        <w:t xml:space="preserve"> ďalších liekov. Preto sa má okamžite začať monitorovanie kardiovaskulárneho systému vrátane priebežného elektrokardiografického monitorovania na odhalenie možných arytmií. Po akomkoľvek potvrdenom alebo </w:t>
      </w:r>
      <w:r w:rsidR="0093176D">
        <w:rPr>
          <w:sz w:val="22"/>
          <w:szCs w:val="22"/>
        </w:rPr>
        <w:t xml:space="preserve">pri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>aripiprazolom</w:t>
      </w:r>
      <w:r w:rsidR="00506E94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437531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aripiprazolu znížilo hodnoty C</w:t>
      </w:r>
      <w:r w:rsidR="009E6686" w:rsidRPr="00EF433E">
        <w:rPr>
          <w:sz w:val="14"/>
          <w:szCs w:val="14"/>
        </w:rPr>
        <w:t xml:space="preserve">max </w:t>
      </w:r>
      <w:r w:rsidR="009E6686" w:rsidRPr="00EF433E">
        <w:rPr>
          <w:sz w:val="22"/>
          <w:szCs w:val="22"/>
        </w:rPr>
        <w:t xml:space="preserve">aripiprazolu asi o 41 % a hodnoty AUC asi o 51 %, čo poukazuje na to, že živočíšne uhlie môže byť účinné </w:t>
      </w:r>
    </w:p>
    <w:p w:rsidR="00B946BE" w:rsidRPr="00EF433E" w:rsidRDefault="009E6686" w:rsidP="009E668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D6EDE" w:rsidRPr="00EF433E" w:rsidRDefault="009D6EDE" w:rsidP="009E6686">
      <w:pPr>
        <w:pStyle w:val="Zkladntext"/>
        <w:jc w:val="left"/>
        <w:rPr>
          <w:sz w:val="22"/>
          <w:szCs w:val="22"/>
          <w:u w:val="single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aripiprazol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Farmakodynamické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r w:rsidRPr="00EF433E">
        <w:rPr>
          <w:b w:val="0"/>
          <w:bCs/>
          <w:lang w:val="sk-SK"/>
        </w:rPr>
        <w:t>Farmakoterapeutická skupina:</w:t>
      </w:r>
      <w:r w:rsidR="009E6686" w:rsidRPr="00EF433E">
        <w:rPr>
          <w:b w:val="0"/>
          <w:bCs/>
          <w:lang w:val="sk-SK"/>
        </w:rPr>
        <w:t xml:space="preserve"> </w:t>
      </w:r>
      <w:r w:rsidR="002A58BB" w:rsidRPr="002A58BB">
        <w:rPr>
          <w:b w:val="0"/>
          <w:bCs/>
          <w:lang w:val="sk-SK"/>
        </w:rPr>
        <w:t xml:space="preserve">Psycholeptiká, </w:t>
      </w:r>
      <w:r w:rsidR="009E6686" w:rsidRPr="00EF433E">
        <w:rPr>
          <w:b w:val="0"/>
          <w:bCs/>
          <w:lang w:val="sk-SK"/>
        </w:rPr>
        <w:t>iné antipsychotiká</w:t>
      </w:r>
      <w:r w:rsidR="00436BC8">
        <w:rPr>
          <w:b w:val="0"/>
          <w:bCs/>
          <w:lang w:val="sk-SK"/>
        </w:rPr>
        <w:t xml:space="preserve">,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  <w:r w:rsidR="00FE70FF">
        <w:rPr>
          <w:b w:val="0"/>
          <w:bCs/>
          <w:lang w:val="sk-SK"/>
        </w:rPr>
        <w:t>.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A762C" w:rsidRPr="00EF433E" w:rsidRDefault="009A762C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9E6686" w:rsidRPr="00AF5E5B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agonizmu </w:t>
      </w:r>
      <w:r w:rsidRPr="00AF5E5B">
        <w:rPr>
          <w:sz w:val="22"/>
          <w:szCs w:val="22"/>
        </w:rPr>
        <w:t>dopamínových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sérotonínových 5HT</w:t>
      </w:r>
      <w:r w:rsidRPr="00AF5E5B">
        <w:rPr>
          <w:sz w:val="14"/>
          <w:szCs w:val="14"/>
        </w:rPr>
        <w:t>1</w:t>
      </w:r>
      <w:r w:rsidR="003C0750" w:rsidRPr="00AF5E5B">
        <w:rPr>
          <w:sz w:val="14"/>
          <w:szCs w:val="14"/>
        </w:rPr>
        <w:t>A</w:t>
      </w:r>
      <w:r w:rsidRPr="00AF5E5B">
        <w:rPr>
          <w:sz w:val="22"/>
          <w:szCs w:val="22"/>
        </w:rPr>
        <w:t>a receptorov a antagonizmu sérotonínových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 xml:space="preserve">a receptorov. Aripiprazol preukázal antagonistické vlastnosti na </w:t>
      </w:r>
      <w:r w:rsidRPr="00AF5E5B">
        <w:rPr>
          <w:sz w:val="22"/>
          <w:szCs w:val="22"/>
        </w:rPr>
        <w:lastRenderedPageBreak/>
        <w:t xml:space="preserve">zvieracích modeloch dopamínergnej hyperaktivity a agonistické vlastnosti na zvieracích modeloch dopamínergnej hypoaktivity. Aripiprazol preukázal </w:t>
      </w:r>
      <w:r w:rsidRPr="00AF5E5B">
        <w:rPr>
          <w:i/>
          <w:iCs/>
          <w:sz w:val="22"/>
          <w:szCs w:val="22"/>
        </w:rPr>
        <w:t xml:space="preserve">in vitro </w:t>
      </w:r>
      <w:r w:rsidRPr="00AF5E5B">
        <w:rPr>
          <w:sz w:val="22"/>
          <w:szCs w:val="22"/>
        </w:rPr>
        <w:t>vysokú väzbovú afinitu k dopamínovým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>, sérotonínovým 5HT</w:t>
      </w:r>
      <w:r w:rsidRPr="00AF5E5B">
        <w:rPr>
          <w:sz w:val="14"/>
          <w:szCs w:val="14"/>
        </w:rPr>
        <w:t>1</w:t>
      </w:r>
      <w:r w:rsidRPr="00AF5E5B">
        <w:rPr>
          <w:sz w:val="22"/>
          <w:szCs w:val="22"/>
        </w:rPr>
        <w:t>a a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>a</w:t>
      </w:r>
      <w:r w:rsidRPr="00AF5E5B">
        <w:rPr>
          <w:sz w:val="14"/>
          <w:szCs w:val="14"/>
        </w:rPr>
        <w:t xml:space="preserve"> </w:t>
      </w:r>
      <w:r w:rsidRPr="00AF5E5B">
        <w:rPr>
          <w:sz w:val="22"/>
          <w:szCs w:val="22"/>
        </w:rPr>
        <w:t>receptorom a miernu afinitu k dopamínovým D</w:t>
      </w:r>
      <w:r w:rsidRPr="00AF5E5B">
        <w:rPr>
          <w:sz w:val="22"/>
          <w:szCs w:val="22"/>
          <w:vertAlign w:val="subscript"/>
        </w:rPr>
        <w:t>4</w:t>
      </w:r>
      <w:r w:rsidRPr="00AF5E5B">
        <w:rPr>
          <w:sz w:val="22"/>
          <w:szCs w:val="22"/>
        </w:rPr>
        <w:t>, sérotonínovým 5HT</w:t>
      </w:r>
      <w:r w:rsidRPr="00AF5E5B">
        <w:rPr>
          <w:sz w:val="14"/>
          <w:szCs w:val="14"/>
        </w:rPr>
        <w:t xml:space="preserve">2c </w:t>
      </w:r>
      <w:r w:rsidRPr="00AF5E5B">
        <w:rPr>
          <w:sz w:val="22"/>
          <w:szCs w:val="22"/>
        </w:rPr>
        <w:t>a 5H</w:t>
      </w:r>
      <w:r w:rsidRPr="00AF5E5B">
        <w:rPr>
          <w:sz w:val="14"/>
          <w:szCs w:val="14"/>
        </w:rPr>
        <w:t>T7</w:t>
      </w:r>
      <w:r w:rsidRPr="00AF5E5B">
        <w:rPr>
          <w:sz w:val="22"/>
          <w:szCs w:val="22"/>
        </w:rPr>
        <w:t xml:space="preserve">, alfa-1 adrenergným a histamínovým H1 receptorom. Aripiprazol preukázal miernu afinitu aj k miestu spätného vychytávania sérotonínu a nepreukázal žiadnu </w:t>
      </w:r>
      <w:r w:rsidR="00092879" w:rsidRPr="00AF5E5B">
        <w:rPr>
          <w:sz w:val="22"/>
          <w:szCs w:val="22"/>
        </w:rPr>
        <w:t>znateľnú</w:t>
      </w:r>
      <w:r w:rsidR="00CB1EA6" w:rsidRPr="00AF5E5B">
        <w:rPr>
          <w:sz w:val="22"/>
          <w:szCs w:val="22"/>
        </w:rPr>
        <w:t xml:space="preserve"> </w:t>
      </w:r>
      <w:r w:rsidRPr="00AF5E5B">
        <w:rPr>
          <w:sz w:val="22"/>
          <w:szCs w:val="22"/>
        </w:rPr>
        <w:t xml:space="preserve">afinitu k muskarínovým receptorom. Interakcia s receptormi, ktoré sú iné ako dopamínové a sérotonínové podtypy, môže vysvetľovať niektoré z ďalších klinických účinkov aripiprazolu.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AF5E5B">
        <w:rPr>
          <w:sz w:val="22"/>
          <w:szCs w:val="22"/>
        </w:rPr>
        <w:t xml:space="preserve">Dávky aripiprazolu v rozsahu od 0,5 do 30 mg </w:t>
      </w:r>
      <w:r w:rsidR="0017582C" w:rsidRPr="00AF5E5B">
        <w:rPr>
          <w:sz w:val="22"/>
          <w:szCs w:val="22"/>
        </w:rPr>
        <w:t xml:space="preserve">podávané </w:t>
      </w:r>
      <w:r w:rsidRPr="00AF5E5B">
        <w:rPr>
          <w:sz w:val="22"/>
          <w:szCs w:val="22"/>
        </w:rPr>
        <w:t xml:space="preserve">jedenkrát denne zdravým jedincom po dobu 2 týždňov vyvolali dávkovo závislú redukciu väzby </w:t>
      </w:r>
      <w:r w:rsidRPr="00AF5E5B">
        <w:rPr>
          <w:sz w:val="14"/>
          <w:szCs w:val="14"/>
        </w:rPr>
        <w:t>11</w:t>
      </w:r>
      <w:r w:rsidRPr="00AF5E5B">
        <w:rPr>
          <w:sz w:val="22"/>
          <w:szCs w:val="22"/>
        </w:rPr>
        <w:t>C-raklopridu, ligandu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>/D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 xml:space="preserve"> receptora na caudatus a putamen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2A58BB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2A58BB">
        <w:rPr>
          <w:rFonts w:ascii="Times New Roman" w:hAnsi="Times New Roman" w:cs="Times New Roman"/>
          <w:b w:val="0"/>
          <w:i w:val="0"/>
          <w:sz w:val="22"/>
        </w:rPr>
        <w:t>Dospelí</w:t>
      </w:r>
    </w:p>
    <w:p w:rsidR="002A58BB" w:rsidRPr="00EF433E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5C4213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  <w:u w:val="none"/>
        </w:rPr>
      </w:pPr>
      <w:r w:rsidRPr="005C4213">
        <w:rPr>
          <w:rFonts w:ascii="Times New Roman" w:hAnsi="Times New Roman" w:cs="Times New Roman"/>
          <w:b w:val="0"/>
          <w:sz w:val="22"/>
          <w:u w:val="none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troch krátkodobých (4 až 6 týždňových) placebom kontrolovaných štúdiách zahŕňajúcich 1</w:t>
      </w:r>
      <w:r w:rsidR="00C56111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228 dospelých  pacientov </w:t>
      </w:r>
      <w:r w:rsidR="001B7709">
        <w:rPr>
          <w:sz w:val="22"/>
          <w:szCs w:val="22"/>
        </w:rPr>
        <w:t>so schizofrénio</w:t>
      </w:r>
      <w:r w:rsidR="002D127D">
        <w:rPr>
          <w:sz w:val="22"/>
          <w:szCs w:val="22"/>
        </w:rPr>
        <w:t>u</w:t>
      </w:r>
      <w:r w:rsidR="001B7709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pozitívnymi alebo negatívnymi </w:t>
      </w:r>
      <w:r w:rsidR="002D127D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aripiprazol spájal so štatisticky významnými väčšími zlepšeniami v psychotických </w:t>
      </w:r>
      <w:r w:rsidR="00DC33F0">
        <w:rPr>
          <w:sz w:val="22"/>
          <w:szCs w:val="22"/>
        </w:rPr>
        <w:t>príznakoch</w:t>
      </w:r>
      <w:r w:rsidRPr="00EF433E">
        <w:rPr>
          <w:sz w:val="22"/>
          <w:szCs w:val="22"/>
        </w:rPr>
        <w:t xml:space="preserve"> v porovnaní s placebom.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FE6564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Aripiprazol </w:t>
      </w:r>
      <w:r w:rsidR="003A5461" w:rsidRPr="00EF433E">
        <w:rPr>
          <w:sz w:val="22"/>
          <w:szCs w:val="22"/>
        </w:rPr>
        <w:t>je účinn</w:t>
      </w:r>
      <w:r w:rsidR="00C216EA">
        <w:rPr>
          <w:sz w:val="22"/>
          <w:szCs w:val="22"/>
        </w:rPr>
        <w:t>ý</w:t>
      </w:r>
      <w:r w:rsidR="003A5461" w:rsidRPr="00EF433E">
        <w:rPr>
          <w:sz w:val="22"/>
          <w:szCs w:val="22"/>
        </w:rPr>
        <w:t xml:space="preserve"> v udržiavaní klinického zlepšenia počas pokračovacej terapie u dospelých pacientov, u ktorých sa prejavila odpoveď na úvodnú liečbu. V haloperidolom kontrolovan</w:t>
      </w:r>
      <w:r w:rsidR="00900D47">
        <w:rPr>
          <w:sz w:val="22"/>
          <w:szCs w:val="22"/>
        </w:rPr>
        <w:t>om skúšaní</w:t>
      </w:r>
      <w:r w:rsidR="003A5461" w:rsidRPr="00EF433E">
        <w:rPr>
          <w:sz w:val="22"/>
          <w:szCs w:val="22"/>
        </w:rPr>
        <w:t xml:space="preserve">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26-týždňovej, placebom kontrolovan</w:t>
      </w:r>
      <w:r w:rsidR="00900D47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s dospelými stabilizovanými pacientmi </w:t>
      </w:r>
    </w:p>
    <w:p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chronickou schizofréniou sa u aripiprazolu zistilo významne väčšie zníženie miery relapsu, 34 %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aripiprazolovej skupine a 57 % u placeba.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2B29EB" w:rsidRDefault="003A5461" w:rsidP="003A5461">
      <w:pPr>
        <w:pStyle w:val="Default"/>
        <w:rPr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  <w:r w:rsidRPr="00EF433E">
        <w:rPr>
          <w:sz w:val="22"/>
          <w:szCs w:val="22"/>
        </w:rPr>
        <w:t xml:space="preserve"> </w:t>
      </w:r>
    </w:p>
    <w:p w:rsidR="003A5461" w:rsidRPr="00EF433E" w:rsidRDefault="00385ADD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</w:t>
      </w:r>
      <w:r w:rsidR="002B29EB">
        <w:rPr>
          <w:sz w:val="22"/>
          <w:szCs w:val="22"/>
        </w:rPr>
        <w:t>skúšaniach</w:t>
      </w:r>
      <w:r w:rsidR="003A5461" w:rsidRPr="00EF433E">
        <w:rPr>
          <w:sz w:val="22"/>
          <w:szCs w:val="22"/>
        </w:rPr>
        <w:t xml:space="preserve"> sa ne</w:t>
      </w:r>
      <w:r w:rsidR="00EB3DAC">
        <w:rPr>
          <w:sz w:val="22"/>
          <w:szCs w:val="22"/>
        </w:rPr>
        <w:t>preu</w:t>
      </w:r>
      <w:r w:rsidR="003A5461" w:rsidRPr="00EF433E">
        <w:rPr>
          <w:sz w:val="22"/>
          <w:szCs w:val="22"/>
        </w:rPr>
        <w:t>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</w:t>
      </w:r>
      <w:r w:rsidR="00EB3DAC">
        <w:rPr>
          <w:sz w:val="22"/>
          <w:szCs w:val="22"/>
        </w:rPr>
        <w:t> pa</w:t>
      </w:r>
      <w:r w:rsidR="00D34830">
        <w:rPr>
          <w:sz w:val="22"/>
          <w:szCs w:val="22"/>
        </w:rPr>
        <w:t>c</w:t>
      </w:r>
      <w:r w:rsidR="00EB3DAC">
        <w:rPr>
          <w:sz w:val="22"/>
          <w:szCs w:val="22"/>
        </w:rPr>
        <w:t xml:space="preserve">ientmi na </w:t>
      </w:r>
      <w:r w:rsidR="003A5461" w:rsidRPr="00EF433E">
        <w:rPr>
          <w:sz w:val="22"/>
          <w:szCs w:val="22"/>
        </w:rPr>
        <w:t>olanzapín</w:t>
      </w:r>
      <w:r w:rsidR="00EB3DAC">
        <w:rPr>
          <w:sz w:val="22"/>
          <w:szCs w:val="22"/>
        </w:rPr>
        <w:t>e</w:t>
      </w:r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5D29DA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 xml:space="preserve">Lipidové parametre </w:t>
      </w:r>
    </w:p>
    <w:p w:rsidR="00AE5D24" w:rsidRPr="00EF433E" w:rsidRDefault="00BF397C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lipidových parametrov s placebom kontrolovaných klinických štúdií u dospelých, aripiprazol nepreukázal klinicky významné zmeny v hladinách celkového cholesterolu, triglyceridov, HDL a LDL. </w:t>
      </w:r>
    </w:p>
    <w:p w:rsidR="00F26D5E" w:rsidRDefault="00F26D5E" w:rsidP="003940F4">
      <w:pPr>
        <w:pStyle w:val="Default"/>
        <w:rPr>
          <w:i/>
          <w:sz w:val="22"/>
          <w:szCs w:val="22"/>
        </w:rPr>
      </w:pPr>
    </w:p>
    <w:p w:rsidR="00F26D5E" w:rsidRDefault="00F26D5E" w:rsidP="003940F4">
      <w:pPr>
        <w:pStyle w:val="Default"/>
        <w:tabs>
          <w:tab w:val="left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Prolaktín</w:t>
      </w:r>
    </w:p>
    <w:p w:rsidR="00F26D5E" w:rsidRPr="003940F4" w:rsidRDefault="00F26D5E" w:rsidP="003940F4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Hladiny prolaktínu boli hodnotené</w:t>
      </w:r>
      <w:r w:rsidR="002F116C">
        <w:rPr>
          <w:sz w:val="22"/>
          <w:szCs w:val="22"/>
        </w:rPr>
        <w:t xml:space="preserve"> </w:t>
      </w:r>
      <w:r>
        <w:rPr>
          <w:sz w:val="22"/>
          <w:szCs w:val="22"/>
        </w:rPr>
        <w:t>vo všetkých skúšaniach</w:t>
      </w:r>
      <w:r w:rsidR="002F116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vo všetkých dávkach aripiprazolu (n = 28 242). Výskyt </w:t>
      </w:r>
      <w:r w:rsidRPr="00F26D5E">
        <w:rPr>
          <w:sz w:val="22"/>
          <w:szCs w:val="22"/>
        </w:rPr>
        <w:t>hyperprolaktinémie alebo nárast prolaktínu v sére u</w:t>
      </w:r>
      <w:r>
        <w:rPr>
          <w:sz w:val="22"/>
          <w:szCs w:val="22"/>
        </w:rPr>
        <w:t> </w:t>
      </w:r>
      <w:r w:rsidRPr="00F26D5E">
        <w:rPr>
          <w:sz w:val="22"/>
          <w:szCs w:val="22"/>
        </w:rPr>
        <w:t>pacientov</w:t>
      </w:r>
      <w:r>
        <w:rPr>
          <w:sz w:val="22"/>
          <w:szCs w:val="22"/>
        </w:rPr>
        <w:t xml:space="preserve"> liečených aripiprazolom (0,3 %) bol podobný ako výskyt pri </w:t>
      </w:r>
      <w:r w:rsidR="002F116C">
        <w:rPr>
          <w:sz w:val="22"/>
          <w:szCs w:val="22"/>
        </w:rPr>
        <w:t>užívaní</w:t>
      </w:r>
      <w:r>
        <w:rPr>
          <w:sz w:val="22"/>
          <w:szCs w:val="22"/>
        </w:rPr>
        <w:t xml:space="preserve"> placeb</w:t>
      </w:r>
      <w:r w:rsidR="002F116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(0,2 %). U pacientov liečených </w:t>
      </w:r>
      <w:r w:rsidRPr="003940F4">
        <w:rPr>
          <w:sz w:val="22"/>
          <w:szCs w:val="22"/>
        </w:rPr>
        <w:t xml:space="preserve">aripiprazolom </w:t>
      </w:r>
      <w:r w:rsidR="00187CB8" w:rsidRPr="003940F4">
        <w:rPr>
          <w:sz w:val="22"/>
          <w:szCs w:val="22"/>
        </w:rPr>
        <w:t xml:space="preserve">výskyt </w:t>
      </w:r>
      <w:r w:rsidRPr="003940F4">
        <w:rPr>
          <w:sz w:val="22"/>
          <w:szCs w:val="22"/>
        </w:rPr>
        <w:t>nastal v priemere po 42 dňoch a trval v priemere 34 dní.</w:t>
      </w:r>
    </w:p>
    <w:p w:rsidR="00C91277" w:rsidRPr="00F26D5E" w:rsidRDefault="00365E93" w:rsidP="003940F4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Výskyt hyperprolaktinémie alebo zvýšenie hladiny prolaktínu v sére u pacientov liečených aripiprazolom </w:t>
      </w:r>
      <w:r w:rsidR="002F6457" w:rsidRPr="003940F4">
        <w:rPr>
          <w:sz w:val="22"/>
          <w:szCs w:val="22"/>
        </w:rPr>
        <w:t>b</w:t>
      </w:r>
      <w:r w:rsidRPr="003940F4">
        <w:rPr>
          <w:sz w:val="22"/>
          <w:szCs w:val="22"/>
        </w:rPr>
        <w:t xml:space="preserve">ol 0,4% v porovnaní s 0,02% u pacientov </w:t>
      </w:r>
      <w:r w:rsidR="006A74E4" w:rsidRPr="003940F4">
        <w:rPr>
          <w:sz w:val="22"/>
          <w:szCs w:val="22"/>
        </w:rPr>
        <w:t xml:space="preserve">užívajúcich </w:t>
      </w:r>
      <w:r w:rsidRPr="003940F4">
        <w:rPr>
          <w:sz w:val="22"/>
          <w:szCs w:val="22"/>
        </w:rPr>
        <w:t xml:space="preserve"> placebo. </w:t>
      </w:r>
      <w:r w:rsidR="00187CB8" w:rsidRPr="003940F4">
        <w:rPr>
          <w:sz w:val="22"/>
          <w:szCs w:val="22"/>
        </w:rPr>
        <w:t>U pacientov liečených aripiprazolom výskyt nastal v priemere po 30 dňoch a trval v priemere 194 dní.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5C4213" w:rsidRDefault="003A5461" w:rsidP="003A5461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lastRenderedPageBreak/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monoterapeutických </w:t>
      </w:r>
      <w:r w:rsidR="005D29DA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jedn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3-týždňov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>j placebom kontrolovan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monoterapeutick</w:t>
      </w:r>
      <w:r w:rsidR="00596C95">
        <w:rPr>
          <w:sz w:val="22"/>
          <w:szCs w:val="22"/>
        </w:rPr>
        <w:t>om</w:t>
      </w:r>
      <w:r w:rsidR="00E71D41">
        <w:rPr>
          <w:sz w:val="22"/>
          <w:szCs w:val="22"/>
        </w:rPr>
        <w:t xml:space="preserve"> </w:t>
      </w:r>
      <w:r w:rsidR="00596C95">
        <w:rPr>
          <w:sz w:val="22"/>
          <w:szCs w:val="22"/>
        </w:rPr>
        <w:t>skúšaní</w:t>
      </w:r>
      <w:r w:rsidRPr="00EF433E">
        <w:rPr>
          <w:sz w:val="22"/>
          <w:szCs w:val="22"/>
        </w:rPr>
        <w:t xml:space="preserve"> s fixným dávkovaním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I, aripiprazol nepreukázal lepšiu účinnosť v porovnaní s placebom.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monoterapeutických </w:t>
      </w:r>
      <w:r w:rsidR="000D21B3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8C53A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3D1142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 s psychotickými príznakmi alebo bez nich, ktorí čiastočne neodpovedali na monoterapiu lítiom alebo valproátom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aripiprazolu ako adjuvantnej terapie za následok lepšiu účinnosť </w:t>
      </w: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znížení manických symptómov ako monoterapia lítiom alebo valproátom.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8C53AB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nasledovan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74-týždňovým rozšírením </w:t>
      </w:r>
      <w:r w:rsidR="008C53AB">
        <w:rPr>
          <w:sz w:val="22"/>
          <w:szCs w:val="22"/>
        </w:rPr>
        <w:t>skúšania</w:t>
      </w:r>
      <w:r w:rsidRPr="00EF433E">
        <w:rPr>
          <w:sz w:val="22"/>
          <w:szCs w:val="22"/>
        </w:rPr>
        <w:t xml:space="preserve"> u manických pacientov, ktorí dosiahli remisiu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randomizáciou, aripiprazol dosiahol lepšiu účinnosť ako placebo v prevencii bipolárnej rekurencie, najmä v prevencii rekurencie mánie, ale nedosiahol lepšiu účinnosť ako placebo v prevencii rekurencie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52-týždňov</w:t>
      </w:r>
      <w:r w:rsidR="00B65C1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B65C16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u pacientov so súčasnou manickou alebo zmiešanou epizódou bipolárnej poruchy typu I, ktorý dosiahli pretrvávajúcu remisiu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valproátu počas 12 po sebe nasledujúcich týždňoch, pridaný aripiprazol preukázal lepšiu účinnosť ako placebo so 46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</w:t>
      </w:r>
    </w:p>
    <w:p w:rsidR="00B65C16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tomto skúšaní boli pacienti zaradení skúšajúcimi do dvoch skupín</w:t>
      </w:r>
      <w:r w:rsidR="00456E98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r w:rsidR="009A72A2" w:rsidRPr="00EF433E">
        <w:rPr>
          <w:sz w:val="22"/>
          <w:szCs w:val="22"/>
        </w:rPr>
        <w:t xml:space="preserve">monoterapie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lítiom alebo valproátom na zistenie čiastočnej odpovede. Pacienti boli stabilizovaní počas najmenej 12 po sebe nasledujúcich týždňov kombináciou aripiprazolu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5C4213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6-týždňovom placebom kontrolovanom skúšaní zahŕňajúcom 302 dospievajúcich pacientov (</w:t>
      </w:r>
      <w:r w:rsidR="00456E98">
        <w:rPr>
          <w:sz w:val="22"/>
          <w:szCs w:val="22"/>
        </w:rPr>
        <w:t xml:space="preserve">vo veku </w:t>
      </w:r>
      <w:r w:rsidRPr="00EF433E">
        <w:rPr>
          <w:sz w:val="22"/>
          <w:szCs w:val="22"/>
        </w:rPr>
        <w:t>13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-17 rokov) so schizofréniou s pozitívnymi alebo negatívnymi </w:t>
      </w:r>
      <w:r w:rsidR="00344AF5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aripiprazol spájal so štatisticky významnejším zlepšením psychotických symptómov v porovnaní s placebom.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lastRenderedPageBreak/>
        <w:t>Pri subanalýze dospievajúcich pacientov vo veku medzi 15 až 17 rokmi, ktorí predstavujú 74</w:t>
      </w:r>
      <w:r w:rsidR="00312B0C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% celkovej zaradenej populácie, sa zachovanie účinku pozorovalo dlhšie ako počas 26-týždňovej otvorenej predĺženej štúdii.</w:t>
      </w:r>
    </w:p>
    <w:p w:rsidR="009671B7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E729C" w:rsidRPr="005C4213" w:rsidRDefault="00DE729C" w:rsidP="009671B7">
      <w:pPr>
        <w:pStyle w:val="Zarkazkladnhotextu2"/>
        <w:ind w:left="0" w:firstLine="0"/>
        <w:jc w:val="left"/>
        <w:rPr>
          <w:sz w:val="22"/>
          <w:szCs w:val="22"/>
        </w:rPr>
      </w:pPr>
      <w:r w:rsidRPr="005C4213">
        <w:rPr>
          <w:sz w:val="22"/>
          <w:szCs w:val="22"/>
        </w:rPr>
        <w:t>V 60- až 89-</w:t>
      </w:r>
      <w:r w:rsidR="008072E5" w:rsidRPr="005C4213">
        <w:rPr>
          <w:sz w:val="22"/>
          <w:szCs w:val="22"/>
        </w:rPr>
        <w:t>týždňov</w:t>
      </w:r>
      <w:r w:rsidR="008072E5">
        <w:rPr>
          <w:sz w:val="22"/>
          <w:szCs w:val="22"/>
        </w:rPr>
        <w:t>om</w:t>
      </w:r>
      <w:r w:rsidRPr="005C4213">
        <w:rPr>
          <w:sz w:val="22"/>
          <w:szCs w:val="22"/>
        </w:rPr>
        <w:t xml:space="preserve">, </w:t>
      </w:r>
      <w:r w:rsidR="008072E5" w:rsidRPr="005C4213">
        <w:rPr>
          <w:sz w:val="22"/>
          <w:szCs w:val="22"/>
        </w:rPr>
        <w:t>randomizovan</w:t>
      </w:r>
      <w:r w:rsidR="008072E5">
        <w:rPr>
          <w:sz w:val="22"/>
          <w:szCs w:val="22"/>
        </w:rPr>
        <w:t>om</w:t>
      </w:r>
      <w:r w:rsidRPr="005C4213">
        <w:rPr>
          <w:sz w:val="22"/>
          <w:szCs w:val="22"/>
        </w:rPr>
        <w:t xml:space="preserve">, dvojito </w:t>
      </w:r>
      <w:r w:rsidR="008072E5" w:rsidRPr="005C4213">
        <w:rPr>
          <w:sz w:val="22"/>
          <w:szCs w:val="22"/>
        </w:rPr>
        <w:t>zaslepen</w:t>
      </w:r>
      <w:r w:rsidR="008072E5">
        <w:rPr>
          <w:sz w:val="22"/>
          <w:szCs w:val="22"/>
        </w:rPr>
        <w:t>om</w:t>
      </w:r>
      <w:r w:rsidRPr="005C4213">
        <w:rPr>
          <w:sz w:val="22"/>
          <w:szCs w:val="22"/>
        </w:rPr>
        <w:t xml:space="preserve">, placebom </w:t>
      </w:r>
      <w:r w:rsidR="008072E5" w:rsidRPr="005C4213">
        <w:rPr>
          <w:sz w:val="22"/>
          <w:szCs w:val="22"/>
        </w:rPr>
        <w:t>kontrolovan</w:t>
      </w:r>
      <w:r w:rsidR="008072E5">
        <w:rPr>
          <w:sz w:val="22"/>
          <w:szCs w:val="22"/>
        </w:rPr>
        <w:t>om skúšaní</w:t>
      </w:r>
      <w:r w:rsidRPr="005C4213">
        <w:rPr>
          <w:sz w:val="22"/>
          <w:szCs w:val="22"/>
        </w:rPr>
        <w:t xml:space="preserve">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29, placebo, n = 12) a interval spoľahlivosti pre tento odhad (v rozsahu 0,151 až 1,628) neumožnil vykonať závery na základe účinku liečby. V porovnaní s 95 % intervalom spoľahlivosti pre pomer rizika (HR) v podskupine starších pacientov (aripiprazol, n = 69, placebo, n = 36), interval bol v rozsahu 0,242 až 0,879, čo umožňovalo vykonať záver týkajúci sa účinku liečby u starších pacientov.</w:t>
      </w:r>
    </w:p>
    <w:p w:rsidR="00DE729C" w:rsidRPr="00EF433E" w:rsidRDefault="00DE729C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5C4213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Manické epizódy pri bipolárnej poruche typu I u detí a dospievajúcich</w:t>
      </w:r>
    </w:p>
    <w:p w:rsidR="00B65C16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v 30-týždňovom placebom kontrolovanom klinickom skúšaní, do ktorého bolo zaradených 296 detí a dospievajúcich (10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-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17 rokov), ktorí spĺňali kritériá DSM-IV pre bipolárnu poruchu typu I s manickými alebo zmiešanými epizódami s psychotickými znakmi alebo bez nich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komorbiditu ADHD. 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Aripiprazol bol superiórny v celkovom skóre Y-MRS voči placebu v zmene medzi východiskovým stavom a 4. týždňom a 12. týždňom. V následnej (post-hoc) analýze bolo zlepšenie voči placebu očividnejšie u pacientov so spojenou komorbiditou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r w:rsidR="000F1765">
        <w:rPr>
          <w:sz w:val="22"/>
          <w:szCs w:val="22"/>
          <w:lang w:val="sk-SK"/>
        </w:rPr>
        <w:t xml:space="preserve">rekurencie </w:t>
      </w:r>
      <w:r w:rsidR="00B65C16">
        <w:rPr>
          <w:sz w:val="22"/>
          <w:szCs w:val="22"/>
          <w:lang w:val="sk-SK"/>
        </w:rPr>
        <w:t>sa ne</w:t>
      </w:r>
      <w:r w:rsidRPr="00EF433E">
        <w:rPr>
          <w:sz w:val="22"/>
          <w:szCs w:val="22"/>
          <w:lang w:val="sk-SK"/>
        </w:rPr>
        <w:t>dokáza</w:t>
      </w:r>
      <w:r w:rsidR="00B65C16">
        <w:rPr>
          <w:sz w:val="22"/>
          <w:szCs w:val="22"/>
          <w:lang w:val="sk-SK"/>
        </w:rPr>
        <w:t>la</w:t>
      </w:r>
      <w:r w:rsidRPr="00EF433E">
        <w:rPr>
          <w:sz w:val="22"/>
          <w:szCs w:val="22"/>
          <w:lang w:val="sk-SK"/>
        </w:rPr>
        <w:t>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7836EF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extrapyramídové poruchy (28,3 %), somnolencia (27,3 %), bolesť hlavy (23,2 %) a nauzea (14,1 %). Priemerný </w:t>
      </w:r>
      <w:r w:rsidR="008A5B77">
        <w:rPr>
          <w:sz w:val="22"/>
          <w:szCs w:val="22"/>
          <w:lang w:val="sk-SK"/>
        </w:rPr>
        <w:t>prírastok</w:t>
      </w:r>
      <w:r w:rsidRPr="00EF433E">
        <w:rPr>
          <w:sz w:val="22"/>
          <w:szCs w:val="22"/>
          <w:lang w:val="sk-SK"/>
        </w:rPr>
        <w:t xml:space="preserve"> telesnej hmotnosti v 30-týždňovom intervale liečby bol 2,9 kg v porovnaní </w:t>
      </w: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s 0,98 kg u pacientov liečených placebom.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5C4213" w:rsidRDefault="00D8728F" w:rsidP="00D8728F">
      <w:pPr>
        <w:pStyle w:val="Default"/>
        <w:rPr>
          <w:i/>
          <w:sz w:val="22"/>
          <w:szCs w:val="22"/>
          <w:u w:val="single"/>
        </w:rPr>
      </w:pPr>
      <w:r w:rsidRPr="005C4213">
        <w:rPr>
          <w:i/>
          <w:iCs/>
          <w:sz w:val="22"/>
          <w:szCs w:val="22"/>
        </w:rPr>
        <w:t>Podráždenosť spojená s autistickou poruchou u pediatrických pacientov (pozri časť 4.2</w:t>
      </w:r>
      <w:r w:rsidRPr="005C4213">
        <w:rPr>
          <w:i/>
          <w:iCs/>
          <w:sz w:val="22"/>
          <w:szCs w:val="22"/>
          <w:u w:val="single"/>
        </w:rPr>
        <w:t>)</w:t>
      </w:r>
      <w:r w:rsidRPr="0016694D">
        <w:rPr>
          <w:i/>
          <w:iCs/>
          <w:sz w:val="22"/>
          <w:szCs w:val="22"/>
          <w:u w:val="single"/>
        </w:rPr>
        <w:t xml:space="preserve"> </w:t>
      </w:r>
    </w:p>
    <w:p w:rsidR="007836EF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Aripiprazol preukázal štatisticky významnú superioritu účinnosti v porovnaní s placebom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 xml:space="preserve">iprazol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>klinickom skúšaní. Po 13</w:t>
      </w:r>
      <w:r w:rsidR="00EF3034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-26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</w:t>
      </w:r>
      <w:r w:rsidRPr="00EF433E">
        <w:rPr>
          <w:sz w:val="22"/>
          <w:szCs w:val="22"/>
        </w:rPr>
        <w:lastRenderedPageBreak/>
        <w:t xml:space="preserve">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7836EF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sa hlásili najmä počas stabilizačnej fázy u 17 % pacientov, s trasom predstavujúcim 6,5 %.</w:t>
      </w:r>
    </w:p>
    <w:p w:rsidR="00E81D28" w:rsidRPr="005C4213" w:rsidRDefault="00E81D28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</w:p>
    <w:p w:rsidR="00B72BB2" w:rsidRPr="005C4213" w:rsidRDefault="00B72BB2" w:rsidP="00B72BB2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Tiky súvisiace s Tourettovým syndrómom u pediatrických pacientov 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úvodnej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:rsidR="007836EF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a bezpečnosti aripiprazolu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7836EF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aripiprazolom </w:t>
      </w: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Farmakokinetické vlastnosti</w:t>
      </w:r>
    </w:p>
    <w:p w:rsidR="00A0467A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1542E9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  <w:r>
        <w:rPr>
          <w:szCs w:val="24"/>
          <w:lang w:val="sk-SK"/>
        </w:rPr>
        <w:t>Orodispergovateľn</w:t>
      </w:r>
      <w:r w:rsidR="007A7FA7">
        <w:rPr>
          <w:szCs w:val="24"/>
          <w:lang w:val="sk-SK"/>
        </w:rPr>
        <w:t>á</w:t>
      </w:r>
      <w:r>
        <w:rPr>
          <w:szCs w:val="24"/>
          <w:lang w:val="sk-SK"/>
        </w:rPr>
        <w:t xml:space="preserve"> tablet</w:t>
      </w:r>
      <w:r w:rsidR="007A7FA7">
        <w:rPr>
          <w:szCs w:val="24"/>
          <w:lang w:val="sk-SK"/>
        </w:rPr>
        <w:t>a</w:t>
      </w:r>
      <w:r>
        <w:rPr>
          <w:szCs w:val="24"/>
          <w:lang w:val="sk-SK"/>
        </w:rPr>
        <w:t xml:space="preserve"> aripirazolu </w:t>
      </w:r>
      <w:r w:rsidR="007A7FA7">
        <w:rPr>
          <w:szCs w:val="24"/>
          <w:lang w:val="sk-SK"/>
        </w:rPr>
        <w:t>je</w:t>
      </w:r>
      <w:r>
        <w:rPr>
          <w:szCs w:val="24"/>
          <w:lang w:val="sk-SK"/>
        </w:rPr>
        <w:t xml:space="preserve"> bioekvivalentn</w:t>
      </w:r>
      <w:r w:rsidR="007A7FA7">
        <w:rPr>
          <w:szCs w:val="24"/>
          <w:lang w:val="sk-SK"/>
        </w:rPr>
        <w:t>á</w:t>
      </w:r>
      <w:r>
        <w:rPr>
          <w:szCs w:val="24"/>
          <w:lang w:val="sk-SK"/>
        </w:rPr>
        <w:t xml:space="preserve"> aripirazolu</w:t>
      </w:r>
      <w:r w:rsidR="007A7FA7">
        <w:rPr>
          <w:szCs w:val="24"/>
          <w:lang w:val="sk-SK"/>
        </w:rPr>
        <w:t xml:space="preserve"> v tablete</w:t>
      </w:r>
      <w:r>
        <w:rPr>
          <w:szCs w:val="24"/>
          <w:lang w:val="sk-SK"/>
        </w:rPr>
        <w:t xml:space="preserve"> s podobnou rýchlosťou a rozsahom absorpcie.</w:t>
      </w:r>
      <w:r w:rsidR="0089548A" w:rsidRPr="0089548A">
        <w:rPr>
          <w:szCs w:val="24"/>
          <w:lang w:val="sk-SK"/>
        </w:rPr>
        <w:t xml:space="preserve"> </w:t>
      </w:r>
      <w:r w:rsidR="0089548A">
        <w:rPr>
          <w:szCs w:val="24"/>
          <w:lang w:val="sk-SK"/>
        </w:rPr>
        <w:t>Orodispergovateľné tablety aripirazolu sa môžu používať ako alternatíva tabliet aripirazolu.</w:t>
      </w:r>
    </w:p>
    <w:p w:rsidR="001542E9" w:rsidRPr="00EF433E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A96506" w:rsidRPr="00EF433E" w:rsidRDefault="00A96506" w:rsidP="00A440E6">
      <w:pPr>
        <w:rPr>
          <w:sz w:val="22"/>
          <w:u w:val="single"/>
        </w:rPr>
      </w:pP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Aripiprazol sa dobre vstrebáva a vrcholové plazmatické koncentrácie sa dosiahnu do 3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-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5 hodín po podaní dávky. Aripiprazol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farmakokinetiku aripiprazolu.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 xml:space="preserve">Biotransformácia </w:t>
      </w:r>
    </w:p>
    <w:p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FD3E85" w:rsidRPr="00EF433E" w:rsidRDefault="00FD3E85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Aripiprazol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biotransformačnými dráhami: dehydrogenáciou, hydroxyláciou a N-dealkyláciou.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dehydrogenáciu a </w:t>
      </w:r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r w:rsidR="009D53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hodnoty AUC aripiprazolu v plazme.</w:t>
      </w:r>
    </w:p>
    <w:p w:rsidR="00FD3E85" w:rsidRPr="00EF433E" w:rsidRDefault="00FD3E85" w:rsidP="00A440E6">
      <w:pPr>
        <w:rPr>
          <w:sz w:val="22"/>
        </w:rPr>
      </w:pPr>
    </w:p>
    <w:p w:rsidR="00A0467A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96506" w:rsidRPr="00EF433E" w:rsidRDefault="00A96506" w:rsidP="00A440E6">
      <w:pPr>
        <w:rPr>
          <w:sz w:val="22"/>
          <w:u w:val="single"/>
        </w:rPr>
      </w:pPr>
    </w:p>
    <w:p w:rsidR="008144F3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aripiprazolu je približne 75 hodín u rýchlych metabolizérov CYP2D6 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 približne 146 hodín u pomalých metabolizérov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klírens aripiprazolu je 0,7 ml/min/kg a je predovšetkým hepatálny. </w:t>
      </w:r>
    </w:p>
    <w:p w:rsidR="008C7749" w:rsidRPr="00EF433E" w:rsidRDefault="008C7749" w:rsidP="00FD3E85">
      <w:pPr>
        <w:pStyle w:val="Default"/>
        <w:rPr>
          <w:sz w:val="22"/>
          <w:szCs w:val="22"/>
        </w:rPr>
      </w:pP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>Po jednotlivej perorálnej dávke aripiprazolu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>] bolo približne 27 % podanej rádioaktívnej látky zistenej v moči a približne 60 % v stolici. Menej ako 1 % nezmeneného aripiprazolu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 w:rsidRPr="00EF433E">
        <w:rPr>
          <w:sz w:val="22"/>
          <w:u w:val="single"/>
          <w:lang w:val="sk-SK"/>
        </w:rPr>
        <w:t>Farmakokinetika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5C4213" w:rsidRDefault="00ED3706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Farmakokinetika aripiprazolu a</w:t>
      </w:r>
      <w:r w:rsidR="005D5058" w:rsidRPr="00EF433E">
        <w:rPr>
          <w:sz w:val="22"/>
          <w:szCs w:val="22"/>
          <w:lang w:val="sk-SK"/>
        </w:rPr>
        <w:t> </w:t>
      </w:r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5C4213" w:rsidRDefault="00A0467A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farmakokinetike aripiprazolu medzi zdravými mužskými a ženskými jedincami a vo farmakokinetickej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Fajčenie</w:t>
      </w:r>
    </w:p>
    <w:p w:rsidR="00ED3706" w:rsidRDefault="00ED3706" w:rsidP="00C41583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neodhalilo žiadne klinicky podstatné </w:t>
      </w:r>
      <w:r w:rsidR="003B59F5" w:rsidRPr="00EF433E">
        <w:rPr>
          <w:sz w:val="22"/>
          <w:szCs w:val="22"/>
        </w:rPr>
        <w:t>účink</w:t>
      </w:r>
      <w:r w:rsidR="00C41583">
        <w:rPr>
          <w:sz w:val="22"/>
          <w:szCs w:val="22"/>
        </w:rPr>
        <w:t xml:space="preserve">y súvisiace s 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fajčen</w:t>
      </w:r>
      <w:r w:rsidR="00C41583">
        <w:rPr>
          <w:sz w:val="22"/>
          <w:szCs w:val="22"/>
        </w:rPr>
        <w:t>ím</w:t>
      </w:r>
      <w:r w:rsidRPr="00EF433E">
        <w:rPr>
          <w:sz w:val="22"/>
          <w:szCs w:val="22"/>
        </w:rPr>
        <w:t xml:space="preserve"> na farmakokinetiku aripiprazolu. </w:t>
      </w:r>
    </w:p>
    <w:p w:rsidR="00C41583" w:rsidRDefault="00C41583" w:rsidP="00C41583">
      <w:pPr>
        <w:pStyle w:val="Default"/>
        <w:rPr>
          <w:sz w:val="22"/>
          <w:szCs w:val="22"/>
        </w:rPr>
      </w:pPr>
    </w:p>
    <w:p w:rsidR="00C41583" w:rsidRPr="005C4213" w:rsidRDefault="00C41583" w:rsidP="00C41583">
      <w:pPr>
        <w:pStyle w:val="Default"/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Rasa</w:t>
      </w:r>
    </w:p>
    <w:p w:rsidR="0080550A" w:rsidRPr="0080550A" w:rsidRDefault="00C41583" w:rsidP="0080550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</w:t>
      </w:r>
      <w:r w:rsidR="0080550A" w:rsidRPr="0080550A">
        <w:rPr>
          <w:sz w:val="22"/>
          <w:szCs w:val="22"/>
        </w:rPr>
        <w:t>nepreukázalo výskyt žiadnych rozdielov spojených s rasou</w:t>
      </w:r>
    </w:p>
    <w:p w:rsidR="00C41583" w:rsidRDefault="0080550A" w:rsidP="0080550A">
      <w:pPr>
        <w:pStyle w:val="Default"/>
        <w:rPr>
          <w:sz w:val="22"/>
          <w:szCs w:val="22"/>
        </w:rPr>
      </w:pPr>
      <w:r w:rsidRPr="0080550A">
        <w:rPr>
          <w:sz w:val="22"/>
          <w:szCs w:val="22"/>
        </w:rPr>
        <w:t>vo farmakokinetike aripiprazolu</w:t>
      </w:r>
      <w:r>
        <w:rPr>
          <w:sz w:val="22"/>
          <w:szCs w:val="22"/>
        </w:rPr>
        <w:t>.</w:t>
      </w:r>
      <w:r w:rsidR="00C41583"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farmakokinetické vlastnosti aripiprazolu a dehydro-aripiprazolu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Štúdia jednorazovej dávky u jedincov s rôznymi stupňami cirhózy pečene (Child</w:t>
      </w:r>
      <w:r w:rsidR="003058F6" w:rsidRPr="003940F4">
        <w:rPr>
          <w:sz w:val="22"/>
          <w:szCs w:val="22"/>
        </w:rPr>
        <w:t>ovo</w:t>
      </w:r>
      <w:r w:rsidRPr="003940F4">
        <w:rPr>
          <w:sz w:val="22"/>
          <w:szCs w:val="22"/>
        </w:rPr>
        <w:t>-Pughov</w:t>
      </w:r>
      <w:r w:rsidR="003058F6" w:rsidRPr="003940F4">
        <w:rPr>
          <w:sz w:val="22"/>
          <w:szCs w:val="22"/>
        </w:rPr>
        <w:t>o</w:t>
      </w:r>
      <w:r w:rsidRPr="003940F4">
        <w:rPr>
          <w:sz w:val="22"/>
          <w:szCs w:val="22"/>
        </w:rPr>
        <w:t xml:space="preserve"> s</w:t>
      </w:r>
      <w:r w:rsidR="00D47F26" w:rsidRPr="003940F4">
        <w:rPr>
          <w:sz w:val="22"/>
          <w:szCs w:val="22"/>
        </w:rPr>
        <w:t>kóre</w:t>
      </w:r>
      <w:r w:rsidRPr="003940F4">
        <w:rPr>
          <w:sz w:val="22"/>
          <w:szCs w:val="22"/>
        </w:rPr>
        <w:t xml:space="preserve"> A, B a C) neodhalila významný vplyv poruchy funkcie pečene na farmakokinetiku aripiprazolu a</w:t>
      </w:r>
      <w:r w:rsidRPr="00EF433E">
        <w:rPr>
          <w:sz w:val="22"/>
          <w:szCs w:val="22"/>
        </w:rPr>
        <w:t xml:space="preserve"> dehydro-aripiprazolu,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lastRenderedPageBreak/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0064FD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5F5C57">
        <w:rPr>
          <w:sz w:val="22"/>
          <w:szCs w:val="22"/>
        </w:rPr>
        <w:t xml:space="preserve">pigmentu </w:t>
      </w:r>
      <w:r w:rsidRPr="00EF433E">
        <w:rPr>
          <w:sz w:val="22"/>
          <w:szCs w:val="22"/>
        </w:rPr>
        <w:t xml:space="preserve"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</w:t>
      </w: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Profil toxicity aripiprazolu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neurotoxicity ani nežiaducich </w:t>
      </w:r>
      <w:r w:rsidR="006A74E4">
        <w:rPr>
          <w:sz w:val="22"/>
          <w:szCs w:val="22"/>
        </w:rPr>
        <w:t xml:space="preserve">reakcií </w:t>
      </w:r>
      <w:r w:rsidRPr="00EF433E">
        <w:rPr>
          <w:sz w:val="22"/>
          <w:szCs w:val="22"/>
        </w:rPr>
        <w:t xml:space="preserve">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Default="005D5058" w:rsidP="005D5058">
      <w:pPr>
        <w:rPr>
          <w:sz w:val="22"/>
        </w:rPr>
      </w:pPr>
    </w:p>
    <w:p w:rsidR="005B20A2" w:rsidRPr="00EF433E" w:rsidRDefault="005B20A2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Default="00702298" w:rsidP="00572E13">
      <w:pPr>
        <w:pStyle w:val="Zkladntext"/>
        <w:jc w:val="left"/>
        <w:rPr>
          <w:sz w:val="22"/>
        </w:rPr>
      </w:pPr>
      <w:r>
        <w:rPr>
          <w:sz w:val="22"/>
        </w:rPr>
        <w:t>m</w:t>
      </w:r>
      <w:r w:rsidR="00572E13" w:rsidRPr="00EF433E">
        <w:rPr>
          <w:sz w:val="22"/>
        </w:rPr>
        <w:t xml:space="preserve">ikrokryštalická celulóza </w:t>
      </w:r>
    </w:p>
    <w:p w:rsidR="00B36034" w:rsidRPr="00EF433E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572E13" w:rsidRPr="00F352E6" w:rsidRDefault="00702298" w:rsidP="00572E13">
      <w:pPr>
        <w:pStyle w:val="Zkladntext"/>
        <w:jc w:val="left"/>
        <w:rPr>
          <w:sz w:val="22"/>
          <w:lang w:val="en-US"/>
        </w:rPr>
      </w:pPr>
      <w:r>
        <w:rPr>
          <w:sz w:val="22"/>
        </w:rPr>
        <w:t>aspartám</w:t>
      </w:r>
      <w:r w:rsidR="00B36034">
        <w:rPr>
          <w:sz w:val="22"/>
        </w:rPr>
        <w:t xml:space="preserve"> (E(951</w:t>
      </w:r>
      <w:r w:rsidR="00B36034">
        <w:rPr>
          <w:sz w:val="22"/>
          <w:lang w:val="en-US"/>
        </w:rPr>
        <w:t>)</w:t>
      </w:r>
    </w:p>
    <w:p w:rsidR="00B36034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vanilková príchuť:</w:t>
      </w:r>
    </w:p>
    <w:p w:rsidR="00731F4F" w:rsidRDefault="00731F4F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kukuričný maltode</w:t>
      </w:r>
      <w:r w:rsidR="006A35A0">
        <w:rPr>
          <w:sz w:val="22"/>
        </w:rPr>
        <w:t>x</w:t>
      </w:r>
      <w:r>
        <w:rPr>
          <w:sz w:val="22"/>
        </w:rPr>
        <w:t>trín</w:t>
      </w:r>
    </w:p>
    <w:p w:rsidR="00B36034" w:rsidRDefault="007750DC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aromatické látk</w:t>
      </w:r>
      <w:r w:rsidR="00A942BF">
        <w:rPr>
          <w:sz w:val="22"/>
        </w:rPr>
        <w:t>y</w:t>
      </w:r>
    </w:p>
    <w:p w:rsidR="00B36034" w:rsidRDefault="00B36034" w:rsidP="007C5528">
      <w:pPr>
        <w:pStyle w:val="Zkladntext"/>
        <w:ind w:left="567"/>
        <w:jc w:val="left"/>
        <w:rPr>
          <w:sz w:val="22"/>
          <w:lang w:val="en-US"/>
        </w:rPr>
      </w:pPr>
      <w:r>
        <w:rPr>
          <w:sz w:val="22"/>
        </w:rPr>
        <w:t>propylénglykol (E1520</w:t>
      </w:r>
      <w:r>
        <w:rPr>
          <w:sz w:val="22"/>
          <w:lang w:val="en-US"/>
        </w:rPr>
        <w:t>)</w:t>
      </w:r>
    </w:p>
    <w:p w:rsidR="00A0467A" w:rsidRDefault="00BE69F8" w:rsidP="00A440E6">
      <w:pPr>
        <w:pStyle w:val="Zkladntext"/>
        <w:jc w:val="left"/>
        <w:rPr>
          <w:sz w:val="22"/>
        </w:rPr>
      </w:pPr>
      <w:r>
        <w:rPr>
          <w:sz w:val="22"/>
        </w:rPr>
        <w:t>stearan horečnatý</w:t>
      </w:r>
    </w:p>
    <w:p w:rsidR="00702298" w:rsidRPr="00B36034" w:rsidRDefault="00731F4F" w:rsidP="00A440E6">
      <w:pPr>
        <w:pStyle w:val="Zkladntext"/>
        <w:jc w:val="left"/>
        <w:rPr>
          <w:sz w:val="22"/>
        </w:rPr>
      </w:pPr>
      <w:r>
        <w:rPr>
          <w:sz w:val="22"/>
        </w:rPr>
        <w:t xml:space="preserve">sodná soľ </w:t>
      </w:r>
      <w:r w:rsidR="00702298">
        <w:rPr>
          <w:sz w:val="22"/>
        </w:rPr>
        <w:t>kroskarmelóz</w:t>
      </w:r>
      <w:r>
        <w:rPr>
          <w:sz w:val="22"/>
        </w:rPr>
        <w:t>y</w:t>
      </w:r>
      <w:r w:rsidR="00B36034">
        <w:rPr>
          <w:sz w:val="22"/>
        </w:rPr>
        <w:t xml:space="preserve"> (E468</w:t>
      </w:r>
      <w:r w:rsidR="00B36034">
        <w:rPr>
          <w:sz w:val="22"/>
          <w:lang w:val="en-US"/>
        </w:rPr>
        <w:t>)</w:t>
      </w:r>
    </w:p>
    <w:p w:rsidR="00A0467A" w:rsidRDefault="007B1FFB" w:rsidP="00A440E6">
      <w:pPr>
        <w:rPr>
          <w:sz w:val="22"/>
          <w:lang w:val="en-US"/>
        </w:rPr>
      </w:pPr>
      <w:r>
        <w:rPr>
          <w:sz w:val="22"/>
        </w:rPr>
        <w:t>15 mg orodispergovateľné tablety</w:t>
      </w:r>
      <w:r w:rsidR="005D07A2">
        <w:rPr>
          <w:sz w:val="22"/>
        </w:rPr>
        <w:t>:</w:t>
      </w:r>
      <w:r>
        <w:rPr>
          <w:sz w:val="22"/>
        </w:rPr>
        <w:t xml:space="preserve"> žltý oxid</w:t>
      </w:r>
      <w:r w:rsidR="00E71D41">
        <w:rPr>
          <w:sz w:val="22"/>
        </w:rPr>
        <w:t xml:space="preserve"> </w:t>
      </w:r>
      <w:r>
        <w:rPr>
          <w:sz w:val="22"/>
        </w:rPr>
        <w:t>železitý (E172</w:t>
      </w:r>
      <w:r>
        <w:rPr>
          <w:sz w:val="22"/>
          <w:lang w:val="en-US"/>
        </w:rPr>
        <w:t>)</w:t>
      </w:r>
    </w:p>
    <w:p w:rsidR="007B1FFB" w:rsidRPr="00F352E6" w:rsidRDefault="007B1FFB" w:rsidP="00A440E6">
      <w:pPr>
        <w:rPr>
          <w:sz w:val="22"/>
          <w:lang w:val="en-US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lastRenderedPageBreak/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A063BA" w:rsidP="00A440E6">
      <w:pPr>
        <w:rPr>
          <w:sz w:val="22"/>
        </w:rPr>
      </w:pPr>
      <w:r>
        <w:rPr>
          <w:sz w:val="22"/>
        </w:rPr>
        <w:t>18 mesiacov.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F444D8" w:rsidRDefault="00F444D8" w:rsidP="00A440E6">
      <w:pPr>
        <w:rPr>
          <w:sz w:val="22"/>
        </w:rPr>
      </w:pPr>
      <w:r>
        <w:rPr>
          <w:sz w:val="22"/>
        </w:rPr>
        <w:t>Uchovávajte pri teplote do 25 °C.</w:t>
      </w:r>
    </w:p>
    <w:p w:rsidR="00A0467A" w:rsidRDefault="00F444D8" w:rsidP="00A440E6">
      <w:pPr>
        <w:rPr>
          <w:sz w:val="22"/>
        </w:rPr>
      </w:pPr>
      <w:r>
        <w:rPr>
          <w:sz w:val="22"/>
        </w:rPr>
        <w:t xml:space="preserve">Uchovávajte v pôvodnom </w:t>
      </w:r>
      <w:r w:rsidR="00AC63DB">
        <w:rPr>
          <w:sz w:val="22"/>
        </w:rPr>
        <w:t>obale</w:t>
      </w:r>
      <w:r>
        <w:rPr>
          <w:sz w:val="22"/>
        </w:rPr>
        <w:t xml:space="preserve"> na ochranu pred vlhkosťou. </w:t>
      </w:r>
    </w:p>
    <w:p w:rsidR="00F444D8" w:rsidRPr="00EF433E" w:rsidRDefault="00F444D8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282687" w:rsidRDefault="00572E13" w:rsidP="00572E13">
      <w:pPr>
        <w:widowControl w:val="0"/>
        <w:tabs>
          <w:tab w:val="left" w:pos="567"/>
        </w:tabs>
        <w:rPr>
          <w:bCs/>
          <w:sz w:val="22"/>
          <w:szCs w:val="22"/>
        </w:rPr>
      </w:pPr>
      <w:r w:rsidRPr="00EF433E">
        <w:rPr>
          <w:bCs/>
          <w:sz w:val="22"/>
          <w:szCs w:val="22"/>
        </w:rPr>
        <w:t>Blistr</w:t>
      </w:r>
      <w:r w:rsidR="00282687">
        <w:rPr>
          <w:bCs/>
          <w:sz w:val="22"/>
          <w:szCs w:val="22"/>
        </w:rPr>
        <w:t>ové baleni</w:t>
      </w:r>
      <w:r w:rsidR="00BF3D56">
        <w:rPr>
          <w:bCs/>
          <w:sz w:val="22"/>
          <w:szCs w:val="22"/>
        </w:rPr>
        <w:t>e</w:t>
      </w:r>
      <w:r w:rsidRPr="00EF433E">
        <w:rPr>
          <w:bCs/>
          <w:sz w:val="22"/>
          <w:szCs w:val="22"/>
        </w:rPr>
        <w:t xml:space="preserve"> (</w:t>
      </w:r>
      <w:r w:rsidR="00014B3C" w:rsidRPr="00EF433E">
        <w:rPr>
          <w:bCs/>
          <w:sz w:val="22"/>
          <w:szCs w:val="22"/>
        </w:rPr>
        <w:t>OPA/A</w:t>
      </w:r>
      <w:r w:rsidR="00A942BF">
        <w:rPr>
          <w:bCs/>
          <w:sz w:val="22"/>
          <w:szCs w:val="22"/>
        </w:rPr>
        <w:t>lu</w:t>
      </w:r>
      <w:r w:rsidR="00014B3C" w:rsidRPr="00EF433E">
        <w:rPr>
          <w:bCs/>
          <w:sz w:val="22"/>
          <w:szCs w:val="22"/>
        </w:rPr>
        <w:t>/PVC</w:t>
      </w:r>
      <w:r w:rsidR="00282687">
        <w:rPr>
          <w:bCs/>
          <w:sz w:val="22"/>
          <w:szCs w:val="22"/>
        </w:rPr>
        <w:t>/</w:t>
      </w:r>
      <w:r w:rsidR="00014B3C" w:rsidRPr="00EF433E">
        <w:rPr>
          <w:bCs/>
          <w:sz w:val="22"/>
          <w:szCs w:val="22"/>
        </w:rPr>
        <w:t>A</w:t>
      </w:r>
      <w:r w:rsidR="00A942BF">
        <w:rPr>
          <w:bCs/>
          <w:sz w:val="22"/>
          <w:szCs w:val="22"/>
        </w:rPr>
        <w:t>lu</w:t>
      </w:r>
      <w:r w:rsidRPr="00EF433E">
        <w:rPr>
          <w:bCs/>
          <w:sz w:val="22"/>
          <w:szCs w:val="22"/>
        </w:rPr>
        <w:t>)</w:t>
      </w:r>
      <w:r w:rsidR="00282687">
        <w:rPr>
          <w:bCs/>
          <w:sz w:val="22"/>
          <w:szCs w:val="22"/>
        </w:rPr>
        <w:t xml:space="preserve"> s pretlačovacou fóliou</w:t>
      </w:r>
      <w:r w:rsidR="00BF3D56">
        <w:rPr>
          <w:bCs/>
          <w:sz w:val="22"/>
          <w:szCs w:val="22"/>
        </w:rPr>
        <w:t>.</w:t>
      </w:r>
    </w:p>
    <w:p w:rsidR="000A2280" w:rsidRDefault="000A2280" w:rsidP="00572E13">
      <w:pPr>
        <w:widowControl w:val="0"/>
        <w:tabs>
          <w:tab w:val="left" w:pos="567"/>
        </w:tabs>
        <w:rPr>
          <w:bCs/>
          <w:i/>
          <w:sz w:val="22"/>
          <w:szCs w:val="22"/>
        </w:rPr>
      </w:pPr>
      <w:r w:rsidRPr="00BF3D56">
        <w:rPr>
          <w:bCs/>
          <w:i/>
          <w:sz w:val="22"/>
          <w:szCs w:val="22"/>
        </w:rPr>
        <w:t>Veľkosti balenia</w:t>
      </w:r>
      <w:r w:rsidR="00BF3D56">
        <w:rPr>
          <w:bCs/>
          <w:i/>
          <w:sz w:val="22"/>
          <w:szCs w:val="22"/>
        </w:rPr>
        <w:t>:</w:t>
      </w:r>
    </w:p>
    <w:p w:rsidR="00A0467A" w:rsidRPr="00EF433E" w:rsidRDefault="00BF3D56" w:rsidP="00572E13">
      <w:pPr>
        <w:widowControl w:val="0"/>
        <w:tabs>
          <w:tab w:val="left" w:pos="567"/>
        </w:tabs>
        <w:rPr>
          <w:sz w:val="22"/>
        </w:rPr>
      </w:pPr>
      <w:r>
        <w:rPr>
          <w:bCs/>
          <w:i/>
          <w:sz w:val="22"/>
          <w:szCs w:val="22"/>
        </w:rPr>
        <w:t>Pretlačovacie blistrové baleni</w:t>
      </w:r>
      <w:r w:rsidR="00036F83">
        <w:rPr>
          <w:bCs/>
          <w:i/>
          <w:sz w:val="22"/>
          <w:szCs w:val="22"/>
        </w:rPr>
        <w:t>e</w:t>
      </w:r>
      <w:r>
        <w:rPr>
          <w:bCs/>
          <w:i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572E13" w:rsidRPr="00EF433E">
        <w:rPr>
          <w:sz w:val="22"/>
        </w:rPr>
        <w:t>14, 28, 30, 56</w:t>
      </w:r>
      <w:r w:rsidR="0066204C">
        <w:rPr>
          <w:sz w:val="22"/>
        </w:rPr>
        <w:t xml:space="preserve"> a</w:t>
      </w:r>
      <w:r w:rsidR="00572E13" w:rsidRPr="00EF433E">
        <w:rPr>
          <w:sz w:val="22"/>
        </w:rPr>
        <w:t xml:space="preserve"> 98 </w:t>
      </w:r>
      <w:r w:rsidR="00036F83">
        <w:rPr>
          <w:sz w:val="22"/>
        </w:rPr>
        <w:t xml:space="preserve">orodispergovateľných </w:t>
      </w:r>
      <w:r w:rsidR="00572E13" w:rsidRPr="00EF433E">
        <w:rPr>
          <w:sz w:val="22"/>
          <w:szCs w:val="22"/>
        </w:rPr>
        <w:t>tabliet.</w:t>
      </w:r>
    </w:p>
    <w:p w:rsidR="00813C17" w:rsidRPr="00EF433E" w:rsidRDefault="00813C17" w:rsidP="00A440E6">
      <w:pPr>
        <w:tabs>
          <w:tab w:val="left" w:pos="709"/>
        </w:tabs>
        <w:rPr>
          <w:iCs/>
          <w:sz w:val="22"/>
          <w:u w:val="single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Default="00EF433E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 xml:space="preserve">Žiadne </w:t>
      </w:r>
      <w:r w:rsidR="00E80FB0">
        <w:rPr>
          <w:rFonts w:ascii="Times New Roman" w:hAnsi="Times New Roman" w:cs="Times New Roman"/>
          <w:bCs/>
          <w:strike w:val="0"/>
          <w:sz w:val="22"/>
          <w:szCs w:val="24"/>
        </w:rPr>
        <w:t xml:space="preserve">zvláštne </w:t>
      </w: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>požiadavky na likvidáciu</w:t>
      </w:r>
      <w:r w:rsidR="00A0467A" w:rsidRPr="00EF433E">
        <w:rPr>
          <w:rFonts w:ascii="Times New Roman" w:hAnsi="Times New Roman" w:cs="Times New Roman"/>
          <w:bCs/>
          <w:strike w:val="0"/>
          <w:sz w:val="22"/>
          <w:szCs w:val="24"/>
        </w:rPr>
        <w:t>.</w:t>
      </w:r>
    </w:p>
    <w:p w:rsidR="00A2723F" w:rsidRPr="00EF433E" w:rsidRDefault="00A2723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771B6F" w:rsidRDefault="00771B6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rFonts w:ascii="Times New Roman" w:hAnsi="Times New Roman" w:cs="Times New Roman"/>
          <w:strike w:val="0"/>
          <w:sz w:val="22"/>
          <w:szCs w:val="22"/>
        </w:rPr>
        <w:t>Všetok nepoužitý liek alebo odpad vzniknutý z lieku sa má zlikvidovať v súlade s národnými požiadavkami.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CD5EA2" w:rsidRPr="00CD5EA2" w:rsidRDefault="00CD5EA2" w:rsidP="00CD5EA2">
      <w:pPr>
        <w:framePr w:hSpace="180" w:wrap="around" w:vAnchor="text" w:hAnchor="margin" w:y="206"/>
        <w:rPr>
          <w:sz w:val="22"/>
          <w:szCs w:val="22"/>
          <w:lang w:val="is-IS"/>
        </w:rPr>
      </w:pPr>
      <w:r w:rsidRPr="00CD5EA2">
        <w:rPr>
          <w:sz w:val="22"/>
          <w:szCs w:val="22"/>
          <w:lang w:val="is-IS"/>
        </w:rPr>
        <w:t xml:space="preserve">Actavis Group PTC ehf. </w:t>
      </w:r>
    </w:p>
    <w:p w:rsidR="00CD5EA2" w:rsidRPr="00CD5EA2" w:rsidRDefault="00CD5EA2" w:rsidP="00CD5EA2">
      <w:pPr>
        <w:framePr w:hSpace="180" w:wrap="around" w:vAnchor="text" w:hAnchor="margin" w:y="206"/>
        <w:rPr>
          <w:sz w:val="22"/>
          <w:szCs w:val="22"/>
          <w:lang w:val="is-IS"/>
        </w:rPr>
      </w:pPr>
      <w:r w:rsidRPr="00CD5EA2">
        <w:rPr>
          <w:sz w:val="22"/>
          <w:szCs w:val="22"/>
          <w:lang w:val="is-IS"/>
        </w:rPr>
        <w:t>Reykjavíkurvegi 76-78</w:t>
      </w:r>
    </w:p>
    <w:p w:rsidR="00CD5EA2" w:rsidRPr="00CD5EA2" w:rsidRDefault="00CD5EA2" w:rsidP="00CD5EA2">
      <w:pPr>
        <w:framePr w:hSpace="180" w:wrap="around" w:vAnchor="text" w:hAnchor="margin" w:y="206"/>
        <w:rPr>
          <w:sz w:val="22"/>
          <w:szCs w:val="22"/>
          <w:lang w:val="is-IS"/>
        </w:rPr>
      </w:pPr>
      <w:r w:rsidRPr="00CD5EA2">
        <w:rPr>
          <w:sz w:val="22"/>
          <w:szCs w:val="22"/>
          <w:lang w:val="is-IS"/>
        </w:rPr>
        <w:t>220 Hafnarfjordur</w:t>
      </w:r>
    </w:p>
    <w:p w:rsidR="00CD5EA2" w:rsidRPr="00CD5EA2" w:rsidRDefault="00CD5EA2" w:rsidP="00CD5EA2">
      <w:pPr>
        <w:rPr>
          <w:rFonts w:ascii="Trebuchet MS" w:hAnsi="Trebuchet MS"/>
          <w:sz w:val="22"/>
          <w:szCs w:val="22"/>
          <w:lang w:val="is-IS"/>
        </w:rPr>
      </w:pPr>
      <w:r w:rsidRPr="00CD5EA2">
        <w:rPr>
          <w:sz w:val="22"/>
          <w:szCs w:val="22"/>
          <w:lang w:val="is-IS"/>
        </w:rPr>
        <w:t>Island</w:t>
      </w:r>
    </w:p>
    <w:p w:rsidR="00FC3BDF" w:rsidRDefault="00FC3BDF" w:rsidP="00A440E6">
      <w:pPr>
        <w:rPr>
          <w:color w:val="000000"/>
          <w:sz w:val="20"/>
        </w:rPr>
      </w:pPr>
    </w:p>
    <w:p w:rsidR="00E71D41" w:rsidRPr="00C01587" w:rsidRDefault="00E71D41" w:rsidP="00A440E6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CD5EA2" w:rsidRDefault="000A1721">
      <w:r>
        <w:rPr>
          <w:noProof/>
          <w:sz w:val="22"/>
        </w:rPr>
        <w:t>Lemilvo</w:t>
      </w:r>
      <w:r w:rsidR="000F0738" w:rsidRPr="00EF433E">
        <w:rPr>
          <w:noProof/>
          <w:sz w:val="22"/>
        </w:rPr>
        <w:t xml:space="preserve"> 10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E71D41">
        <w:rPr>
          <w:sz w:val="22"/>
          <w:szCs w:val="22"/>
        </w:rPr>
        <w:t>68/0280</w:t>
      </w:r>
      <w:r w:rsidR="00E71D41" w:rsidRPr="00E71D41">
        <w:rPr>
          <w:sz w:val="22"/>
          <w:szCs w:val="22"/>
        </w:rPr>
        <w:t>/15-S</w:t>
      </w:r>
    </w:p>
    <w:p w:rsidR="000F0738" w:rsidRPr="00EF433E" w:rsidRDefault="000A1721">
      <w:pPr>
        <w:rPr>
          <w:noProof/>
          <w:sz w:val="22"/>
        </w:rPr>
      </w:pPr>
      <w:r>
        <w:rPr>
          <w:noProof/>
          <w:sz w:val="22"/>
        </w:rPr>
        <w:t>Lemilvo</w:t>
      </w:r>
      <w:r w:rsidR="000F0738" w:rsidRPr="00EF433E">
        <w:rPr>
          <w:noProof/>
          <w:sz w:val="22"/>
        </w:rPr>
        <w:t xml:space="preserve"> 15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AE58C0" w:rsidRPr="008029AF">
        <w:rPr>
          <w:sz w:val="22"/>
          <w:szCs w:val="22"/>
        </w:rPr>
        <w:t>68/0281/15-S</w:t>
      </w:r>
    </w:p>
    <w:p w:rsidR="00A0467A" w:rsidRPr="00EF433E" w:rsidRDefault="00A0467A" w:rsidP="00A440E6">
      <w:pPr>
        <w:tabs>
          <w:tab w:val="left" w:pos="2552"/>
        </w:tabs>
        <w:rPr>
          <w:sz w:val="22"/>
        </w:rPr>
      </w:pPr>
    </w:p>
    <w:p w:rsidR="002C2912" w:rsidRPr="00EF433E" w:rsidRDefault="002C2912" w:rsidP="00A440E6">
      <w:pPr>
        <w:tabs>
          <w:tab w:val="left" w:pos="2552"/>
        </w:tabs>
        <w:rPr>
          <w:sz w:val="22"/>
        </w:rPr>
      </w:pPr>
    </w:p>
    <w:p w:rsidR="00A0467A" w:rsidRPr="00EF433E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Default="0051137A" w:rsidP="00A440E6">
      <w:pPr>
        <w:rPr>
          <w:sz w:val="22"/>
        </w:rPr>
      </w:pPr>
      <w:r>
        <w:rPr>
          <w:sz w:val="22"/>
        </w:rPr>
        <w:t>Dátum prvej registrácie:</w:t>
      </w:r>
      <w:r w:rsidR="00A2723F">
        <w:rPr>
          <w:sz w:val="22"/>
        </w:rPr>
        <w:t xml:space="preserve"> 15. júla 2015</w:t>
      </w:r>
    </w:p>
    <w:p w:rsidR="003058F6" w:rsidRDefault="003058F6" w:rsidP="00A440E6">
      <w:pPr>
        <w:rPr>
          <w:sz w:val="22"/>
        </w:rPr>
      </w:pPr>
      <w:r>
        <w:rPr>
          <w:sz w:val="22"/>
        </w:rPr>
        <w:t>Dátum posledného predĺženia registrácie:</w:t>
      </w:r>
    </w:p>
    <w:p w:rsidR="00CD5EA2" w:rsidRDefault="00CD5EA2" w:rsidP="00A440E6">
      <w:pPr>
        <w:rPr>
          <w:sz w:val="22"/>
        </w:rPr>
      </w:pPr>
    </w:p>
    <w:p w:rsidR="0051137A" w:rsidRPr="00EF433E" w:rsidRDefault="0051137A" w:rsidP="00A440E6">
      <w:pPr>
        <w:rPr>
          <w:sz w:val="22"/>
        </w:rPr>
      </w:pPr>
    </w:p>
    <w:p w:rsidR="00A0467A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CD5EA2" w:rsidRDefault="00CD5EA2" w:rsidP="00CD5EA2">
      <w:pPr>
        <w:rPr>
          <w:b/>
          <w:sz w:val="22"/>
        </w:rPr>
      </w:pPr>
    </w:p>
    <w:p w:rsidR="00A0467A" w:rsidRPr="00EF433E" w:rsidRDefault="00BE69F8" w:rsidP="00A440E6">
      <w:pPr>
        <w:rPr>
          <w:sz w:val="22"/>
        </w:rPr>
      </w:pPr>
      <w:r>
        <w:rPr>
          <w:sz w:val="22"/>
        </w:rPr>
        <w:t>12/2018</w:t>
      </w:r>
    </w:p>
    <w:sectPr w:rsidR="00A0467A" w:rsidRPr="00EF433E" w:rsidSect="00434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96" w:rsidRDefault="002A4396">
      <w:r>
        <w:separator/>
      </w:r>
    </w:p>
  </w:endnote>
  <w:endnote w:type="continuationSeparator" w:id="0">
    <w:p w:rsidR="002A4396" w:rsidRDefault="002A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96" w:rsidRDefault="002A439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A4396" w:rsidRDefault="002A439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96" w:rsidRDefault="002A4396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434A1F">
      <w:rPr>
        <w:rStyle w:val="slostrany"/>
        <w:rFonts w:ascii="Arial" w:hAnsi="Arial" w:cs="Arial"/>
        <w:noProof/>
        <w:sz w:val="16"/>
      </w:rPr>
      <w:t>20</w:t>
    </w:r>
    <w:r>
      <w:rPr>
        <w:rStyle w:val="slostrany"/>
        <w:rFonts w:ascii="Arial" w:hAnsi="Arial" w:cs="Arial"/>
        <w:sz w:val="16"/>
      </w:rPr>
      <w:fldChar w:fldCharType="end"/>
    </w:r>
  </w:p>
  <w:p w:rsidR="002A4396" w:rsidRDefault="002A4396">
    <w:pPr>
      <w:pStyle w:val="Pt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6436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2A4396" w:rsidRPr="003940F4" w:rsidRDefault="002A4396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40F4">
          <w:rPr>
            <w:rFonts w:ascii="Arial" w:hAnsi="Arial" w:cs="Arial"/>
            <w:sz w:val="16"/>
            <w:szCs w:val="16"/>
          </w:rPr>
          <w:fldChar w:fldCharType="begin"/>
        </w:r>
        <w:r w:rsidRPr="003940F4">
          <w:rPr>
            <w:rFonts w:ascii="Arial" w:hAnsi="Arial" w:cs="Arial"/>
            <w:sz w:val="16"/>
            <w:szCs w:val="16"/>
          </w:rPr>
          <w:instrText>PAGE   \* MERGEFORMAT</w:instrText>
        </w:r>
        <w:r w:rsidRPr="003940F4">
          <w:rPr>
            <w:rFonts w:ascii="Arial" w:hAnsi="Arial" w:cs="Arial"/>
            <w:sz w:val="16"/>
            <w:szCs w:val="16"/>
          </w:rPr>
          <w:fldChar w:fldCharType="separate"/>
        </w:r>
        <w:r w:rsidR="000F4F9E" w:rsidRPr="000F4F9E">
          <w:rPr>
            <w:rFonts w:ascii="Arial" w:hAnsi="Arial" w:cs="Arial"/>
            <w:noProof/>
            <w:sz w:val="16"/>
            <w:szCs w:val="16"/>
            <w:lang w:val="sk-SK"/>
          </w:rPr>
          <w:t>1</w:t>
        </w:r>
        <w:r w:rsidRPr="003940F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2A4396" w:rsidRDefault="002A43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96" w:rsidRDefault="002A4396">
      <w:r>
        <w:separator/>
      </w:r>
    </w:p>
  </w:footnote>
  <w:footnote w:type="continuationSeparator" w:id="0">
    <w:p w:rsidR="002A4396" w:rsidRDefault="002A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96" w:rsidRDefault="002A4396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A4396" w:rsidRDefault="002A4396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96" w:rsidRDefault="002A4396">
    <w:pPr>
      <w:pStyle w:val="Hlavika"/>
      <w:ind w:right="360"/>
    </w:pPr>
    <w:r>
      <w:rPr>
        <w:sz w:val="18"/>
      </w:rPr>
      <w:t>Príloha č. 1 k notifikácii o zmene, ev. č.:</w:t>
    </w:r>
    <w:r>
      <w:rPr>
        <w:sz w:val="18"/>
        <w:szCs w:val="18"/>
      </w:rPr>
      <w:t xml:space="preserve"> </w:t>
    </w:r>
    <w:r w:rsidRPr="009E486C">
      <w:rPr>
        <w:sz w:val="18"/>
        <w:szCs w:val="18"/>
      </w:rPr>
      <w:t>2018/03545-Z1B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96" w:rsidRDefault="002A4396">
    <w:pPr>
      <w:pStyle w:val="Hlavika"/>
    </w:pPr>
    <w:r w:rsidRPr="00434A1F">
      <w:rPr>
        <w:b/>
        <w:sz w:val="18"/>
      </w:rPr>
      <w:t>Príloha</w:t>
    </w:r>
    <w:r>
      <w:rPr>
        <w:sz w:val="18"/>
      </w:rPr>
      <w:t xml:space="preserve"> č. 1 k notifikácii o zmene, ev. č.:</w:t>
    </w:r>
    <w:r>
      <w:rPr>
        <w:sz w:val="18"/>
        <w:szCs w:val="18"/>
      </w:rPr>
      <w:t xml:space="preserve"> </w:t>
    </w:r>
    <w:r w:rsidRPr="009E486C">
      <w:rPr>
        <w:sz w:val="18"/>
        <w:szCs w:val="18"/>
      </w:rPr>
      <w:t>2018/03545-Z1B</w:t>
    </w:r>
    <w:r w:rsidRPr="00711A63">
      <w:rPr>
        <w:sz w:val="18"/>
        <w:szCs w:val="18"/>
      </w:rPr>
      <w:object w:dxaOrig="9070" w:dyaOrig="13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8.25pt" o:ole="">
          <v:imagedata r:id="rId1" o:title=""/>
        </v:shape>
        <o:OLEObject Type="Embed" ProgID="Word.Document.12" ShapeID="_x0000_i1025" DrawAspect="Content" ObjectID="_1605010461" r:id="rId2">
          <o:FieldCodes>\s</o:FieldCodes>
        </o:OLEObject>
      </w:object>
    </w:r>
    <w:r w:rsidRPr="00711A63">
      <w:rPr>
        <w:sz w:val="18"/>
        <w:szCs w:val="18"/>
      </w:rPr>
      <w:object w:dxaOrig="9070" w:dyaOrig="14121">
        <v:shape id="_x0000_i1026" type="#_x0000_t75" style="width:453.75pt;height:705pt" o:ole="">
          <v:imagedata r:id="rId3" o:title=""/>
        </v:shape>
        <o:OLEObject Type="Embed" ProgID="Word.Document.12" ShapeID="_x0000_i1026" DrawAspect="Content" ObjectID="_1605010462" r:id="rId4">
          <o:FieldCodes>\s</o:FieldCodes>
        </o:OLEObject>
      </w:object>
    </w:r>
    <w:r w:rsidRPr="00711A63">
      <w:rPr>
        <w:sz w:val="18"/>
        <w:szCs w:val="18"/>
      </w:rPr>
      <w:object w:dxaOrig="9070" w:dyaOrig="13937">
        <v:shape id="_x0000_i1027" type="#_x0000_t75" style="width:453.75pt;height:698.25pt" o:ole="">
          <v:imagedata r:id="rId5" o:title=""/>
        </v:shape>
        <o:OLEObject Type="Embed" ProgID="Word.Document.12" ShapeID="_x0000_i1027" DrawAspect="Content" ObjectID="_1605010463" r:id="rId6">
          <o:FieldCodes>\s</o:FieldCodes>
        </o:OLEObject>
      </w:object>
    </w:r>
    <w:r w:rsidRPr="00711A63">
      <w:rPr>
        <w:sz w:val="18"/>
        <w:szCs w:val="18"/>
      </w:rPr>
      <w:object w:dxaOrig="9070" w:dyaOrig="14121">
        <v:shape id="_x0000_i1028" type="#_x0000_t75" style="width:453.75pt;height:705pt" o:ole="">
          <v:imagedata r:id="rId7" o:title=""/>
        </v:shape>
        <o:OLEObject Type="Embed" ProgID="Word.Document.12" ShapeID="_x0000_i1028" DrawAspect="Content" ObjectID="_1605010464" r:id="rId8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3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2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0574"/>
    <w:rsid w:val="00003B74"/>
    <w:rsid w:val="00005BD6"/>
    <w:rsid w:val="000064FD"/>
    <w:rsid w:val="0001261A"/>
    <w:rsid w:val="00014B3C"/>
    <w:rsid w:val="0001526C"/>
    <w:rsid w:val="00015D56"/>
    <w:rsid w:val="000176B4"/>
    <w:rsid w:val="00020026"/>
    <w:rsid w:val="00020433"/>
    <w:rsid w:val="00031ECF"/>
    <w:rsid w:val="000360ED"/>
    <w:rsid w:val="00036F83"/>
    <w:rsid w:val="00041363"/>
    <w:rsid w:val="00041513"/>
    <w:rsid w:val="000415CD"/>
    <w:rsid w:val="00045985"/>
    <w:rsid w:val="000475EB"/>
    <w:rsid w:val="0005082A"/>
    <w:rsid w:val="000539DC"/>
    <w:rsid w:val="00055C9D"/>
    <w:rsid w:val="00057DE4"/>
    <w:rsid w:val="00060044"/>
    <w:rsid w:val="00060B6A"/>
    <w:rsid w:val="00060DE2"/>
    <w:rsid w:val="00060F9D"/>
    <w:rsid w:val="00061D54"/>
    <w:rsid w:val="00063833"/>
    <w:rsid w:val="00065D3B"/>
    <w:rsid w:val="000665F8"/>
    <w:rsid w:val="00066E53"/>
    <w:rsid w:val="000742E2"/>
    <w:rsid w:val="000749C9"/>
    <w:rsid w:val="0008003D"/>
    <w:rsid w:val="000823F9"/>
    <w:rsid w:val="000847B3"/>
    <w:rsid w:val="00084AB6"/>
    <w:rsid w:val="0008721E"/>
    <w:rsid w:val="000874E9"/>
    <w:rsid w:val="00087AEE"/>
    <w:rsid w:val="000906AB"/>
    <w:rsid w:val="00090D3D"/>
    <w:rsid w:val="00090F12"/>
    <w:rsid w:val="000912BB"/>
    <w:rsid w:val="00092675"/>
    <w:rsid w:val="00092879"/>
    <w:rsid w:val="00092B4E"/>
    <w:rsid w:val="00093F48"/>
    <w:rsid w:val="00095B21"/>
    <w:rsid w:val="000962FA"/>
    <w:rsid w:val="000A08E6"/>
    <w:rsid w:val="000A1721"/>
    <w:rsid w:val="000A2280"/>
    <w:rsid w:val="000A40FF"/>
    <w:rsid w:val="000A62D7"/>
    <w:rsid w:val="000A6F5B"/>
    <w:rsid w:val="000B0FCF"/>
    <w:rsid w:val="000B33D1"/>
    <w:rsid w:val="000B4B4F"/>
    <w:rsid w:val="000B6001"/>
    <w:rsid w:val="000C0AEE"/>
    <w:rsid w:val="000C3517"/>
    <w:rsid w:val="000D01E0"/>
    <w:rsid w:val="000D0C88"/>
    <w:rsid w:val="000D1302"/>
    <w:rsid w:val="000D21B3"/>
    <w:rsid w:val="000D254B"/>
    <w:rsid w:val="000D616D"/>
    <w:rsid w:val="000E0678"/>
    <w:rsid w:val="000E0CD5"/>
    <w:rsid w:val="000E0FE0"/>
    <w:rsid w:val="000E3A38"/>
    <w:rsid w:val="000E5B2A"/>
    <w:rsid w:val="000E6F80"/>
    <w:rsid w:val="000E7254"/>
    <w:rsid w:val="000F0738"/>
    <w:rsid w:val="000F1765"/>
    <w:rsid w:val="000F1F7C"/>
    <w:rsid w:val="000F2CDA"/>
    <w:rsid w:val="000F4C9B"/>
    <w:rsid w:val="000F4F9E"/>
    <w:rsid w:val="000F5C5C"/>
    <w:rsid w:val="000F7995"/>
    <w:rsid w:val="001017C0"/>
    <w:rsid w:val="00103632"/>
    <w:rsid w:val="001051FC"/>
    <w:rsid w:val="00111C74"/>
    <w:rsid w:val="0011213D"/>
    <w:rsid w:val="00112D1E"/>
    <w:rsid w:val="00114CDC"/>
    <w:rsid w:val="00115F27"/>
    <w:rsid w:val="00120496"/>
    <w:rsid w:val="0012436F"/>
    <w:rsid w:val="00130A8B"/>
    <w:rsid w:val="001332E3"/>
    <w:rsid w:val="00133550"/>
    <w:rsid w:val="001366C5"/>
    <w:rsid w:val="00136B9E"/>
    <w:rsid w:val="00141BDB"/>
    <w:rsid w:val="00145E18"/>
    <w:rsid w:val="001542E9"/>
    <w:rsid w:val="00154E89"/>
    <w:rsid w:val="0015793D"/>
    <w:rsid w:val="00157CB1"/>
    <w:rsid w:val="00157DDE"/>
    <w:rsid w:val="00160D12"/>
    <w:rsid w:val="00163689"/>
    <w:rsid w:val="00164BCF"/>
    <w:rsid w:val="00165E8C"/>
    <w:rsid w:val="0016694D"/>
    <w:rsid w:val="001670CF"/>
    <w:rsid w:val="0016796B"/>
    <w:rsid w:val="0017170A"/>
    <w:rsid w:val="00171BC1"/>
    <w:rsid w:val="00172903"/>
    <w:rsid w:val="001739C2"/>
    <w:rsid w:val="00175042"/>
    <w:rsid w:val="0017582C"/>
    <w:rsid w:val="00182FB1"/>
    <w:rsid w:val="00187CB8"/>
    <w:rsid w:val="0019055E"/>
    <w:rsid w:val="001920E6"/>
    <w:rsid w:val="00194A23"/>
    <w:rsid w:val="00196EBF"/>
    <w:rsid w:val="00197D70"/>
    <w:rsid w:val="001A05BA"/>
    <w:rsid w:val="001A224E"/>
    <w:rsid w:val="001A2612"/>
    <w:rsid w:val="001A4163"/>
    <w:rsid w:val="001A458B"/>
    <w:rsid w:val="001A4A75"/>
    <w:rsid w:val="001A58C9"/>
    <w:rsid w:val="001A7175"/>
    <w:rsid w:val="001B105E"/>
    <w:rsid w:val="001B2A81"/>
    <w:rsid w:val="001B7402"/>
    <w:rsid w:val="001B7709"/>
    <w:rsid w:val="001C1F57"/>
    <w:rsid w:val="001D0086"/>
    <w:rsid w:val="001D226A"/>
    <w:rsid w:val="001D2E99"/>
    <w:rsid w:val="001D41E6"/>
    <w:rsid w:val="001E0FF8"/>
    <w:rsid w:val="001E3A13"/>
    <w:rsid w:val="001E3B6E"/>
    <w:rsid w:val="001E63FF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45C8"/>
    <w:rsid w:val="00225B8F"/>
    <w:rsid w:val="00232424"/>
    <w:rsid w:val="00232F00"/>
    <w:rsid w:val="0023426C"/>
    <w:rsid w:val="002353F4"/>
    <w:rsid w:val="00235C21"/>
    <w:rsid w:val="0023779D"/>
    <w:rsid w:val="002405C7"/>
    <w:rsid w:val="00243A0E"/>
    <w:rsid w:val="00244DA3"/>
    <w:rsid w:val="00251610"/>
    <w:rsid w:val="00253F96"/>
    <w:rsid w:val="002563A1"/>
    <w:rsid w:val="002615AF"/>
    <w:rsid w:val="002646CA"/>
    <w:rsid w:val="00264A43"/>
    <w:rsid w:val="00266706"/>
    <w:rsid w:val="00266893"/>
    <w:rsid w:val="00270C1D"/>
    <w:rsid w:val="00272E5A"/>
    <w:rsid w:val="002735EA"/>
    <w:rsid w:val="00274CB5"/>
    <w:rsid w:val="00282687"/>
    <w:rsid w:val="00283622"/>
    <w:rsid w:val="00285D8A"/>
    <w:rsid w:val="00285D90"/>
    <w:rsid w:val="002866A1"/>
    <w:rsid w:val="00286F13"/>
    <w:rsid w:val="00290319"/>
    <w:rsid w:val="00290EB6"/>
    <w:rsid w:val="00291172"/>
    <w:rsid w:val="002957F9"/>
    <w:rsid w:val="00296611"/>
    <w:rsid w:val="002966DE"/>
    <w:rsid w:val="002A17C3"/>
    <w:rsid w:val="002A30D4"/>
    <w:rsid w:val="002A4323"/>
    <w:rsid w:val="002A4396"/>
    <w:rsid w:val="002A58BB"/>
    <w:rsid w:val="002A7676"/>
    <w:rsid w:val="002B29EB"/>
    <w:rsid w:val="002B3610"/>
    <w:rsid w:val="002B5078"/>
    <w:rsid w:val="002B5E79"/>
    <w:rsid w:val="002B6205"/>
    <w:rsid w:val="002C2900"/>
    <w:rsid w:val="002C2912"/>
    <w:rsid w:val="002C37CD"/>
    <w:rsid w:val="002C63DC"/>
    <w:rsid w:val="002D0D39"/>
    <w:rsid w:val="002D127D"/>
    <w:rsid w:val="002D3384"/>
    <w:rsid w:val="002D33C0"/>
    <w:rsid w:val="002D479F"/>
    <w:rsid w:val="002D570A"/>
    <w:rsid w:val="002D5BC1"/>
    <w:rsid w:val="002D6DF3"/>
    <w:rsid w:val="002E0EC0"/>
    <w:rsid w:val="002E5F46"/>
    <w:rsid w:val="002E615B"/>
    <w:rsid w:val="002F03F9"/>
    <w:rsid w:val="002F116C"/>
    <w:rsid w:val="002F34E5"/>
    <w:rsid w:val="002F3690"/>
    <w:rsid w:val="002F5719"/>
    <w:rsid w:val="002F6457"/>
    <w:rsid w:val="002F7DAF"/>
    <w:rsid w:val="00301075"/>
    <w:rsid w:val="0030260E"/>
    <w:rsid w:val="00302BC3"/>
    <w:rsid w:val="00303056"/>
    <w:rsid w:val="00303E07"/>
    <w:rsid w:val="0030514B"/>
    <w:rsid w:val="003058F6"/>
    <w:rsid w:val="0030697E"/>
    <w:rsid w:val="00312B0C"/>
    <w:rsid w:val="00315089"/>
    <w:rsid w:val="00323451"/>
    <w:rsid w:val="00324962"/>
    <w:rsid w:val="003346BA"/>
    <w:rsid w:val="003354E5"/>
    <w:rsid w:val="00337223"/>
    <w:rsid w:val="00344AF5"/>
    <w:rsid w:val="003450EE"/>
    <w:rsid w:val="00346806"/>
    <w:rsid w:val="00346AD1"/>
    <w:rsid w:val="003505AE"/>
    <w:rsid w:val="00350E6D"/>
    <w:rsid w:val="003544AD"/>
    <w:rsid w:val="0035590F"/>
    <w:rsid w:val="00355B18"/>
    <w:rsid w:val="003579AB"/>
    <w:rsid w:val="00361B7A"/>
    <w:rsid w:val="0036253D"/>
    <w:rsid w:val="00362FD1"/>
    <w:rsid w:val="00365E93"/>
    <w:rsid w:val="003665F1"/>
    <w:rsid w:val="00367B5A"/>
    <w:rsid w:val="0037310A"/>
    <w:rsid w:val="003734E5"/>
    <w:rsid w:val="00373909"/>
    <w:rsid w:val="0037407A"/>
    <w:rsid w:val="00374CCE"/>
    <w:rsid w:val="003752F3"/>
    <w:rsid w:val="003831F5"/>
    <w:rsid w:val="00384F9A"/>
    <w:rsid w:val="003852CF"/>
    <w:rsid w:val="00385ADD"/>
    <w:rsid w:val="00390CE7"/>
    <w:rsid w:val="00390FC6"/>
    <w:rsid w:val="0039210A"/>
    <w:rsid w:val="00392780"/>
    <w:rsid w:val="00392F9A"/>
    <w:rsid w:val="00393013"/>
    <w:rsid w:val="00393E79"/>
    <w:rsid w:val="003940F4"/>
    <w:rsid w:val="003A0357"/>
    <w:rsid w:val="003A12D6"/>
    <w:rsid w:val="003A415C"/>
    <w:rsid w:val="003A5461"/>
    <w:rsid w:val="003A569F"/>
    <w:rsid w:val="003A6714"/>
    <w:rsid w:val="003A7B02"/>
    <w:rsid w:val="003A7B2F"/>
    <w:rsid w:val="003B3DB8"/>
    <w:rsid w:val="003B59F5"/>
    <w:rsid w:val="003B5FA2"/>
    <w:rsid w:val="003C01AB"/>
    <w:rsid w:val="003C0750"/>
    <w:rsid w:val="003C0AA8"/>
    <w:rsid w:val="003C13BC"/>
    <w:rsid w:val="003C13F6"/>
    <w:rsid w:val="003C428F"/>
    <w:rsid w:val="003C43DE"/>
    <w:rsid w:val="003C4F3E"/>
    <w:rsid w:val="003C58D7"/>
    <w:rsid w:val="003C5CEB"/>
    <w:rsid w:val="003C6483"/>
    <w:rsid w:val="003D1142"/>
    <w:rsid w:val="003D4448"/>
    <w:rsid w:val="003D4B88"/>
    <w:rsid w:val="003D52DA"/>
    <w:rsid w:val="003D58E2"/>
    <w:rsid w:val="003D6A12"/>
    <w:rsid w:val="003E36CC"/>
    <w:rsid w:val="003E593E"/>
    <w:rsid w:val="003F110F"/>
    <w:rsid w:val="003F18A3"/>
    <w:rsid w:val="003F501D"/>
    <w:rsid w:val="004014C8"/>
    <w:rsid w:val="0040154D"/>
    <w:rsid w:val="004049C5"/>
    <w:rsid w:val="00407E86"/>
    <w:rsid w:val="00410B8A"/>
    <w:rsid w:val="00410ED4"/>
    <w:rsid w:val="0041198A"/>
    <w:rsid w:val="0041738C"/>
    <w:rsid w:val="00417A7E"/>
    <w:rsid w:val="00421A2D"/>
    <w:rsid w:val="00421F1B"/>
    <w:rsid w:val="00422585"/>
    <w:rsid w:val="00422953"/>
    <w:rsid w:val="00422C9D"/>
    <w:rsid w:val="00424284"/>
    <w:rsid w:val="0042476E"/>
    <w:rsid w:val="00424907"/>
    <w:rsid w:val="00424C50"/>
    <w:rsid w:val="0042672D"/>
    <w:rsid w:val="00427F43"/>
    <w:rsid w:val="004309D1"/>
    <w:rsid w:val="00433411"/>
    <w:rsid w:val="00433952"/>
    <w:rsid w:val="00433F04"/>
    <w:rsid w:val="00434A1F"/>
    <w:rsid w:val="00434B1C"/>
    <w:rsid w:val="00436609"/>
    <w:rsid w:val="004368A2"/>
    <w:rsid w:val="00436BC8"/>
    <w:rsid w:val="00437531"/>
    <w:rsid w:val="00437ED6"/>
    <w:rsid w:val="00440405"/>
    <w:rsid w:val="00446A72"/>
    <w:rsid w:val="00453B88"/>
    <w:rsid w:val="00456E98"/>
    <w:rsid w:val="00457A4E"/>
    <w:rsid w:val="004601F2"/>
    <w:rsid w:val="00462A96"/>
    <w:rsid w:val="00462BEC"/>
    <w:rsid w:val="00462EDB"/>
    <w:rsid w:val="00463C66"/>
    <w:rsid w:val="00464984"/>
    <w:rsid w:val="004656DD"/>
    <w:rsid w:val="00465C0C"/>
    <w:rsid w:val="00466889"/>
    <w:rsid w:val="00476526"/>
    <w:rsid w:val="00482664"/>
    <w:rsid w:val="00483575"/>
    <w:rsid w:val="004875A4"/>
    <w:rsid w:val="0048782C"/>
    <w:rsid w:val="00487F20"/>
    <w:rsid w:val="00487FD6"/>
    <w:rsid w:val="00492ACE"/>
    <w:rsid w:val="00493CF9"/>
    <w:rsid w:val="00495879"/>
    <w:rsid w:val="00495C2D"/>
    <w:rsid w:val="004973C3"/>
    <w:rsid w:val="00497423"/>
    <w:rsid w:val="00497510"/>
    <w:rsid w:val="004A0277"/>
    <w:rsid w:val="004A4D15"/>
    <w:rsid w:val="004A4ED7"/>
    <w:rsid w:val="004A6396"/>
    <w:rsid w:val="004A64D0"/>
    <w:rsid w:val="004B2A41"/>
    <w:rsid w:val="004B5576"/>
    <w:rsid w:val="004B6B32"/>
    <w:rsid w:val="004C1E14"/>
    <w:rsid w:val="004C1E4C"/>
    <w:rsid w:val="004C6E9B"/>
    <w:rsid w:val="004C7AB1"/>
    <w:rsid w:val="004D063E"/>
    <w:rsid w:val="004D17EE"/>
    <w:rsid w:val="004D446B"/>
    <w:rsid w:val="004D5715"/>
    <w:rsid w:val="004D7832"/>
    <w:rsid w:val="004D7FD3"/>
    <w:rsid w:val="004E02E2"/>
    <w:rsid w:val="004E0D54"/>
    <w:rsid w:val="004E3E15"/>
    <w:rsid w:val="004F4CE5"/>
    <w:rsid w:val="004F6E21"/>
    <w:rsid w:val="004F7245"/>
    <w:rsid w:val="0050309A"/>
    <w:rsid w:val="00504AED"/>
    <w:rsid w:val="00506E94"/>
    <w:rsid w:val="0051137A"/>
    <w:rsid w:val="00520A72"/>
    <w:rsid w:val="00522F86"/>
    <w:rsid w:val="005253AA"/>
    <w:rsid w:val="00526D53"/>
    <w:rsid w:val="0053055A"/>
    <w:rsid w:val="00531DB4"/>
    <w:rsid w:val="00531DE3"/>
    <w:rsid w:val="005329D0"/>
    <w:rsid w:val="00532CEE"/>
    <w:rsid w:val="005337F4"/>
    <w:rsid w:val="00537927"/>
    <w:rsid w:val="00541135"/>
    <w:rsid w:val="00541525"/>
    <w:rsid w:val="00541CFC"/>
    <w:rsid w:val="005426AF"/>
    <w:rsid w:val="00542836"/>
    <w:rsid w:val="00543318"/>
    <w:rsid w:val="005439C7"/>
    <w:rsid w:val="00544907"/>
    <w:rsid w:val="00544F19"/>
    <w:rsid w:val="00546510"/>
    <w:rsid w:val="00550811"/>
    <w:rsid w:val="005537C1"/>
    <w:rsid w:val="00554E94"/>
    <w:rsid w:val="00560C20"/>
    <w:rsid w:val="00561B61"/>
    <w:rsid w:val="00563BE8"/>
    <w:rsid w:val="00563D7F"/>
    <w:rsid w:val="005642C6"/>
    <w:rsid w:val="00571FB3"/>
    <w:rsid w:val="00572E13"/>
    <w:rsid w:val="00577215"/>
    <w:rsid w:val="0058223C"/>
    <w:rsid w:val="00582457"/>
    <w:rsid w:val="00582E3F"/>
    <w:rsid w:val="00583BE4"/>
    <w:rsid w:val="00585435"/>
    <w:rsid w:val="0058696A"/>
    <w:rsid w:val="00587649"/>
    <w:rsid w:val="00587F8B"/>
    <w:rsid w:val="005903E7"/>
    <w:rsid w:val="005913DF"/>
    <w:rsid w:val="00592FF5"/>
    <w:rsid w:val="00593007"/>
    <w:rsid w:val="00595E21"/>
    <w:rsid w:val="00596C95"/>
    <w:rsid w:val="005A49FF"/>
    <w:rsid w:val="005A6C99"/>
    <w:rsid w:val="005B1C89"/>
    <w:rsid w:val="005B20A2"/>
    <w:rsid w:val="005B3D42"/>
    <w:rsid w:val="005B3F91"/>
    <w:rsid w:val="005B6C58"/>
    <w:rsid w:val="005C0DB7"/>
    <w:rsid w:val="005C2189"/>
    <w:rsid w:val="005C4213"/>
    <w:rsid w:val="005C43A9"/>
    <w:rsid w:val="005C49E9"/>
    <w:rsid w:val="005C4AD5"/>
    <w:rsid w:val="005C61BA"/>
    <w:rsid w:val="005D07A2"/>
    <w:rsid w:val="005D15D9"/>
    <w:rsid w:val="005D20DB"/>
    <w:rsid w:val="005D257B"/>
    <w:rsid w:val="005D2732"/>
    <w:rsid w:val="005D29DA"/>
    <w:rsid w:val="005D5058"/>
    <w:rsid w:val="005D55A6"/>
    <w:rsid w:val="005D70CE"/>
    <w:rsid w:val="005D737B"/>
    <w:rsid w:val="005E2874"/>
    <w:rsid w:val="005E37E3"/>
    <w:rsid w:val="005E4AAA"/>
    <w:rsid w:val="005E7FFB"/>
    <w:rsid w:val="005F0CBD"/>
    <w:rsid w:val="005F38A7"/>
    <w:rsid w:val="005F4064"/>
    <w:rsid w:val="005F5C57"/>
    <w:rsid w:val="006017CC"/>
    <w:rsid w:val="006022E7"/>
    <w:rsid w:val="00603128"/>
    <w:rsid w:val="006033FF"/>
    <w:rsid w:val="00605799"/>
    <w:rsid w:val="00606640"/>
    <w:rsid w:val="0061120C"/>
    <w:rsid w:val="00612EA1"/>
    <w:rsid w:val="0061737C"/>
    <w:rsid w:val="006214FB"/>
    <w:rsid w:val="0062312C"/>
    <w:rsid w:val="006250B7"/>
    <w:rsid w:val="00626BEC"/>
    <w:rsid w:val="006326FA"/>
    <w:rsid w:val="00633FBC"/>
    <w:rsid w:val="00635748"/>
    <w:rsid w:val="0064264F"/>
    <w:rsid w:val="00642901"/>
    <w:rsid w:val="0064376A"/>
    <w:rsid w:val="0064429B"/>
    <w:rsid w:val="006442FF"/>
    <w:rsid w:val="0064467D"/>
    <w:rsid w:val="006449E8"/>
    <w:rsid w:val="00646415"/>
    <w:rsid w:val="006475DE"/>
    <w:rsid w:val="00652A75"/>
    <w:rsid w:val="00652B33"/>
    <w:rsid w:val="00653216"/>
    <w:rsid w:val="0065725E"/>
    <w:rsid w:val="006601C6"/>
    <w:rsid w:val="0066204C"/>
    <w:rsid w:val="006635C1"/>
    <w:rsid w:val="00665630"/>
    <w:rsid w:val="0067062F"/>
    <w:rsid w:val="006769C7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299"/>
    <w:rsid w:val="00695C7F"/>
    <w:rsid w:val="00696F9E"/>
    <w:rsid w:val="006A115E"/>
    <w:rsid w:val="006A12E3"/>
    <w:rsid w:val="006A1B12"/>
    <w:rsid w:val="006A35A0"/>
    <w:rsid w:val="006A511A"/>
    <w:rsid w:val="006A74E4"/>
    <w:rsid w:val="006A7E4A"/>
    <w:rsid w:val="006B2D7C"/>
    <w:rsid w:val="006B336C"/>
    <w:rsid w:val="006B375B"/>
    <w:rsid w:val="006B4EDB"/>
    <w:rsid w:val="006B6E16"/>
    <w:rsid w:val="006B6F52"/>
    <w:rsid w:val="006B7F50"/>
    <w:rsid w:val="006C1112"/>
    <w:rsid w:val="006C129F"/>
    <w:rsid w:val="006C7097"/>
    <w:rsid w:val="006C7D23"/>
    <w:rsid w:val="006D117E"/>
    <w:rsid w:val="006D140C"/>
    <w:rsid w:val="006D2048"/>
    <w:rsid w:val="006D4A1F"/>
    <w:rsid w:val="006D4B16"/>
    <w:rsid w:val="006D4D84"/>
    <w:rsid w:val="006D565F"/>
    <w:rsid w:val="006D6726"/>
    <w:rsid w:val="006D722D"/>
    <w:rsid w:val="006E0925"/>
    <w:rsid w:val="006E5664"/>
    <w:rsid w:val="006E6164"/>
    <w:rsid w:val="006E7C9A"/>
    <w:rsid w:val="006F0BDC"/>
    <w:rsid w:val="006F2CD1"/>
    <w:rsid w:val="006F2E60"/>
    <w:rsid w:val="006F3A87"/>
    <w:rsid w:val="006F575C"/>
    <w:rsid w:val="006F72E2"/>
    <w:rsid w:val="00701DA5"/>
    <w:rsid w:val="00702026"/>
    <w:rsid w:val="00702298"/>
    <w:rsid w:val="007055BB"/>
    <w:rsid w:val="00706267"/>
    <w:rsid w:val="00711A63"/>
    <w:rsid w:val="00715E50"/>
    <w:rsid w:val="00716560"/>
    <w:rsid w:val="00717C93"/>
    <w:rsid w:val="00724859"/>
    <w:rsid w:val="00727960"/>
    <w:rsid w:val="00731F4F"/>
    <w:rsid w:val="00732DC5"/>
    <w:rsid w:val="00733360"/>
    <w:rsid w:val="007340F6"/>
    <w:rsid w:val="00736204"/>
    <w:rsid w:val="00740948"/>
    <w:rsid w:val="00740D47"/>
    <w:rsid w:val="00740D89"/>
    <w:rsid w:val="00741939"/>
    <w:rsid w:val="00741971"/>
    <w:rsid w:val="00746125"/>
    <w:rsid w:val="007474CA"/>
    <w:rsid w:val="007504A4"/>
    <w:rsid w:val="00750F09"/>
    <w:rsid w:val="007510CB"/>
    <w:rsid w:val="0075598A"/>
    <w:rsid w:val="00756565"/>
    <w:rsid w:val="007632B4"/>
    <w:rsid w:val="00765FB8"/>
    <w:rsid w:val="00767013"/>
    <w:rsid w:val="0077138C"/>
    <w:rsid w:val="00771B6F"/>
    <w:rsid w:val="00773B28"/>
    <w:rsid w:val="007742DF"/>
    <w:rsid w:val="007750DC"/>
    <w:rsid w:val="00776ABA"/>
    <w:rsid w:val="00776C70"/>
    <w:rsid w:val="0078134E"/>
    <w:rsid w:val="0078229C"/>
    <w:rsid w:val="00782C76"/>
    <w:rsid w:val="007836EF"/>
    <w:rsid w:val="00783F1A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FA7"/>
    <w:rsid w:val="007B1FFB"/>
    <w:rsid w:val="007B2B0D"/>
    <w:rsid w:val="007B368C"/>
    <w:rsid w:val="007B52BE"/>
    <w:rsid w:val="007B5729"/>
    <w:rsid w:val="007B610D"/>
    <w:rsid w:val="007C2B1D"/>
    <w:rsid w:val="007C3936"/>
    <w:rsid w:val="007C3D51"/>
    <w:rsid w:val="007C5528"/>
    <w:rsid w:val="007C5D10"/>
    <w:rsid w:val="007C626C"/>
    <w:rsid w:val="007C68EB"/>
    <w:rsid w:val="007D1083"/>
    <w:rsid w:val="007D1113"/>
    <w:rsid w:val="007D21C4"/>
    <w:rsid w:val="007D5379"/>
    <w:rsid w:val="007D7649"/>
    <w:rsid w:val="007E37D0"/>
    <w:rsid w:val="007E660F"/>
    <w:rsid w:val="007F4DED"/>
    <w:rsid w:val="007F71E5"/>
    <w:rsid w:val="008003E4"/>
    <w:rsid w:val="008004BE"/>
    <w:rsid w:val="008011E4"/>
    <w:rsid w:val="008029AF"/>
    <w:rsid w:val="0080550A"/>
    <w:rsid w:val="00806273"/>
    <w:rsid w:val="00806BB4"/>
    <w:rsid w:val="00807183"/>
    <w:rsid w:val="008072E5"/>
    <w:rsid w:val="00807798"/>
    <w:rsid w:val="00810757"/>
    <w:rsid w:val="00811ED4"/>
    <w:rsid w:val="008120E3"/>
    <w:rsid w:val="00813376"/>
    <w:rsid w:val="00813C17"/>
    <w:rsid w:val="008144F3"/>
    <w:rsid w:val="00815210"/>
    <w:rsid w:val="00816161"/>
    <w:rsid w:val="00816353"/>
    <w:rsid w:val="00821A26"/>
    <w:rsid w:val="00824E92"/>
    <w:rsid w:val="00826F8E"/>
    <w:rsid w:val="0083062E"/>
    <w:rsid w:val="00832C91"/>
    <w:rsid w:val="008341C9"/>
    <w:rsid w:val="00834C44"/>
    <w:rsid w:val="00835428"/>
    <w:rsid w:val="00835A10"/>
    <w:rsid w:val="0084138E"/>
    <w:rsid w:val="0084749C"/>
    <w:rsid w:val="008505B1"/>
    <w:rsid w:val="0085325D"/>
    <w:rsid w:val="00853903"/>
    <w:rsid w:val="008568B3"/>
    <w:rsid w:val="00856D47"/>
    <w:rsid w:val="00857FEB"/>
    <w:rsid w:val="00860DAE"/>
    <w:rsid w:val="00862EF6"/>
    <w:rsid w:val="0086401B"/>
    <w:rsid w:val="00865D41"/>
    <w:rsid w:val="008706B2"/>
    <w:rsid w:val="00871A9F"/>
    <w:rsid w:val="00876A70"/>
    <w:rsid w:val="00881084"/>
    <w:rsid w:val="008826BE"/>
    <w:rsid w:val="008854A4"/>
    <w:rsid w:val="00885F60"/>
    <w:rsid w:val="00886D14"/>
    <w:rsid w:val="00892BC2"/>
    <w:rsid w:val="00894755"/>
    <w:rsid w:val="00894EF4"/>
    <w:rsid w:val="0089548A"/>
    <w:rsid w:val="00896A4D"/>
    <w:rsid w:val="008A038B"/>
    <w:rsid w:val="008A5746"/>
    <w:rsid w:val="008A5B77"/>
    <w:rsid w:val="008A6C64"/>
    <w:rsid w:val="008B1559"/>
    <w:rsid w:val="008B1A6E"/>
    <w:rsid w:val="008B1DEC"/>
    <w:rsid w:val="008B7792"/>
    <w:rsid w:val="008C3584"/>
    <w:rsid w:val="008C39B7"/>
    <w:rsid w:val="008C3FF7"/>
    <w:rsid w:val="008C53AB"/>
    <w:rsid w:val="008C7749"/>
    <w:rsid w:val="008D143A"/>
    <w:rsid w:val="008D1DEE"/>
    <w:rsid w:val="008D44BE"/>
    <w:rsid w:val="008D4DB5"/>
    <w:rsid w:val="008E0474"/>
    <w:rsid w:val="008E0C8C"/>
    <w:rsid w:val="008E0EB6"/>
    <w:rsid w:val="008E2713"/>
    <w:rsid w:val="008E348B"/>
    <w:rsid w:val="008E36B5"/>
    <w:rsid w:val="008E63C6"/>
    <w:rsid w:val="008E7784"/>
    <w:rsid w:val="008F1F23"/>
    <w:rsid w:val="008F2364"/>
    <w:rsid w:val="008F60DC"/>
    <w:rsid w:val="00900AB8"/>
    <w:rsid w:val="00900D47"/>
    <w:rsid w:val="009027B2"/>
    <w:rsid w:val="0090593D"/>
    <w:rsid w:val="00905C53"/>
    <w:rsid w:val="0090724F"/>
    <w:rsid w:val="00907F1B"/>
    <w:rsid w:val="00910DA3"/>
    <w:rsid w:val="009155F6"/>
    <w:rsid w:val="00916D96"/>
    <w:rsid w:val="00922736"/>
    <w:rsid w:val="00923396"/>
    <w:rsid w:val="00923777"/>
    <w:rsid w:val="0093176D"/>
    <w:rsid w:val="00931BBE"/>
    <w:rsid w:val="0093662F"/>
    <w:rsid w:val="00936FEF"/>
    <w:rsid w:val="00937B80"/>
    <w:rsid w:val="00940769"/>
    <w:rsid w:val="009419D2"/>
    <w:rsid w:val="00942B1B"/>
    <w:rsid w:val="0094452F"/>
    <w:rsid w:val="00945751"/>
    <w:rsid w:val="00947B72"/>
    <w:rsid w:val="00950CC0"/>
    <w:rsid w:val="009512B5"/>
    <w:rsid w:val="00952B4C"/>
    <w:rsid w:val="00952EA2"/>
    <w:rsid w:val="00954530"/>
    <w:rsid w:val="00956BEF"/>
    <w:rsid w:val="00960119"/>
    <w:rsid w:val="009625D1"/>
    <w:rsid w:val="009671B7"/>
    <w:rsid w:val="00967D30"/>
    <w:rsid w:val="0097171D"/>
    <w:rsid w:val="009753EF"/>
    <w:rsid w:val="00981053"/>
    <w:rsid w:val="00982959"/>
    <w:rsid w:val="0098320D"/>
    <w:rsid w:val="0098353D"/>
    <w:rsid w:val="009855D0"/>
    <w:rsid w:val="00986F8A"/>
    <w:rsid w:val="009905BF"/>
    <w:rsid w:val="00992FEB"/>
    <w:rsid w:val="00994901"/>
    <w:rsid w:val="009954DB"/>
    <w:rsid w:val="009961A0"/>
    <w:rsid w:val="009965CA"/>
    <w:rsid w:val="00996968"/>
    <w:rsid w:val="00997C5F"/>
    <w:rsid w:val="009A0C8F"/>
    <w:rsid w:val="009A5FFA"/>
    <w:rsid w:val="009A72A2"/>
    <w:rsid w:val="009A762C"/>
    <w:rsid w:val="009B1221"/>
    <w:rsid w:val="009B2DC8"/>
    <w:rsid w:val="009B3CDA"/>
    <w:rsid w:val="009B6470"/>
    <w:rsid w:val="009B792C"/>
    <w:rsid w:val="009C0EFB"/>
    <w:rsid w:val="009C19F6"/>
    <w:rsid w:val="009C3917"/>
    <w:rsid w:val="009C590A"/>
    <w:rsid w:val="009D0190"/>
    <w:rsid w:val="009D0448"/>
    <w:rsid w:val="009D0536"/>
    <w:rsid w:val="009D0BC8"/>
    <w:rsid w:val="009D4E4D"/>
    <w:rsid w:val="009D53DF"/>
    <w:rsid w:val="009D6004"/>
    <w:rsid w:val="009D640E"/>
    <w:rsid w:val="009D6EDE"/>
    <w:rsid w:val="009D6F5D"/>
    <w:rsid w:val="009D70C3"/>
    <w:rsid w:val="009E0939"/>
    <w:rsid w:val="009E0958"/>
    <w:rsid w:val="009E0BFD"/>
    <w:rsid w:val="009E486C"/>
    <w:rsid w:val="009E6686"/>
    <w:rsid w:val="009E6764"/>
    <w:rsid w:val="009E6A3C"/>
    <w:rsid w:val="009E6FA2"/>
    <w:rsid w:val="009E7122"/>
    <w:rsid w:val="009F0AB0"/>
    <w:rsid w:val="009F4EB1"/>
    <w:rsid w:val="009F56DF"/>
    <w:rsid w:val="009F5CEB"/>
    <w:rsid w:val="009F6693"/>
    <w:rsid w:val="009F7787"/>
    <w:rsid w:val="009F7C83"/>
    <w:rsid w:val="00A014EA"/>
    <w:rsid w:val="00A01D9D"/>
    <w:rsid w:val="00A0467A"/>
    <w:rsid w:val="00A063BA"/>
    <w:rsid w:val="00A068BD"/>
    <w:rsid w:val="00A1258B"/>
    <w:rsid w:val="00A148E4"/>
    <w:rsid w:val="00A15E14"/>
    <w:rsid w:val="00A15FFE"/>
    <w:rsid w:val="00A17269"/>
    <w:rsid w:val="00A2072D"/>
    <w:rsid w:val="00A22FCB"/>
    <w:rsid w:val="00A2443D"/>
    <w:rsid w:val="00A2723F"/>
    <w:rsid w:val="00A30B26"/>
    <w:rsid w:val="00A3179B"/>
    <w:rsid w:val="00A409A7"/>
    <w:rsid w:val="00A40AB2"/>
    <w:rsid w:val="00A440E6"/>
    <w:rsid w:val="00A50DFF"/>
    <w:rsid w:val="00A54F86"/>
    <w:rsid w:val="00A562A5"/>
    <w:rsid w:val="00A60584"/>
    <w:rsid w:val="00A60807"/>
    <w:rsid w:val="00A60BD3"/>
    <w:rsid w:val="00A621CC"/>
    <w:rsid w:val="00A65A1D"/>
    <w:rsid w:val="00A65AB3"/>
    <w:rsid w:val="00A67A5F"/>
    <w:rsid w:val="00A72801"/>
    <w:rsid w:val="00A72D00"/>
    <w:rsid w:val="00A76830"/>
    <w:rsid w:val="00A7695E"/>
    <w:rsid w:val="00A77806"/>
    <w:rsid w:val="00A77FC4"/>
    <w:rsid w:val="00A8095D"/>
    <w:rsid w:val="00A82E65"/>
    <w:rsid w:val="00A846EA"/>
    <w:rsid w:val="00A869AA"/>
    <w:rsid w:val="00A876EE"/>
    <w:rsid w:val="00A87897"/>
    <w:rsid w:val="00A90DA5"/>
    <w:rsid w:val="00A939D0"/>
    <w:rsid w:val="00A9411C"/>
    <w:rsid w:val="00A942BF"/>
    <w:rsid w:val="00A9551F"/>
    <w:rsid w:val="00A96506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1E90"/>
    <w:rsid w:val="00AC63DB"/>
    <w:rsid w:val="00AC6873"/>
    <w:rsid w:val="00AC7296"/>
    <w:rsid w:val="00AD2743"/>
    <w:rsid w:val="00AD4B45"/>
    <w:rsid w:val="00AD6FD6"/>
    <w:rsid w:val="00AD7A69"/>
    <w:rsid w:val="00AD7F21"/>
    <w:rsid w:val="00AE0FEC"/>
    <w:rsid w:val="00AE227B"/>
    <w:rsid w:val="00AE4918"/>
    <w:rsid w:val="00AE58C0"/>
    <w:rsid w:val="00AE5D24"/>
    <w:rsid w:val="00AE71FD"/>
    <w:rsid w:val="00AE7883"/>
    <w:rsid w:val="00AE7C0F"/>
    <w:rsid w:val="00AF075A"/>
    <w:rsid w:val="00AF16CF"/>
    <w:rsid w:val="00AF1ED1"/>
    <w:rsid w:val="00AF5E5B"/>
    <w:rsid w:val="00AF7992"/>
    <w:rsid w:val="00AF7C5B"/>
    <w:rsid w:val="00B02DFE"/>
    <w:rsid w:val="00B0598F"/>
    <w:rsid w:val="00B107E0"/>
    <w:rsid w:val="00B13755"/>
    <w:rsid w:val="00B156D9"/>
    <w:rsid w:val="00B16DC3"/>
    <w:rsid w:val="00B171D8"/>
    <w:rsid w:val="00B17B7F"/>
    <w:rsid w:val="00B27B39"/>
    <w:rsid w:val="00B32446"/>
    <w:rsid w:val="00B36034"/>
    <w:rsid w:val="00B37A34"/>
    <w:rsid w:val="00B41731"/>
    <w:rsid w:val="00B41D9B"/>
    <w:rsid w:val="00B44DAB"/>
    <w:rsid w:val="00B462C6"/>
    <w:rsid w:val="00B47743"/>
    <w:rsid w:val="00B524C3"/>
    <w:rsid w:val="00B53B04"/>
    <w:rsid w:val="00B54E36"/>
    <w:rsid w:val="00B61011"/>
    <w:rsid w:val="00B6514A"/>
    <w:rsid w:val="00B65C16"/>
    <w:rsid w:val="00B7156E"/>
    <w:rsid w:val="00B72BB2"/>
    <w:rsid w:val="00B732D8"/>
    <w:rsid w:val="00B73788"/>
    <w:rsid w:val="00B75966"/>
    <w:rsid w:val="00B81071"/>
    <w:rsid w:val="00B82C1F"/>
    <w:rsid w:val="00B87110"/>
    <w:rsid w:val="00B92E8F"/>
    <w:rsid w:val="00B946BE"/>
    <w:rsid w:val="00B95274"/>
    <w:rsid w:val="00B95526"/>
    <w:rsid w:val="00B96F16"/>
    <w:rsid w:val="00B9798F"/>
    <w:rsid w:val="00BA1799"/>
    <w:rsid w:val="00BA47E4"/>
    <w:rsid w:val="00BA5EC7"/>
    <w:rsid w:val="00BA69FE"/>
    <w:rsid w:val="00BB11E0"/>
    <w:rsid w:val="00BB1C18"/>
    <w:rsid w:val="00BB1C52"/>
    <w:rsid w:val="00BB2021"/>
    <w:rsid w:val="00BB3E14"/>
    <w:rsid w:val="00BB4AAF"/>
    <w:rsid w:val="00BB5917"/>
    <w:rsid w:val="00BB6487"/>
    <w:rsid w:val="00BB7E01"/>
    <w:rsid w:val="00BC0E9D"/>
    <w:rsid w:val="00BC2641"/>
    <w:rsid w:val="00BC27FF"/>
    <w:rsid w:val="00BC2CE6"/>
    <w:rsid w:val="00BC3005"/>
    <w:rsid w:val="00BD10C8"/>
    <w:rsid w:val="00BD3894"/>
    <w:rsid w:val="00BD3B26"/>
    <w:rsid w:val="00BD46C3"/>
    <w:rsid w:val="00BD4C05"/>
    <w:rsid w:val="00BD5F05"/>
    <w:rsid w:val="00BE1743"/>
    <w:rsid w:val="00BE323E"/>
    <w:rsid w:val="00BE3B07"/>
    <w:rsid w:val="00BE3C52"/>
    <w:rsid w:val="00BE3C78"/>
    <w:rsid w:val="00BE69F8"/>
    <w:rsid w:val="00BE7B54"/>
    <w:rsid w:val="00BF1014"/>
    <w:rsid w:val="00BF397C"/>
    <w:rsid w:val="00BF3D56"/>
    <w:rsid w:val="00BF3F02"/>
    <w:rsid w:val="00BF7213"/>
    <w:rsid w:val="00BF7A33"/>
    <w:rsid w:val="00C01587"/>
    <w:rsid w:val="00C0190B"/>
    <w:rsid w:val="00C01D91"/>
    <w:rsid w:val="00C04CA4"/>
    <w:rsid w:val="00C05580"/>
    <w:rsid w:val="00C07F11"/>
    <w:rsid w:val="00C07F1F"/>
    <w:rsid w:val="00C10F66"/>
    <w:rsid w:val="00C159F0"/>
    <w:rsid w:val="00C209F5"/>
    <w:rsid w:val="00C216EA"/>
    <w:rsid w:val="00C2523D"/>
    <w:rsid w:val="00C2580B"/>
    <w:rsid w:val="00C25F3B"/>
    <w:rsid w:val="00C2608C"/>
    <w:rsid w:val="00C27973"/>
    <w:rsid w:val="00C32042"/>
    <w:rsid w:val="00C3273E"/>
    <w:rsid w:val="00C34301"/>
    <w:rsid w:val="00C36844"/>
    <w:rsid w:val="00C37338"/>
    <w:rsid w:val="00C376BE"/>
    <w:rsid w:val="00C379FF"/>
    <w:rsid w:val="00C41348"/>
    <w:rsid w:val="00C41583"/>
    <w:rsid w:val="00C419EA"/>
    <w:rsid w:val="00C44B0F"/>
    <w:rsid w:val="00C44B4C"/>
    <w:rsid w:val="00C45302"/>
    <w:rsid w:val="00C5044B"/>
    <w:rsid w:val="00C520CF"/>
    <w:rsid w:val="00C56111"/>
    <w:rsid w:val="00C57BF7"/>
    <w:rsid w:val="00C60B36"/>
    <w:rsid w:val="00C63515"/>
    <w:rsid w:val="00C67345"/>
    <w:rsid w:val="00C70724"/>
    <w:rsid w:val="00C70757"/>
    <w:rsid w:val="00C74A64"/>
    <w:rsid w:val="00C75DC3"/>
    <w:rsid w:val="00C76826"/>
    <w:rsid w:val="00C76839"/>
    <w:rsid w:val="00C77475"/>
    <w:rsid w:val="00C817CB"/>
    <w:rsid w:val="00C8293A"/>
    <w:rsid w:val="00C832F7"/>
    <w:rsid w:val="00C83AA2"/>
    <w:rsid w:val="00C8457F"/>
    <w:rsid w:val="00C846B1"/>
    <w:rsid w:val="00C862B8"/>
    <w:rsid w:val="00C878C6"/>
    <w:rsid w:val="00C87F11"/>
    <w:rsid w:val="00C91277"/>
    <w:rsid w:val="00C9204C"/>
    <w:rsid w:val="00C92306"/>
    <w:rsid w:val="00C95010"/>
    <w:rsid w:val="00C96469"/>
    <w:rsid w:val="00CA0686"/>
    <w:rsid w:val="00CA0DB7"/>
    <w:rsid w:val="00CA1D3C"/>
    <w:rsid w:val="00CA3A70"/>
    <w:rsid w:val="00CA4C90"/>
    <w:rsid w:val="00CA53B3"/>
    <w:rsid w:val="00CB1074"/>
    <w:rsid w:val="00CB1877"/>
    <w:rsid w:val="00CB1EA6"/>
    <w:rsid w:val="00CB2665"/>
    <w:rsid w:val="00CB2FFD"/>
    <w:rsid w:val="00CB33B3"/>
    <w:rsid w:val="00CB6D4B"/>
    <w:rsid w:val="00CB742A"/>
    <w:rsid w:val="00CC2DE8"/>
    <w:rsid w:val="00CC3149"/>
    <w:rsid w:val="00CC3E9B"/>
    <w:rsid w:val="00CC5408"/>
    <w:rsid w:val="00CD0E5A"/>
    <w:rsid w:val="00CD22F6"/>
    <w:rsid w:val="00CD4DA7"/>
    <w:rsid w:val="00CD5EA2"/>
    <w:rsid w:val="00CD60A6"/>
    <w:rsid w:val="00CD766B"/>
    <w:rsid w:val="00CD7B94"/>
    <w:rsid w:val="00CE20F7"/>
    <w:rsid w:val="00CE44DA"/>
    <w:rsid w:val="00CE4EE4"/>
    <w:rsid w:val="00CF265F"/>
    <w:rsid w:val="00CF2A2F"/>
    <w:rsid w:val="00CF5BCB"/>
    <w:rsid w:val="00CF7013"/>
    <w:rsid w:val="00D0022E"/>
    <w:rsid w:val="00D01383"/>
    <w:rsid w:val="00D044D7"/>
    <w:rsid w:val="00D05234"/>
    <w:rsid w:val="00D062E2"/>
    <w:rsid w:val="00D11519"/>
    <w:rsid w:val="00D11874"/>
    <w:rsid w:val="00D1195B"/>
    <w:rsid w:val="00D11BDA"/>
    <w:rsid w:val="00D13A63"/>
    <w:rsid w:val="00D140AB"/>
    <w:rsid w:val="00D14103"/>
    <w:rsid w:val="00D15084"/>
    <w:rsid w:val="00D16400"/>
    <w:rsid w:val="00D167EA"/>
    <w:rsid w:val="00D16AB8"/>
    <w:rsid w:val="00D16F94"/>
    <w:rsid w:val="00D204AA"/>
    <w:rsid w:val="00D20B63"/>
    <w:rsid w:val="00D21BB7"/>
    <w:rsid w:val="00D225A9"/>
    <w:rsid w:val="00D22AFA"/>
    <w:rsid w:val="00D27C1E"/>
    <w:rsid w:val="00D309F9"/>
    <w:rsid w:val="00D30A51"/>
    <w:rsid w:val="00D31A56"/>
    <w:rsid w:val="00D3387B"/>
    <w:rsid w:val="00D34830"/>
    <w:rsid w:val="00D35640"/>
    <w:rsid w:val="00D3696B"/>
    <w:rsid w:val="00D40A6E"/>
    <w:rsid w:val="00D41259"/>
    <w:rsid w:val="00D4227E"/>
    <w:rsid w:val="00D425D5"/>
    <w:rsid w:val="00D42B25"/>
    <w:rsid w:val="00D44CA6"/>
    <w:rsid w:val="00D45EB8"/>
    <w:rsid w:val="00D46C7A"/>
    <w:rsid w:val="00D47F26"/>
    <w:rsid w:val="00D501D6"/>
    <w:rsid w:val="00D50D09"/>
    <w:rsid w:val="00D51242"/>
    <w:rsid w:val="00D51E36"/>
    <w:rsid w:val="00D51EA0"/>
    <w:rsid w:val="00D563DF"/>
    <w:rsid w:val="00D56A80"/>
    <w:rsid w:val="00D619E0"/>
    <w:rsid w:val="00D628D2"/>
    <w:rsid w:val="00D63BFC"/>
    <w:rsid w:val="00D701C0"/>
    <w:rsid w:val="00D70BFD"/>
    <w:rsid w:val="00D7176B"/>
    <w:rsid w:val="00D75FA5"/>
    <w:rsid w:val="00D777D3"/>
    <w:rsid w:val="00D8059B"/>
    <w:rsid w:val="00D82903"/>
    <w:rsid w:val="00D837CB"/>
    <w:rsid w:val="00D842BE"/>
    <w:rsid w:val="00D86665"/>
    <w:rsid w:val="00D8667D"/>
    <w:rsid w:val="00D8728F"/>
    <w:rsid w:val="00D87929"/>
    <w:rsid w:val="00D97D21"/>
    <w:rsid w:val="00DA283E"/>
    <w:rsid w:val="00DA47AC"/>
    <w:rsid w:val="00DA4FCF"/>
    <w:rsid w:val="00DB02B4"/>
    <w:rsid w:val="00DB10C7"/>
    <w:rsid w:val="00DB286D"/>
    <w:rsid w:val="00DB3B65"/>
    <w:rsid w:val="00DB4877"/>
    <w:rsid w:val="00DB4E9C"/>
    <w:rsid w:val="00DB518E"/>
    <w:rsid w:val="00DB5D09"/>
    <w:rsid w:val="00DB7F65"/>
    <w:rsid w:val="00DC2108"/>
    <w:rsid w:val="00DC33F0"/>
    <w:rsid w:val="00DC33FE"/>
    <w:rsid w:val="00DC4C2B"/>
    <w:rsid w:val="00DC5A9E"/>
    <w:rsid w:val="00DC70E6"/>
    <w:rsid w:val="00DD0C4B"/>
    <w:rsid w:val="00DD2BAE"/>
    <w:rsid w:val="00DD3E0E"/>
    <w:rsid w:val="00DD68E6"/>
    <w:rsid w:val="00DD712B"/>
    <w:rsid w:val="00DE190D"/>
    <w:rsid w:val="00DE267F"/>
    <w:rsid w:val="00DE5A14"/>
    <w:rsid w:val="00DE7003"/>
    <w:rsid w:val="00DE729C"/>
    <w:rsid w:val="00DF06FC"/>
    <w:rsid w:val="00DF21E0"/>
    <w:rsid w:val="00DF5763"/>
    <w:rsid w:val="00E06BEA"/>
    <w:rsid w:val="00E111BE"/>
    <w:rsid w:val="00E1126F"/>
    <w:rsid w:val="00E11C92"/>
    <w:rsid w:val="00E162F8"/>
    <w:rsid w:val="00E16799"/>
    <w:rsid w:val="00E17272"/>
    <w:rsid w:val="00E17A05"/>
    <w:rsid w:val="00E17BB1"/>
    <w:rsid w:val="00E20786"/>
    <w:rsid w:val="00E20BA5"/>
    <w:rsid w:val="00E20C40"/>
    <w:rsid w:val="00E220D0"/>
    <w:rsid w:val="00E24F47"/>
    <w:rsid w:val="00E252DC"/>
    <w:rsid w:val="00E2602B"/>
    <w:rsid w:val="00E27B51"/>
    <w:rsid w:val="00E30981"/>
    <w:rsid w:val="00E31B42"/>
    <w:rsid w:val="00E349A2"/>
    <w:rsid w:val="00E34D06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6A17"/>
    <w:rsid w:val="00E57444"/>
    <w:rsid w:val="00E620AA"/>
    <w:rsid w:val="00E626C9"/>
    <w:rsid w:val="00E63BEB"/>
    <w:rsid w:val="00E655E0"/>
    <w:rsid w:val="00E657E9"/>
    <w:rsid w:val="00E71D41"/>
    <w:rsid w:val="00E7497E"/>
    <w:rsid w:val="00E74997"/>
    <w:rsid w:val="00E7617F"/>
    <w:rsid w:val="00E76F6E"/>
    <w:rsid w:val="00E80FB0"/>
    <w:rsid w:val="00E81567"/>
    <w:rsid w:val="00E81D28"/>
    <w:rsid w:val="00E832E8"/>
    <w:rsid w:val="00E8405D"/>
    <w:rsid w:val="00E86623"/>
    <w:rsid w:val="00E908EA"/>
    <w:rsid w:val="00E9099C"/>
    <w:rsid w:val="00E91DEA"/>
    <w:rsid w:val="00E920C5"/>
    <w:rsid w:val="00E92BB7"/>
    <w:rsid w:val="00E9761B"/>
    <w:rsid w:val="00EA0AAB"/>
    <w:rsid w:val="00EA255C"/>
    <w:rsid w:val="00EB22B1"/>
    <w:rsid w:val="00EB3DAC"/>
    <w:rsid w:val="00EB4CF1"/>
    <w:rsid w:val="00EB68CC"/>
    <w:rsid w:val="00EB7992"/>
    <w:rsid w:val="00EC3CF2"/>
    <w:rsid w:val="00EC43E9"/>
    <w:rsid w:val="00EC4EF4"/>
    <w:rsid w:val="00EC524C"/>
    <w:rsid w:val="00EC535E"/>
    <w:rsid w:val="00EC7079"/>
    <w:rsid w:val="00ED1DDC"/>
    <w:rsid w:val="00ED3706"/>
    <w:rsid w:val="00ED55F8"/>
    <w:rsid w:val="00ED5DF4"/>
    <w:rsid w:val="00EE0880"/>
    <w:rsid w:val="00EE11B7"/>
    <w:rsid w:val="00EE68C7"/>
    <w:rsid w:val="00EF1C23"/>
    <w:rsid w:val="00EF3034"/>
    <w:rsid w:val="00EF433E"/>
    <w:rsid w:val="00EF52FA"/>
    <w:rsid w:val="00EF63AA"/>
    <w:rsid w:val="00EF7EC2"/>
    <w:rsid w:val="00F113F8"/>
    <w:rsid w:val="00F175A0"/>
    <w:rsid w:val="00F17AFB"/>
    <w:rsid w:val="00F2458E"/>
    <w:rsid w:val="00F258BE"/>
    <w:rsid w:val="00F26D5E"/>
    <w:rsid w:val="00F274CA"/>
    <w:rsid w:val="00F352E6"/>
    <w:rsid w:val="00F36E68"/>
    <w:rsid w:val="00F4054F"/>
    <w:rsid w:val="00F4180C"/>
    <w:rsid w:val="00F444D8"/>
    <w:rsid w:val="00F44C78"/>
    <w:rsid w:val="00F47AC5"/>
    <w:rsid w:val="00F50089"/>
    <w:rsid w:val="00F50C1A"/>
    <w:rsid w:val="00F52141"/>
    <w:rsid w:val="00F526A7"/>
    <w:rsid w:val="00F55C4C"/>
    <w:rsid w:val="00F624C5"/>
    <w:rsid w:val="00F652BB"/>
    <w:rsid w:val="00F6544C"/>
    <w:rsid w:val="00F656FA"/>
    <w:rsid w:val="00F6668C"/>
    <w:rsid w:val="00F67AB0"/>
    <w:rsid w:val="00F67AC0"/>
    <w:rsid w:val="00F7210A"/>
    <w:rsid w:val="00F77CE1"/>
    <w:rsid w:val="00F8215E"/>
    <w:rsid w:val="00F82836"/>
    <w:rsid w:val="00F83434"/>
    <w:rsid w:val="00F8452B"/>
    <w:rsid w:val="00F864A1"/>
    <w:rsid w:val="00F931D9"/>
    <w:rsid w:val="00F9365B"/>
    <w:rsid w:val="00F941A2"/>
    <w:rsid w:val="00F948EB"/>
    <w:rsid w:val="00F94C8B"/>
    <w:rsid w:val="00F94EFC"/>
    <w:rsid w:val="00F96892"/>
    <w:rsid w:val="00FA19CD"/>
    <w:rsid w:val="00FA4AE6"/>
    <w:rsid w:val="00FA63C7"/>
    <w:rsid w:val="00FA721E"/>
    <w:rsid w:val="00FB17EE"/>
    <w:rsid w:val="00FB261C"/>
    <w:rsid w:val="00FB3AB3"/>
    <w:rsid w:val="00FB4D35"/>
    <w:rsid w:val="00FB5FD4"/>
    <w:rsid w:val="00FB6A76"/>
    <w:rsid w:val="00FC0B64"/>
    <w:rsid w:val="00FC0D37"/>
    <w:rsid w:val="00FC3BDF"/>
    <w:rsid w:val="00FC456A"/>
    <w:rsid w:val="00FD0334"/>
    <w:rsid w:val="00FD05AA"/>
    <w:rsid w:val="00FD1E3F"/>
    <w:rsid w:val="00FD3288"/>
    <w:rsid w:val="00FD3E85"/>
    <w:rsid w:val="00FD667E"/>
    <w:rsid w:val="00FD684C"/>
    <w:rsid w:val="00FE1716"/>
    <w:rsid w:val="00FE1D58"/>
    <w:rsid w:val="00FE52DE"/>
    <w:rsid w:val="00FE6564"/>
    <w:rsid w:val="00FE70FF"/>
    <w:rsid w:val="00FF3A8D"/>
    <w:rsid w:val="00FF5B3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1"/>
    <o:shapelayout v:ext="edit">
      <o:idmap v:ext="edit" data="1"/>
    </o:shapelayout>
  </w:shapeDefaults>
  <w:decimalSymbol w:val=","/>
  <w:listSeparator w:val=";"/>
  <w15:docId w15:val="{B48C2503-57A1-4A37-B3BB-0036527E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16400"/>
    <w:rPr>
      <w:lang w:val="en-US" w:eastAsia="en-US"/>
    </w:rPr>
  </w:style>
  <w:style w:type="table" w:styleId="Mriekatabuky">
    <w:name w:val="Table Grid"/>
    <w:basedOn w:val="Normlnatabuka"/>
    <w:uiPriority w:val="59"/>
    <w:rsid w:val="008B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E69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4.docx"/><Relationship Id="rId3" Type="http://schemas.openxmlformats.org/officeDocument/2006/relationships/image" Target="media/image2.emf"/><Relationship Id="rId7" Type="http://schemas.openxmlformats.org/officeDocument/2006/relationships/image" Target="media/image4.emf"/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Relationship Id="rId6" Type="http://schemas.openxmlformats.org/officeDocument/2006/relationships/package" Target="embeddings/Dokument_programu_Microsoft_Word3.docx"/><Relationship Id="rId5" Type="http://schemas.openxmlformats.org/officeDocument/2006/relationships/image" Target="media/image3.emf"/><Relationship Id="rId4" Type="http://schemas.openxmlformats.org/officeDocument/2006/relationships/package" Target="embeddings/Dokument_programu_Microsoft_Word2.docx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2DD0-B2C4-466E-8423-FA8255F1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8596</Words>
  <Characters>49003</Characters>
  <Application>Microsoft Office Word</Application>
  <DocSecurity>0</DocSecurity>
  <Lines>408</Lines>
  <Paragraphs>114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57485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Medvecká, Patrícia</cp:lastModifiedBy>
  <cp:revision>2</cp:revision>
  <cp:lastPrinted>2016-08-22T07:52:00Z</cp:lastPrinted>
  <dcterms:created xsi:type="dcterms:W3CDTF">2018-11-29T14:26:00Z</dcterms:created>
  <dcterms:modified xsi:type="dcterms:W3CDTF">2018-11-29T14:26:00Z</dcterms:modified>
</cp:coreProperties>
</file>