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E6" w:rsidRPr="00A613CE" w:rsidRDefault="00BF18E6" w:rsidP="008F5530">
      <w:pPr>
        <w:rPr>
          <w:b/>
          <w:color w:val="000000"/>
          <w:sz w:val="22"/>
          <w:szCs w:val="22"/>
        </w:rPr>
      </w:pPr>
      <w:bookmarkStart w:id="0" w:name="_GoBack"/>
      <w:bookmarkEnd w:id="0"/>
    </w:p>
    <w:p w:rsidR="00BF18E6" w:rsidRPr="0031558A" w:rsidRDefault="00BF18E6" w:rsidP="008F5530">
      <w:pPr>
        <w:rPr>
          <w:b/>
          <w:color w:val="000000"/>
          <w:sz w:val="22"/>
          <w:szCs w:val="22"/>
        </w:rPr>
      </w:pPr>
    </w:p>
    <w:p w:rsidR="00BF18E6" w:rsidRPr="0031558A" w:rsidRDefault="00BF18E6" w:rsidP="00A613CE">
      <w:pPr>
        <w:jc w:val="center"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Súhrn charakteristických vlastností lieku</w:t>
      </w:r>
    </w:p>
    <w:p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:rsidR="00BF18E6" w:rsidRPr="0031558A" w:rsidRDefault="00BF18E6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Názov lieku</w:t>
      </w:r>
    </w:p>
    <w:p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:rsidR="00BF18E6" w:rsidRPr="0031558A" w:rsidRDefault="00BF18E6" w:rsidP="008F5530">
      <w:pPr>
        <w:pStyle w:val="Nadpis2"/>
        <w:keepNext w:val="0"/>
        <w:ind w:left="0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r w:rsidRPr="0031558A">
        <w:rPr>
          <w:rFonts w:ascii="Times New Roman" w:hAnsi="Times New Roman"/>
          <w:b w:val="0"/>
          <w:color w:val="000000"/>
          <w:sz w:val="22"/>
          <w:szCs w:val="22"/>
        </w:rPr>
        <w:t>Voltaren Forte 2,32</w:t>
      </w:r>
      <w:r w:rsidR="00254124" w:rsidRPr="0031558A">
        <w:rPr>
          <w:rFonts w:ascii="Times New Roman" w:hAnsi="Times New Roman"/>
          <w:b w:val="0"/>
          <w:color w:val="000000"/>
          <w:sz w:val="22"/>
          <w:szCs w:val="22"/>
        </w:rPr>
        <w:t> %</w:t>
      </w:r>
      <w:r w:rsidRPr="0031558A">
        <w:rPr>
          <w:rFonts w:ascii="Times New Roman" w:hAnsi="Times New Roman"/>
          <w:b w:val="0"/>
          <w:color w:val="000000"/>
          <w:sz w:val="22"/>
          <w:szCs w:val="22"/>
        </w:rPr>
        <w:t xml:space="preserve"> gél</w:t>
      </w: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BF18E6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Kvalitatívne a kvantitatívne zloženie lieku</w:t>
      </w:r>
    </w:p>
    <w:p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:rsidR="00BF18E6" w:rsidRPr="0031558A" w:rsidRDefault="003D4E61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Jeden </w:t>
      </w:r>
      <w:r w:rsidR="00BF18E6" w:rsidRPr="0031558A">
        <w:rPr>
          <w:color w:val="000000"/>
          <w:sz w:val="22"/>
          <w:szCs w:val="22"/>
        </w:rPr>
        <w:t>g</w:t>
      </w:r>
      <w:r w:rsidR="00675628" w:rsidRPr="0031558A">
        <w:rPr>
          <w:color w:val="000000"/>
          <w:sz w:val="22"/>
          <w:szCs w:val="22"/>
        </w:rPr>
        <w:t>ram</w:t>
      </w:r>
      <w:r w:rsidR="00BF18E6" w:rsidRPr="0031558A">
        <w:rPr>
          <w:color w:val="000000"/>
          <w:sz w:val="22"/>
          <w:szCs w:val="22"/>
        </w:rPr>
        <w:t xml:space="preserve"> lieku Voltaren Forte 2,32</w:t>
      </w:r>
      <w:r w:rsidR="00254124" w:rsidRPr="0031558A">
        <w:rPr>
          <w:color w:val="000000"/>
          <w:sz w:val="22"/>
          <w:szCs w:val="22"/>
        </w:rPr>
        <w:t> %</w:t>
      </w:r>
      <w:r w:rsidR="00BF18E6" w:rsidRPr="0031558A">
        <w:rPr>
          <w:color w:val="000000"/>
          <w:sz w:val="22"/>
          <w:szCs w:val="22"/>
        </w:rPr>
        <w:t xml:space="preserve"> gél obsahuje</w:t>
      </w:r>
      <w:r w:rsidR="00DF2229" w:rsidRPr="0031558A">
        <w:rPr>
          <w:sz w:val="22"/>
          <w:szCs w:val="22"/>
        </w:rPr>
        <w:t xml:space="preserve"> </w:t>
      </w:r>
      <w:r w:rsidR="00264963" w:rsidRPr="0031558A">
        <w:rPr>
          <w:color w:val="000000"/>
          <w:sz w:val="22"/>
          <w:szCs w:val="22"/>
        </w:rPr>
        <w:t>23,2 mg</w:t>
      </w:r>
      <w:r w:rsidR="00264963" w:rsidRPr="0031558A">
        <w:rPr>
          <w:sz w:val="22"/>
          <w:szCs w:val="22"/>
        </w:rPr>
        <w:t xml:space="preserve"> </w:t>
      </w:r>
      <w:r w:rsidR="00DC3D2F" w:rsidRPr="0031558A">
        <w:rPr>
          <w:sz w:val="22"/>
          <w:szCs w:val="22"/>
        </w:rPr>
        <w:t>diklofenaku</w:t>
      </w:r>
      <w:r w:rsidR="00DC3D2F" w:rsidRPr="0031558A">
        <w:rPr>
          <w:color w:val="000000"/>
          <w:sz w:val="22"/>
          <w:szCs w:val="22"/>
        </w:rPr>
        <w:t>,</w:t>
      </w:r>
      <w:r w:rsidR="00DC3D2F" w:rsidRPr="0031558A">
        <w:rPr>
          <w:sz w:val="22"/>
          <w:szCs w:val="22"/>
        </w:rPr>
        <w:t xml:space="preserve"> dietylamínovej soli</w:t>
      </w:r>
      <w:r w:rsidR="00DC3D2F" w:rsidRPr="0031558A">
        <w:rPr>
          <w:color w:val="000000"/>
          <w:sz w:val="22"/>
          <w:szCs w:val="22"/>
        </w:rPr>
        <w:t xml:space="preserve"> čo zodpovedá 20 mg diklofenaku, sodnej soli.</w:t>
      </w:r>
    </w:p>
    <w:p w:rsidR="00254124" w:rsidRPr="0031558A" w:rsidRDefault="00254124" w:rsidP="008F5530">
      <w:pPr>
        <w:rPr>
          <w:color w:val="000000"/>
          <w:sz w:val="22"/>
          <w:szCs w:val="22"/>
        </w:rPr>
      </w:pPr>
    </w:p>
    <w:p w:rsidR="00BF18E6" w:rsidRPr="0031558A" w:rsidRDefault="00DC3D2F" w:rsidP="008F5530">
      <w:pPr>
        <w:pStyle w:val="Text"/>
        <w:spacing w:before="0"/>
        <w:jc w:val="left"/>
        <w:rPr>
          <w:rFonts w:eastAsia="Times New Roman"/>
          <w:color w:val="000000"/>
          <w:sz w:val="22"/>
          <w:szCs w:val="22"/>
          <w:lang w:val="sk-SK" w:eastAsia="sk-SK"/>
        </w:rPr>
      </w:pPr>
      <w:r w:rsidRPr="0031558A">
        <w:rPr>
          <w:rFonts w:eastAsia="Times New Roman"/>
          <w:color w:val="000000"/>
          <w:sz w:val="22"/>
          <w:szCs w:val="22"/>
          <w:u w:val="single"/>
          <w:lang w:val="sk-SK" w:eastAsia="sk-SK"/>
        </w:rPr>
        <w:t>Pomocné látky so známym účinkom</w:t>
      </w:r>
      <w:r w:rsidRPr="009E57F9">
        <w:rPr>
          <w:rFonts w:eastAsia="Times New Roman"/>
          <w:color w:val="000000"/>
          <w:sz w:val="22"/>
          <w:szCs w:val="22"/>
          <w:lang w:val="sk-SK" w:eastAsia="sk-SK"/>
        </w:rPr>
        <w:t>: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propylénglykol (50 mg/g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g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>é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lu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>)</w:t>
      </w:r>
      <w:r w:rsidR="008721DC"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a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butylhydroxytoluén </w:t>
      </w:r>
      <w:r w:rsidRPr="0031558A">
        <w:rPr>
          <w:rFonts w:eastAsia="Times New Roman"/>
          <w:sz w:val="22"/>
          <w:szCs w:val="22"/>
          <w:lang w:val="sk-SK"/>
        </w:rPr>
        <w:t>(0,2</w:t>
      </w:r>
      <w:r w:rsidRPr="0031558A">
        <w:rPr>
          <w:rFonts w:eastAsia="Times New Roman"/>
          <w:spacing w:val="1"/>
          <w:sz w:val="22"/>
          <w:szCs w:val="22"/>
          <w:lang w:val="sk-SK"/>
        </w:rPr>
        <w:t> </w:t>
      </w:r>
      <w:r w:rsidRPr="0031558A">
        <w:rPr>
          <w:rFonts w:eastAsia="Times New Roman"/>
          <w:sz w:val="22"/>
          <w:szCs w:val="22"/>
          <w:lang w:val="sk-SK"/>
        </w:rPr>
        <w:t>m</w:t>
      </w:r>
      <w:r w:rsidRPr="0031558A">
        <w:rPr>
          <w:rFonts w:eastAsia="Times New Roman"/>
          <w:spacing w:val="-2"/>
          <w:sz w:val="22"/>
          <w:szCs w:val="22"/>
          <w:lang w:val="sk-SK"/>
        </w:rPr>
        <w:t>g</w:t>
      </w:r>
      <w:r w:rsidRPr="0031558A">
        <w:rPr>
          <w:rFonts w:eastAsia="Times New Roman"/>
          <w:spacing w:val="3"/>
          <w:sz w:val="22"/>
          <w:szCs w:val="22"/>
          <w:lang w:val="sk-SK"/>
        </w:rPr>
        <w:t>/</w:t>
      </w:r>
      <w:r w:rsidRPr="0031558A">
        <w:rPr>
          <w:rFonts w:eastAsia="Times New Roman"/>
          <w:sz w:val="22"/>
          <w:szCs w:val="22"/>
          <w:lang w:val="sk-SK"/>
        </w:rPr>
        <w:t>g</w:t>
      </w:r>
      <w:r w:rsidRPr="0031558A">
        <w:rPr>
          <w:rFonts w:eastAsia="Times New Roman"/>
          <w:spacing w:val="-4"/>
          <w:sz w:val="22"/>
          <w:szCs w:val="22"/>
          <w:lang w:val="sk-SK"/>
        </w:rPr>
        <w:t xml:space="preserve"> </w:t>
      </w:r>
      <w:r w:rsidRPr="0031558A">
        <w:rPr>
          <w:rFonts w:eastAsia="Times New Roman"/>
          <w:spacing w:val="-2"/>
          <w:sz w:val="22"/>
          <w:szCs w:val="22"/>
          <w:lang w:val="sk-SK"/>
        </w:rPr>
        <w:t>g</w:t>
      </w:r>
      <w:r w:rsidRPr="0031558A">
        <w:rPr>
          <w:rFonts w:eastAsia="Times New Roman"/>
          <w:spacing w:val="-1"/>
          <w:sz w:val="22"/>
          <w:szCs w:val="22"/>
          <w:lang w:val="sk-SK"/>
        </w:rPr>
        <w:t>é</w:t>
      </w:r>
      <w:r w:rsidRPr="0031558A">
        <w:rPr>
          <w:rFonts w:eastAsia="Times New Roman"/>
          <w:sz w:val="22"/>
          <w:szCs w:val="22"/>
          <w:lang w:val="sk-SK"/>
        </w:rPr>
        <w:t>lu)</w:t>
      </w:r>
      <w:r w:rsidR="00985B02" w:rsidRPr="0031558A">
        <w:rPr>
          <w:rFonts w:eastAsia="Times New Roman"/>
          <w:color w:val="000000"/>
          <w:sz w:val="22"/>
          <w:szCs w:val="22"/>
          <w:lang w:val="sk-SK" w:eastAsia="sk-SK"/>
        </w:rPr>
        <w:t>.</w:t>
      </w: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Úplný zoznam pomocných látok, pozri časť 6.1.</w:t>
      </w: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Lieková forma</w:t>
      </w:r>
    </w:p>
    <w:p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Gél.</w:t>
      </w:r>
    </w:p>
    <w:p w:rsidR="00985B02" w:rsidRPr="0031558A" w:rsidRDefault="00985B02" w:rsidP="008F5530">
      <w:pPr>
        <w:rPr>
          <w:color w:val="000000"/>
          <w:sz w:val="22"/>
          <w:szCs w:val="22"/>
        </w:rPr>
      </w:pPr>
    </w:p>
    <w:p w:rsidR="00BF18E6" w:rsidRPr="0031558A" w:rsidRDefault="00F6763F" w:rsidP="008F5530">
      <w:pPr>
        <w:rPr>
          <w:color w:val="000000"/>
          <w:sz w:val="22"/>
          <w:szCs w:val="22"/>
        </w:rPr>
      </w:pPr>
      <w:r w:rsidRPr="009E57F9">
        <w:rPr>
          <w:color w:val="000000"/>
          <w:sz w:val="22"/>
          <w:szCs w:val="22"/>
          <w:u w:val="single"/>
        </w:rPr>
        <w:t>Popis lieku</w:t>
      </w:r>
      <w:r>
        <w:rPr>
          <w:color w:val="000000"/>
          <w:sz w:val="22"/>
          <w:szCs w:val="22"/>
        </w:rPr>
        <w:t xml:space="preserve">: </w:t>
      </w:r>
      <w:r w:rsidR="009407CD" w:rsidRPr="009407CD">
        <w:rPr>
          <w:color w:val="000000"/>
          <w:sz w:val="22"/>
          <w:szCs w:val="22"/>
        </w:rPr>
        <w:t xml:space="preserve">Biely až </w:t>
      </w:r>
      <w:proofErr w:type="spellStart"/>
      <w:r w:rsidR="009407CD" w:rsidRPr="009407CD">
        <w:rPr>
          <w:color w:val="000000"/>
          <w:sz w:val="22"/>
          <w:szCs w:val="22"/>
        </w:rPr>
        <w:t>nažltlý</w:t>
      </w:r>
      <w:proofErr w:type="spellEnd"/>
      <w:r w:rsidR="009407CD">
        <w:rPr>
          <w:color w:val="000000"/>
          <w:sz w:val="22"/>
          <w:szCs w:val="22"/>
        </w:rPr>
        <w:t xml:space="preserve"> </w:t>
      </w:r>
      <w:r w:rsidR="00DC3D2F" w:rsidRPr="0031558A">
        <w:rPr>
          <w:color w:val="000000"/>
          <w:sz w:val="22"/>
          <w:szCs w:val="22"/>
        </w:rPr>
        <w:t>jemný homogénny krémový gél.</w:t>
      </w: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Klinické údaje</w:t>
      </w:r>
    </w:p>
    <w:p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4.1</w:t>
      </w:r>
      <w:r w:rsidRPr="0031558A">
        <w:rPr>
          <w:b/>
          <w:color w:val="000000"/>
          <w:sz w:val="22"/>
          <w:szCs w:val="22"/>
        </w:rPr>
        <w:tab/>
        <w:t>Terapeutické indikácie</w:t>
      </w:r>
    </w:p>
    <w:p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Dospelí a dospievajúci vo veku 14 rokov a starší</w:t>
      </w: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tlmí bolesť a zápal a zmierňuje opuch:</w:t>
      </w:r>
    </w:p>
    <w:p w:rsidR="006B5083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tkaniva: poranenia šliach, svalov a kĺbov, napr. po vytknutí, natiahnutí alebo pomliaždení</w:t>
      </w:r>
      <w:r w:rsidR="006B5083">
        <w:rPr>
          <w:rFonts w:ascii="Times New Roman" w:hAnsi="Times New Roman"/>
          <w:color w:val="000000"/>
          <w:szCs w:val="22"/>
        </w:rPr>
        <w:t>;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 bolesti chrbta (športové úrazy); 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 lokalizovaných formách reumatizmu mäkkých tkanív, napr.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tendinitíde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(tenisový lakeť),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burzitíde</w:t>
      </w:r>
      <w:proofErr w:type="spellEnd"/>
      <w:r w:rsidRPr="0031558A">
        <w:rPr>
          <w:rFonts w:ascii="Times New Roman" w:hAnsi="Times New Roman"/>
          <w:color w:val="000000"/>
          <w:szCs w:val="22"/>
        </w:rPr>
        <w:t>, syndróm</w:t>
      </w:r>
      <w:r w:rsidR="00B029D1">
        <w:rPr>
          <w:rFonts w:ascii="Times New Roman" w:hAnsi="Times New Roman"/>
          <w:color w:val="000000"/>
          <w:szCs w:val="22"/>
        </w:rPr>
        <w:t>e</w:t>
      </w:r>
      <w:r w:rsidRPr="0031558A">
        <w:rPr>
          <w:rFonts w:ascii="Times New Roman" w:hAnsi="Times New Roman"/>
          <w:color w:val="000000"/>
          <w:szCs w:val="22"/>
        </w:rPr>
        <w:t xml:space="preserve"> rameno</w:t>
      </w:r>
      <w:r w:rsidR="00B80FCA">
        <w:rPr>
          <w:rFonts w:ascii="Times New Roman" w:hAnsi="Times New Roman"/>
          <w:color w:val="000000"/>
          <w:szCs w:val="22"/>
        </w:rPr>
        <w:t> - </w:t>
      </w:r>
      <w:r w:rsidRPr="0031558A">
        <w:rPr>
          <w:rFonts w:ascii="Times New Roman" w:hAnsi="Times New Roman"/>
          <w:color w:val="000000"/>
          <w:szCs w:val="22"/>
        </w:rPr>
        <w:t xml:space="preserve">ruka,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periartropatii</w:t>
      </w:r>
      <w:proofErr w:type="spellEnd"/>
      <w:r w:rsidRPr="0031558A">
        <w:rPr>
          <w:rFonts w:ascii="Times New Roman" w:hAnsi="Times New Roman"/>
          <w:color w:val="000000"/>
          <w:szCs w:val="22"/>
        </w:rPr>
        <w:t>.</w:t>
      </w:r>
    </w:p>
    <w:p w:rsidR="00BF18E6" w:rsidRPr="0031558A" w:rsidRDefault="00BF18E6" w:rsidP="008F5530">
      <w:pPr>
        <w:pStyle w:val="Zarkazkladnhotextu"/>
        <w:ind w:left="0"/>
        <w:jc w:val="left"/>
        <w:rPr>
          <w:rFonts w:ascii="Times New Roman" w:hAnsi="Times New Roman"/>
          <w:color w:val="000000"/>
          <w:szCs w:val="22"/>
        </w:rPr>
      </w:pPr>
    </w:p>
    <w:p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color w:val="000000"/>
          <w:szCs w:val="22"/>
          <w:u w:val="single"/>
        </w:rPr>
      </w:pPr>
      <w:r w:rsidRPr="0031558A">
        <w:rPr>
          <w:rFonts w:ascii="Times New Roman" w:hAnsi="Times New Roman"/>
          <w:color w:val="000000"/>
          <w:szCs w:val="22"/>
          <w:u w:val="single"/>
        </w:rPr>
        <w:t>Dospelí (18 rokov a starší)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prináša úľavu od bolesti pri lokalizovaných formách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degeneratívneho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</w:t>
      </w:r>
      <w:r w:rsidR="00BC3900">
        <w:rPr>
          <w:rFonts w:ascii="Times New Roman" w:hAnsi="Times New Roman"/>
          <w:szCs w:val="22"/>
        </w:rPr>
        <w:t>poškodenia kĺbov</w:t>
      </w:r>
      <w:r w:rsidRPr="0031558A">
        <w:rPr>
          <w:rFonts w:ascii="Times New Roman" w:hAnsi="Times New Roman"/>
          <w:color w:val="000000"/>
          <w:szCs w:val="22"/>
        </w:rPr>
        <w:t xml:space="preserve">, napr.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osteoartr</w:t>
      </w:r>
      <w:r w:rsidR="005D1081">
        <w:rPr>
          <w:rFonts w:ascii="Times New Roman" w:hAnsi="Times New Roman"/>
          <w:color w:val="000000"/>
          <w:szCs w:val="22"/>
        </w:rPr>
        <w:t>óze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periférnych kĺbov a </w:t>
      </w:r>
      <w:r w:rsidR="006510D4">
        <w:rPr>
          <w:rFonts w:ascii="Times New Roman" w:hAnsi="Times New Roman"/>
          <w:color w:val="000000"/>
          <w:szCs w:val="22"/>
        </w:rPr>
        <w:t>kolien</w:t>
      </w:r>
      <w:r w:rsidRPr="0031558A">
        <w:rPr>
          <w:rFonts w:ascii="Times New Roman" w:hAnsi="Times New Roman"/>
          <w:color w:val="000000"/>
          <w:szCs w:val="22"/>
        </w:rPr>
        <w:t>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4.2</w:t>
      </w:r>
      <w:r w:rsidRPr="0031558A">
        <w:rPr>
          <w:i/>
          <w:color w:val="000000"/>
          <w:sz w:val="22"/>
          <w:szCs w:val="22"/>
        </w:rPr>
        <w:tab/>
      </w:r>
      <w:r w:rsidRPr="0031558A">
        <w:rPr>
          <w:b/>
          <w:color w:val="000000"/>
          <w:sz w:val="22"/>
          <w:szCs w:val="22"/>
        </w:rPr>
        <w:t>Dávkovanie a spôsob podávania</w:t>
      </w:r>
    </w:p>
    <w:p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F76BE0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Dávkovanie</w:t>
      </w:r>
    </w:p>
    <w:p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Dospelí</w:t>
      </w:r>
      <w:r w:rsidRPr="0031558A">
        <w:rPr>
          <w:b/>
          <w:i/>
          <w:color w:val="000000"/>
          <w:sz w:val="22"/>
          <w:szCs w:val="22"/>
        </w:rPr>
        <w:t xml:space="preserve"> </w:t>
      </w:r>
      <w:r w:rsidRPr="0031558A">
        <w:rPr>
          <w:i/>
          <w:color w:val="000000"/>
          <w:sz w:val="22"/>
          <w:szCs w:val="22"/>
        </w:rPr>
        <w:t>a dospievajúci vo veku 14 rokov a starší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poskytuje dlhotrvajúcu úľavu od bolesti až do 12 hodín. Nanáša sa </w:t>
      </w:r>
      <w:r w:rsidR="003334DD">
        <w:rPr>
          <w:color w:val="000000"/>
          <w:sz w:val="22"/>
          <w:szCs w:val="22"/>
        </w:rPr>
        <w:t xml:space="preserve">  </w:t>
      </w:r>
      <w:r w:rsidRPr="0031558A">
        <w:rPr>
          <w:color w:val="000000"/>
          <w:sz w:val="22"/>
          <w:szCs w:val="22"/>
        </w:rPr>
        <w:t>2-krát denne: najlepšie ráno a večer. Jemne sa vtiera do kože na postihnuté miesto.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Potrebné množstvo závisí od veľkosti bolestivého miesta: 2 g až 4 g (množstvo veľkosti čerešne až vlašského orecha) gélu postačuje na ošetrenie plochy asi 400 až 800 cm². Po použití sa majú umyť ruky, pokiaľ ruky nie sú ošetrovaným miestom. 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lastRenderedPageBreak/>
        <w:t>Dĺžka liečby</w:t>
      </w: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Trvanie liečby závisí od indikácie a dosiahnutej odpovede pacienta na liečbu. 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 alebo pri reumatizme mäkkých tkanív: gél sa nemá používať dlhšie ako 14 dní, pokiaľ to neodporučil lekár;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artritickej bolesti (dospelí vo veku 18 rokov a starší)</w:t>
      </w:r>
      <w:r w:rsidR="00822D60">
        <w:rPr>
          <w:rFonts w:ascii="Times New Roman" w:hAnsi="Times New Roman"/>
          <w:color w:val="000000"/>
          <w:szCs w:val="22"/>
        </w:rPr>
        <w:t xml:space="preserve"> nemá</w:t>
      </w:r>
      <w:r w:rsidRPr="0031558A">
        <w:rPr>
          <w:rFonts w:ascii="Times New Roman" w:hAnsi="Times New Roman"/>
          <w:color w:val="000000"/>
          <w:szCs w:val="22"/>
        </w:rPr>
        <w:t xml:space="preserve"> dĺžka liečby presiahnuť 21 dní, pokiaľ to neodporučil lekár.</w:t>
      </w: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BF18E6" w:rsidRPr="0031558A" w:rsidRDefault="00DC3D2F" w:rsidP="00A613CE">
      <w:pPr>
        <w:shd w:val="clear" w:color="auto" w:fill="FFFFFF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používaní lieku bez odporúčania lekára </w:t>
      </w:r>
      <w:r w:rsidRPr="0031558A">
        <w:rPr>
          <w:color w:val="000000"/>
          <w:sz w:val="22"/>
          <w:szCs w:val="22"/>
          <w:lang w:eastAsia="en-US"/>
        </w:rPr>
        <w:t xml:space="preserve">pre niektorú z vyššie uvedených indikácií, </w:t>
      </w:r>
      <w:r w:rsidRPr="0031558A">
        <w:rPr>
          <w:color w:val="000000"/>
          <w:sz w:val="22"/>
          <w:szCs w:val="22"/>
        </w:rPr>
        <w:t xml:space="preserve">má pacient vyhľadať lekára, ak sa stav nezlepší do 7 dní alebo sa stav zhorší. </w:t>
      </w: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A613CE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Pediatrická populácia</w:t>
      </w:r>
    </w:p>
    <w:p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Deti a dospievajúci do 14 rokov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Nie sú k dispozícii dostatočné údaje o účinnosti a bezpečnosti pre deti a dospievajúci mladších ako 14 rokov (pozri časť 4.3).</w:t>
      </w:r>
    </w:p>
    <w:p w:rsidR="00E46D18" w:rsidRPr="0031558A" w:rsidRDefault="00E46D18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pStyle w:val="Text"/>
        <w:spacing w:before="0"/>
        <w:jc w:val="left"/>
        <w:rPr>
          <w:color w:val="000000"/>
          <w:sz w:val="22"/>
          <w:szCs w:val="22"/>
          <w:lang w:val="sk-SK" w:eastAsia="sk-SK"/>
        </w:rPr>
      </w:pPr>
      <w:r w:rsidRPr="0031558A">
        <w:rPr>
          <w:color w:val="000000"/>
          <w:sz w:val="22"/>
          <w:szCs w:val="22"/>
          <w:lang w:val="sk-SK" w:eastAsia="sk-SK"/>
        </w:rPr>
        <w:t xml:space="preserve">Pokiaľ je u dospievajúcich starších ako 14 rokov potrebné používať tento liek dlhšie ako 7 dní na úľavu od bolesti alebo pokiaľ sa príznaky zhoršujú, odporúča sa pacientom / ich rodičom kontaktovať lekára.  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Starší ľudia (nad 65 rokov)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Môžu byť použité dávky obvyklé pre dospelých.</w:t>
      </w:r>
    </w:p>
    <w:p w:rsidR="00F76BE0" w:rsidRPr="0031558A" w:rsidRDefault="00F76BE0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F76BE0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Spôsob podávania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 sa jemne sa vtiera do kože na postihnuté miesto.</w:t>
      </w:r>
    </w:p>
    <w:p w:rsidR="00061523" w:rsidRPr="0031558A" w:rsidRDefault="00061523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4.3</w:t>
      </w:r>
      <w:r w:rsidRPr="0031558A">
        <w:rPr>
          <w:b/>
          <w:color w:val="000000"/>
          <w:sz w:val="22"/>
          <w:szCs w:val="22"/>
        </w:rPr>
        <w:tab/>
        <w:t>Kontraindikácie</w:t>
      </w:r>
    </w:p>
    <w:p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Precitlivenosť na liečivo alebo na ktorúkoľvek z pomocných látok uvedených v časti 6.1.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Používanie u pacientov, u ktorých kyselina acetylsalicylová alebo iné nesteroidové protizápalové liečivá (NSAID) vyvolávajú záchvaty astmy, </w:t>
      </w:r>
      <w:r w:rsidR="00822D60">
        <w:rPr>
          <w:rFonts w:ascii="Times New Roman" w:hAnsi="Times New Roman"/>
          <w:szCs w:val="22"/>
        </w:rPr>
        <w:t xml:space="preserve">angioedém, </w:t>
      </w:r>
      <w:r w:rsidRPr="0031558A">
        <w:rPr>
          <w:rFonts w:ascii="Times New Roman" w:hAnsi="Times New Roman"/>
          <w:color w:val="000000"/>
          <w:szCs w:val="22"/>
        </w:rPr>
        <w:t xml:space="preserve">žihľavku alebo akútnu rinitídu. 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Posledný trimester gravidity.</w:t>
      </w:r>
    </w:p>
    <w:p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Používanie u detí a dospievajúcich mladších ako 14 rokov.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4.4</w:t>
      </w:r>
      <w:r w:rsidRPr="0031558A">
        <w:rPr>
          <w:b/>
          <w:color w:val="000000"/>
          <w:sz w:val="22"/>
          <w:szCs w:val="22"/>
        </w:rPr>
        <w:tab/>
        <w:t>Osobitné upozornenia a opatrenia pri používaní</w:t>
      </w:r>
    </w:p>
    <w:p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Ak sa Voltaren Forte 2,32 % gél nanáša na veľké plochy kože a počas dlhšieho obdobia</w:t>
      </w:r>
      <w:r w:rsidR="00615B3A" w:rsidRPr="00615B3A">
        <w:rPr>
          <w:sz w:val="22"/>
          <w:szCs w:val="22"/>
        </w:rPr>
        <w:t xml:space="preserve"> </w:t>
      </w:r>
      <w:r w:rsidR="00615B3A">
        <w:rPr>
          <w:sz w:val="22"/>
          <w:szCs w:val="22"/>
        </w:rPr>
        <w:t>alebo ak sa používa v kombinácii s perorálne užívanými liekmi patriacimi medzi NSAID</w:t>
      </w:r>
      <w:r w:rsidRPr="0031558A">
        <w:rPr>
          <w:color w:val="000000"/>
          <w:sz w:val="22"/>
          <w:szCs w:val="22"/>
        </w:rPr>
        <w:t xml:space="preserve">, nemožno vylúčiť možnosť systémových nežiaducich účinkov (pozri SPC systémových foriem diklofenaku). 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AA378F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sa má nanášať len na zdravú a intaktnú kožu (bez otvorených rán alebo poranení). </w:t>
      </w:r>
    </w:p>
    <w:p w:rsidR="00615B3A" w:rsidRPr="0031558A" w:rsidRDefault="00615B3A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2,32 % gél nemá prísť do styku s očnou spojovkou alebo so sliznicami a nemá sa užívať vnútorne.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sz w:val="22"/>
          <w:szCs w:val="22"/>
        </w:rPr>
      </w:pPr>
      <w:r w:rsidRPr="0031558A">
        <w:rPr>
          <w:sz w:val="22"/>
          <w:szCs w:val="22"/>
        </w:rPr>
        <w:t>Ak sa po aplikácii lieku na koži objaví vyrážka, liečbu je treba ukončiť.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sa môže používať spolu s neokluzívnou bandážou, ale nemá sa používať s nepriedušným, okluzívnym obväzom.</w:t>
      </w:r>
    </w:p>
    <w:p w:rsidR="00BF18E6" w:rsidRPr="0031558A" w:rsidRDefault="00BF18E6" w:rsidP="008F5530">
      <w:pPr>
        <w:rPr>
          <w:color w:val="000000"/>
          <w:sz w:val="22"/>
          <w:szCs w:val="22"/>
        </w:rPr>
      </w:pPr>
    </w:p>
    <w:p w:rsidR="00AA378F" w:rsidRPr="0031558A" w:rsidRDefault="00DC3D2F" w:rsidP="00AA378F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31558A">
        <w:rPr>
          <w:sz w:val="22"/>
          <w:szCs w:val="22"/>
          <w:u w:val="single"/>
        </w:rPr>
        <w:t>Pomocné látky so známym účinkom</w:t>
      </w:r>
    </w:p>
    <w:p w:rsidR="006019A9" w:rsidRPr="0031558A" w:rsidRDefault="00BF18E6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</w:t>
      </w:r>
      <w:r w:rsidR="00254124" w:rsidRPr="0031558A">
        <w:rPr>
          <w:color w:val="000000"/>
          <w:sz w:val="22"/>
          <w:szCs w:val="22"/>
        </w:rPr>
        <w:t> %</w:t>
      </w:r>
      <w:r w:rsidR="00DC3D2F" w:rsidRPr="0031558A">
        <w:rPr>
          <w:color w:val="000000"/>
          <w:sz w:val="22"/>
          <w:szCs w:val="22"/>
        </w:rPr>
        <w:t xml:space="preserve"> gél obsahuje propylénglykol, ktorý môže vyvolať podráždenie pokožky. </w:t>
      </w:r>
    </w:p>
    <w:p w:rsidR="006019A9" w:rsidRPr="0031558A" w:rsidRDefault="00DC3D2F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obsahuje tiež butylhydroxytoluén, ktorý môže vyvolať lokálne kožné reakcie (napr. kontaktnú dermatitídu) alebo podráždenie očí a slizníc.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4.5</w:t>
      </w:r>
      <w:r w:rsidRPr="0031558A">
        <w:rPr>
          <w:b/>
          <w:color w:val="000000"/>
          <w:sz w:val="22"/>
          <w:szCs w:val="22"/>
        </w:rPr>
        <w:tab/>
        <w:t>Liekové a iné interakcie</w:t>
      </w:r>
    </w:p>
    <w:p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A613CE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Pretože systémová absorpcia pri topickej aplikácii gélu je veľmi nízka, sú interakcie veľmi nepravdepodobné. 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4.6</w:t>
      </w:r>
      <w:r w:rsidRPr="0031558A">
        <w:rPr>
          <w:b/>
          <w:color w:val="000000"/>
          <w:sz w:val="22"/>
          <w:szCs w:val="22"/>
        </w:rPr>
        <w:tab/>
        <w:t>Fertilita, gravidita a laktácia</w:t>
      </w:r>
    </w:p>
    <w:p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Gravidita</w:t>
      </w:r>
    </w:p>
    <w:p w:rsidR="00BF18E6" w:rsidRPr="0031558A" w:rsidRDefault="00C06995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F260EE">
        <w:rPr>
          <w:rFonts w:ascii="Times New Roman" w:hAnsi="Times New Roman"/>
          <w:spacing w:val="1"/>
          <w:sz w:val="22"/>
          <w:szCs w:val="22"/>
          <w:lang w:val="sk-SK"/>
        </w:rPr>
        <w:t>Údaje o podávaní diklofenaku počas gravidity nie sú dostatočné.</w:t>
      </w:r>
      <w:r w:rsidRPr="00F260EE">
        <w:rPr>
          <w:rFonts w:cs="Calibri"/>
          <w:spacing w:val="1"/>
          <w:lang w:val="sk-SK"/>
        </w:rPr>
        <w:t xml:space="preserve"> </w:t>
      </w:r>
      <w:r w:rsidR="00DC3D2F" w:rsidRPr="0031558A">
        <w:rPr>
          <w:rFonts w:ascii="Times New Roman" w:hAnsi="Times New Roman"/>
          <w:sz w:val="22"/>
          <w:szCs w:val="22"/>
          <w:lang w:val="sk-SK"/>
        </w:rPr>
        <w:t xml:space="preserve">Systémová koncentrácia diklofenaku je nižšia po lokálnej aplikácii v porovnaní s perorálnym podaním. </w:t>
      </w:r>
    </w:p>
    <w:p w:rsidR="008053D7" w:rsidRPr="0031558A" w:rsidRDefault="008053D7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31558A" w:rsidRDefault="00DC3D2F" w:rsidP="008F5530">
      <w:pPr>
        <w:keepNext/>
        <w:rPr>
          <w:sz w:val="22"/>
          <w:szCs w:val="22"/>
          <w:lang w:eastAsia="en-US"/>
        </w:rPr>
      </w:pPr>
      <w:r w:rsidRPr="0031558A">
        <w:rPr>
          <w:sz w:val="22"/>
          <w:szCs w:val="22"/>
          <w:lang w:eastAsia="en-US"/>
        </w:rPr>
        <w:t>S ohľadom na skúsenosti s liečbou systémovými NSAID sa odporúča nasledovné:</w:t>
      </w:r>
    </w:p>
    <w:p w:rsidR="00BF18E6" w:rsidRPr="0031558A" w:rsidRDefault="00BF18E6" w:rsidP="008F5530">
      <w:pPr>
        <w:keepNext/>
        <w:rPr>
          <w:sz w:val="22"/>
          <w:szCs w:val="22"/>
          <w:lang w:eastAsia="en-US"/>
        </w:rPr>
      </w:pPr>
    </w:p>
    <w:p w:rsidR="009906CB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Inhibícia syntézy prostaglandínov môže nepriaznivo ovplyvniť graviditu a/alebo embryofetálny / vývoj. Údaje z epidemiologických štúdií naznačujú zvýšené riziko potratov a kardiálnych malformácií a gastroschízy po užívaní inhibítorov syntézy prostaglandínov v počiatku gravidity.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Absolútne riziko kardiovaskulárnych malformácií sa zvýšilo z menej než 1 % na približne 1,5 %. Predpokladá sa, že sa riziko zvyšuje s dávkou a dĺžkou liečby. </w:t>
      </w:r>
    </w:p>
    <w:p w:rsidR="009906CB" w:rsidRPr="0031558A" w:rsidRDefault="009906CB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:rsidR="00BF18E6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U zvierat sa preukázalo, že podanie inhibítorov syntézy prostaglandínov vedie k zvýšeniu pre- a post-implantačných strát a k embryofetálnej letalite. Navyše</w:t>
      </w:r>
      <w:r w:rsidR="00F16857" w:rsidRP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u zvierat, ktorým boli podané inhibítory syntézy prostaglandínov počas obdobia organogenézy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,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bol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a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hlásen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á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zvýšená incidencia rôznych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malformácií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, vrátane kardiovaskulárnych.</w:t>
      </w:r>
    </w:p>
    <w:p w:rsidR="00BF18E6" w:rsidRPr="0031558A" w:rsidRDefault="00BF18E6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:rsidR="00BF18E6" w:rsidRPr="0031558A" w:rsidRDefault="00DC3D2F" w:rsidP="00B06B38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V priebehu prvého a druhého trimestra gravidity sa diklofenak nemá podávať, ak to nie je nevyhnutné. Ak diklofenak používa žena, ktorá má snahu otehotnieť alebo je v období prvého alebo druhého trimestra gravidity, má byť dávka čo najnižšia a dĺžka liečby čo najkratšia.</w:t>
      </w:r>
    </w:p>
    <w:p w:rsidR="00BF18E6" w:rsidRPr="0031558A" w:rsidRDefault="00BF18E6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31558A" w:rsidRDefault="00DC3D2F" w:rsidP="008F5530">
      <w:pPr>
        <w:pStyle w:val="CM1"/>
        <w:keepNext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Počas tretieho trimestra gravidity môžu všetky inhibítory syntézy prostaglandínov vystaviť plod:</w:t>
      </w:r>
    </w:p>
    <w:p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kardiopulmonálnej toxicite (predčasný uzáver ductus arteriosus a pulmonálna hypertenzia); </w:t>
      </w:r>
    </w:p>
    <w:p w:rsidR="00BF18E6" w:rsidRPr="0031558A" w:rsidRDefault="00DC3D2F" w:rsidP="008F5530">
      <w:pPr>
        <w:pStyle w:val="CM7"/>
        <w:numPr>
          <w:ilvl w:val="0"/>
          <w:numId w:val="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renálnej dysfunkcii, ktorá môže progredovať v renálne zlyhanie s oligohydramniónom; </w:t>
      </w:r>
    </w:p>
    <w:p w:rsidR="00784E07" w:rsidRPr="0031558A" w:rsidRDefault="00784E07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matku a novorodenca na konci gravidity môže vystaviť: </w:t>
      </w:r>
    </w:p>
    <w:p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potenciálnemu predĺženiu doby krvácania, antiagregačnému efektu, ktorý sa môže vyskytnúť dokonca aj pri veľmi nízkych dávkach;</w:t>
      </w:r>
    </w:p>
    <w:p w:rsidR="00784E07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inhibícii maternicových kontrakcií vedúcej k oneskoreniu alebo predĺženiu priebehu pôrodu.</w:t>
      </w:r>
    </w:p>
    <w:p w:rsidR="00BF18E6" w:rsidRPr="0031558A" w:rsidRDefault="00BF18E6" w:rsidP="008F5530">
      <w:pPr>
        <w:pStyle w:val="CM3"/>
        <w:rPr>
          <w:rFonts w:ascii="Times New Roman" w:hAnsi="Times New Roman"/>
          <w:sz w:val="22"/>
          <w:szCs w:val="22"/>
          <w:lang w:val="sk-SK"/>
        </w:rPr>
      </w:pPr>
    </w:p>
    <w:p w:rsidR="00BF18E6" w:rsidRPr="0031558A" w:rsidRDefault="00DC3D2F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Preto je diklofenak kontraindikovaný v treťom trimestri gravidity. </w:t>
      </w:r>
    </w:p>
    <w:p w:rsidR="00784E07" w:rsidRPr="0031558A" w:rsidRDefault="00784E07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</w:pPr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Dojčenie</w:t>
      </w:r>
    </w:p>
    <w:p w:rsidR="00662A8A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Rovnako ako aj iné NSAID, tak aj diklofenak prestupuje do materského mlieka v malom množstve. Napriek tomu pri terapeutických dávkach lieku </w:t>
      </w:r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t xml:space="preserve">nie je predpokladaný žiaden účinok na dojčené dieťa. </w:t>
      </w:r>
    </w:p>
    <w:p w:rsidR="00662A8A" w:rsidRPr="0031558A" w:rsidRDefault="00662A8A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 nedostatok kontrolovaných štúdií u dojčiacich matiek môže byť liek používaný v priebehu dojčenia iba po porade s lekárom. Za týchto okolnosti sa nesmie </w:t>
      </w:r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t xml:space="preserve">aplikovať ani na prsia dojčiacej matky ani na rozsiahle plochy kože alebo počas dlhého obdobia (pozri časť 4.4). </w:t>
      </w:r>
    </w:p>
    <w:p w:rsidR="006019A9" w:rsidRPr="0031558A" w:rsidRDefault="006019A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6019A9" w:rsidRPr="0031558A" w:rsidRDefault="00DC3D2F">
      <w:pPr>
        <w:pStyle w:val="Default"/>
        <w:keepNext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Fertilita</w:t>
      </w:r>
    </w:p>
    <w:p w:rsidR="006019A9" w:rsidRPr="0031558A" w:rsidRDefault="00DC3D2F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Údaje o užívaní lokálnych foriem diklofenaku a účinkoch na plodnosť u ľudí nie sú k dispozícii.</w:t>
      </w:r>
    </w:p>
    <w:p w:rsidR="006019A9" w:rsidRPr="0031558A" w:rsidRDefault="006019A9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lastRenderedPageBreak/>
        <w:t>4.7</w:t>
      </w:r>
      <w:r w:rsidRPr="0031558A">
        <w:rPr>
          <w:b/>
          <w:color w:val="000000"/>
          <w:sz w:val="22"/>
          <w:szCs w:val="22"/>
        </w:rPr>
        <w:tab/>
        <w:t>Ovplyvnenie schopnosti viesť vozidlá a obsluhovať stroje</w:t>
      </w:r>
    </w:p>
    <w:p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:rsidR="00BF18E6" w:rsidRPr="0031558A" w:rsidRDefault="00DC3D2F" w:rsidP="00A613CE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Dermálne podanie lieku Voltaren Forte 2,32 % gél nemá žiadny alebo má zanedbateľný vplyv na schopnosť viesť vozidlá a obsluhovať stroje.</w:t>
      </w:r>
    </w:p>
    <w:p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4.8</w:t>
      </w:r>
      <w:r w:rsidRPr="0031558A">
        <w:rPr>
          <w:b/>
          <w:color w:val="000000"/>
          <w:sz w:val="22"/>
          <w:szCs w:val="22"/>
        </w:rPr>
        <w:tab/>
        <w:t>Nežiaduce účinky</w:t>
      </w:r>
    </w:p>
    <w:p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szCs w:val="22"/>
        </w:rPr>
      </w:pPr>
      <w:r w:rsidRPr="0031558A">
        <w:rPr>
          <w:rFonts w:ascii="Times New Roman" w:hAnsi="Times New Roman"/>
          <w:iCs/>
          <w:szCs w:val="22"/>
        </w:rPr>
        <w:t>Nežiaduce účinky sú zoradené podľa tried orgánových systémov a frekvencie. Frekvencie sú určené ako</w:t>
      </w:r>
      <w:r w:rsidR="00BF18E6" w:rsidRPr="0031558A">
        <w:rPr>
          <w:rFonts w:ascii="Times New Roman" w:hAnsi="Times New Roman"/>
          <w:szCs w:val="22"/>
        </w:rPr>
        <w:t>:</w:t>
      </w:r>
      <w:r w:rsidR="00BF18E6" w:rsidRPr="0031558A">
        <w:rPr>
          <w:rFonts w:ascii="Times New Roman" w:hAnsi="Times New Roman"/>
          <w:iCs/>
          <w:szCs w:val="22"/>
        </w:rPr>
        <w:t xml:space="preserve"> veľmi</w:t>
      </w:r>
      <w:r w:rsidRPr="0031558A">
        <w:rPr>
          <w:rFonts w:ascii="Times New Roman" w:hAnsi="Times New Roman"/>
          <w:iCs/>
          <w:szCs w:val="22"/>
        </w:rPr>
        <w:t xml:space="preserve"> časté (≥ 1/10), časté (≥ 1/100 až &lt; 1/10); menej časté (≥ 1/1 000 až &lt; 1/100); zriedkavé (≥ 1/10 000 až &lt; 1/1 000); veľmi zriedkavé (&lt; 1/10 000), </w:t>
      </w:r>
      <w:r w:rsidRPr="0031558A">
        <w:rPr>
          <w:rFonts w:ascii="Times New Roman" w:hAnsi="Times New Roman"/>
          <w:szCs w:val="22"/>
        </w:rPr>
        <w:t>nie je známe (z dostupných údajov).</w:t>
      </w:r>
      <w:r w:rsidRPr="0031558A">
        <w:rPr>
          <w:rFonts w:ascii="Times New Roman" w:hAnsi="Times New Roman"/>
          <w:iCs/>
          <w:szCs w:val="22"/>
        </w:rPr>
        <w:t xml:space="preserve"> V každej skupine sú nežiaduce účinky zoradené podľa klesajúcej závažnosti.</w:t>
      </w:r>
    </w:p>
    <w:p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:rsidR="00BF18E6" w:rsidRPr="0031558A" w:rsidRDefault="00BF18E6" w:rsidP="008F5530">
      <w:pPr>
        <w:pStyle w:val="Zarkazkladnhotextu"/>
        <w:keepNext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386"/>
      </w:tblGrid>
      <w:tr w:rsidR="008F5530" w:rsidRPr="0031558A" w:rsidTr="008F5530">
        <w:trPr>
          <w:cantSplit/>
        </w:trPr>
        <w:tc>
          <w:tcPr>
            <w:tcW w:w="8505" w:type="dxa"/>
            <w:gridSpan w:val="3"/>
          </w:tcPr>
          <w:p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Infekcie a nákazy</w:t>
            </w:r>
          </w:p>
        </w:tc>
      </w:tr>
      <w:tr w:rsidR="008F5530" w:rsidRPr="0031558A" w:rsidTr="008F5530">
        <w:tc>
          <w:tcPr>
            <w:tcW w:w="567" w:type="dxa"/>
          </w:tcPr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:rsidR="00BF18E6" w:rsidRPr="0031558A" w:rsidRDefault="00BF18E6" w:rsidP="008F5530">
            <w:pPr>
              <w:pStyle w:val="Table"/>
              <w:keepNext w:val="0"/>
              <w:keepLines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pustulózna vyrážka </w:t>
            </w:r>
          </w:p>
        </w:tc>
      </w:tr>
      <w:tr w:rsidR="008F5530" w:rsidRPr="0031558A" w:rsidTr="008F5530">
        <w:trPr>
          <w:cantSplit/>
        </w:trPr>
        <w:tc>
          <w:tcPr>
            <w:tcW w:w="8505" w:type="dxa"/>
            <w:gridSpan w:val="3"/>
          </w:tcPr>
          <w:p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</w:tr>
      <w:tr w:rsidR="008F5530" w:rsidRPr="0031558A" w:rsidTr="008F5530">
        <w:tc>
          <w:tcPr>
            <w:tcW w:w="567" w:type="dxa"/>
          </w:tcPr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hypersenzitivita (vrátane žihľavky), angioneurotický edém</w:t>
            </w:r>
          </w:p>
        </w:tc>
      </w:tr>
      <w:tr w:rsidR="008F5530" w:rsidRPr="0031558A" w:rsidTr="008F5530">
        <w:trPr>
          <w:cantSplit/>
        </w:trPr>
        <w:tc>
          <w:tcPr>
            <w:tcW w:w="8505" w:type="dxa"/>
            <w:gridSpan w:val="3"/>
          </w:tcPr>
          <w:p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dýchacej sústavy, hrudníka a mediastína</w:t>
            </w:r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:rsidTr="008F5530">
        <w:tc>
          <w:tcPr>
            <w:tcW w:w="567" w:type="dxa"/>
          </w:tcPr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31558A" w:rsidRDefault="00DC3D2F" w:rsidP="008F5530">
            <w:pPr>
              <w:tabs>
                <w:tab w:val="num" w:pos="0"/>
              </w:tabs>
              <w:rPr>
                <w:iCs/>
                <w:sz w:val="22"/>
                <w:szCs w:val="22"/>
              </w:rPr>
            </w:pPr>
            <w:r w:rsidRPr="0031558A">
              <w:rPr>
                <w:iCs/>
                <w:sz w:val="22"/>
                <w:szCs w:val="22"/>
              </w:rPr>
              <w:t xml:space="preserve">veľmi zriedkavé: </w:t>
            </w:r>
          </w:p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astma</w:t>
            </w:r>
          </w:p>
        </w:tc>
      </w:tr>
      <w:tr w:rsidR="008F5530" w:rsidRPr="0031558A" w:rsidTr="008F5530">
        <w:trPr>
          <w:cantSplit/>
        </w:trPr>
        <w:tc>
          <w:tcPr>
            <w:tcW w:w="8505" w:type="dxa"/>
            <w:gridSpan w:val="3"/>
          </w:tcPr>
          <w:p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kože a podkožného tkaniva</w:t>
            </w:r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:rsidTr="008F5530">
        <w:tc>
          <w:tcPr>
            <w:tcW w:w="567" w:type="dxa"/>
          </w:tcPr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časté: </w:t>
            </w:r>
          </w:p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</w:p>
        </w:tc>
        <w:tc>
          <w:tcPr>
            <w:tcW w:w="5386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dermatitída (vrátane kontaktnej dermatitídy), vyrážka, ekzém, erytém, svrbenie</w:t>
            </w:r>
          </w:p>
        </w:tc>
      </w:tr>
      <w:tr w:rsidR="008F5530" w:rsidRPr="0031558A" w:rsidTr="008F5530">
        <w:tc>
          <w:tcPr>
            <w:tcW w:w="567" w:type="dxa"/>
          </w:tcPr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zriedkavé: </w:t>
            </w:r>
          </w:p>
        </w:tc>
        <w:tc>
          <w:tcPr>
            <w:tcW w:w="5386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bulózna dermatitída </w:t>
            </w:r>
          </w:p>
        </w:tc>
      </w:tr>
      <w:tr w:rsidR="008F5530" w:rsidRPr="0031558A" w:rsidTr="008F5530">
        <w:trPr>
          <w:trHeight w:val="57"/>
        </w:trPr>
        <w:tc>
          <w:tcPr>
            <w:tcW w:w="567" w:type="dxa"/>
          </w:tcPr>
          <w:p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  <w:r w:rsidRPr="0031558A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veľmi zriedkavé: </w:t>
            </w:r>
          </w:p>
        </w:tc>
        <w:tc>
          <w:tcPr>
            <w:tcW w:w="5386" w:type="dxa"/>
          </w:tcPr>
          <w:p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fotosenzitívne reakcie </w:t>
            </w:r>
          </w:p>
        </w:tc>
      </w:tr>
    </w:tbl>
    <w:p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szCs w:val="22"/>
          <w:u w:val="single"/>
        </w:rPr>
      </w:pPr>
      <w:r w:rsidRPr="0031558A">
        <w:rPr>
          <w:rFonts w:ascii="Times New Roman" w:hAnsi="Times New Roman"/>
          <w:szCs w:val="22"/>
          <w:u w:val="single"/>
        </w:rPr>
        <w:t>Hlásenie podozrení na nežiaduce reakcie</w:t>
      </w:r>
    </w:p>
    <w:p w:rsidR="00BF18E6" w:rsidRPr="0031558A" w:rsidRDefault="00DC3D2F" w:rsidP="008F5530">
      <w:pPr>
        <w:pStyle w:val="Zarkazkladnhotextu"/>
        <w:ind w:left="0"/>
        <w:jc w:val="left"/>
        <w:rPr>
          <w:rFonts w:ascii="Times New Roman" w:hAnsi="Times New Roman"/>
          <w:szCs w:val="22"/>
        </w:rPr>
      </w:pPr>
      <w:r w:rsidRPr="0031558A">
        <w:rPr>
          <w:rFonts w:ascii="Times New Roman" w:hAnsi="Times New Roman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3D278F">
        <w:rPr>
          <w:rFonts w:ascii="Times New Roman" w:hAnsi="Times New Roman"/>
          <w:noProof/>
          <w:szCs w:val="22"/>
          <w:highlight w:val="lightGray"/>
        </w:rPr>
        <w:t>národné centrum hlásenia uvedené v </w:t>
      </w:r>
      <w:hyperlink r:id="rId9" w:history="1">
        <w:r w:rsidRPr="003D278F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</w:t>
        </w:r>
        <w:proofErr w:type="spellStart"/>
        <w:r w:rsidRPr="003D278F">
          <w:rPr>
            <w:rStyle w:val="Hypertextovprepojenie"/>
            <w:rFonts w:ascii="Times New Roman" w:hAnsi="Times New Roman"/>
            <w:szCs w:val="22"/>
            <w:highlight w:val="lightGray"/>
          </w:rPr>
          <w:t>rílohe</w:t>
        </w:r>
        <w:proofErr w:type="spellEnd"/>
        <w:r w:rsidRPr="003D278F">
          <w:rPr>
            <w:rStyle w:val="Hypertextovprepojenie"/>
            <w:rFonts w:ascii="Times New Roman" w:hAnsi="Times New Roman"/>
            <w:szCs w:val="22"/>
            <w:highlight w:val="lightGray"/>
          </w:rPr>
          <w:t xml:space="preserve"> V</w:t>
        </w:r>
      </w:hyperlink>
      <w:r w:rsidR="00BF18E6" w:rsidRPr="0031558A">
        <w:rPr>
          <w:rFonts w:ascii="Times New Roman" w:hAnsi="Times New Roman"/>
          <w:noProof/>
          <w:szCs w:val="22"/>
        </w:rPr>
        <w:t>.</w:t>
      </w:r>
    </w:p>
    <w:p w:rsidR="00BF18E6" w:rsidRPr="0031558A" w:rsidRDefault="00BF18E6" w:rsidP="008F5530">
      <w:pPr>
        <w:pStyle w:val="Zarkazkladnhotextu"/>
        <w:jc w:val="left"/>
        <w:rPr>
          <w:rFonts w:ascii="Times New Roman" w:hAnsi="Times New Roman"/>
          <w:szCs w:val="22"/>
        </w:rPr>
      </w:pPr>
    </w:p>
    <w:p w:rsidR="00BF18E6" w:rsidRPr="0031558A" w:rsidRDefault="00DC3D2F" w:rsidP="008F5530">
      <w:pPr>
        <w:keepNext/>
        <w:rPr>
          <w:b/>
          <w:bCs/>
          <w:color w:val="000000"/>
          <w:sz w:val="22"/>
          <w:szCs w:val="22"/>
        </w:rPr>
      </w:pPr>
      <w:r w:rsidRPr="0031558A">
        <w:rPr>
          <w:b/>
          <w:bCs/>
          <w:color w:val="000000"/>
          <w:sz w:val="22"/>
          <w:szCs w:val="22"/>
        </w:rPr>
        <w:t>4.9</w:t>
      </w:r>
      <w:r w:rsidRPr="0031558A">
        <w:rPr>
          <w:b/>
          <w:bCs/>
          <w:color w:val="000000"/>
          <w:sz w:val="22"/>
          <w:szCs w:val="22"/>
        </w:rPr>
        <w:tab/>
        <w:t>Predávkovanie</w:t>
      </w:r>
    </w:p>
    <w:p w:rsidR="00BF18E6" w:rsidRPr="0031558A" w:rsidRDefault="00BF18E6" w:rsidP="008F5530">
      <w:pPr>
        <w:keepNext/>
        <w:tabs>
          <w:tab w:val="num" w:pos="0"/>
        </w:tabs>
        <w:rPr>
          <w:bCs/>
          <w:i/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Vzhľadom na nízku systémovú absorpciu diklofenaku pri topickom použití je predávkovanie veľmi nepravdepodobné.</w:t>
      </w:r>
    </w:p>
    <w:p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prípade, že by došlo k náhodnému požitiu lieku Voltaren Forte 2,32 % gél (1 tuba s obsahom 50 g obsahuje 1 g sodnej soli diklofenaku), možno očakávať nežiaduce účinky podobné účinkom pri predávkovaní </w:t>
      </w:r>
      <w:r w:rsidRPr="0031558A">
        <w:rPr>
          <w:sz w:val="22"/>
          <w:szCs w:val="22"/>
        </w:rPr>
        <w:t>diklofenaku v perorálnej forme</w:t>
      </w:r>
      <w:r w:rsidRPr="0031558A">
        <w:rPr>
          <w:color w:val="000000"/>
          <w:sz w:val="22"/>
          <w:szCs w:val="22"/>
        </w:rPr>
        <w:t xml:space="preserve">. </w:t>
      </w:r>
    </w:p>
    <w:p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 prípade náhodného požitia lieku, ktoré by viedlo k signifikantným systémovým nežiaducim účinkom, je potrebné použiť všeobecné terapeutické postupy, ktoré sa bežne používajú pri otrave NSAID</w:t>
      </w:r>
      <w:r w:rsidR="00BF18E6" w:rsidRPr="0031558A">
        <w:rPr>
          <w:color w:val="000000"/>
          <w:sz w:val="22"/>
          <w:szCs w:val="22"/>
        </w:rPr>
        <w:t>. Je potrebné uvažovať</w:t>
      </w:r>
      <w:r w:rsidR="00985B02" w:rsidRPr="0031558A">
        <w:rPr>
          <w:color w:val="000000"/>
          <w:sz w:val="22"/>
          <w:szCs w:val="22"/>
        </w:rPr>
        <w:t xml:space="preserve"> o </w:t>
      </w:r>
      <w:r w:rsidRPr="0031558A">
        <w:rPr>
          <w:color w:val="000000"/>
          <w:sz w:val="22"/>
          <w:szCs w:val="22"/>
        </w:rPr>
        <w:t xml:space="preserve">výplachu žalúdka a použití aktívneho uhlia, najmä bezprostredne po požití. </w:t>
      </w:r>
    </w:p>
    <w:p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5.</w:t>
      </w:r>
      <w:r w:rsidRPr="0031558A">
        <w:rPr>
          <w:b/>
          <w:caps/>
          <w:color w:val="000000"/>
          <w:sz w:val="22"/>
          <w:szCs w:val="22"/>
        </w:rPr>
        <w:tab/>
        <w:t>Farmakologické vlastnosti</w:t>
      </w:r>
    </w:p>
    <w:p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5.1</w:t>
      </w:r>
      <w:r w:rsidRPr="0031558A">
        <w:rPr>
          <w:b/>
          <w:color w:val="000000"/>
          <w:sz w:val="22"/>
          <w:szCs w:val="22"/>
        </w:rPr>
        <w:tab/>
        <w:t>Farmakodynamické vlastnosti</w:t>
      </w:r>
    </w:p>
    <w:p w:rsidR="00BF18E6" w:rsidRPr="0031558A" w:rsidRDefault="00BF18E6" w:rsidP="008F5530">
      <w:pPr>
        <w:keepNext/>
        <w:rPr>
          <w:i/>
          <w:color w:val="000000"/>
          <w:sz w:val="22"/>
          <w:szCs w:val="22"/>
        </w:rPr>
      </w:pPr>
    </w:p>
    <w:p w:rsidR="00662A8A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  <w:u w:val="single"/>
        </w:rPr>
        <w:t>Farmakoterapeutická skupina</w:t>
      </w:r>
      <w:r w:rsidR="00BF18E6" w:rsidRPr="0031558A">
        <w:rPr>
          <w:color w:val="000000"/>
          <w:sz w:val="22"/>
          <w:szCs w:val="22"/>
        </w:rPr>
        <w:t xml:space="preserve">: </w:t>
      </w:r>
      <w:r w:rsidRPr="0031558A">
        <w:rPr>
          <w:color w:val="000000"/>
          <w:sz w:val="22"/>
          <w:szCs w:val="22"/>
        </w:rPr>
        <w:t>Liečivá proti bolesti kĺbov a svalov na lokálne použitie, nesteroidové antiflogistiká na lokálne použitie.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  <w:u w:val="single"/>
        </w:rPr>
        <w:t>ATC kód</w:t>
      </w:r>
      <w:r w:rsidR="00BF18E6" w:rsidRPr="0031558A">
        <w:rPr>
          <w:color w:val="000000"/>
          <w:sz w:val="22"/>
          <w:szCs w:val="22"/>
        </w:rPr>
        <w:t>: M02AA15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lastRenderedPageBreak/>
        <w:t>Diklofenak je nesteroidové protizápalové liečivo (NSAID) s výraznými analgetickými, protizápalovými a antipyretickými vlastnosťami. Primárnym mechanizmom účinku diklofenaku je inhibícia biosyntézy prostaglandínov</w:t>
      </w:r>
      <w:r w:rsidR="00F16857">
        <w:rPr>
          <w:color w:val="000000"/>
          <w:sz w:val="22"/>
          <w:szCs w:val="22"/>
        </w:rPr>
        <w:t xml:space="preserve"> </w:t>
      </w:r>
      <w:r w:rsidR="00F16857" w:rsidRPr="00F260EE">
        <w:rPr>
          <w:sz w:val="22"/>
          <w:szCs w:val="22"/>
        </w:rPr>
        <w:t>prost</w:t>
      </w:r>
      <w:r w:rsidR="00F16857">
        <w:rPr>
          <w:sz w:val="22"/>
          <w:szCs w:val="22"/>
        </w:rPr>
        <w:t xml:space="preserve">redníctvom </w:t>
      </w:r>
      <w:r w:rsidR="00F16857" w:rsidRPr="00F260EE">
        <w:rPr>
          <w:sz w:val="22"/>
          <w:szCs w:val="22"/>
        </w:rPr>
        <w:t>cyklooxygenázy typu 2</w:t>
      </w:r>
      <w:r w:rsidRPr="0031558A">
        <w:rPr>
          <w:color w:val="000000"/>
          <w:sz w:val="22"/>
          <w:szCs w:val="22"/>
        </w:rPr>
        <w:t xml:space="preserve">. 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je protizápalový a analgetický liek určený na topickú aplikáciu. 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zápale a bolesti traumatického alebo reumatického pôvodu Voltaren Forte 2,32 % gél </w:t>
      </w:r>
      <w:r w:rsidRPr="00655DB1">
        <w:rPr>
          <w:color w:val="000000"/>
          <w:sz w:val="22"/>
          <w:szCs w:val="22"/>
        </w:rPr>
        <w:t>odstraňuje bolesť, zmenšuje opuch, zlepšuje hybnosť pacienta a skracuje dobu návratu k normálnej funkcii.</w:t>
      </w:r>
      <w:r w:rsidRPr="0031558A">
        <w:rPr>
          <w:color w:val="000000"/>
          <w:sz w:val="22"/>
          <w:szCs w:val="22"/>
        </w:rPr>
        <w:t xml:space="preserve"> 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655DB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jednej zo štúdií výronu členka (VOPO-P-307) Voltaren Forte 2,32 % gél účinne a rýchlo uľavil od bolesti. Skóre bolesti pri pohybe (Pain on Movement, </w:t>
      </w:r>
      <w:r w:rsidR="00BF18E6" w:rsidRPr="0031558A">
        <w:rPr>
          <w:color w:val="000000"/>
          <w:sz w:val="22"/>
          <w:szCs w:val="22"/>
        </w:rPr>
        <w:t>POM) štyri dni po začatí liečby, čo bol primárny sledovaný parame</w:t>
      </w:r>
      <w:r w:rsidRPr="0031558A">
        <w:rPr>
          <w:color w:val="000000"/>
          <w:sz w:val="22"/>
          <w:szCs w:val="22"/>
        </w:rPr>
        <w:t xml:space="preserve">ter účinnosti, pokleslo u pacientov používajúcich Voltaren Forte 2,32 % gél o takmer 50 mm </w:t>
      </w:r>
      <w:r w:rsidR="00655DB1" w:rsidRPr="009E57F9">
        <w:rPr>
          <w:color w:val="000000"/>
          <w:sz w:val="22"/>
          <w:szCs w:val="22"/>
        </w:rPr>
        <w:t xml:space="preserve">(49 mm) </w:t>
      </w:r>
      <w:r w:rsidRPr="0031558A">
        <w:rPr>
          <w:color w:val="000000"/>
          <w:sz w:val="22"/>
          <w:szCs w:val="22"/>
        </w:rPr>
        <w:t>na 100 mm vizuálnej analógovej škále (</w:t>
      </w:r>
      <w:r w:rsidR="00655DB1" w:rsidRPr="009E57F9">
        <w:rPr>
          <w:color w:val="000000"/>
          <w:sz w:val="22"/>
          <w:szCs w:val="22"/>
        </w:rPr>
        <w:t xml:space="preserve">Visual Analogue Scale, </w:t>
      </w:r>
      <w:r w:rsidRPr="0031558A">
        <w:rPr>
          <w:color w:val="000000"/>
          <w:sz w:val="22"/>
          <w:szCs w:val="22"/>
        </w:rPr>
        <w:t xml:space="preserve">VAS), čo je približne dvojnásobok 25 mm poklesu pozorovaného v skupine liečenej placebom. Účinnosť lieku Voltaren Forte 2,32 % gél bola štatisticky významne lepšia v porovnaní s placebom (p &lt; 0,0001). Dôležité je, že už po dvoch dňoch po začatí liečby došlo u pacientov liečených liekom Voltaren Forte 2,32 % gél k 32 mm poklesu v intenzite POM, zatiaľ čo skóre v skupine liečenej placebom pokleslo len o 18 mm (p &lt; 0,0001). </w:t>
      </w:r>
    </w:p>
    <w:p w:rsidR="00655DB1" w:rsidRDefault="00655DB1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bol tiež účinný v liečbe opuchu. Sedem dní po začatí liečby bol priemerný rozdiel opuchu medzi zraneným a kontralaterálnym opuchom 0,3 cm v skupine liečenej liekom Voltaren Forte 2,32 % gélom a 0,9 cm v skupine liečenej placebom (p &lt; 0,0001). </w:t>
      </w:r>
    </w:p>
    <w:p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Ďalším dôkazom účinnosti lieku Voltaren Forte 2,32 % gél je medián času do 50 % redukcie POM, ktorý bol u lieku Voltaren Forte 2,32 % gél 4 dni v porovnaní s 8 dňami u placeba (p &lt; 0,0001). Medián času do </w:t>
      </w:r>
      <w:r w:rsidR="00655DB1">
        <w:rPr>
          <w:color w:val="000000"/>
          <w:sz w:val="22"/>
          <w:szCs w:val="22"/>
        </w:rPr>
        <w:t xml:space="preserve">poklesu </w:t>
      </w:r>
      <w:r w:rsidR="00655DB1" w:rsidRPr="0031558A">
        <w:rPr>
          <w:color w:val="000000"/>
          <w:sz w:val="22"/>
          <w:szCs w:val="22"/>
        </w:rPr>
        <w:t xml:space="preserve">POM </w:t>
      </w:r>
      <w:r w:rsidR="00655DB1">
        <w:rPr>
          <w:color w:val="000000"/>
          <w:sz w:val="22"/>
          <w:szCs w:val="22"/>
        </w:rPr>
        <w:t xml:space="preserve">na </w:t>
      </w:r>
      <w:r w:rsidRPr="0031558A">
        <w:rPr>
          <w:color w:val="000000"/>
          <w:sz w:val="22"/>
          <w:szCs w:val="22"/>
        </w:rPr>
        <w:t xml:space="preserve">VAS skóre </w:t>
      </w:r>
      <w:r w:rsidR="00655DB1">
        <w:rPr>
          <w:color w:val="000000"/>
          <w:sz w:val="22"/>
          <w:szCs w:val="22"/>
        </w:rPr>
        <w:t>o </w:t>
      </w:r>
      <w:r w:rsidRPr="0031558A">
        <w:rPr>
          <w:color w:val="000000"/>
          <w:sz w:val="22"/>
          <w:szCs w:val="22"/>
        </w:rPr>
        <w:t>30 mm alebo menej bol 4 dni v obidvoch aktívne liečených skupinách a 9 dní u placeba (p &lt; 0,0001). Voltaren Forte 2,32 % gél teda urýchlil hojenie o viac ako 4 dni.</w:t>
      </w:r>
    </w:p>
    <w:p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48678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Štúdia VOPO-P-307 tiež hodnotila spokojnosť pacientov s liečbou bolesti po vytknutí členka. V 5. deň hodnotilo spokojnosť s liečbou ako dobrá, veľmi dobrá alebo výborná 84 % pacientov, ktorí používali Voltaren Forte 2,32 % gél v porovnaní s iba 23 % v skupine liečenej placebom (p &lt; 0,0001). </w:t>
      </w:r>
    </w:p>
    <w:p w:rsidR="00486781" w:rsidRDefault="00486781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post-hoc analýze bola celková populácia s vytknutím členku stupňa I alebo II rozdelená do skupín s počiatočnou hodnotou POM skóre </w:t>
      </w:r>
      <w:r w:rsidR="00F37DFD" w:rsidRPr="0031558A">
        <w:rPr>
          <w:color w:val="000000"/>
          <w:sz w:val="22"/>
          <w:szCs w:val="22"/>
        </w:rPr>
        <w:t xml:space="preserve">na VAS </w:t>
      </w:r>
      <w:r w:rsidRPr="0031558A">
        <w:rPr>
          <w:color w:val="000000"/>
          <w:sz w:val="22"/>
          <w:szCs w:val="22"/>
        </w:rPr>
        <w:t xml:space="preserve">nad 80 mm </w:t>
      </w:r>
      <w:r w:rsidR="00F37DFD" w:rsidRPr="0031558A">
        <w:rPr>
          <w:color w:val="000000"/>
          <w:sz w:val="22"/>
          <w:szCs w:val="22"/>
        </w:rPr>
        <w:t xml:space="preserve">(hodnotená podľa VAS ako silná bolesť) </w:t>
      </w:r>
      <w:r w:rsidRPr="0031558A">
        <w:rPr>
          <w:color w:val="000000"/>
          <w:sz w:val="22"/>
          <w:szCs w:val="22"/>
        </w:rPr>
        <w:t xml:space="preserve">a pod 80 mm </w:t>
      </w:r>
      <w:r w:rsidR="00F37DFD" w:rsidRPr="0031558A">
        <w:rPr>
          <w:color w:val="000000"/>
          <w:sz w:val="22"/>
          <w:szCs w:val="22"/>
        </w:rPr>
        <w:t>(hodnote</w:t>
      </w:r>
      <w:r w:rsidR="00F37DFD">
        <w:rPr>
          <w:color w:val="000000"/>
          <w:sz w:val="22"/>
          <w:szCs w:val="22"/>
        </w:rPr>
        <w:t>ná podľa VAS ako mierna bolesť). Úč</w:t>
      </w:r>
      <w:r w:rsidRPr="0031558A">
        <w:rPr>
          <w:color w:val="000000"/>
          <w:sz w:val="22"/>
          <w:szCs w:val="22"/>
        </w:rPr>
        <w:t>innosť bola hodnotená v každej zo skupín. Štyri dni po začatí liečby bol Voltaren Forte 2,32 % gél významne lepší ako placebo v redukcii POM, a to ako u pacientov s počiatočnou bolesťou ≥ 80 mm (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56,4 mm; </w:t>
      </w:r>
      <w:proofErr w:type="spellStart"/>
      <w:r w:rsidRPr="0031558A">
        <w:rPr>
          <w:color w:val="000000"/>
          <w:sz w:val="22"/>
          <w:szCs w:val="22"/>
        </w:rPr>
        <w:t>placebo</w:t>
      </w:r>
      <w:proofErr w:type="spellEnd"/>
      <w:r w:rsidRPr="0031558A">
        <w:rPr>
          <w:color w:val="000000"/>
          <w:sz w:val="22"/>
          <w:szCs w:val="22"/>
        </w:rPr>
        <w:t xml:space="preserve"> 27 mm; p &lt; 0,0001), tak aj u pacientov s počiatočnou bolesťou &lt; 80 mm (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44 mm; </w:t>
      </w:r>
      <w:proofErr w:type="spellStart"/>
      <w:r w:rsidRPr="0031558A">
        <w:rPr>
          <w:color w:val="000000"/>
          <w:sz w:val="22"/>
          <w:szCs w:val="22"/>
        </w:rPr>
        <w:t>placebo</w:t>
      </w:r>
      <w:proofErr w:type="spellEnd"/>
      <w:r w:rsidRPr="0031558A">
        <w:rPr>
          <w:color w:val="000000"/>
          <w:sz w:val="22"/>
          <w:szCs w:val="22"/>
        </w:rPr>
        <w:t xml:space="preserve"> 2</w:t>
      </w:r>
      <w:r w:rsidR="00853CBF">
        <w:rPr>
          <w:color w:val="000000"/>
          <w:sz w:val="22"/>
          <w:szCs w:val="22"/>
        </w:rPr>
        <w:t>5</w:t>
      </w:r>
      <w:r w:rsidRPr="0031558A">
        <w:rPr>
          <w:color w:val="000000"/>
          <w:sz w:val="22"/>
          <w:szCs w:val="22"/>
        </w:rPr>
        <w:t> mm; p &lt; 0,0001), čo bol primárny parameter hodnotenia účinnosti.</w:t>
      </w:r>
    </w:p>
    <w:p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Vďaka vodno-alkoholovému základu gélu tiež vykazuje hojivý a chladiaci efekt.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5.2</w:t>
      </w:r>
      <w:r w:rsidRPr="0031558A">
        <w:rPr>
          <w:b/>
          <w:color w:val="000000"/>
          <w:sz w:val="22"/>
          <w:szCs w:val="22"/>
        </w:rPr>
        <w:tab/>
        <w:t>Farmakokinetické vlastnosti</w:t>
      </w:r>
    </w:p>
    <w:p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Absorpcia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Množstvo diklofenaku absorbovaného cez kožu je úmerné veľkosti plochy, na ktorú bol Voltaren Forte 2,32 % gél aplikovaný</w:t>
      </w:r>
      <w:r w:rsidR="00D54C73">
        <w:rPr>
          <w:color w:val="000000"/>
          <w:sz w:val="22"/>
          <w:szCs w:val="22"/>
        </w:rPr>
        <w:t>. Z</w:t>
      </w:r>
      <w:r w:rsidRPr="0031558A">
        <w:rPr>
          <w:color w:val="000000"/>
          <w:sz w:val="22"/>
          <w:szCs w:val="22"/>
        </w:rPr>
        <w:t xml:space="preserve">ávisí </w:t>
      </w:r>
      <w:r w:rsidR="00D54C73">
        <w:rPr>
          <w:color w:val="000000"/>
          <w:sz w:val="22"/>
          <w:szCs w:val="22"/>
        </w:rPr>
        <w:t xml:space="preserve">tiež </w:t>
      </w:r>
      <w:r w:rsidRPr="0031558A">
        <w:rPr>
          <w:color w:val="000000"/>
          <w:sz w:val="22"/>
          <w:szCs w:val="22"/>
        </w:rPr>
        <w:t>od celkovej topickej dávky a hydratácie kože. Po topickej aplikácii na 400 cm</w:t>
      </w:r>
      <w:r w:rsidRPr="0031558A">
        <w:rPr>
          <w:color w:val="000000"/>
          <w:sz w:val="22"/>
          <w:szCs w:val="22"/>
          <w:vertAlign w:val="superscript"/>
        </w:rPr>
        <w:t xml:space="preserve">2 </w:t>
      </w:r>
      <w:r w:rsidRPr="0031558A">
        <w:rPr>
          <w:color w:val="000000"/>
          <w:sz w:val="22"/>
          <w:szCs w:val="22"/>
        </w:rPr>
        <w:t>kože bol rozsah systémovej expozície, stanovený na základe plazmatickej koncentrácie dietylam</w:t>
      </w:r>
      <w:r w:rsidR="002A6D04" w:rsidRPr="0031558A">
        <w:rPr>
          <w:color w:val="000000"/>
          <w:sz w:val="22"/>
          <w:szCs w:val="22"/>
        </w:rPr>
        <w:t>ínovej</w:t>
      </w:r>
      <w:r w:rsidRPr="0031558A">
        <w:rPr>
          <w:color w:val="000000"/>
          <w:sz w:val="22"/>
          <w:szCs w:val="22"/>
        </w:rPr>
        <w:t xml:space="preserve"> soli diklofenaku</w:t>
      </w:r>
      <w:r w:rsidR="002A6D04" w:rsidRPr="0031558A">
        <w:rPr>
          <w:color w:val="000000"/>
          <w:sz w:val="22"/>
          <w:szCs w:val="22"/>
        </w:rPr>
        <w:t>,</w:t>
      </w:r>
      <w:r w:rsidRPr="0031558A">
        <w:rPr>
          <w:color w:val="000000"/>
          <w:sz w:val="22"/>
          <w:szCs w:val="22"/>
        </w:rPr>
        <w:t xml:space="preserve"> po podaní lieku </w:t>
      </w:r>
      <w:r w:rsidR="00F736F1" w:rsidRPr="0031558A">
        <w:rPr>
          <w:color w:val="000000"/>
          <w:sz w:val="22"/>
          <w:szCs w:val="22"/>
        </w:rPr>
        <w:t>lieku</w:t>
      </w:r>
      <w:r w:rsidR="00BF18E6" w:rsidRPr="0031558A">
        <w:rPr>
          <w:color w:val="000000"/>
          <w:sz w:val="22"/>
          <w:szCs w:val="22"/>
        </w:rPr>
        <w:t xml:space="preserve"> Voltaren</w:t>
      </w:r>
      <w:r w:rsidRPr="0031558A">
        <w:rPr>
          <w:color w:val="000000"/>
          <w:sz w:val="22"/>
          <w:szCs w:val="22"/>
        </w:rPr>
        <w:t xml:space="preserve"> Forte 2,32 % gél (2 aplikácie za deň) ekvivalentný lieku Voltaren Emulgel 1,16 % (4 aplikácie za deň). Relatívna biologická dostupnosť diklofenaku (pomer AUC) pre Voltaren Forte 2,32 % gél oproti tablete bola 4,5 % v 7. dni (pre ekvivalent dávky diklofenaku sodného). Absorpcia nebola pozmenená veľkosťou a priepustnosťou bandáže.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Distribúcia</w:t>
      </w:r>
    </w:p>
    <w:p w:rsidR="00E314C1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Koncentrácia diklofenaku po topickej aplikácii lieku Voltaren Forte 2,32 % gélu na kĺby ruky a kolenné kĺby bola meraná v plazme, synoviálnom tkanive a synoviálnej tekutine. Maximálne koncentrácie diklofenaku v plazme sú po topickom podaní Voltaren Forte 2,32 % gélu asi 100-krát nižšie ako po perorálnom podaní rovnakého množstva diklofenaku. 99,7 % diklofenaku sa viaže na sérové bielkoviny predovšetkým na albumín (99,4 %).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Diklofenak sa prednostne </w:t>
      </w:r>
      <w:r w:rsidRPr="0031558A">
        <w:rPr>
          <w:sz w:val="22"/>
          <w:szCs w:val="22"/>
        </w:rPr>
        <w:t xml:space="preserve">akumuluje v koži, ktorá pôsobí ako rezervoár, odkiaľ sa liečivo </w:t>
      </w:r>
      <w:r w:rsidR="00430D6D">
        <w:rPr>
          <w:sz w:val="22"/>
          <w:szCs w:val="22"/>
        </w:rPr>
        <w:t>postupne</w:t>
      </w:r>
      <w:r w:rsidR="00430D6D" w:rsidRPr="0089030C">
        <w:rPr>
          <w:sz w:val="22"/>
          <w:szCs w:val="22"/>
        </w:rPr>
        <w:t xml:space="preserve"> </w:t>
      </w:r>
      <w:r w:rsidRPr="0031558A">
        <w:rPr>
          <w:sz w:val="22"/>
          <w:szCs w:val="22"/>
        </w:rPr>
        <w:t xml:space="preserve">uvoľňuje do okolitých tkanív. Z nich sa diklofenak prednostne </w:t>
      </w:r>
      <w:r w:rsidRPr="0031558A">
        <w:rPr>
          <w:color w:val="000000"/>
          <w:sz w:val="22"/>
          <w:szCs w:val="22"/>
        </w:rPr>
        <w:t>distribuuje a pretrváva v hlboko uložených zapálených tkanivách, ako sú kĺby, kde sa nachádza v koncentráciách až 20-krát vyšších ako v plazme.</w:t>
      </w:r>
    </w:p>
    <w:p w:rsidR="00BF18E6" w:rsidRPr="0031558A" w:rsidRDefault="00BF18E6" w:rsidP="008F5530">
      <w:pPr>
        <w:autoSpaceDE w:val="0"/>
        <w:autoSpaceDN w:val="0"/>
        <w:adjustRightInd w:val="0"/>
        <w:rPr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Biotransformácia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Biotransformácia diklofenaku zahŕňa sčasti glukuronidáciu intaktnej molekuly, ale hlavne jednorazovú a mnohopočetnú hydroxyláciu</w:t>
      </w:r>
      <w:r w:rsidR="00430D6D" w:rsidRPr="00430D6D">
        <w:rPr>
          <w:sz w:val="22"/>
          <w:szCs w:val="22"/>
        </w:rPr>
        <w:t xml:space="preserve"> </w:t>
      </w:r>
      <w:r w:rsidR="00430D6D">
        <w:rPr>
          <w:sz w:val="22"/>
          <w:szCs w:val="22"/>
        </w:rPr>
        <w:t xml:space="preserve">nasledovanú </w:t>
      </w:r>
      <w:r w:rsidR="00430D6D" w:rsidRPr="0089030C">
        <w:rPr>
          <w:sz w:val="22"/>
          <w:szCs w:val="22"/>
        </w:rPr>
        <w:t>glukuronidáci</w:t>
      </w:r>
      <w:r w:rsidR="00430D6D">
        <w:rPr>
          <w:sz w:val="22"/>
          <w:szCs w:val="22"/>
        </w:rPr>
        <w:t>ou</w:t>
      </w:r>
      <w:r w:rsidRPr="0031558A">
        <w:rPr>
          <w:color w:val="000000"/>
          <w:sz w:val="22"/>
          <w:szCs w:val="22"/>
        </w:rPr>
        <w:t xml:space="preserve">. Výsledkom celého procesu je vytvorenie niekoľkých fenolových metabolitov diklofenaku, z ktorých je väčšina následne premenená na glukuronidové konjugáty. Dva z týchto fenolových metabolitov sú biologicky aktívne, ale v menšej miere ako diklofenak. 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Eliminácia</w:t>
      </w: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Celkový systémový klírens diklofenaku z plazmy je 263 </w:t>
      </w:r>
      <w:r w:rsidR="00BF18E6" w:rsidRPr="0031558A">
        <w:rPr>
          <w:color w:val="000000"/>
          <w:sz w:val="22"/>
          <w:szCs w:val="22"/>
        </w:rPr>
        <w:sym w:font="Symbol" w:char="F0B1"/>
      </w:r>
      <w:r w:rsidR="00E314C1" w:rsidRPr="0031558A">
        <w:rPr>
          <w:color w:val="000000"/>
          <w:sz w:val="22"/>
          <w:szCs w:val="22"/>
        </w:rPr>
        <w:t> </w:t>
      </w:r>
      <w:r w:rsidR="00BF18E6" w:rsidRPr="0031558A">
        <w:rPr>
          <w:color w:val="000000"/>
          <w:sz w:val="22"/>
          <w:szCs w:val="22"/>
        </w:rPr>
        <w:t>56</w:t>
      </w:r>
      <w:r w:rsidRPr="0031558A">
        <w:rPr>
          <w:color w:val="000000"/>
          <w:sz w:val="22"/>
          <w:szCs w:val="22"/>
        </w:rPr>
        <w:t> ml/min</w:t>
      </w:r>
      <w:r w:rsidR="00430D6D" w:rsidRPr="00430D6D">
        <w:rPr>
          <w:sz w:val="22"/>
          <w:szCs w:val="22"/>
        </w:rPr>
        <w:t xml:space="preserve"> </w:t>
      </w:r>
      <w:r w:rsidR="00430D6D" w:rsidRPr="00F260EE">
        <w:rPr>
          <w:sz w:val="22"/>
          <w:szCs w:val="22"/>
        </w:rPr>
        <w:t>(pr</w:t>
      </w:r>
      <w:r w:rsidR="00430D6D">
        <w:rPr>
          <w:sz w:val="22"/>
          <w:szCs w:val="22"/>
        </w:rPr>
        <w:t>ie</w:t>
      </w:r>
      <w:r w:rsidR="00430D6D" w:rsidRPr="00F260EE">
        <w:rPr>
          <w:sz w:val="22"/>
          <w:szCs w:val="22"/>
        </w:rPr>
        <w:t>merná hodnota ± SD)</w:t>
      </w:r>
      <w:r w:rsidRPr="0031558A">
        <w:rPr>
          <w:color w:val="000000"/>
          <w:sz w:val="22"/>
          <w:szCs w:val="22"/>
        </w:rPr>
        <w:t>. Konečný polčas vylučovania v plazme je 1 – 2 hodiny. Štyri z metabolitov vrátane dvoch aktívnych majú tiež krátky polčas vylučovania 1 – 3 hodiny. Jeden metabolit, 3´hydroxy-4´metoxy diklofenak, má dlhší polčas vylučovania. Avšak tento metabolit je v skutočnosti neúčinný. Diklofenak a jeho metabolity sú vylučované prevažne močom.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DB1D0C" w:rsidRPr="0031558A" w:rsidRDefault="00DC3D2F" w:rsidP="00DB1D0C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31558A">
        <w:rPr>
          <w:sz w:val="22"/>
          <w:szCs w:val="22"/>
          <w:u w:val="single"/>
        </w:rPr>
        <w:t>Renálna a hepatálna insuficiencia</w:t>
      </w:r>
    </w:p>
    <w:p w:rsidR="006019A9" w:rsidRPr="0031558A" w:rsidRDefault="00DC3D2F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Nebola zistená žiadna kumulácia diklofenaku a jeho metabolitov u pacientov s renálnou insuficienciou. U pacientov s chronickou hepatitídou alebo nedekompenzovanou cirhózou je kinetika a metabolizmus diklofenaku rovnaká ako u pacientov bez ochorenia pečene.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5.3</w:t>
      </w:r>
      <w:r w:rsidRPr="0031558A">
        <w:rPr>
          <w:b/>
          <w:color w:val="000000"/>
          <w:sz w:val="22"/>
          <w:szCs w:val="22"/>
        </w:rPr>
        <w:tab/>
        <w:t>Predklinické údaje o bezpečnosti lieku</w:t>
      </w:r>
    </w:p>
    <w:p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Údaje získané z predklinických štúdií založené na štúdiách akútnej toxicity a toxicity po opakovanom podaní, ako aj</w:t>
      </w:r>
      <w:r w:rsidRPr="0031558A">
        <w:rPr>
          <w:b/>
          <w:color w:val="000000"/>
          <w:sz w:val="22"/>
          <w:szCs w:val="22"/>
        </w:rPr>
        <w:t xml:space="preserve"> </w:t>
      </w:r>
      <w:r w:rsidRPr="0031558A">
        <w:rPr>
          <w:color w:val="000000"/>
          <w:sz w:val="22"/>
          <w:szCs w:val="22"/>
        </w:rPr>
        <w:t xml:space="preserve">štúdie genotoxicity, mutagenity a karcinogenity diklofenaku v odporúčaných terapeutických dávkach nevykazujú špecifické riziko pre človeka. Neboli získané dôkazy, že diklofenak je potenciálne teratogénny u myší, potkanov alebo králikov. Diklofenak neovplyvnil plodnosť zvierat (potkanov), ani prenatálny, perinatálny a postnatálny vývoj potomkov. </w:t>
      </w:r>
    </w:p>
    <w:p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bol dobre tolerovaný vo viacerých štúdiách. Nebol zaznamenaný potenciál pre vznik fototoxicity a Voltaren Forte 2,32 % gél nespôsoboval kožnú senzibilizáciu alebo podráždenie.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6.</w:t>
      </w:r>
      <w:r w:rsidRPr="0031558A">
        <w:rPr>
          <w:b/>
          <w:caps/>
          <w:color w:val="000000"/>
          <w:sz w:val="22"/>
          <w:szCs w:val="22"/>
        </w:rPr>
        <w:tab/>
        <w:t>Farmaceutické informácie</w:t>
      </w:r>
    </w:p>
    <w:p w:rsidR="00BF18E6" w:rsidRPr="0031558A" w:rsidRDefault="00BF18E6" w:rsidP="008F5530">
      <w:pPr>
        <w:keepNext/>
        <w:tabs>
          <w:tab w:val="num" w:pos="0"/>
        </w:tabs>
        <w:rPr>
          <w:caps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6.1</w:t>
      </w:r>
      <w:r w:rsidRPr="0031558A">
        <w:rPr>
          <w:b/>
          <w:color w:val="000000"/>
          <w:sz w:val="22"/>
          <w:szCs w:val="22"/>
        </w:rPr>
        <w:tab/>
        <w:t>Zoznam pomocných látok</w:t>
      </w:r>
    </w:p>
    <w:p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:rsidR="001513C8" w:rsidRPr="0031558A" w:rsidRDefault="00EE6BE2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B</w:t>
      </w:r>
      <w:r w:rsidR="00DC3D2F" w:rsidRPr="0031558A">
        <w:rPr>
          <w:sz w:val="22"/>
          <w:szCs w:val="22"/>
        </w:rPr>
        <w:t>utylhydroxytoluén</w:t>
      </w:r>
      <w:r>
        <w:rPr>
          <w:sz w:val="22"/>
          <w:szCs w:val="22"/>
        </w:rPr>
        <w:t xml:space="preserve"> – antioxidant</w:t>
      </w:r>
    </w:p>
    <w:p w:rsidR="001513C8" w:rsidRPr="0031558A" w:rsidRDefault="00EE6BE2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K</w:t>
      </w:r>
      <w:r w:rsidR="00DC3D2F" w:rsidRPr="0031558A">
        <w:rPr>
          <w:sz w:val="22"/>
          <w:szCs w:val="22"/>
        </w:rPr>
        <w:t>arbomér</w:t>
      </w:r>
      <w:r>
        <w:rPr>
          <w:sz w:val="22"/>
          <w:szCs w:val="22"/>
        </w:rPr>
        <w:t xml:space="preserve"> – </w:t>
      </w:r>
      <w:r w:rsidRPr="00EE6BE2">
        <w:rPr>
          <w:sz w:val="22"/>
          <w:szCs w:val="22"/>
        </w:rPr>
        <w:t>činidlo tvoriace gél</w:t>
      </w:r>
    </w:p>
    <w:p w:rsidR="001513C8" w:rsidRPr="0031558A" w:rsidRDefault="00EE6BE2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K</w:t>
      </w:r>
      <w:r w:rsidR="00DC3D2F" w:rsidRPr="0031558A">
        <w:rPr>
          <w:sz w:val="22"/>
          <w:szCs w:val="22"/>
        </w:rPr>
        <w:t>okoyloktanodekanoát</w:t>
      </w:r>
      <w:r>
        <w:rPr>
          <w:sz w:val="22"/>
          <w:szCs w:val="22"/>
        </w:rPr>
        <w:t xml:space="preserve"> – </w:t>
      </w:r>
      <w:r w:rsidRPr="00EE6BE2">
        <w:rPr>
          <w:sz w:val="22"/>
          <w:szCs w:val="22"/>
        </w:rPr>
        <w:t>zmäkčovadlo</w:t>
      </w:r>
    </w:p>
    <w:p w:rsidR="001513C8" w:rsidRPr="0031558A" w:rsidRDefault="00EE6BE2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D</w:t>
      </w:r>
      <w:r w:rsidR="00DC3D2F" w:rsidRPr="0031558A">
        <w:rPr>
          <w:sz w:val="22"/>
          <w:szCs w:val="22"/>
        </w:rPr>
        <w:t>ietylamín</w:t>
      </w:r>
      <w:r>
        <w:rPr>
          <w:sz w:val="22"/>
          <w:szCs w:val="22"/>
        </w:rPr>
        <w:t xml:space="preserve"> – </w:t>
      </w:r>
      <w:r w:rsidRPr="00EE6BE2">
        <w:rPr>
          <w:sz w:val="22"/>
          <w:szCs w:val="22"/>
        </w:rPr>
        <w:t>neutralizačné činidlo pre karbomér</w:t>
      </w:r>
    </w:p>
    <w:p w:rsidR="001513C8" w:rsidRPr="0031558A" w:rsidRDefault="00EE6BE2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I</w:t>
      </w:r>
      <w:r w:rsidR="00DC3D2F" w:rsidRPr="0031558A">
        <w:rPr>
          <w:sz w:val="22"/>
          <w:szCs w:val="22"/>
        </w:rPr>
        <w:t>zopropylalkohol</w:t>
      </w:r>
      <w:r>
        <w:rPr>
          <w:sz w:val="22"/>
          <w:szCs w:val="22"/>
        </w:rPr>
        <w:t xml:space="preserve"> – </w:t>
      </w:r>
      <w:r w:rsidRPr="00EE6BE2">
        <w:rPr>
          <w:sz w:val="22"/>
          <w:szCs w:val="22"/>
        </w:rPr>
        <w:t>rozpúšťadlo</w:t>
      </w:r>
    </w:p>
    <w:p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tekutý parafín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zmäkčovadlo</w:t>
      </w:r>
    </w:p>
    <w:p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cetostearomakrogol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emulgátor</w:t>
      </w:r>
    </w:p>
    <w:p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lastRenderedPageBreak/>
        <w:t>oleylalkohol</w:t>
      </w:r>
      <w:r w:rsidR="00EE6BE2">
        <w:rPr>
          <w:sz w:val="22"/>
          <w:szCs w:val="22"/>
        </w:rPr>
        <w:t xml:space="preserve"> - </w:t>
      </w:r>
      <w:r w:rsidR="000D1763" w:rsidRPr="000D1763">
        <w:rPr>
          <w:sz w:val="22"/>
          <w:szCs w:val="22"/>
        </w:rPr>
        <w:t>zosilňovač penetrácie diklofenaku</w:t>
      </w:r>
    </w:p>
    <w:p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propylénglykol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rozpúšťadlo</w:t>
      </w:r>
      <w:r w:rsidR="00EE6BE2">
        <w:rPr>
          <w:sz w:val="22"/>
          <w:szCs w:val="22"/>
        </w:rPr>
        <w:t xml:space="preserve">, </w:t>
      </w:r>
      <w:r w:rsidR="00EE6BE2" w:rsidRPr="00EE6BE2">
        <w:rPr>
          <w:sz w:val="22"/>
          <w:szCs w:val="22"/>
        </w:rPr>
        <w:t>zvlhčovadlo</w:t>
      </w:r>
    </w:p>
    <w:p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eukalyptový parfém</w:t>
      </w:r>
    </w:p>
    <w:p w:rsidR="00BF18E6" w:rsidRPr="0031558A" w:rsidRDefault="00DC3D2F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558A">
        <w:rPr>
          <w:sz w:val="22"/>
          <w:szCs w:val="22"/>
        </w:rPr>
        <w:t>čistená voda</w:t>
      </w:r>
      <w:r w:rsidRPr="0031558A">
        <w:rPr>
          <w:color w:val="000000"/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</w:p>
    <w:p w:rsidR="00BF18E6" w:rsidRPr="0031558A" w:rsidRDefault="00BF18E6" w:rsidP="008F5530">
      <w:pPr>
        <w:pStyle w:val="Listlevel1"/>
        <w:spacing w:before="0" w:after="0"/>
        <w:rPr>
          <w:color w:val="000000"/>
          <w:sz w:val="22"/>
          <w:szCs w:val="22"/>
          <w:lang w:val="sk-SK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6.2</w:t>
      </w:r>
      <w:r w:rsidRPr="0031558A">
        <w:rPr>
          <w:b/>
          <w:color w:val="000000"/>
          <w:sz w:val="22"/>
          <w:szCs w:val="22"/>
        </w:rPr>
        <w:tab/>
        <w:t>Inkompatibility</w:t>
      </w:r>
    </w:p>
    <w:p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Neaplikovateľné.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6.3</w:t>
      </w:r>
      <w:r w:rsidRPr="0031558A">
        <w:rPr>
          <w:b/>
          <w:color w:val="000000"/>
          <w:sz w:val="22"/>
          <w:szCs w:val="22"/>
        </w:rPr>
        <w:tab/>
        <w:t>Čas použiteľnosti</w:t>
      </w:r>
    </w:p>
    <w:p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3 roky</w:t>
      </w:r>
    </w:p>
    <w:p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6.4</w:t>
      </w:r>
      <w:r w:rsidRPr="0031558A">
        <w:rPr>
          <w:b/>
          <w:noProof/>
          <w:color w:val="000000"/>
          <w:sz w:val="22"/>
          <w:szCs w:val="22"/>
        </w:rPr>
        <w:tab/>
        <w:t>Špeciálne upozornenia na uchovávanie</w:t>
      </w:r>
    </w:p>
    <w:p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Uchovávajte pri teplote do 30 ºC. Chráňte pred teplom.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6.5</w:t>
      </w:r>
      <w:r w:rsidRPr="0031558A">
        <w:rPr>
          <w:b/>
          <w:noProof/>
          <w:color w:val="000000"/>
          <w:sz w:val="22"/>
          <w:szCs w:val="22"/>
        </w:rPr>
        <w:tab/>
        <w:t xml:space="preserve">Druh obalu a obsah balenia </w:t>
      </w:r>
    </w:p>
    <w:p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Al laminovaná tuba [LDPE/Al/HDPE (vnútorná vrstva)], HDPE hrdlo tuby zaslepené profilovanou membránou. Tuba je uzatvorená PP závitovým uzáverom s profilovanou vrchnou časťou určenou na odstráneniu membrány pred prvým použitím, škatuľka.</w:t>
      </w:r>
    </w:p>
    <w:p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Veľkosť balenia: 30 g, </w:t>
      </w:r>
      <w:smartTag w:uri="urn:schemas-microsoft-com:office:smarttags" w:element="metricconverter">
        <w:smartTagPr>
          <w:attr w:name="ProductID" w:val="50 g"/>
        </w:smartTagPr>
        <w:r w:rsidRPr="0031558A">
          <w:rPr>
            <w:rFonts w:ascii="Times New Roman" w:hAnsi="Times New Roman"/>
            <w:color w:val="000000"/>
            <w:szCs w:val="22"/>
          </w:rPr>
          <w:t>50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60 g"/>
        </w:smartTagPr>
        <w:r w:rsidRPr="0031558A">
          <w:rPr>
            <w:rFonts w:ascii="Times New Roman" w:hAnsi="Times New Roman"/>
            <w:color w:val="000000"/>
            <w:szCs w:val="22"/>
          </w:rPr>
          <w:t>60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00 g"/>
        </w:smartTagPr>
        <w:r w:rsidRPr="0031558A">
          <w:rPr>
            <w:rFonts w:ascii="Times New Roman" w:hAnsi="Times New Roman"/>
            <w:color w:val="000000"/>
            <w:szCs w:val="22"/>
          </w:rPr>
          <w:t>100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20 g"/>
        </w:smartTagPr>
        <w:r w:rsidRPr="0031558A">
          <w:rPr>
            <w:rFonts w:ascii="Times New Roman" w:hAnsi="Times New Roman"/>
            <w:color w:val="000000"/>
            <w:szCs w:val="22"/>
          </w:rPr>
          <w:t>120 g</w:t>
        </w:r>
      </w:smartTag>
      <w:r w:rsidRPr="0031558A">
        <w:rPr>
          <w:rFonts w:ascii="Times New Roman" w:hAnsi="Times New Roman"/>
          <w:color w:val="000000"/>
          <w:szCs w:val="22"/>
        </w:rPr>
        <w:t>, 150 g</w:t>
      </w:r>
      <w:r w:rsidR="003E3AEB">
        <w:rPr>
          <w:rFonts w:ascii="Times New Roman" w:hAnsi="Times New Roman"/>
          <w:color w:val="000000"/>
          <w:szCs w:val="22"/>
        </w:rPr>
        <w:t xml:space="preserve">, </w:t>
      </w:r>
      <w:r w:rsidR="003E3AEB" w:rsidRPr="002300A4">
        <w:rPr>
          <w:rFonts w:ascii="Times New Roman" w:hAnsi="Times New Roman"/>
          <w:color w:val="000000"/>
          <w:szCs w:val="22"/>
        </w:rPr>
        <w:t>180 g.</w:t>
      </w:r>
    </w:p>
    <w:p w:rsidR="00524F6F" w:rsidRPr="0031558A" w:rsidRDefault="00524F6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:rsidR="00524F6F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Na trh nemusia byť uvedené všetky veľkosti balenia.</w:t>
      </w:r>
    </w:p>
    <w:p w:rsidR="00BF18E6" w:rsidRPr="0031558A" w:rsidRDefault="00BF18E6" w:rsidP="008F5530">
      <w:pPr>
        <w:tabs>
          <w:tab w:val="num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bCs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6.6</w:t>
      </w:r>
      <w:r w:rsidRPr="0031558A">
        <w:rPr>
          <w:b/>
          <w:noProof/>
          <w:color w:val="000000"/>
          <w:sz w:val="22"/>
          <w:szCs w:val="22"/>
        </w:rPr>
        <w:tab/>
      </w:r>
      <w:r w:rsidRPr="0031558A">
        <w:rPr>
          <w:b/>
          <w:bCs/>
          <w:noProof/>
          <w:color w:val="000000"/>
          <w:sz w:val="22"/>
          <w:szCs w:val="22"/>
        </w:rPr>
        <w:t>Špeciálne opatrenia na likvidáciu a iné zaobchádzanie s liekom</w:t>
      </w:r>
    </w:p>
    <w:p w:rsidR="00BF18E6" w:rsidRPr="0031558A" w:rsidRDefault="00BF18E6" w:rsidP="008F5530">
      <w:pPr>
        <w:pStyle w:val="Zkladntext2"/>
        <w:keepNext/>
        <w:spacing w:after="0" w:line="240" w:lineRule="auto"/>
        <w:rPr>
          <w:color w:val="000000"/>
          <w:szCs w:val="22"/>
        </w:rPr>
      </w:pPr>
    </w:p>
    <w:p w:rsidR="00BF18E6" w:rsidRPr="0031558A" w:rsidRDefault="00DC3D2F" w:rsidP="00A613CE">
      <w:pPr>
        <w:pStyle w:val="Zkladntext2"/>
        <w:spacing w:after="0" w:line="240" w:lineRule="auto"/>
        <w:rPr>
          <w:color w:val="000000"/>
          <w:szCs w:val="22"/>
        </w:rPr>
      </w:pPr>
      <w:r w:rsidRPr="0031558A">
        <w:rPr>
          <w:color w:val="000000"/>
          <w:szCs w:val="22"/>
        </w:rPr>
        <w:t>Žiadne zvláštne požiadavky.</w:t>
      </w:r>
    </w:p>
    <w:p w:rsidR="00C030BB" w:rsidRPr="0031558A" w:rsidRDefault="00C030BB" w:rsidP="00A613CE">
      <w:pPr>
        <w:pStyle w:val="Zkladntext2"/>
        <w:spacing w:after="0" w:line="240" w:lineRule="auto"/>
        <w:rPr>
          <w:color w:val="000000"/>
          <w:szCs w:val="22"/>
        </w:rPr>
      </w:pPr>
    </w:p>
    <w:p w:rsidR="00B06B38" w:rsidRPr="0031558A" w:rsidRDefault="00DC3D2F" w:rsidP="008F5530">
      <w:pPr>
        <w:pStyle w:val="Zkladntext2"/>
        <w:spacing w:after="0" w:line="240" w:lineRule="auto"/>
        <w:ind w:left="0" w:firstLine="0"/>
        <w:rPr>
          <w:color w:val="000000"/>
          <w:szCs w:val="22"/>
        </w:rPr>
      </w:pPr>
      <w:r w:rsidRPr="0031558A">
        <w:rPr>
          <w:color w:val="000000"/>
          <w:szCs w:val="22"/>
        </w:rPr>
        <w:t>Všetok nepoužitý liek alebo odpad vzniknutý z lieku sa má zlikvidovať v súlade s národnými požiadavkami.</w:t>
      </w:r>
    </w:p>
    <w:p w:rsidR="00BF18E6" w:rsidRPr="0031558A" w:rsidRDefault="00BF18E6" w:rsidP="008F5530">
      <w:pPr>
        <w:pStyle w:val="Zkladntext2"/>
        <w:spacing w:after="0" w:line="240" w:lineRule="auto"/>
        <w:rPr>
          <w:color w:val="000000"/>
          <w:szCs w:val="22"/>
        </w:rPr>
      </w:pPr>
    </w:p>
    <w:p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7.</w:t>
      </w:r>
      <w:r w:rsidRPr="0031558A">
        <w:rPr>
          <w:b/>
          <w:noProof/>
          <w:color w:val="000000"/>
          <w:sz w:val="22"/>
          <w:szCs w:val="22"/>
        </w:rPr>
        <w:tab/>
        <w:t>DRŽITEĽ ROZHODNUTIA O REGISTRÁCII</w:t>
      </w:r>
    </w:p>
    <w:p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GlaxoSmithKline Consumer Healthcare Czech Republic s.r.o.</w:t>
      </w:r>
    </w:p>
    <w:p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Hvězdova 1734/2c</w:t>
      </w:r>
    </w:p>
    <w:p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140 00 Praha 4 – Nusle</w:t>
      </w:r>
    </w:p>
    <w:p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 xml:space="preserve">Česká republika </w:t>
      </w:r>
    </w:p>
    <w:p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8.</w:t>
      </w:r>
      <w:r w:rsidRPr="0031558A">
        <w:rPr>
          <w:b/>
          <w:noProof/>
          <w:color w:val="000000"/>
          <w:sz w:val="22"/>
          <w:szCs w:val="22"/>
        </w:rPr>
        <w:tab/>
        <w:t xml:space="preserve">REGISTRAČNÉ ČÍSLO </w:t>
      </w:r>
    </w:p>
    <w:p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BF18E6" w:rsidRPr="0031558A" w:rsidRDefault="00DC3D2F" w:rsidP="00A613CE">
      <w:pPr>
        <w:rPr>
          <w:noProof/>
          <w:color w:val="000000"/>
          <w:sz w:val="22"/>
          <w:szCs w:val="22"/>
        </w:rPr>
      </w:pPr>
      <w:r w:rsidRPr="0031558A">
        <w:rPr>
          <w:noProof/>
          <w:color w:val="000000"/>
          <w:sz w:val="22"/>
          <w:szCs w:val="22"/>
        </w:rPr>
        <w:t>29/0481/11-S</w:t>
      </w:r>
    </w:p>
    <w:p w:rsidR="00BF18E6" w:rsidRPr="0031558A" w:rsidRDefault="00BF18E6" w:rsidP="00A613CE">
      <w:pPr>
        <w:rPr>
          <w:b/>
          <w:noProof/>
          <w:color w:val="000000"/>
          <w:sz w:val="22"/>
          <w:szCs w:val="22"/>
        </w:rPr>
      </w:pPr>
    </w:p>
    <w:p w:rsidR="00BF18E6" w:rsidRPr="0031558A" w:rsidRDefault="00BF18E6" w:rsidP="00B06B38">
      <w:pPr>
        <w:rPr>
          <w:b/>
          <w:noProof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9.</w:t>
      </w:r>
      <w:r w:rsidRPr="0031558A">
        <w:rPr>
          <w:b/>
          <w:noProof/>
          <w:color w:val="000000"/>
          <w:sz w:val="22"/>
          <w:szCs w:val="22"/>
        </w:rPr>
        <w:tab/>
        <w:t>DÁTUM PRVEJ REGISTRÁCIE/PREDĹŽENIA REGISTRÁCIE</w:t>
      </w:r>
    </w:p>
    <w:p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13158E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Dátum prvej registrácie: 19. októbra 2011</w:t>
      </w:r>
    </w:p>
    <w:p w:rsidR="00C030BB" w:rsidRPr="0031558A" w:rsidRDefault="00C030BB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Dátum posledného predĺženia registrácie: </w:t>
      </w:r>
      <w:r w:rsidR="003E3AEB" w:rsidRPr="003E3AEB">
        <w:rPr>
          <w:color w:val="000000"/>
          <w:sz w:val="22"/>
          <w:szCs w:val="22"/>
        </w:rPr>
        <w:t>18. decembra 2017</w:t>
      </w:r>
    </w:p>
    <w:p w:rsidR="00BF18E6" w:rsidRPr="0031558A" w:rsidRDefault="00BF18E6" w:rsidP="00A613CE">
      <w:pPr>
        <w:rPr>
          <w:noProof/>
          <w:color w:val="000000"/>
          <w:sz w:val="22"/>
          <w:szCs w:val="22"/>
        </w:rPr>
      </w:pPr>
    </w:p>
    <w:p w:rsidR="00E314C1" w:rsidRPr="0031558A" w:rsidRDefault="00E314C1" w:rsidP="00B06B38">
      <w:pPr>
        <w:rPr>
          <w:noProof/>
          <w:color w:val="000000"/>
          <w:sz w:val="22"/>
          <w:szCs w:val="22"/>
        </w:rPr>
      </w:pPr>
    </w:p>
    <w:p w:rsidR="00BF18E6" w:rsidRPr="0031558A" w:rsidRDefault="00DC3D2F" w:rsidP="008F5530">
      <w:pPr>
        <w:keepNext/>
        <w:tabs>
          <w:tab w:val="num" w:pos="0"/>
        </w:tabs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lastRenderedPageBreak/>
        <w:t>10.</w:t>
      </w:r>
      <w:r w:rsidRPr="0031558A">
        <w:rPr>
          <w:b/>
          <w:noProof/>
          <w:color w:val="000000"/>
          <w:sz w:val="22"/>
          <w:szCs w:val="22"/>
        </w:rPr>
        <w:tab/>
        <w:t>DÁTUM REVÍZIE TEXTU</w:t>
      </w:r>
    </w:p>
    <w:p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270521" w:rsidRDefault="00B029D1" w:rsidP="003E3AEB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12/2018</w:t>
      </w:r>
    </w:p>
    <w:p w:rsidR="00361054" w:rsidRPr="0031558A" w:rsidRDefault="00361054" w:rsidP="003E3AEB">
      <w:pPr>
        <w:rPr>
          <w:noProof/>
          <w:color w:val="000000"/>
          <w:sz w:val="22"/>
          <w:szCs w:val="22"/>
        </w:rPr>
      </w:pPr>
    </w:p>
    <w:sectPr w:rsidR="00361054" w:rsidRPr="0031558A" w:rsidSect="009E57F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8F" w:rsidRDefault="003D278F">
      <w:r>
        <w:separator/>
      </w:r>
    </w:p>
  </w:endnote>
  <w:endnote w:type="continuationSeparator" w:id="0">
    <w:p w:rsidR="003D278F" w:rsidRDefault="003D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AYFV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D8" w:rsidRDefault="00DC3D2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049D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407CD">
      <w:rPr>
        <w:rStyle w:val="slostrany"/>
        <w:noProof/>
      </w:rPr>
      <w:t>8</w:t>
    </w:r>
    <w:r>
      <w:rPr>
        <w:rStyle w:val="slostrany"/>
      </w:rPr>
      <w:fldChar w:fldCharType="end"/>
    </w:r>
  </w:p>
  <w:p w:rsidR="000049D8" w:rsidRDefault="000049D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D8" w:rsidRPr="008F5530" w:rsidRDefault="00DC3D2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F5530">
      <w:rPr>
        <w:rStyle w:val="slostrany"/>
        <w:sz w:val="18"/>
        <w:szCs w:val="18"/>
      </w:rPr>
      <w:fldChar w:fldCharType="begin"/>
    </w:r>
    <w:r w:rsidR="000049D8" w:rsidRPr="008F5530">
      <w:rPr>
        <w:rStyle w:val="slostrany"/>
        <w:sz w:val="18"/>
        <w:szCs w:val="18"/>
      </w:rPr>
      <w:instrText xml:space="preserve">PAGE  </w:instrText>
    </w:r>
    <w:r w:rsidRPr="008F5530">
      <w:rPr>
        <w:rStyle w:val="slostrany"/>
        <w:sz w:val="18"/>
        <w:szCs w:val="18"/>
      </w:rPr>
      <w:fldChar w:fldCharType="separate"/>
    </w:r>
    <w:r w:rsidR="009E57F9">
      <w:rPr>
        <w:rStyle w:val="slostrany"/>
        <w:noProof/>
        <w:sz w:val="18"/>
        <w:szCs w:val="18"/>
      </w:rPr>
      <w:t>1</w:t>
    </w:r>
    <w:r w:rsidRPr="008F5530">
      <w:rPr>
        <w:rStyle w:val="slostrany"/>
        <w:sz w:val="18"/>
        <w:szCs w:val="18"/>
      </w:rPr>
      <w:fldChar w:fldCharType="end"/>
    </w:r>
  </w:p>
  <w:p w:rsidR="000049D8" w:rsidRDefault="000049D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D8" w:rsidRPr="008F5530" w:rsidRDefault="00DC3D2F">
    <w:pPr>
      <w:pStyle w:val="Pta"/>
      <w:jc w:val="center"/>
      <w:rPr>
        <w:sz w:val="18"/>
        <w:szCs w:val="18"/>
      </w:rPr>
    </w:pPr>
    <w:r w:rsidRPr="008F5530">
      <w:rPr>
        <w:sz w:val="18"/>
        <w:szCs w:val="18"/>
      </w:rPr>
      <w:fldChar w:fldCharType="begin"/>
    </w:r>
    <w:r w:rsidR="000049D8" w:rsidRPr="008F5530">
      <w:rPr>
        <w:sz w:val="18"/>
        <w:szCs w:val="18"/>
      </w:rPr>
      <w:instrText>PAGE   \* MERGEFORMAT</w:instrText>
    </w:r>
    <w:r w:rsidRPr="008F5530">
      <w:rPr>
        <w:sz w:val="18"/>
        <w:szCs w:val="18"/>
      </w:rPr>
      <w:fldChar w:fldCharType="separate"/>
    </w:r>
    <w:r w:rsidR="003E3AEB">
      <w:rPr>
        <w:noProof/>
        <w:sz w:val="18"/>
        <w:szCs w:val="18"/>
      </w:rPr>
      <w:t>1</w:t>
    </w:r>
    <w:r w:rsidRPr="008F5530">
      <w:rPr>
        <w:sz w:val="18"/>
        <w:szCs w:val="18"/>
      </w:rPr>
      <w:fldChar w:fldCharType="end"/>
    </w:r>
  </w:p>
  <w:p w:rsidR="000049D8" w:rsidRDefault="000049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8F" w:rsidRDefault="003D278F">
      <w:r>
        <w:separator/>
      </w:r>
    </w:p>
  </w:footnote>
  <w:footnote w:type="continuationSeparator" w:id="0">
    <w:p w:rsidR="003D278F" w:rsidRDefault="003D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21" w:rsidRPr="00F97BB8" w:rsidRDefault="00270521" w:rsidP="00270521">
    <w:pPr>
      <w:pStyle w:val="Hlavika"/>
      <w:rPr>
        <w:sz w:val="18"/>
        <w:szCs w:val="18"/>
      </w:rPr>
    </w:pPr>
    <w:r w:rsidRPr="00F97BB8">
      <w:rPr>
        <w:sz w:val="18"/>
        <w:szCs w:val="18"/>
      </w:rPr>
      <w:t>Schválený text k rozhodnutiu o zmene, ev. č.:</w:t>
    </w:r>
    <w:r>
      <w:rPr>
        <w:sz w:val="18"/>
        <w:szCs w:val="18"/>
      </w:rPr>
      <w:t xml:space="preserve"> 2018/03286-ZME</w:t>
    </w:r>
  </w:p>
  <w:p w:rsidR="00270521" w:rsidRDefault="0027052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D8" w:rsidRPr="008F5530" w:rsidRDefault="000049D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2F88"/>
    <w:multiLevelType w:val="hybridMultilevel"/>
    <w:tmpl w:val="7A42C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0A6B"/>
    <w:multiLevelType w:val="hybridMultilevel"/>
    <w:tmpl w:val="C29ECC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067E"/>
    <w:multiLevelType w:val="hybridMultilevel"/>
    <w:tmpl w:val="89C0FE92"/>
    <w:lvl w:ilvl="0" w:tplc="D084DEC0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D5061AF"/>
    <w:multiLevelType w:val="hybridMultilevel"/>
    <w:tmpl w:val="6D26C23A"/>
    <w:lvl w:ilvl="0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5AD308F1"/>
    <w:multiLevelType w:val="hybridMultilevel"/>
    <w:tmpl w:val="0D0E3A9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5BEF2E01"/>
    <w:multiLevelType w:val="hybridMultilevel"/>
    <w:tmpl w:val="0CBABF58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67985"/>
    <w:multiLevelType w:val="hybridMultilevel"/>
    <w:tmpl w:val="30D8450C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82395"/>
    <w:multiLevelType w:val="multilevel"/>
    <w:tmpl w:val="D174F5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Orszaghova">
    <w15:presenceInfo w15:providerId="None" w15:userId="Zuzana Orszaghova"/>
  </w15:person>
  <w15:person w15:author="Anna Vosmikova">
    <w15:presenceInfo w15:providerId="None" w15:userId="Anna Vosmikova"/>
  </w15:person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E6"/>
    <w:rsid w:val="00002848"/>
    <w:rsid w:val="00002BD8"/>
    <w:rsid w:val="00003AF5"/>
    <w:rsid w:val="0000455B"/>
    <w:rsid w:val="000049D8"/>
    <w:rsid w:val="00005284"/>
    <w:rsid w:val="000064A9"/>
    <w:rsid w:val="0000767A"/>
    <w:rsid w:val="000078FC"/>
    <w:rsid w:val="00012250"/>
    <w:rsid w:val="00012366"/>
    <w:rsid w:val="00013AA2"/>
    <w:rsid w:val="00014494"/>
    <w:rsid w:val="00015520"/>
    <w:rsid w:val="00015780"/>
    <w:rsid w:val="00021DD3"/>
    <w:rsid w:val="00022DF6"/>
    <w:rsid w:val="00025E7B"/>
    <w:rsid w:val="0002760B"/>
    <w:rsid w:val="00030505"/>
    <w:rsid w:val="00031E9D"/>
    <w:rsid w:val="000327E9"/>
    <w:rsid w:val="000356A8"/>
    <w:rsid w:val="00045F88"/>
    <w:rsid w:val="00047CF8"/>
    <w:rsid w:val="00050D9F"/>
    <w:rsid w:val="000513DC"/>
    <w:rsid w:val="00051BE3"/>
    <w:rsid w:val="00052F87"/>
    <w:rsid w:val="00053011"/>
    <w:rsid w:val="00053537"/>
    <w:rsid w:val="000555D7"/>
    <w:rsid w:val="00055764"/>
    <w:rsid w:val="000601A8"/>
    <w:rsid w:val="0006022E"/>
    <w:rsid w:val="00061523"/>
    <w:rsid w:val="0006170D"/>
    <w:rsid w:val="000625A3"/>
    <w:rsid w:val="00062842"/>
    <w:rsid w:val="000628FC"/>
    <w:rsid w:val="00062A58"/>
    <w:rsid w:val="00064AA5"/>
    <w:rsid w:val="00064F46"/>
    <w:rsid w:val="00065D4A"/>
    <w:rsid w:val="0006741A"/>
    <w:rsid w:val="000715FE"/>
    <w:rsid w:val="00071868"/>
    <w:rsid w:val="00072FDD"/>
    <w:rsid w:val="00073451"/>
    <w:rsid w:val="000739FB"/>
    <w:rsid w:val="00074FE4"/>
    <w:rsid w:val="00075ECE"/>
    <w:rsid w:val="0008242B"/>
    <w:rsid w:val="00082A5E"/>
    <w:rsid w:val="000871EE"/>
    <w:rsid w:val="0009095A"/>
    <w:rsid w:val="000929A1"/>
    <w:rsid w:val="00095DF3"/>
    <w:rsid w:val="000A081D"/>
    <w:rsid w:val="000A0A85"/>
    <w:rsid w:val="000A5112"/>
    <w:rsid w:val="000A518C"/>
    <w:rsid w:val="000A76BE"/>
    <w:rsid w:val="000B076D"/>
    <w:rsid w:val="000B0E93"/>
    <w:rsid w:val="000B18B2"/>
    <w:rsid w:val="000B2B10"/>
    <w:rsid w:val="000B58B7"/>
    <w:rsid w:val="000C006C"/>
    <w:rsid w:val="000C26FF"/>
    <w:rsid w:val="000C30A1"/>
    <w:rsid w:val="000C46C7"/>
    <w:rsid w:val="000C4C7A"/>
    <w:rsid w:val="000D1763"/>
    <w:rsid w:val="000D2AB3"/>
    <w:rsid w:val="000D2DA3"/>
    <w:rsid w:val="000D660A"/>
    <w:rsid w:val="000D6D46"/>
    <w:rsid w:val="000D7DF1"/>
    <w:rsid w:val="000E12FD"/>
    <w:rsid w:val="000E51A8"/>
    <w:rsid w:val="000E6BA2"/>
    <w:rsid w:val="000F360D"/>
    <w:rsid w:val="000F3B5B"/>
    <w:rsid w:val="000F7DA4"/>
    <w:rsid w:val="00112ED5"/>
    <w:rsid w:val="001164A4"/>
    <w:rsid w:val="00120E74"/>
    <w:rsid w:val="00123DEF"/>
    <w:rsid w:val="0013044B"/>
    <w:rsid w:val="00130B2D"/>
    <w:rsid w:val="00130D83"/>
    <w:rsid w:val="00130DC4"/>
    <w:rsid w:val="00131192"/>
    <w:rsid w:val="0013158E"/>
    <w:rsid w:val="00131B68"/>
    <w:rsid w:val="0013433B"/>
    <w:rsid w:val="00134764"/>
    <w:rsid w:val="00134AA7"/>
    <w:rsid w:val="00135465"/>
    <w:rsid w:val="00135DB0"/>
    <w:rsid w:val="001421C2"/>
    <w:rsid w:val="001429D9"/>
    <w:rsid w:val="001441E5"/>
    <w:rsid w:val="0014580C"/>
    <w:rsid w:val="00145C14"/>
    <w:rsid w:val="001464A2"/>
    <w:rsid w:val="00146923"/>
    <w:rsid w:val="00147686"/>
    <w:rsid w:val="001513C8"/>
    <w:rsid w:val="00152193"/>
    <w:rsid w:val="00154DEF"/>
    <w:rsid w:val="00156833"/>
    <w:rsid w:val="00156BB4"/>
    <w:rsid w:val="001578FC"/>
    <w:rsid w:val="00163A5B"/>
    <w:rsid w:val="001646B4"/>
    <w:rsid w:val="00170787"/>
    <w:rsid w:val="001719F7"/>
    <w:rsid w:val="0017308F"/>
    <w:rsid w:val="00175F53"/>
    <w:rsid w:val="0018121B"/>
    <w:rsid w:val="00181A86"/>
    <w:rsid w:val="00185D44"/>
    <w:rsid w:val="00186EDB"/>
    <w:rsid w:val="0018765C"/>
    <w:rsid w:val="0019050B"/>
    <w:rsid w:val="0019135E"/>
    <w:rsid w:val="0019140B"/>
    <w:rsid w:val="0019241E"/>
    <w:rsid w:val="00192739"/>
    <w:rsid w:val="00192790"/>
    <w:rsid w:val="0019333D"/>
    <w:rsid w:val="0019333F"/>
    <w:rsid w:val="00194CC3"/>
    <w:rsid w:val="00196B6F"/>
    <w:rsid w:val="001A0FD6"/>
    <w:rsid w:val="001A247C"/>
    <w:rsid w:val="001A2F10"/>
    <w:rsid w:val="001A3B9F"/>
    <w:rsid w:val="001B10DD"/>
    <w:rsid w:val="001B158D"/>
    <w:rsid w:val="001B1682"/>
    <w:rsid w:val="001B3699"/>
    <w:rsid w:val="001B3B3F"/>
    <w:rsid w:val="001C145D"/>
    <w:rsid w:val="001C31B4"/>
    <w:rsid w:val="001C3C50"/>
    <w:rsid w:val="001C509B"/>
    <w:rsid w:val="001C6C16"/>
    <w:rsid w:val="001C6C37"/>
    <w:rsid w:val="001C6F80"/>
    <w:rsid w:val="001C7763"/>
    <w:rsid w:val="001D0A50"/>
    <w:rsid w:val="001D2996"/>
    <w:rsid w:val="001D31D7"/>
    <w:rsid w:val="001D3BCD"/>
    <w:rsid w:val="001D3F8E"/>
    <w:rsid w:val="001D7DAB"/>
    <w:rsid w:val="001E01A9"/>
    <w:rsid w:val="001E0FCA"/>
    <w:rsid w:val="001E15AF"/>
    <w:rsid w:val="001E58D5"/>
    <w:rsid w:val="001E5AA5"/>
    <w:rsid w:val="001E5E63"/>
    <w:rsid w:val="001E7257"/>
    <w:rsid w:val="001F15E6"/>
    <w:rsid w:val="00203839"/>
    <w:rsid w:val="002044E1"/>
    <w:rsid w:val="00205BC5"/>
    <w:rsid w:val="0021036A"/>
    <w:rsid w:val="002118E4"/>
    <w:rsid w:val="00213D67"/>
    <w:rsid w:val="00215124"/>
    <w:rsid w:val="0021642C"/>
    <w:rsid w:val="00217BA8"/>
    <w:rsid w:val="0022005E"/>
    <w:rsid w:val="00221171"/>
    <w:rsid w:val="00221CBD"/>
    <w:rsid w:val="002238C4"/>
    <w:rsid w:val="00224ED2"/>
    <w:rsid w:val="002312B9"/>
    <w:rsid w:val="00234B31"/>
    <w:rsid w:val="002375CE"/>
    <w:rsid w:val="00237873"/>
    <w:rsid w:val="00237A83"/>
    <w:rsid w:val="00240481"/>
    <w:rsid w:val="00242D28"/>
    <w:rsid w:val="00243FDB"/>
    <w:rsid w:val="00245D47"/>
    <w:rsid w:val="00246C4A"/>
    <w:rsid w:val="002479EC"/>
    <w:rsid w:val="002539C1"/>
    <w:rsid w:val="00254124"/>
    <w:rsid w:val="00254674"/>
    <w:rsid w:val="00254EF8"/>
    <w:rsid w:val="0025647E"/>
    <w:rsid w:val="00256A1B"/>
    <w:rsid w:val="00256ADE"/>
    <w:rsid w:val="0025745E"/>
    <w:rsid w:val="00263417"/>
    <w:rsid w:val="00264963"/>
    <w:rsid w:val="00265440"/>
    <w:rsid w:val="00270521"/>
    <w:rsid w:val="002764B2"/>
    <w:rsid w:val="00277076"/>
    <w:rsid w:val="002814FC"/>
    <w:rsid w:val="002825C4"/>
    <w:rsid w:val="00283D04"/>
    <w:rsid w:val="0028756D"/>
    <w:rsid w:val="002901CF"/>
    <w:rsid w:val="00290DB4"/>
    <w:rsid w:val="0029361F"/>
    <w:rsid w:val="00295F69"/>
    <w:rsid w:val="00297067"/>
    <w:rsid w:val="002A4FEF"/>
    <w:rsid w:val="002A4FF8"/>
    <w:rsid w:val="002A646F"/>
    <w:rsid w:val="002A6702"/>
    <w:rsid w:val="002A6D04"/>
    <w:rsid w:val="002A7F18"/>
    <w:rsid w:val="002B2D49"/>
    <w:rsid w:val="002B3F69"/>
    <w:rsid w:val="002B429F"/>
    <w:rsid w:val="002B460D"/>
    <w:rsid w:val="002B660E"/>
    <w:rsid w:val="002B6E17"/>
    <w:rsid w:val="002C03C0"/>
    <w:rsid w:val="002C17D2"/>
    <w:rsid w:val="002C7A6F"/>
    <w:rsid w:val="002D404E"/>
    <w:rsid w:val="002D6C62"/>
    <w:rsid w:val="002E10CF"/>
    <w:rsid w:val="002E2171"/>
    <w:rsid w:val="002E2A67"/>
    <w:rsid w:val="002E2C7E"/>
    <w:rsid w:val="002E4CA2"/>
    <w:rsid w:val="002E697B"/>
    <w:rsid w:val="002F1E34"/>
    <w:rsid w:val="002F2F0A"/>
    <w:rsid w:val="002F6CB4"/>
    <w:rsid w:val="002F6D65"/>
    <w:rsid w:val="00300387"/>
    <w:rsid w:val="003023FF"/>
    <w:rsid w:val="0030607F"/>
    <w:rsid w:val="0030678F"/>
    <w:rsid w:val="0030788C"/>
    <w:rsid w:val="00307F33"/>
    <w:rsid w:val="0031075D"/>
    <w:rsid w:val="00310A77"/>
    <w:rsid w:val="00310C29"/>
    <w:rsid w:val="00310E7A"/>
    <w:rsid w:val="003127C3"/>
    <w:rsid w:val="0031558A"/>
    <w:rsid w:val="0031648D"/>
    <w:rsid w:val="003169BC"/>
    <w:rsid w:val="00316D25"/>
    <w:rsid w:val="00316FC8"/>
    <w:rsid w:val="00317706"/>
    <w:rsid w:val="003206D5"/>
    <w:rsid w:val="00320B05"/>
    <w:rsid w:val="003224C4"/>
    <w:rsid w:val="003229B7"/>
    <w:rsid w:val="00324FF1"/>
    <w:rsid w:val="00326491"/>
    <w:rsid w:val="00326CD7"/>
    <w:rsid w:val="003271A5"/>
    <w:rsid w:val="0033014D"/>
    <w:rsid w:val="00332105"/>
    <w:rsid w:val="003332FD"/>
    <w:rsid w:val="0033336E"/>
    <w:rsid w:val="003334DD"/>
    <w:rsid w:val="00333A45"/>
    <w:rsid w:val="00335720"/>
    <w:rsid w:val="00337DC8"/>
    <w:rsid w:val="003402A3"/>
    <w:rsid w:val="00340C1A"/>
    <w:rsid w:val="00341161"/>
    <w:rsid w:val="00341932"/>
    <w:rsid w:val="003421F0"/>
    <w:rsid w:val="003431BB"/>
    <w:rsid w:val="00345397"/>
    <w:rsid w:val="00345E0B"/>
    <w:rsid w:val="00346EAB"/>
    <w:rsid w:val="00346EC7"/>
    <w:rsid w:val="00350BEC"/>
    <w:rsid w:val="00351598"/>
    <w:rsid w:val="00351908"/>
    <w:rsid w:val="0035448F"/>
    <w:rsid w:val="00354E25"/>
    <w:rsid w:val="00355B04"/>
    <w:rsid w:val="003560B4"/>
    <w:rsid w:val="00361054"/>
    <w:rsid w:val="003619E8"/>
    <w:rsid w:val="00362B0A"/>
    <w:rsid w:val="00363E82"/>
    <w:rsid w:val="003716C0"/>
    <w:rsid w:val="00371883"/>
    <w:rsid w:val="00373902"/>
    <w:rsid w:val="003742C7"/>
    <w:rsid w:val="003755D6"/>
    <w:rsid w:val="00386037"/>
    <w:rsid w:val="00387C12"/>
    <w:rsid w:val="00387E9A"/>
    <w:rsid w:val="003909FA"/>
    <w:rsid w:val="00391634"/>
    <w:rsid w:val="00392FC2"/>
    <w:rsid w:val="003944DC"/>
    <w:rsid w:val="00394833"/>
    <w:rsid w:val="00397EBC"/>
    <w:rsid w:val="003A2AE0"/>
    <w:rsid w:val="003A3BA2"/>
    <w:rsid w:val="003A687B"/>
    <w:rsid w:val="003B0E93"/>
    <w:rsid w:val="003B2025"/>
    <w:rsid w:val="003B3E10"/>
    <w:rsid w:val="003B51B2"/>
    <w:rsid w:val="003B76B4"/>
    <w:rsid w:val="003B7CE4"/>
    <w:rsid w:val="003C0FBB"/>
    <w:rsid w:val="003C1365"/>
    <w:rsid w:val="003C1AA1"/>
    <w:rsid w:val="003C3F74"/>
    <w:rsid w:val="003C4143"/>
    <w:rsid w:val="003C61A6"/>
    <w:rsid w:val="003C7404"/>
    <w:rsid w:val="003D278F"/>
    <w:rsid w:val="003D424F"/>
    <w:rsid w:val="003D4E61"/>
    <w:rsid w:val="003D703D"/>
    <w:rsid w:val="003E0486"/>
    <w:rsid w:val="003E2390"/>
    <w:rsid w:val="003E2F6B"/>
    <w:rsid w:val="003E359B"/>
    <w:rsid w:val="003E3947"/>
    <w:rsid w:val="003E3AEB"/>
    <w:rsid w:val="003F2CD2"/>
    <w:rsid w:val="003F33F8"/>
    <w:rsid w:val="003F6E2D"/>
    <w:rsid w:val="004011D7"/>
    <w:rsid w:val="00402486"/>
    <w:rsid w:val="00404E78"/>
    <w:rsid w:val="0040531C"/>
    <w:rsid w:val="0041714E"/>
    <w:rsid w:val="00420152"/>
    <w:rsid w:val="0042347F"/>
    <w:rsid w:val="00423860"/>
    <w:rsid w:val="004251B7"/>
    <w:rsid w:val="00425AEC"/>
    <w:rsid w:val="00425E41"/>
    <w:rsid w:val="004266F1"/>
    <w:rsid w:val="00430D6D"/>
    <w:rsid w:val="00430EAC"/>
    <w:rsid w:val="00433A30"/>
    <w:rsid w:val="00434999"/>
    <w:rsid w:val="004349AD"/>
    <w:rsid w:val="00435056"/>
    <w:rsid w:val="00435408"/>
    <w:rsid w:val="0043672C"/>
    <w:rsid w:val="00437383"/>
    <w:rsid w:val="00437F1C"/>
    <w:rsid w:val="00440B76"/>
    <w:rsid w:val="00440C88"/>
    <w:rsid w:val="00440D71"/>
    <w:rsid w:val="00441A33"/>
    <w:rsid w:val="00445F7C"/>
    <w:rsid w:val="0045106E"/>
    <w:rsid w:val="00453245"/>
    <w:rsid w:val="004534F2"/>
    <w:rsid w:val="00457334"/>
    <w:rsid w:val="004576FE"/>
    <w:rsid w:val="004600D9"/>
    <w:rsid w:val="004614F8"/>
    <w:rsid w:val="004655E9"/>
    <w:rsid w:val="00465928"/>
    <w:rsid w:val="00473ADD"/>
    <w:rsid w:val="00473B5B"/>
    <w:rsid w:val="00477483"/>
    <w:rsid w:val="00482FD7"/>
    <w:rsid w:val="00485609"/>
    <w:rsid w:val="00486781"/>
    <w:rsid w:val="0048731C"/>
    <w:rsid w:val="00487504"/>
    <w:rsid w:val="004903E0"/>
    <w:rsid w:val="004914AB"/>
    <w:rsid w:val="00491606"/>
    <w:rsid w:val="00493634"/>
    <w:rsid w:val="00495E75"/>
    <w:rsid w:val="004960EB"/>
    <w:rsid w:val="004A2CC6"/>
    <w:rsid w:val="004A7B86"/>
    <w:rsid w:val="004B0CA3"/>
    <w:rsid w:val="004B39DC"/>
    <w:rsid w:val="004B3F9A"/>
    <w:rsid w:val="004B48C8"/>
    <w:rsid w:val="004B5DE3"/>
    <w:rsid w:val="004B7436"/>
    <w:rsid w:val="004B7ACB"/>
    <w:rsid w:val="004C0510"/>
    <w:rsid w:val="004C4B6F"/>
    <w:rsid w:val="004C797A"/>
    <w:rsid w:val="004C7BB2"/>
    <w:rsid w:val="004D05F7"/>
    <w:rsid w:val="004D1C2B"/>
    <w:rsid w:val="004D54AA"/>
    <w:rsid w:val="004E0070"/>
    <w:rsid w:val="004E17AA"/>
    <w:rsid w:val="004E37A2"/>
    <w:rsid w:val="004E5345"/>
    <w:rsid w:val="004E69F1"/>
    <w:rsid w:val="004E6A21"/>
    <w:rsid w:val="004E7A36"/>
    <w:rsid w:val="004F00AF"/>
    <w:rsid w:val="004F0119"/>
    <w:rsid w:val="004F1164"/>
    <w:rsid w:val="004F145F"/>
    <w:rsid w:val="004F2DFE"/>
    <w:rsid w:val="004F2F70"/>
    <w:rsid w:val="004F367F"/>
    <w:rsid w:val="004F6D2A"/>
    <w:rsid w:val="004F7E2D"/>
    <w:rsid w:val="00500579"/>
    <w:rsid w:val="005010D8"/>
    <w:rsid w:val="00502515"/>
    <w:rsid w:val="00502989"/>
    <w:rsid w:val="005037C8"/>
    <w:rsid w:val="00504EE3"/>
    <w:rsid w:val="005140E8"/>
    <w:rsid w:val="00514E14"/>
    <w:rsid w:val="00517BF9"/>
    <w:rsid w:val="005205A8"/>
    <w:rsid w:val="00521FC2"/>
    <w:rsid w:val="00522179"/>
    <w:rsid w:val="00524F6F"/>
    <w:rsid w:val="00524FFD"/>
    <w:rsid w:val="00526453"/>
    <w:rsid w:val="00531AFF"/>
    <w:rsid w:val="005337C8"/>
    <w:rsid w:val="00535412"/>
    <w:rsid w:val="00536B80"/>
    <w:rsid w:val="0054013E"/>
    <w:rsid w:val="00540422"/>
    <w:rsid w:val="005418B8"/>
    <w:rsid w:val="005419CF"/>
    <w:rsid w:val="00543CBD"/>
    <w:rsid w:val="005455D7"/>
    <w:rsid w:val="005462B3"/>
    <w:rsid w:val="005547B9"/>
    <w:rsid w:val="00556E9B"/>
    <w:rsid w:val="00557CB3"/>
    <w:rsid w:val="0056011D"/>
    <w:rsid w:val="005644C2"/>
    <w:rsid w:val="00564A2A"/>
    <w:rsid w:val="00565006"/>
    <w:rsid w:val="005650B4"/>
    <w:rsid w:val="005653A3"/>
    <w:rsid w:val="0056555A"/>
    <w:rsid w:val="00566032"/>
    <w:rsid w:val="00566A3A"/>
    <w:rsid w:val="00567374"/>
    <w:rsid w:val="00570410"/>
    <w:rsid w:val="00574793"/>
    <w:rsid w:val="00576E64"/>
    <w:rsid w:val="00580057"/>
    <w:rsid w:val="005829F4"/>
    <w:rsid w:val="00583510"/>
    <w:rsid w:val="00583E95"/>
    <w:rsid w:val="00585297"/>
    <w:rsid w:val="00586CFB"/>
    <w:rsid w:val="005876B0"/>
    <w:rsid w:val="005924F1"/>
    <w:rsid w:val="00592A18"/>
    <w:rsid w:val="00593ABB"/>
    <w:rsid w:val="0059417F"/>
    <w:rsid w:val="005953D1"/>
    <w:rsid w:val="00595B88"/>
    <w:rsid w:val="00595D15"/>
    <w:rsid w:val="0059663F"/>
    <w:rsid w:val="00596668"/>
    <w:rsid w:val="005A056D"/>
    <w:rsid w:val="005A088A"/>
    <w:rsid w:val="005A176D"/>
    <w:rsid w:val="005A244E"/>
    <w:rsid w:val="005A4661"/>
    <w:rsid w:val="005A5301"/>
    <w:rsid w:val="005A5341"/>
    <w:rsid w:val="005A7607"/>
    <w:rsid w:val="005B18A0"/>
    <w:rsid w:val="005B23C1"/>
    <w:rsid w:val="005B26B5"/>
    <w:rsid w:val="005B2D37"/>
    <w:rsid w:val="005B4982"/>
    <w:rsid w:val="005B59DA"/>
    <w:rsid w:val="005C373E"/>
    <w:rsid w:val="005D1081"/>
    <w:rsid w:val="005D53BD"/>
    <w:rsid w:val="005D58CC"/>
    <w:rsid w:val="005D6E70"/>
    <w:rsid w:val="005D76ED"/>
    <w:rsid w:val="005D7832"/>
    <w:rsid w:val="005E0E87"/>
    <w:rsid w:val="005E134B"/>
    <w:rsid w:val="005E1DAB"/>
    <w:rsid w:val="005E1F53"/>
    <w:rsid w:val="005E3CE6"/>
    <w:rsid w:val="005E52C0"/>
    <w:rsid w:val="005E64CD"/>
    <w:rsid w:val="005E6B74"/>
    <w:rsid w:val="005E7412"/>
    <w:rsid w:val="005E7C46"/>
    <w:rsid w:val="005F0BF2"/>
    <w:rsid w:val="005F0E6B"/>
    <w:rsid w:val="005F1711"/>
    <w:rsid w:val="005F612E"/>
    <w:rsid w:val="006019A9"/>
    <w:rsid w:val="00605A3C"/>
    <w:rsid w:val="00607EA3"/>
    <w:rsid w:val="006125A3"/>
    <w:rsid w:val="0061567F"/>
    <w:rsid w:val="00615B3A"/>
    <w:rsid w:val="00621C07"/>
    <w:rsid w:val="0062263B"/>
    <w:rsid w:val="006226C6"/>
    <w:rsid w:val="00625DE5"/>
    <w:rsid w:val="00625FE4"/>
    <w:rsid w:val="006264F9"/>
    <w:rsid w:val="00626793"/>
    <w:rsid w:val="00627001"/>
    <w:rsid w:val="006321A4"/>
    <w:rsid w:val="0063303D"/>
    <w:rsid w:val="00635674"/>
    <w:rsid w:val="0063575D"/>
    <w:rsid w:val="00636E33"/>
    <w:rsid w:val="006422F6"/>
    <w:rsid w:val="0064484C"/>
    <w:rsid w:val="006452BB"/>
    <w:rsid w:val="006510D4"/>
    <w:rsid w:val="0065203E"/>
    <w:rsid w:val="006521AB"/>
    <w:rsid w:val="00652939"/>
    <w:rsid w:val="00655DB1"/>
    <w:rsid w:val="00656D6A"/>
    <w:rsid w:val="006602F6"/>
    <w:rsid w:val="00660FC2"/>
    <w:rsid w:val="00662A8A"/>
    <w:rsid w:val="006635C5"/>
    <w:rsid w:val="0066529F"/>
    <w:rsid w:val="0066566D"/>
    <w:rsid w:val="00665799"/>
    <w:rsid w:val="0066584C"/>
    <w:rsid w:val="0066650C"/>
    <w:rsid w:val="00670645"/>
    <w:rsid w:val="0067069D"/>
    <w:rsid w:val="00672997"/>
    <w:rsid w:val="006746A2"/>
    <w:rsid w:val="00674AF7"/>
    <w:rsid w:val="00674FCA"/>
    <w:rsid w:val="00675442"/>
    <w:rsid w:val="00675628"/>
    <w:rsid w:val="0067599E"/>
    <w:rsid w:val="006770D2"/>
    <w:rsid w:val="0067762E"/>
    <w:rsid w:val="006817A9"/>
    <w:rsid w:val="006836E1"/>
    <w:rsid w:val="006850EA"/>
    <w:rsid w:val="00686DD2"/>
    <w:rsid w:val="00691876"/>
    <w:rsid w:val="00694EEA"/>
    <w:rsid w:val="0069562B"/>
    <w:rsid w:val="006A35CA"/>
    <w:rsid w:val="006A4C50"/>
    <w:rsid w:val="006A51FD"/>
    <w:rsid w:val="006B0B96"/>
    <w:rsid w:val="006B279B"/>
    <w:rsid w:val="006B314E"/>
    <w:rsid w:val="006B5083"/>
    <w:rsid w:val="006B6BCF"/>
    <w:rsid w:val="006B74AE"/>
    <w:rsid w:val="006C1527"/>
    <w:rsid w:val="006C46CC"/>
    <w:rsid w:val="006C5DD6"/>
    <w:rsid w:val="006C7C49"/>
    <w:rsid w:val="006D0B00"/>
    <w:rsid w:val="006D0BF4"/>
    <w:rsid w:val="006D173A"/>
    <w:rsid w:val="006D1E6A"/>
    <w:rsid w:val="006D2890"/>
    <w:rsid w:val="006D4935"/>
    <w:rsid w:val="006D5B37"/>
    <w:rsid w:val="006D6121"/>
    <w:rsid w:val="006D7917"/>
    <w:rsid w:val="006E00D4"/>
    <w:rsid w:val="006E0208"/>
    <w:rsid w:val="006E020B"/>
    <w:rsid w:val="006E0EDF"/>
    <w:rsid w:val="006E10F3"/>
    <w:rsid w:val="006E2ECA"/>
    <w:rsid w:val="006E3FE0"/>
    <w:rsid w:val="006E48C8"/>
    <w:rsid w:val="006E68D2"/>
    <w:rsid w:val="006E7191"/>
    <w:rsid w:val="006E7B0F"/>
    <w:rsid w:val="006E7FA3"/>
    <w:rsid w:val="006F0EB1"/>
    <w:rsid w:val="006F2638"/>
    <w:rsid w:val="006F379E"/>
    <w:rsid w:val="006F46F1"/>
    <w:rsid w:val="006F4B09"/>
    <w:rsid w:val="006F7697"/>
    <w:rsid w:val="007009DA"/>
    <w:rsid w:val="00706987"/>
    <w:rsid w:val="0071148A"/>
    <w:rsid w:val="007119CC"/>
    <w:rsid w:val="00711F58"/>
    <w:rsid w:val="0071372E"/>
    <w:rsid w:val="0071459E"/>
    <w:rsid w:val="007146FF"/>
    <w:rsid w:val="00720C03"/>
    <w:rsid w:val="00721A36"/>
    <w:rsid w:val="0072376B"/>
    <w:rsid w:val="00724345"/>
    <w:rsid w:val="007245B3"/>
    <w:rsid w:val="00725E93"/>
    <w:rsid w:val="00727F13"/>
    <w:rsid w:val="007313AB"/>
    <w:rsid w:val="00736B9D"/>
    <w:rsid w:val="00741B99"/>
    <w:rsid w:val="00742495"/>
    <w:rsid w:val="00743A91"/>
    <w:rsid w:val="00744800"/>
    <w:rsid w:val="007479F7"/>
    <w:rsid w:val="00752CDE"/>
    <w:rsid w:val="00753F94"/>
    <w:rsid w:val="00754061"/>
    <w:rsid w:val="0075563F"/>
    <w:rsid w:val="00755CF0"/>
    <w:rsid w:val="007569EE"/>
    <w:rsid w:val="0076038A"/>
    <w:rsid w:val="007620BB"/>
    <w:rsid w:val="00763F85"/>
    <w:rsid w:val="0076488A"/>
    <w:rsid w:val="007661F9"/>
    <w:rsid w:val="00767D55"/>
    <w:rsid w:val="007700A9"/>
    <w:rsid w:val="0077475E"/>
    <w:rsid w:val="00775226"/>
    <w:rsid w:val="00781E0F"/>
    <w:rsid w:val="007830A0"/>
    <w:rsid w:val="00784E07"/>
    <w:rsid w:val="00796405"/>
    <w:rsid w:val="00797C0D"/>
    <w:rsid w:val="007A20C0"/>
    <w:rsid w:val="007A21C9"/>
    <w:rsid w:val="007A27AC"/>
    <w:rsid w:val="007A2D65"/>
    <w:rsid w:val="007A2F41"/>
    <w:rsid w:val="007A4758"/>
    <w:rsid w:val="007A6951"/>
    <w:rsid w:val="007A7ED8"/>
    <w:rsid w:val="007B07F1"/>
    <w:rsid w:val="007B47BB"/>
    <w:rsid w:val="007B6B61"/>
    <w:rsid w:val="007C057D"/>
    <w:rsid w:val="007C0A24"/>
    <w:rsid w:val="007C0BD6"/>
    <w:rsid w:val="007C1D68"/>
    <w:rsid w:val="007C4626"/>
    <w:rsid w:val="007C61DF"/>
    <w:rsid w:val="007C6E2E"/>
    <w:rsid w:val="007D62CB"/>
    <w:rsid w:val="007E123F"/>
    <w:rsid w:val="007E23E9"/>
    <w:rsid w:val="007E37BF"/>
    <w:rsid w:val="007E48F5"/>
    <w:rsid w:val="007E4CDB"/>
    <w:rsid w:val="007E7436"/>
    <w:rsid w:val="007E7518"/>
    <w:rsid w:val="007F0946"/>
    <w:rsid w:val="007F1673"/>
    <w:rsid w:val="007F2BDF"/>
    <w:rsid w:val="007F62F0"/>
    <w:rsid w:val="0080024D"/>
    <w:rsid w:val="00801579"/>
    <w:rsid w:val="008053D7"/>
    <w:rsid w:val="00805467"/>
    <w:rsid w:val="00806AE1"/>
    <w:rsid w:val="00811819"/>
    <w:rsid w:val="00811963"/>
    <w:rsid w:val="0081366C"/>
    <w:rsid w:val="00813EBE"/>
    <w:rsid w:val="00816535"/>
    <w:rsid w:val="00816AC8"/>
    <w:rsid w:val="00820B9A"/>
    <w:rsid w:val="008221F7"/>
    <w:rsid w:val="00822D60"/>
    <w:rsid w:val="00823E37"/>
    <w:rsid w:val="0082496A"/>
    <w:rsid w:val="008260EF"/>
    <w:rsid w:val="00833482"/>
    <w:rsid w:val="008361B7"/>
    <w:rsid w:val="00836E2F"/>
    <w:rsid w:val="00837780"/>
    <w:rsid w:val="00841180"/>
    <w:rsid w:val="00842345"/>
    <w:rsid w:val="00842891"/>
    <w:rsid w:val="0084412E"/>
    <w:rsid w:val="00844B68"/>
    <w:rsid w:val="00845EF7"/>
    <w:rsid w:val="0085186F"/>
    <w:rsid w:val="0085197D"/>
    <w:rsid w:val="008519A5"/>
    <w:rsid w:val="0085252C"/>
    <w:rsid w:val="00853CBF"/>
    <w:rsid w:val="00855A58"/>
    <w:rsid w:val="00857DAF"/>
    <w:rsid w:val="008607B0"/>
    <w:rsid w:val="00860C45"/>
    <w:rsid w:val="00862481"/>
    <w:rsid w:val="00862952"/>
    <w:rsid w:val="0086362A"/>
    <w:rsid w:val="0086423E"/>
    <w:rsid w:val="00866694"/>
    <w:rsid w:val="00866C6D"/>
    <w:rsid w:val="00866CF3"/>
    <w:rsid w:val="00870F90"/>
    <w:rsid w:val="00871AB3"/>
    <w:rsid w:val="008721DC"/>
    <w:rsid w:val="0087233B"/>
    <w:rsid w:val="008725DB"/>
    <w:rsid w:val="00874E36"/>
    <w:rsid w:val="00875C4D"/>
    <w:rsid w:val="00876B33"/>
    <w:rsid w:val="0088360F"/>
    <w:rsid w:val="00883DC0"/>
    <w:rsid w:val="00885BD3"/>
    <w:rsid w:val="00890409"/>
    <w:rsid w:val="00895484"/>
    <w:rsid w:val="008A0346"/>
    <w:rsid w:val="008A2CDF"/>
    <w:rsid w:val="008A3566"/>
    <w:rsid w:val="008B11DD"/>
    <w:rsid w:val="008B1DDF"/>
    <w:rsid w:val="008B23AE"/>
    <w:rsid w:val="008B39A1"/>
    <w:rsid w:val="008B3BE9"/>
    <w:rsid w:val="008B41E8"/>
    <w:rsid w:val="008B62BB"/>
    <w:rsid w:val="008B6421"/>
    <w:rsid w:val="008B7F2C"/>
    <w:rsid w:val="008B7F59"/>
    <w:rsid w:val="008C017E"/>
    <w:rsid w:val="008C07B4"/>
    <w:rsid w:val="008C0E14"/>
    <w:rsid w:val="008C2D03"/>
    <w:rsid w:val="008C2F94"/>
    <w:rsid w:val="008C3AF3"/>
    <w:rsid w:val="008C3E39"/>
    <w:rsid w:val="008D02C5"/>
    <w:rsid w:val="008D168F"/>
    <w:rsid w:val="008D4F32"/>
    <w:rsid w:val="008D732B"/>
    <w:rsid w:val="008D7B25"/>
    <w:rsid w:val="008E1712"/>
    <w:rsid w:val="008E2EC6"/>
    <w:rsid w:val="008E5617"/>
    <w:rsid w:val="008F0710"/>
    <w:rsid w:val="008F09DC"/>
    <w:rsid w:val="008F0C0A"/>
    <w:rsid w:val="008F29B7"/>
    <w:rsid w:val="008F2F9C"/>
    <w:rsid w:val="008F5530"/>
    <w:rsid w:val="008F760D"/>
    <w:rsid w:val="00900972"/>
    <w:rsid w:val="00900EBB"/>
    <w:rsid w:val="009018D0"/>
    <w:rsid w:val="00901FAF"/>
    <w:rsid w:val="0090214F"/>
    <w:rsid w:val="009021DE"/>
    <w:rsid w:val="00902573"/>
    <w:rsid w:val="009027D4"/>
    <w:rsid w:val="0090397F"/>
    <w:rsid w:val="0090505C"/>
    <w:rsid w:val="009061D4"/>
    <w:rsid w:val="00910370"/>
    <w:rsid w:val="009108E5"/>
    <w:rsid w:val="009109D1"/>
    <w:rsid w:val="00910B05"/>
    <w:rsid w:val="00913043"/>
    <w:rsid w:val="00915149"/>
    <w:rsid w:val="00915A0F"/>
    <w:rsid w:val="00915E3C"/>
    <w:rsid w:val="00916031"/>
    <w:rsid w:val="0092189E"/>
    <w:rsid w:val="00925313"/>
    <w:rsid w:val="00926B00"/>
    <w:rsid w:val="00930392"/>
    <w:rsid w:val="00930BAE"/>
    <w:rsid w:val="00932D78"/>
    <w:rsid w:val="00933E88"/>
    <w:rsid w:val="009353C7"/>
    <w:rsid w:val="009355EF"/>
    <w:rsid w:val="00935888"/>
    <w:rsid w:val="00935BD2"/>
    <w:rsid w:val="00935E9E"/>
    <w:rsid w:val="00936A0E"/>
    <w:rsid w:val="00937619"/>
    <w:rsid w:val="00937AA0"/>
    <w:rsid w:val="009407CD"/>
    <w:rsid w:val="00944237"/>
    <w:rsid w:val="009505F2"/>
    <w:rsid w:val="00951090"/>
    <w:rsid w:val="0095244F"/>
    <w:rsid w:val="00956FC0"/>
    <w:rsid w:val="00961288"/>
    <w:rsid w:val="00961711"/>
    <w:rsid w:val="00961EFE"/>
    <w:rsid w:val="00963314"/>
    <w:rsid w:val="00964FF9"/>
    <w:rsid w:val="009709BA"/>
    <w:rsid w:val="0097304B"/>
    <w:rsid w:val="009828E2"/>
    <w:rsid w:val="00982D96"/>
    <w:rsid w:val="00985B02"/>
    <w:rsid w:val="009863C3"/>
    <w:rsid w:val="00987790"/>
    <w:rsid w:val="009906CB"/>
    <w:rsid w:val="00991A64"/>
    <w:rsid w:val="00992044"/>
    <w:rsid w:val="00996E8A"/>
    <w:rsid w:val="0099763F"/>
    <w:rsid w:val="00997E72"/>
    <w:rsid w:val="009A1BAA"/>
    <w:rsid w:val="009A2281"/>
    <w:rsid w:val="009A59A1"/>
    <w:rsid w:val="009B54FC"/>
    <w:rsid w:val="009B5C0B"/>
    <w:rsid w:val="009B6CA3"/>
    <w:rsid w:val="009B78DF"/>
    <w:rsid w:val="009C29BC"/>
    <w:rsid w:val="009C41F1"/>
    <w:rsid w:val="009C448D"/>
    <w:rsid w:val="009C4827"/>
    <w:rsid w:val="009D111D"/>
    <w:rsid w:val="009D11CC"/>
    <w:rsid w:val="009D1C9F"/>
    <w:rsid w:val="009D306D"/>
    <w:rsid w:val="009D607C"/>
    <w:rsid w:val="009D6CE1"/>
    <w:rsid w:val="009E5608"/>
    <w:rsid w:val="009E57F9"/>
    <w:rsid w:val="009E5890"/>
    <w:rsid w:val="009E63EF"/>
    <w:rsid w:val="009F0E9F"/>
    <w:rsid w:val="009F1069"/>
    <w:rsid w:val="009F1D13"/>
    <w:rsid w:val="009F23A7"/>
    <w:rsid w:val="009F7B14"/>
    <w:rsid w:val="00A025DF"/>
    <w:rsid w:val="00A047BF"/>
    <w:rsid w:val="00A05A34"/>
    <w:rsid w:val="00A05F3D"/>
    <w:rsid w:val="00A075B3"/>
    <w:rsid w:val="00A07604"/>
    <w:rsid w:val="00A1072C"/>
    <w:rsid w:val="00A10B84"/>
    <w:rsid w:val="00A13EF0"/>
    <w:rsid w:val="00A15869"/>
    <w:rsid w:val="00A20165"/>
    <w:rsid w:val="00A21729"/>
    <w:rsid w:val="00A2261C"/>
    <w:rsid w:val="00A226B1"/>
    <w:rsid w:val="00A2307F"/>
    <w:rsid w:val="00A2328B"/>
    <w:rsid w:val="00A238FB"/>
    <w:rsid w:val="00A24745"/>
    <w:rsid w:val="00A25A60"/>
    <w:rsid w:val="00A26CA2"/>
    <w:rsid w:val="00A26E70"/>
    <w:rsid w:val="00A27CD6"/>
    <w:rsid w:val="00A32097"/>
    <w:rsid w:val="00A328B1"/>
    <w:rsid w:val="00A40BC4"/>
    <w:rsid w:val="00A42230"/>
    <w:rsid w:val="00A42EF2"/>
    <w:rsid w:val="00A43689"/>
    <w:rsid w:val="00A50678"/>
    <w:rsid w:val="00A50AC6"/>
    <w:rsid w:val="00A510D4"/>
    <w:rsid w:val="00A5175E"/>
    <w:rsid w:val="00A51BC9"/>
    <w:rsid w:val="00A53053"/>
    <w:rsid w:val="00A57648"/>
    <w:rsid w:val="00A613CE"/>
    <w:rsid w:val="00A615D4"/>
    <w:rsid w:val="00A61615"/>
    <w:rsid w:val="00A61E98"/>
    <w:rsid w:val="00A67962"/>
    <w:rsid w:val="00A70D56"/>
    <w:rsid w:val="00A70D63"/>
    <w:rsid w:val="00A720A0"/>
    <w:rsid w:val="00A7386D"/>
    <w:rsid w:val="00A742C3"/>
    <w:rsid w:val="00A76360"/>
    <w:rsid w:val="00A80293"/>
    <w:rsid w:val="00A805A1"/>
    <w:rsid w:val="00A812FE"/>
    <w:rsid w:val="00A81DEE"/>
    <w:rsid w:val="00A827FC"/>
    <w:rsid w:val="00A854D4"/>
    <w:rsid w:val="00A85B85"/>
    <w:rsid w:val="00A861C0"/>
    <w:rsid w:val="00A87C4E"/>
    <w:rsid w:val="00A91434"/>
    <w:rsid w:val="00A94E26"/>
    <w:rsid w:val="00AA0500"/>
    <w:rsid w:val="00AA0E94"/>
    <w:rsid w:val="00AA1C68"/>
    <w:rsid w:val="00AA29EC"/>
    <w:rsid w:val="00AA2E92"/>
    <w:rsid w:val="00AA2EB3"/>
    <w:rsid w:val="00AA378F"/>
    <w:rsid w:val="00AA4541"/>
    <w:rsid w:val="00AB14C8"/>
    <w:rsid w:val="00AB1EE8"/>
    <w:rsid w:val="00AC0370"/>
    <w:rsid w:val="00AC0D4F"/>
    <w:rsid w:val="00AC2CD6"/>
    <w:rsid w:val="00AC4B63"/>
    <w:rsid w:val="00AC7B7A"/>
    <w:rsid w:val="00AD05E9"/>
    <w:rsid w:val="00AD16D6"/>
    <w:rsid w:val="00AD1A4F"/>
    <w:rsid w:val="00AD2200"/>
    <w:rsid w:val="00AD279E"/>
    <w:rsid w:val="00AD2F8B"/>
    <w:rsid w:val="00AD3336"/>
    <w:rsid w:val="00AD3D3C"/>
    <w:rsid w:val="00AD5406"/>
    <w:rsid w:val="00AD5884"/>
    <w:rsid w:val="00AD6390"/>
    <w:rsid w:val="00AD6A96"/>
    <w:rsid w:val="00AD6DEE"/>
    <w:rsid w:val="00AD78A7"/>
    <w:rsid w:val="00AE15DF"/>
    <w:rsid w:val="00AE18BA"/>
    <w:rsid w:val="00AE2070"/>
    <w:rsid w:val="00AE2427"/>
    <w:rsid w:val="00AE29E1"/>
    <w:rsid w:val="00AE2E1C"/>
    <w:rsid w:val="00AE4B54"/>
    <w:rsid w:val="00AF072A"/>
    <w:rsid w:val="00AF1207"/>
    <w:rsid w:val="00AF34F7"/>
    <w:rsid w:val="00AF3DF4"/>
    <w:rsid w:val="00AF421E"/>
    <w:rsid w:val="00AF70EE"/>
    <w:rsid w:val="00B01915"/>
    <w:rsid w:val="00B0215C"/>
    <w:rsid w:val="00B029D1"/>
    <w:rsid w:val="00B03D55"/>
    <w:rsid w:val="00B049B4"/>
    <w:rsid w:val="00B06497"/>
    <w:rsid w:val="00B0684F"/>
    <w:rsid w:val="00B06B38"/>
    <w:rsid w:val="00B07236"/>
    <w:rsid w:val="00B075D3"/>
    <w:rsid w:val="00B07BA4"/>
    <w:rsid w:val="00B16A1D"/>
    <w:rsid w:val="00B174D2"/>
    <w:rsid w:val="00B2682C"/>
    <w:rsid w:val="00B278FD"/>
    <w:rsid w:val="00B3138E"/>
    <w:rsid w:val="00B32363"/>
    <w:rsid w:val="00B32911"/>
    <w:rsid w:val="00B3453F"/>
    <w:rsid w:val="00B35827"/>
    <w:rsid w:val="00B35BC2"/>
    <w:rsid w:val="00B364FE"/>
    <w:rsid w:val="00B36D95"/>
    <w:rsid w:val="00B4436A"/>
    <w:rsid w:val="00B44EEC"/>
    <w:rsid w:val="00B501DA"/>
    <w:rsid w:val="00B50268"/>
    <w:rsid w:val="00B52A73"/>
    <w:rsid w:val="00B52D5C"/>
    <w:rsid w:val="00B53F5B"/>
    <w:rsid w:val="00B54BE0"/>
    <w:rsid w:val="00B55D10"/>
    <w:rsid w:val="00B56EA5"/>
    <w:rsid w:val="00B570DC"/>
    <w:rsid w:val="00B6146B"/>
    <w:rsid w:val="00B621C8"/>
    <w:rsid w:val="00B63EB4"/>
    <w:rsid w:val="00B64730"/>
    <w:rsid w:val="00B661D4"/>
    <w:rsid w:val="00B6681A"/>
    <w:rsid w:val="00B677FE"/>
    <w:rsid w:val="00B679C4"/>
    <w:rsid w:val="00B712AB"/>
    <w:rsid w:val="00B7275A"/>
    <w:rsid w:val="00B72C0B"/>
    <w:rsid w:val="00B72F32"/>
    <w:rsid w:val="00B732B9"/>
    <w:rsid w:val="00B74CF3"/>
    <w:rsid w:val="00B75598"/>
    <w:rsid w:val="00B763B9"/>
    <w:rsid w:val="00B8058D"/>
    <w:rsid w:val="00B80FCA"/>
    <w:rsid w:val="00B82F08"/>
    <w:rsid w:val="00B8340F"/>
    <w:rsid w:val="00B8341A"/>
    <w:rsid w:val="00B84283"/>
    <w:rsid w:val="00B852EB"/>
    <w:rsid w:val="00B87276"/>
    <w:rsid w:val="00B91941"/>
    <w:rsid w:val="00B947AB"/>
    <w:rsid w:val="00B94A3D"/>
    <w:rsid w:val="00B968F7"/>
    <w:rsid w:val="00B97310"/>
    <w:rsid w:val="00BA1BA2"/>
    <w:rsid w:val="00BA1CE7"/>
    <w:rsid w:val="00BA2804"/>
    <w:rsid w:val="00BA4130"/>
    <w:rsid w:val="00BA4368"/>
    <w:rsid w:val="00BA78FF"/>
    <w:rsid w:val="00BB0F51"/>
    <w:rsid w:val="00BB2F57"/>
    <w:rsid w:val="00BB32A7"/>
    <w:rsid w:val="00BB3D0B"/>
    <w:rsid w:val="00BB45E4"/>
    <w:rsid w:val="00BB55B1"/>
    <w:rsid w:val="00BB5A69"/>
    <w:rsid w:val="00BB611F"/>
    <w:rsid w:val="00BC2F24"/>
    <w:rsid w:val="00BC3900"/>
    <w:rsid w:val="00BC6211"/>
    <w:rsid w:val="00BD01D4"/>
    <w:rsid w:val="00BD065C"/>
    <w:rsid w:val="00BD2905"/>
    <w:rsid w:val="00BD4261"/>
    <w:rsid w:val="00BD4EE0"/>
    <w:rsid w:val="00BD56A1"/>
    <w:rsid w:val="00BD5D72"/>
    <w:rsid w:val="00BD6FBB"/>
    <w:rsid w:val="00BE3D11"/>
    <w:rsid w:val="00BE5642"/>
    <w:rsid w:val="00BE767C"/>
    <w:rsid w:val="00BE7EF2"/>
    <w:rsid w:val="00BF15E5"/>
    <w:rsid w:val="00BF18E6"/>
    <w:rsid w:val="00BF1D21"/>
    <w:rsid w:val="00BF4DF2"/>
    <w:rsid w:val="00BF6B75"/>
    <w:rsid w:val="00BF74C1"/>
    <w:rsid w:val="00BF7EEF"/>
    <w:rsid w:val="00C0089C"/>
    <w:rsid w:val="00C01155"/>
    <w:rsid w:val="00C01883"/>
    <w:rsid w:val="00C026CE"/>
    <w:rsid w:val="00C030BB"/>
    <w:rsid w:val="00C03AD3"/>
    <w:rsid w:val="00C03CD9"/>
    <w:rsid w:val="00C04647"/>
    <w:rsid w:val="00C055CB"/>
    <w:rsid w:val="00C068C1"/>
    <w:rsid w:val="00C06995"/>
    <w:rsid w:val="00C07AF1"/>
    <w:rsid w:val="00C13211"/>
    <w:rsid w:val="00C1530E"/>
    <w:rsid w:val="00C16054"/>
    <w:rsid w:val="00C177FA"/>
    <w:rsid w:val="00C268F5"/>
    <w:rsid w:val="00C36B26"/>
    <w:rsid w:val="00C41EDA"/>
    <w:rsid w:val="00C43129"/>
    <w:rsid w:val="00C4366B"/>
    <w:rsid w:val="00C44FF1"/>
    <w:rsid w:val="00C45209"/>
    <w:rsid w:val="00C45BFD"/>
    <w:rsid w:val="00C46089"/>
    <w:rsid w:val="00C46369"/>
    <w:rsid w:val="00C47673"/>
    <w:rsid w:val="00C47912"/>
    <w:rsid w:val="00C47B9D"/>
    <w:rsid w:val="00C47F71"/>
    <w:rsid w:val="00C47FC2"/>
    <w:rsid w:val="00C511FF"/>
    <w:rsid w:val="00C57464"/>
    <w:rsid w:val="00C579A6"/>
    <w:rsid w:val="00C60C48"/>
    <w:rsid w:val="00C61AD6"/>
    <w:rsid w:val="00C63C50"/>
    <w:rsid w:val="00C66EB6"/>
    <w:rsid w:val="00C72A6B"/>
    <w:rsid w:val="00C72D7F"/>
    <w:rsid w:val="00C73BD9"/>
    <w:rsid w:val="00C74FA0"/>
    <w:rsid w:val="00C75226"/>
    <w:rsid w:val="00C75C5D"/>
    <w:rsid w:val="00C775FD"/>
    <w:rsid w:val="00C81A76"/>
    <w:rsid w:val="00C81ABF"/>
    <w:rsid w:val="00C81FB9"/>
    <w:rsid w:val="00C82EA0"/>
    <w:rsid w:val="00C877CF"/>
    <w:rsid w:val="00C87BEB"/>
    <w:rsid w:val="00C90707"/>
    <w:rsid w:val="00C91DD2"/>
    <w:rsid w:val="00C92A03"/>
    <w:rsid w:val="00C94116"/>
    <w:rsid w:val="00C962FC"/>
    <w:rsid w:val="00CA4922"/>
    <w:rsid w:val="00CA4A75"/>
    <w:rsid w:val="00CA767F"/>
    <w:rsid w:val="00CB11CF"/>
    <w:rsid w:val="00CB3791"/>
    <w:rsid w:val="00CB57A2"/>
    <w:rsid w:val="00CC10FE"/>
    <w:rsid w:val="00CC199A"/>
    <w:rsid w:val="00CC44CA"/>
    <w:rsid w:val="00CC460E"/>
    <w:rsid w:val="00CC56C6"/>
    <w:rsid w:val="00CC5B73"/>
    <w:rsid w:val="00CC5F66"/>
    <w:rsid w:val="00CC78FE"/>
    <w:rsid w:val="00CD0665"/>
    <w:rsid w:val="00CD1203"/>
    <w:rsid w:val="00CD2AB6"/>
    <w:rsid w:val="00CD5861"/>
    <w:rsid w:val="00CD7B61"/>
    <w:rsid w:val="00CE0694"/>
    <w:rsid w:val="00CE1F03"/>
    <w:rsid w:val="00CE6FB1"/>
    <w:rsid w:val="00CE72E8"/>
    <w:rsid w:val="00CF121A"/>
    <w:rsid w:val="00CF3D31"/>
    <w:rsid w:val="00CF7A1B"/>
    <w:rsid w:val="00D03BDA"/>
    <w:rsid w:val="00D06B3F"/>
    <w:rsid w:val="00D070C9"/>
    <w:rsid w:val="00D10D3E"/>
    <w:rsid w:val="00D11504"/>
    <w:rsid w:val="00D1155A"/>
    <w:rsid w:val="00D120E6"/>
    <w:rsid w:val="00D14620"/>
    <w:rsid w:val="00D16BE6"/>
    <w:rsid w:val="00D179C0"/>
    <w:rsid w:val="00D17B35"/>
    <w:rsid w:val="00D206D3"/>
    <w:rsid w:val="00D211B8"/>
    <w:rsid w:val="00D21873"/>
    <w:rsid w:val="00D268F8"/>
    <w:rsid w:val="00D27351"/>
    <w:rsid w:val="00D2779E"/>
    <w:rsid w:val="00D31B83"/>
    <w:rsid w:val="00D322A1"/>
    <w:rsid w:val="00D338C3"/>
    <w:rsid w:val="00D33FCF"/>
    <w:rsid w:val="00D361B1"/>
    <w:rsid w:val="00D40262"/>
    <w:rsid w:val="00D41400"/>
    <w:rsid w:val="00D41D29"/>
    <w:rsid w:val="00D4353C"/>
    <w:rsid w:val="00D442DB"/>
    <w:rsid w:val="00D45845"/>
    <w:rsid w:val="00D51C2C"/>
    <w:rsid w:val="00D53C88"/>
    <w:rsid w:val="00D548B1"/>
    <w:rsid w:val="00D54C73"/>
    <w:rsid w:val="00D617CD"/>
    <w:rsid w:val="00D6303E"/>
    <w:rsid w:val="00D64749"/>
    <w:rsid w:val="00D65714"/>
    <w:rsid w:val="00D6618C"/>
    <w:rsid w:val="00D71DCA"/>
    <w:rsid w:val="00D76416"/>
    <w:rsid w:val="00D77057"/>
    <w:rsid w:val="00D775FB"/>
    <w:rsid w:val="00D77E48"/>
    <w:rsid w:val="00D80C7D"/>
    <w:rsid w:val="00D818D1"/>
    <w:rsid w:val="00D82131"/>
    <w:rsid w:val="00D82E7A"/>
    <w:rsid w:val="00D8528A"/>
    <w:rsid w:val="00D863C6"/>
    <w:rsid w:val="00D87121"/>
    <w:rsid w:val="00D90E01"/>
    <w:rsid w:val="00D92BA1"/>
    <w:rsid w:val="00D96E60"/>
    <w:rsid w:val="00DA3BCF"/>
    <w:rsid w:val="00DA5B30"/>
    <w:rsid w:val="00DB090A"/>
    <w:rsid w:val="00DB143E"/>
    <w:rsid w:val="00DB1D0C"/>
    <w:rsid w:val="00DB1E95"/>
    <w:rsid w:val="00DB1F97"/>
    <w:rsid w:val="00DB3859"/>
    <w:rsid w:val="00DB76EA"/>
    <w:rsid w:val="00DB77A0"/>
    <w:rsid w:val="00DC020D"/>
    <w:rsid w:val="00DC3D2F"/>
    <w:rsid w:val="00DC5CAD"/>
    <w:rsid w:val="00DD1525"/>
    <w:rsid w:val="00DD1F6A"/>
    <w:rsid w:val="00DD222E"/>
    <w:rsid w:val="00DD2659"/>
    <w:rsid w:val="00DD2798"/>
    <w:rsid w:val="00DD60F9"/>
    <w:rsid w:val="00DD683A"/>
    <w:rsid w:val="00DE136D"/>
    <w:rsid w:val="00DE3650"/>
    <w:rsid w:val="00DE76FA"/>
    <w:rsid w:val="00DF0F99"/>
    <w:rsid w:val="00DF16BF"/>
    <w:rsid w:val="00DF2229"/>
    <w:rsid w:val="00DF4359"/>
    <w:rsid w:val="00DF5CEF"/>
    <w:rsid w:val="00DF72B5"/>
    <w:rsid w:val="00E005BB"/>
    <w:rsid w:val="00E04310"/>
    <w:rsid w:val="00E05DAC"/>
    <w:rsid w:val="00E06B89"/>
    <w:rsid w:val="00E06D3D"/>
    <w:rsid w:val="00E07E4A"/>
    <w:rsid w:val="00E104CF"/>
    <w:rsid w:val="00E10F92"/>
    <w:rsid w:val="00E11309"/>
    <w:rsid w:val="00E1161B"/>
    <w:rsid w:val="00E155E9"/>
    <w:rsid w:val="00E16269"/>
    <w:rsid w:val="00E2359E"/>
    <w:rsid w:val="00E24C3C"/>
    <w:rsid w:val="00E262FD"/>
    <w:rsid w:val="00E26FC0"/>
    <w:rsid w:val="00E27EE9"/>
    <w:rsid w:val="00E3003D"/>
    <w:rsid w:val="00E3134F"/>
    <w:rsid w:val="00E314C1"/>
    <w:rsid w:val="00E364C9"/>
    <w:rsid w:val="00E37F85"/>
    <w:rsid w:val="00E401CC"/>
    <w:rsid w:val="00E4130C"/>
    <w:rsid w:val="00E4131D"/>
    <w:rsid w:val="00E45062"/>
    <w:rsid w:val="00E45558"/>
    <w:rsid w:val="00E45955"/>
    <w:rsid w:val="00E46D18"/>
    <w:rsid w:val="00E55D8F"/>
    <w:rsid w:val="00E56710"/>
    <w:rsid w:val="00E60E5B"/>
    <w:rsid w:val="00E66991"/>
    <w:rsid w:val="00E70017"/>
    <w:rsid w:val="00E7100A"/>
    <w:rsid w:val="00E73710"/>
    <w:rsid w:val="00E73DCF"/>
    <w:rsid w:val="00E73F0D"/>
    <w:rsid w:val="00E73F8C"/>
    <w:rsid w:val="00E86FC3"/>
    <w:rsid w:val="00E87902"/>
    <w:rsid w:val="00E91594"/>
    <w:rsid w:val="00E973EC"/>
    <w:rsid w:val="00E9797C"/>
    <w:rsid w:val="00E97CDC"/>
    <w:rsid w:val="00E97DD4"/>
    <w:rsid w:val="00EA049A"/>
    <w:rsid w:val="00EA0EE9"/>
    <w:rsid w:val="00EA2D33"/>
    <w:rsid w:val="00EA2FA8"/>
    <w:rsid w:val="00EA3BDF"/>
    <w:rsid w:val="00EA71D1"/>
    <w:rsid w:val="00EA7C12"/>
    <w:rsid w:val="00EA7DAA"/>
    <w:rsid w:val="00EB0553"/>
    <w:rsid w:val="00EB23B8"/>
    <w:rsid w:val="00EB64A0"/>
    <w:rsid w:val="00EB72F5"/>
    <w:rsid w:val="00EB73D9"/>
    <w:rsid w:val="00EB7FA6"/>
    <w:rsid w:val="00EC2547"/>
    <w:rsid w:val="00EC5B57"/>
    <w:rsid w:val="00EC67A9"/>
    <w:rsid w:val="00EC7AF5"/>
    <w:rsid w:val="00ED088D"/>
    <w:rsid w:val="00ED1A12"/>
    <w:rsid w:val="00ED353F"/>
    <w:rsid w:val="00ED45B9"/>
    <w:rsid w:val="00ED58A9"/>
    <w:rsid w:val="00ED6236"/>
    <w:rsid w:val="00ED7D68"/>
    <w:rsid w:val="00EE0A08"/>
    <w:rsid w:val="00EE3A10"/>
    <w:rsid w:val="00EE4C43"/>
    <w:rsid w:val="00EE4C70"/>
    <w:rsid w:val="00EE65B8"/>
    <w:rsid w:val="00EE6BE2"/>
    <w:rsid w:val="00EF065A"/>
    <w:rsid w:val="00EF3C4E"/>
    <w:rsid w:val="00EF710D"/>
    <w:rsid w:val="00F00185"/>
    <w:rsid w:val="00F03A91"/>
    <w:rsid w:val="00F059B9"/>
    <w:rsid w:val="00F12396"/>
    <w:rsid w:val="00F12A21"/>
    <w:rsid w:val="00F12AA0"/>
    <w:rsid w:val="00F13774"/>
    <w:rsid w:val="00F13EAE"/>
    <w:rsid w:val="00F14319"/>
    <w:rsid w:val="00F16857"/>
    <w:rsid w:val="00F2019A"/>
    <w:rsid w:val="00F20895"/>
    <w:rsid w:val="00F21284"/>
    <w:rsid w:val="00F22F4A"/>
    <w:rsid w:val="00F24942"/>
    <w:rsid w:val="00F2674F"/>
    <w:rsid w:val="00F26910"/>
    <w:rsid w:val="00F274ED"/>
    <w:rsid w:val="00F27703"/>
    <w:rsid w:val="00F363A9"/>
    <w:rsid w:val="00F375E6"/>
    <w:rsid w:val="00F37DFD"/>
    <w:rsid w:val="00F42431"/>
    <w:rsid w:val="00F445AE"/>
    <w:rsid w:val="00F519AB"/>
    <w:rsid w:val="00F51F90"/>
    <w:rsid w:val="00F54D17"/>
    <w:rsid w:val="00F56C58"/>
    <w:rsid w:val="00F57D06"/>
    <w:rsid w:val="00F60BB0"/>
    <w:rsid w:val="00F6233D"/>
    <w:rsid w:val="00F63EB3"/>
    <w:rsid w:val="00F65119"/>
    <w:rsid w:val="00F65D44"/>
    <w:rsid w:val="00F65F31"/>
    <w:rsid w:val="00F67597"/>
    <w:rsid w:val="00F6763F"/>
    <w:rsid w:val="00F703E2"/>
    <w:rsid w:val="00F71AE4"/>
    <w:rsid w:val="00F7216D"/>
    <w:rsid w:val="00F736F1"/>
    <w:rsid w:val="00F746D0"/>
    <w:rsid w:val="00F75188"/>
    <w:rsid w:val="00F75FFC"/>
    <w:rsid w:val="00F76BE0"/>
    <w:rsid w:val="00F77539"/>
    <w:rsid w:val="00F8060D"/>
    <w:rsid w:val="00F8111A"/>
    <w:rsid w:val="00F82CC3"/>
    <w:rsid w:val="00F86520"/>
    <w:rsid w:val="00F90A9A"/>
    <w:rsid w:val="00F91329"/>
    <w:rsid w:val="00F91B28"/>
    <w:rsid w:val="00F93B69"/>
    <w:rsid w:val="00F969C0"/>
    <w:rsid w:val="00F973BD"/>
    <w:rsid w:val="00FA24FA"/>
    <w:rsid w:val="00FA273F"/>
    <w:rsid w:val="00FA282A"/>
    <w:rsid w:val="00FA4CE1"/>
    <w:rsid w:val="00FA7311"/>
    <w:rsid w:val="00FB391F"/>
    <w:rsid w:val="00FB4C90"/>
    <w:rsid w:val="00FB57C0"/>
    <w:rsid w:val="00FB781A"/>
    <w:rsid w:val="00FB7821"/>
    <w:rsid w:val="00FC118C"/>
    <w:rsid w:val="00FC4DDF"/>
    <w:rsid w:val="00FC4F39"/>
    <w:rsid w:val="00FC5EA2"/>
    <w:rsid w:val="00FC66A3"/>
    <w:rsid w:val="00FC718A"/>
    <w:rsid w:val="00FD010E"/>
    <w:rsid w:val="00FD2BF1"/>
    <w:rsid w:val="00FD3E67"/>
    <w:rsid w:val="00FD4717"/>
    <w:rsid w:val="00FD4C2A"/>
    <w:rsid w:val="00FD6621"/>
    <w:rsid w:val="00FD6A53"/>
    <w:rsid w:val="00FE0158"/>
    <w:rsid w:val="00FE19FA"/>
    <w:rsid w:val="00FE3EFF"/>
    <w:rsid w:val="00FE4AFE"/>
    <w:rsid w:val="00FE4D74"/>
    <w:rsid w:val="00FE5CF3"/>
    <w:rsid w:val="00FE712A"/>
    <w:rsid w:val="00FE7C83"/>
    <w:rsid w:val="00FF0E3C"/>
    <w:rsid w:val="00FF19DB"/>
    <w:rsid w:val="00FF558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810E-3359-4828-8449-C08C306E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2456</Words>
  <Characters>14714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17136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martina.hudecova</dc:creator>
  <cp:lastModifiedBy>Uhnáková Milota</cp:lastModifiedBy>
  <cp:revision>2</cp:revision>
  <dcterms:created xsi:type="dcterms:W3CDTF">2018-12-11T07:17:00Z</dcterms:created>
  <dcterms:modified xsi:type="dcterms:W3CDTF">2018-12-11T07:17:00Z</dcterms:modified>
</cp:coreProperties>
</file>