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572" w:rsidRDefault="00B83572" w:rsidP="00787CC9">
      <w:pPr>
        <w:pStyle w:val="Nadpis1"/>
        <w:keepNext w:val="0"/>
        <w:widowControl w:val="0"/>
        <w:rPr>
          <w:i w:val="0"/>
          <w:iCs w:val="0"/>
        </w:rPr>
      </w:pPr>
      <w:bookmarkStart w:id="0" w:name="_GoBack"/>
      <w:bookmarkEnd w:id="0"/>
    </w:p>
    <w:p w:rsidR="00B83572" w:rsidRDefault="00B83572" w:rsidP="003F4E8A"/>
    <w:p w:rsidR="00B83572" w:rsidRPr="00F41751" w:rsidRDefault="00B83572" w:rsidP="003F4E8A"/>
    <w:p w:rsidR="00B83572" w:rsidRPr="00F41751" w:rsidRDefault="00B83572" w:rsidP="003F4E8A">
      <w:pPr>
        <w:pStyle w:val="Nadpis1"/>
        <w:keepNext w:val="0"/>
        <w:widowControl w:val="0"/>
        <w:jc w:val="center"/>
        <w:rPr>
          <w:b/>
          <w:bCs/>
          <w:i w:val="0"/>
          <w:iCs w:val="0"/>
          <w:caps/>
          <w:sz w:val="22"/>
          <w:szCs w:val="22"/>
        </w:rPr>
      </w:pPr>
      <w:r w:rsidRPr="00F41751">
        <w:rPr>
          <w:b/>
          <w:bCs/>
          <w:i w:val="0"/>
          <w:iCs w:val="0"/>
          <w:caps/>
          <w:sz w:val="22"/>
          <w:szCs w:val="22"/>
        </w:rPr>
        <w:t>Súhrn charakteristických vlastností lieku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caps/>
          <w:sz w:val="22"/>
          <w:szCs w:val="22"/>
        </w:rPr>
      </w:pPr>
    </w:p>
    <w:p w:rsidR="00B83572" w:rsidRPr="003F4E8A" w:rsidRDefault="00B83572" w:rsidP="003F4E8A">
      <w:pPr>
        <w:rPr>
          <w:sz w:val="22"/>
          <w:szCs w:val="22"/>
        </w:rPr>
      </w:pP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b/>
          <w:bCs/>
          <w:i w:val="0"/>
          <w:iCs w:val="0"/>
          <w:sz w:val="22"/>
          <w:szCs w:val="22"/>
        </w:rPr>
      </w:pPr>
      <w:r w:rsidRPr="003F4E8A">
        <w:rPr>
          <w:b/>
          <w:bCs/>
          <w:i w:val="0"/>
          <w:iCs w:val="0"/>
          <w:sz w:val="22"/>
          <w:szCs w:val="22"/>
        </w:rPr>
        <w:t>1.</w:t>
      </w:r>
      <w:r w:rsidRPr="003F4E8A">
        <w:rPr>
          <w:b/>
          <w:bCs/>
          <w:i w:val="0"/>
          <w:iCs w:val="0"/>
          <w:sz w:val="22"/>
          <w:szCs w:val="22"/>
        </w:rPr>
        <w:tab/>
        <w:t>NÁZOV LIEKU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Lacipil 2 mg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Lacipil 4 mg</w:t>
      </w:r>
    </w:p>
    <w:p w:rsidR="00B83572" w:rsidRPr="003F4E8A" w:rsidRDefault="00B83572" w:rsidP="00787CC9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Lacipil 6 mg</w:t>
      </w:r>
    </w:p>
    <w:p w:rsidR="00B83572" w:rsidRPr="003F4E8A" w:rsidRDefault="00B83572" w:rsidP="003F4E8A">
      <w:pPr>
        <w:rPr>
          <w:sz w:val="22"/>
          <w:szCs w:val="22"/>
        </w:rPr>
      </w:pP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b/>
          <w:bCs/>
          <w:i w:val="0"/>
          <w:iCs w:val="0"/>
          <w:sz w:val="22"/>
          <w:szCs w:val="22"/>
        </w:rPr>
      </w:pPr>
      <w:r w:rsidRPr="003F4E8A">
        <w:rPr>
          <w:b/>
          <w:bCs/>
          <w:i w:val="0"/>
          <w:iCs w:val="0"/>
          <w:sz w:val="22"/>
          <w:szCs w:val="22"/>
        </w:rPr>
        <w:t>2.</w:t>
      </w:r>
      <w:r w:rsidRPr="003F4E8A">
        <w:rPr>
          <w:b/>
          <w:bCs/>
          <w:i w:val="0"/>
          <w:iCs w:val="0"/>
          <w:sz w:val="22"/>
          <w:szCs w:val="22"/>
        </w:rPr>
        <w:tab/>
        <w:t>KVALITATÍVNE A KVANTITATÍVNE ZLOŽENIE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Lacipil 2 mg: 2 mg lacidipínu v jednej filmom obalenej tablete</w:t>
      </w:r>
    </w:p>
    <w:p w:rsidR="00B83572" w:rsidRPr="003F4E8A" w:rsidRDefault="00B83572" w:rsidP="00F626CB">
      <w:pPr>
        <w:pStyle w:val="Nadpis1"/>
        <w:keepNext w:val="0"/>
        <w:widowControl w:val="0"/>
        <w:tabs>
          <w:tab w:val="left" w:pos="7065"/>
        </w:tabs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Lacipil 4 mg: 4 mg lacidipínu v jednej filmom obalenej tablete</w:t>
      </w:r>
      <w:r w:rsidR="003F5343">
        <w:rPr>
          <w:i w:val="0"/>
          <w:iCs w:val="0"/>
          <w:sz w:val="22"/>
          <w:szCs w:val="22"/>
        </w:rPr>
        <w:tab/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Lacipil 6 mg: 6 mg lacidipínu v jednej filmom obalenej tablete</w:t>
      </w:r>
    </w:p>
    <w:p w:rsidR="00B83572" w:rsidRPr="003F4E8A" w:rsidRDefault="00B83572" w:rsidP="003F4E8A">
      <w:pPr>
        <w:widowControl w:val="0"/>
        <w:rPr>
          <w:sz w:val="22"/>
          <w:szCs w:val="22"/>
        </w:rPr>
      </w:pP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Úplný zoznam pomocných látok, pozri časť 6.1.</w:t>
      </w:r>
    </w:p>
    <w:p w:rsidR="00B83572" w:rsidRPr="003F4E8A" w:rsidRDefault="00B83572" w:rsidP="003F4E8A">
      <w:pPr>
        <w:rPr>
          <w:sz w:val="22"/>
          <w:szCs w:val="22"/>
        </w:rPr>
      </w:pPr>
    </w:p>
    <w:p w:rsidR="00B83572" w:rsidRPr="003F4E8A" w:rsidRDefault="00B83572" w:rsidP="003F4E8A">
      <w:pPr>
        <w:rPr>
          <w:sz w:val="22"/>
          <w:szCs w:val="22"/>
        </w:rPr>
      </w:pP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b/>
          <w:bCs/>
          <w:i w:val="0"/>
          <w:iCs w:val="0"/>
          <w:sz w:val="22"/>
          <w:szCs w:val="22"/>
        </w:rPr>
      </w:pPr>
      <w:r w:rsidRPr="003F4E8A">
        <w:rPr>
          <w:b/>
          <w:bCs/>
          <w:i w:val="0"/>
          <w:iCs w:val="0"/>
          <w:sz w:val="22"/>
          <w:szCs w:val="22"/>
        </w:rPr>
        <w:t>3.</w:t>
      </w:r>
      <w:r w:rsidRPr="003F4E8A">
        <w:rPr>
          <w:b/>
          <w:bCs/>
          <w:i w:val="0"/>
          <w:iCs w:val="0"/>
          <w:sz w:val="22"/>
          <w:szCs w:val="22"/>
        </w:rPr>
        <w:tab/>
        <w:t>LIEKOVÁ FORMA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Filmom obalená tableta.</w:t>
      </w:r>
    </w:p>
    <w:p w:rsidR="00B83572" w:rsidRPr="003F4E8A" w:rsidRDefault="00B83572" w:rsidP="003F4E8A">
      <w:pPr>
        <w:rPr>
          <w:i/>
          <w:iCs/>
          <w:sz w:val="22"/>
          <w:szCs w:val="22"/>
        </w:rPr>
      </w:pPr>
    </w:p>
    <w:p w:rsidR="00B83572" w:rsidRPr="003F4E8A" w:rsidRDefault="00B83572" w:rsidP="0039616F">
      <w:pPr>
        <w:pStyle w:val="Nadpis1"/>
        <w:keepNext w:val="0"/>
        <w:widowControl w:val="0"/>
        <w:ind w:left="1134" w:hanging="1134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Lacipil 2 mg : biele okrúhle</w:t>
      </w:r>
      <w:r w:rsidR="00A73890" w:rsidRPr="003F4E8A">
        <w:rPr>
          <w:i w:val="0"/>
          <w:iCs w:val="0"/>
          <w:sz w:val="22"/>
          <w:szCs w:val="22"/>
        </w:rPr>
        <w:t xml:space="preserve"> </w:t>
      </w:r>
      <w:r w:rsidRPr="003F4E8A">
        <w:rPr>
          <w:i w:val="0"/>
          <w:iCs w:val="0"/>
          <w:sz w:val="22"/>
          <w:szCs w:val="22"/>
        </w:rPr>
        <w:t>filmom obalené tablety</w:t>
      </w:r>
      <w:r w:rsidR="00E1024B" w:rsidRPr="003F4E8A">
        <w:rPr>
          <w:i w:val="0"/>
          <w:iCs w:val="0"/>
          <w:sz w:val="22"/>
          <w:szCs w:val="22"/>
        </w:rPr>
        <w:t>.</w:t>
      </w:r>
    </w:p>
    <w:p w:rsidR="00B83572" w:rsidRPr="003F4E8A" w:rsidRDefault="00B83572" w:rsidP="003F4E8A">
      <w:pPr>
        <w:pStyle w:val="Nadpis1"/>
        <w:keepNext w:val="0"/>
        <w:widowControl w:val="0"/>
        <w:ind w:left="1276" w:hanging="1276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Lacipil 4 mg : biele oválne bikonvexné filmom obalené tablety s deliacou ryhou na obidvoch stranách</w:t>
      </w:r>
      <w:r w:rsidR="00E1024B" w:rsidRPr="003F4E8A">
        <w:rPr>
          <w:i w:val="0"/>
          <w:iCs w:val="0"/>
          <w:sz w:val="22"/>
          <w:szCs w:val="22"/>
        </w:rPr>
        <w:t>.</w:t>
      </w:r>
    </w:p>
    <w:p w:rsidR="00B83572" w:rsidRPr="0039616F" w:rsidRDefault="00B83572" w:rsidP="0039616F">
      <w:pPr>
        <w:pStyle w:val="Nadpis1"/>
        <w:keepNext w:val="0"/>
        <w:widowControl w:val="0"/>
        <w:ind w:left="1304" w:hanging="1304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Lacipil 6 mg : biele oválne bikonvexné filmom obalené tablety</w:t>
      </w:r>
      <w:r w:rsidR="00321C54" w:rsidRPr="003F4E8A">
        <w:rPr>
          <w:i w:val="0"/>
          <w:iCs w:val="0"/>
          <w:sz w:val="22"/>
          <w:szCs w:val="22"/>
        </w:rPr>
        <w:t xml:space="preserve"> označené „GX</w:t>
      </w:r>
      <w:r w:rsidR="00465E62" w:rsidRPr="003F4E8A">
        <w:rPr>
          <w:i w:val="0"/>
          <w:iCs w:val="0"/>
          <w:sz w:val="22"/>
          <w:szCs w:val="22"/>
        </w:rPr>
        <w:t xml:space="preserve"> </w:t>
      </w:r>
      <w:r w:rsidR="00321C54" w:rsidRPr="003F4E8A">
        <w:rPr>
          <w:i w:val="0"/>
          <w:iCs w:val="0"/>
          <w:sz w:val="22"/>
          <w:szCs w:val="22"/>
        </w:rPr>
        <w:t>CX3</w:t>
      </w:r>
      <w:r w:rsidR="00A73890" w:rsidRPr="003F4E8A">
        <w:rPr>
          <w:i w:val="0"/>
          <w:iCs w:val="0"/>
          <w:sz w:val="22"/>
          <w:szCs w:val="22"/>
        </w:rPr>
        <w:t>“</w:t>
      </w:r>
      <w:r w:rsidR="00321C54" w:rsidRPr="003F4E8A">
        <w:rPr>
          <w:i w:val="0"/>
          <w:iCs w:val="0"/>
          <w:sz w:val="22"/>
          <w:szCs w:val="22"/>
        </w:rPr>
        <w:t xml:space="preserve"> na jednej strane</w:t>
      </w:r>
      <w:r w:rsidR="0039616F">
        <w:rPr>
          <w:i w:val="0"/>
          <w:iCs w:val="0"/>
          <w:sz w:val="22"/>
          <w:szCs w:val="22"/>
        </w:rPr>
        <w:t xml:space="preserve"> </w:t>
      </w:r>
      <w:r w:rsidR="00321C54" w:rsidRPr="0039616F">
        <w:rPr>
          <w:i w:val="0"/>
          <w:iCs w:val="0"/>
          <w:sz w:val="22"/>
          <w:szCs w:val="22"/>
        </w:rPr>
        <w:t>a bez označenia na druhej strane.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bCs/>
          <w:i w:val="0"/>
          <w:iCs w:val="0"/>
          <w:sz w:val="22"/>
          <w:szCs w:val="22"/>
        </w:rPr>
      </w:pPr>
    </w:p>
    <w:p w:rsidR="00FB24AD" w:rsidRPr="003F4E8A" w:rsidRDefault="00FB24AD" w:rsidP="003F4E8A">
      <w:pPr>
        <w:rPr>
          <w:sz w:val="22"/>
          <w:szCs w:val="22"/>
        </w:rPr>
      </w:pP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b/>
          <w:bCs/>
          <w:i w:val="0"/>
          <w:iCs w:val="0"/>
          <w:sz w:val="22"/>
          <w:szCs w:val="22"/>
        </w:rPr>
      </w:pPr>
      <w:r w:rsidRPr="003F4E8A">
        <w:rPr>
          <w:b/>
          <w:bCs/>
          <w:i w:val="0"/>
          <w:iCs w:val="0"/>
          <w:sz w:val="22"/>
          <w:szCs w:val="22"/>
        </w:rPr>
        <w:t>4.</w:t>
      </w:r>
      <w:r w:rsidRPr="003F4E8A">
        <w:rPr>
          <w:b/>
          <w:bCs/>
          <w:i w:val="0"/>
          <w:iCs w:val="0"/>
          <w:sz w:val="22"/>
          <w:szCs w:val="22"/>
        </w:rPr>
        <w:tab/>
        <w:t>KLINICKÉ ÚDAJE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b/>
          <w:bCs/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b/>
          <w:bCs/>
          <w:i w:val="0"/>
          <w:iCs w:val="0"/>
          <w:sz w:val="22"/>
          <w:szCs w:val="22"/>
        </w:rPr>
        <w:t>4.1</w:t>
      </w:r>
      <w:r w:rsidRPr="003F4E8A">
        <w:rPr>
          <w:b/>
          <w:bCs/>
          <w:i w:val="0"/>
          <w:iCs w:val="0"/>
          <w:sz w:val="22"/>
          <w:szCs w:val="22"/>
        </w:rPr>
        <w:tab/>
        <w:t>Terapeutické indikácie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Liečba hypertenzie buď v monoterapii, alebo v kombinácii s inými antihypertenzívami, ako betablokátory, diuretiká alebo ACE inhibítory.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b/>
          <w:bCs/>
          <w:i w:val="0"/>
          <w:iCs w:val="0"/>
          <w:sz w:val="22"/>
          <w:szCs w:val="22"/>
        </w:rPr>
      </w:pPr>
      <w:r w:rsidRPr="003F4E8A">
        <w:rPr>
          <w:b/>
          <w:bCs/>
          <w:i w:val="0"/>
          <w:iCs w:val="0"/>
          <w:sz w:val="22"/>
          <w:szCs w:val="22"/>
        </w:rPr>
        <w:t>4.2</w:t>
      </w:r>
      <w:r w:rsidRPr="003F4E8A">
        <w:rPr>
          <w:b/>
          <w:bCs/>
          <w:i w:val="0"/>
          <w:iCs w:val="0"/>
          <w:sz w:val="22"/>
          <w:szCs w:val="22"/>
        </w:rPr>
        <w:tab/>
        <w:t>Dávkovanie a spôsob podávania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Úvodná dávka je 2 mg raz denne. Uvedená dávka sa má užívať v rovnakú dennú hodinu, najlepšie ráno.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Liečbu hypertenzie je potrebné prispôsobiť závažnosti stavu a individuálnej odpovedi pacienta.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Dávkovanie možno zvyšovať na 4 mg a v prípade potreby až na 6 mg. Pri každom dávkovaní je potrebné počkať dostatočne dlhý čas na dosiahnutie maximálneho farmakologického účinku. Tento čas v praxi nemá byť kratší ako 3 </w:t>
      </w:r>
      <w:r w:rsidR="0039616F">
        <w:rPr>
          <w:i w:val="0"/>
          <w:iCs w:val="0"/>
          <w:sz w:val="22"/>
          <w:szCs w:val="22"/>
        </w:rPr>
        <w:noBreakHyphen/>
      </w:r>
      <w:r w:rsidRPr="003F4E8A">
        <w:rPr>
          <w:i w:val="0"/>
          <w:iCs w:val="0"/>
          <w:sz w:val="22"/>
          <w:szCs w:val="22"/>
        </w:rPr>
        <w:t> 4 týždne, pokiaľ klinický stav nevyžaduje rýchlejšiu úpravu dávkovania.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Liek sa má užívať v rovnakú dennú hodinu, najlepšie ráno, nalačno alebo s jedlom.</w:t>
      </w:r>
    </w:p>
    <w:p w:rsidR="00B83572" w:rsidRPr="0039616F" w:rsidRDefault="00B83572" w:rsidP="003F4E8A">
      <w:pPr>
        <w:rPr>
          <w:bCs/>
          <w:sz w:val="22"/>
          <w:szCs w:val="22"/>
        </w:rPr>
      </w:pPr>
    </w:p>
    <w:p w:rsidR="00B83572" w:rsidRPr="003F4E8A" w:rsidRDefault="00B83572" w:rsidP="003F4E8A">
      <w:pPr>
        <w:rPr>
          <w:bCs/>
          <w:sz w:val="22"/>
          <w:szCs w:val="22"/>
          <w:u w:val="single"/>
        </w:rPr>
      </w:pPr>
      <w:r w:rsidRPr="003F4E8A">
        <w:rPr>
          <w:bCs/>
          <w:sz w:val="22"/>
          <w:szCs w:val="22"/>
          <w:u w:val="single"/>
        </w:rPr>
        <w:t>Populácie</w:t>
      </w:r>
    </w:p>
    <w:p w:rsidR="00B83572" w:rsidRPr="003F4E8A" w:rsidRDefault="00B83572" w:rsidP="003F4E8A">
      <w:pPr>
        <w:rPr>
          <w:bCs/>
          <w:sz w:val="22"/>
          <w:szCs w:val="22"/>
          <w:u w:val="single"/>
        </w:rPr>
      </w:pPr>
    </w:p>
    <w:p w:rsidR="00B83572" w:rsidRPr="003F4E8A" w:rsidRDefault="007C47C6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sz w:val="22"/>
          <w:szCs w:val="22"/>
        </w:rPr>
        <w:t>Po</w:t>
      </w:r>
      <w:r>
        <w:rPr>
          <w:sz w:val="22"/>
          <w:szCs w:val="22"/>
        </w:rPr>
        <w:t>rucha</w:t>
      </w:r>
      <w:r w:rsidRPr="003F4E8A">
        <w:rPr>
          <w:sz w:val="22"/>
          <w:szCs w:val="22"/>
        </w:rPr>
        <w:t xml:space="preserve"> </w:t>
      </w:r>
      <w:r w:rsidR="00B83572" w:rsidRPr="003F4E8A">
        <w:rPr>
          <w:sz w:val="22"/>
          <w:szCs w:val="22"/>
        </w:rPr>
        <w:t>funkcie pečene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Pacienti s </w:t>
      </w:r>
      <w:r w:rsidR="007C47C6">
        <w:rPr>
          <w:i w:val="0"/>
          <w:iCs w:val="0"/>
          <w:sz w:val="22"/>
          <w:szCs w:val="22"/>
        </w:rPr>
        <w:t>ľahkou</w:t>
      </w:r>
      <w:r w:rsidR="007C47C6" w:rsidRPr="003F4E8A">
        <w:rPr>
          <w:i w:val="0"/>
          <w:iCs w:val="0"/>
          <w:sz w:val="22"/>
          <w:szCs w:val="22"/>
        </w:rPr>
        <w:t xml:space="preserve"> </w:t>
      </w:r>
      <w:r w:rsidRPr="003F4E8A">
        <w:rPr>
          <w:i w:val="0"/>
          <w:iCs w:val="0"/>
          <w:sz w:val="22"/>
          <w:szCs w:val="22"/>
        </w:rPr>
        <w:t xml:space="preserve">až stredne </w:t>
      </w:r>
      <w:r w:rsidR="006A4937" w:rsidRPr="003F4E8A">
        <w:rPr>
          <w:i w:val="0"/>
          <w:iCs w:val="0"/>
          <w:sz w:val="22"/>
          <w:szCs w:val="22"/>
        </w:rPr>
        <w:t>ťažk</w:t>
      </w:r>
      <w:r w:rsidR="007C47C6">
        <w:rPr>
          <w:i w:val="0"/>
          <w:iCs w:val="0"/>
          <w:sz w:val="22"/>
          <w:szCs w:val="22"/>
        </w:rPr>
        <w:t>ou</w:t>
      </w:r>
      <w:r w:rsidR="006A4937" w:rsidRPr="003F4E8A">
        <w:rPr>
          <w:i w:val="0"/>
          <w:iCs w:val="0"/>
          <w:sz w:val="22"/>
          <w:szCs w:val="22"/>
        </w:rPr>
        <w:t xml:space="preserve"> </w:t>
      </w:r>
      <w:r w:rsidR="007C47C6" w:rsidRPr="003F4E8A">
        <w:rPr>
          <w:i w:val="0"/>
          <w:iCs w:val="0"/>
          <w:sz w:val="22"/>
          <w:szCs w:val="22"/>
        </w:rPr>
        <w:t>po</w:t>
      </w:r>
      <w:r w:rsidR="007C47C6">
        <w:rPr>
          <w:i w:val="0"/>
          <w:iCs w:val="0"/>
          <w:sz w:val="22"/>
          <w:szCs w:val="22"/>
        </w:rPr>
        <w:t>ruchou</w:t>
      </w:r>
      <w:r w:rsidR="007C47C6" w:rsidRPr="003F4E8A">
        <w:rPr>
          <w:i w:val="0"/>
          <w:iCs w:val="0"/>
          <w:sz w:val="22"/>
          <w:szCs w:val="22"/>
        </w:rPr>
        <w:t xml:space="preserve"> </w:t>
      </w:r>
      <w:r w:rsidRPr="003F4E8A">
        <w:rPr>
          <w:i w:val="0"/>
          <w:iCs w:val="0"/>
          <w:sz w:val="22"/>
          <w:szCs w:val="22"/>
        </w:rPr>
        <w:t xml:space="preserve">funkcie pečene nevyžadujú zmenu dávkovania. Nie sú k dispozícii dostatočné údaje týkajúce sa odporúčaní pre pacientov s </w:t>
      </w:r>
      <w:r w:rsidR="006A4937" w:rsidRPr="003F4E8A">
        <w:rPr>
          <w:i w:val="0"/>
          <w:iCs w:val="0"/>
          <w:sz w:val="22"/>
          <w:szCs w:val="22"/>
        </w:rPr>
        <w:t>ťažk</w:t>
      </w:r>
      <w:r w:rsidR="00D95564">
        <w:rPr>
          <w:i w:val="0"/>
          <w:iCs w:val="0"/>
          <w:sz w:val="22"/>
          <w:szCs w:val="22"/>
        </w:rPr>
        <w:t>ou</w:t>
      </w:r>
      <w:r w:rsidR="006A4937" w:rsidRPr="003F4E8A">
        <w:rPr>
          <w:i w:val="0"/>
          <w:iCs w:val="0"/>
          <w:sz w:val="22"/>
          <w:szCs w:val="22"/>
        </w:rPr>
        <w:t xml:space="preserve"> </w:t>
      </w:r>
      <w:r w:rsidR="00D95564" w:rsidRPr="003F4E8A">
        <w:rPr>
          <w:i w:val="0"/>
          <w:iCs w:val="0"/>
          <w:sz w:val="22"/>
          <w:szCs w:val="22"/>
        </w:rPr>
        <w:t>po</w:t>
      </w:r>
      <w:r w:rsidR="00D95564">
        <w:rPr>
          <w:i w:val="0"/>
          <w:iCs w:val="0"/>
          <w:sz w:val="22"/>
          <w:szCs w:val="22"/>
        </w:rPr>
        <w:t>ruchou</w:t>
      </w:r>
      <w:r w:rsidR="00D95564" w:rsidRPr="003F4E8A">
        <w:rPr>
          <w:i w:val="0"/>
          <w:iCs w:val="0"/>
          <w:sz w:val="22"/>
          <w:szCs w:val="22"/>
        </w:rPr>
        <w:t xml:space="preserve"> </w:t>
      </w:r>
      <w:r w:rsidR="006A4937" w:rsidRPr="003F4E8A">
        <w:rPr>
          <w:i w:val="0"/>
          <w:iCs w:val="0"/>
          <w:sz w:val="22"/>
          <w:szCs w:val="22"/>
        </w:rPr>
        <w:t xml:space="preserve">funkcie </w:t>
      </w:r>
      <w:r w:rsidRPr="003F4E8A">
        <w:rPr>
          <w:i w:val="0"/>
          <w:iCs w:val="0"/>
          <w:sz w:val="22"/>
          <w:szCs w:val="22"/>
        </w:rPr>
        <w:t xml:space="preserve">pečene (pozri </w:t>
      </w:r>
      <w:r w:rsidR="004E74CF" w:rsidRPr="003F4E8A">
        <w:rPr>
          <w:i w:val="0"/>
          <w:iCs w:val="0"/>
          <w:sz w:val="22"/>
          <w:szCs w:val="22"/>
        </w:rPr>
        <w:t>časť 4.4</w:t>
      </w:r>
      <w:r w:rsidRPr="003F4E8A">
        <w:rPr>
          <w:i w:val="0"/>
          <w:iCs w:val="0"/>
          <w:sz w:val="22"/>
          <w:szCs w:val="22"/>
        </w:rPr>
        <w:t>).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</w:p>
    <w:p w:rsidR="00B83572" w:rsidRPr="003F4E8A" w:rsidRDefault="007C47C6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sz w:val="22"/>
          <w:szCs w:val="22"/>
        </w:rPr>
        <w:lastRenderedPageBreak/>
        <w:t>Po</w:t>
      </w:r>
      <w:r>
        <w:rPr>
          <w:sz w:val="22"/>
          <w:szCs w:val="22"/>
        </w:rPr>
        <w:t>rucha</w:t>
      </w:r>
      <w:r w:rsidRPr="003F4E8A">
        <w:rPr>
          <w:sz w:val="22"/>
          <w:szCs w:val="22"/>
        </w:rPr>
        <w:t xml:space="preserve"> </w:t>
      </w:r>
      <w:r w:rsidR="00B83572" w:rsidRPr="003F4E8A">
        <w:rPr>
          <w:sz w:val="22"/>
          <w:szCs w:val="22"/>
        </w:rPr>
        <w:t>funkcie obličiek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Keďže lacidipín sa nevylučuje obličkami, u pacientov s </w:t>
      </w:r>
      <w:r w:rsidR="007C47C6" w:rsidRPr="003F4E8A">
        <w:rPr>
          <w:i w:val="0"/>
          <w:iCs w:val="0"/>
          <w:sz w:val="22"/>
          <w:szCs w:val="22"/>
        </w:rPr>
        <w:t>po</w:t>
      </w:r>
      <w:r w:rsidR="007C47C6">
        <w:rPr>
          <w:i w:val="0"/>
          <w:iCs w:val="0"/>
          <w:sz w:val="22"/>
          <w:szCs w:val="22"/>
        </w:rPr>
        <w:t>ruchou</w:t>
      </w:r>
      <w:r w:rsidR="007C47C6" w:rsidRPr="003F4E8A">
        <w:rPr>
          <w:i w:val="0"/>
          <w:iCs w:val="0"/>
          <w:sz w:val="22"/>
          <w:szCs w:val="22"/>
        </w:rPr>
        <w:t xml:space="preserve"> </w:t>
      </w:r>
      <w:r w:rsidRPr="003F4E8A">
        <w:rPr>
          <w:i w:val="0"/>
          <w:iCs w:val="0"/>
          <w:sz w:val="22"/>
          <w:szCs w:val="22"/>
        </w:rPr>
        <w:t>funkcie obličiek nie je potrebná úprava dávkovania.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sz w:val="22"/>
          <w:szCs w:val="22"/>
        </w:rPr>
      </w:pPr>
      <w:r w:rsidRPr="003F4E8A">
        <w:rPr>
          <w:sz w:val="22"/>
          <w:szCs w:val="22"/>
        </w:rPr>
        <w:t>Deti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S liečbou Lacipilom u detí nie sú žiadne skúsenosti.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sz w:val="22"/>
          <w:szCs w:val="22"/>
        </w:rPr>
      </w:pPr>
      <w:r w:rsidRPr="003F4E8A">
        <w:rPr>
          <w:sz w:val="22"/>
          <w:szCs w:val="22"/>
        </w:rPr>
        <w:t>Starší pacienti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Úprava dávkovania nie je potrebná.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V liečbe je možné pokračovať dlhodobo.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jc w:val="left"/>
        <w:rPr>
          <w:b/>
          <w:bCs/>
          <w:i w:val="0"/>
          <w:iCs w:val="0"/>
          <w:sz w:val="22"/>
          <w:szCs w:val="22"/>
        </w:rPr>
      </w:pPr>
      <w:r w:rsidRPr="003F4E8A">
        <w:rPr>
          <w:b/>
          <w:bCs/>
          <w:i w:val="0"/>
          <w:iCs w:val="0"/>
          <w:sz w:val="22"/>
          <w:szCs w:val="22"/>
        </w:rPr>
        <w:t>4.3</w:t>
      </w:r>
      <w:r w:rsidRPr="003F4E8A">
        <w:rPr>
          <w:b/>
          <w:bCs/>
          <w:i w:val="0"/>
          <w:iCs w:val="0"/>
          <w:sz w:val="22"/>
          <w:szCs w:val="22"/>
        </w:rPr>
        <w:tab/>
        <w:t>Kontraindikácie</w:t>
      </w:r>
    </w:p>
    <w:p w:rsidR="00B83572" w:rsidRPr="003F4E8A" w:rsidRDefault="00B83572" w:rsidP="003F4E8A">
      <w:pPr>
        <w:pStyle w:val="Nadpis1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Precitlivenosť na lacidipín alebo na ktorúkoľvek z pomocných látok</w:t>
      </w:r>
      <w:r w:rsidR="00F248C5" w:rsidRPr="003F4E8A">
        <w:rPr>
          <w:i w:val="0"/>
          <w:iCs w:val="0"/>
          <w:sz w:val="22"/>
          <w:szCs w:val="22"/>
          <w:lang w:eastAsia="cs-CZ"/>
        </w:rPr>
        <w:t xml:space="preserve"> </w:t>
      </w:r>
      <w:r w:rsidR="00F248C5" w:rsidRPr="003F4E8A">
        <w:rPr>
          <w:i w:val="0"/>
          <w:iCs w:val="0"/>
          <w:sz w:val="22"/>
          <w:szCs w:val="22"/>
        </w:rPr>
        <w:t>uvedených v časti 6.1</w:t>
      </w:r>
      <w:r w:rsidRPr="003F4E8A">
        <w:rPr>
          <w:i w:val="0"/>
          <w:iCs w:val="0"/>
          <w:sz w:val="22"/>
          <w:szCs w:val="22"/>
        </w:rPr>
        <w:t>.</w:t>
      </w:r>
    </w:p>
    <w:p w:rsidR="00B83572" w:rsidRPr="003F4E8A" w:rsidRDefault="00B83572" w:rsidP="003F4E8A">
      <w:pPr>
        <w:rPr>
          <w:sz w:val="22"/>
          <w:szCs w:val="22"/>
        </w:rPr>
      </w:pPr>
      <w:r w:rsidRPr="003F4E8A">
        <w:rPr>
          <w:sz w:val="22"/>
          <w:szCs w:val="22"/>
        </w:rPr>
        <w:t>Podobne ako u ostatných dihydropyridínov je lacidipín kontraindikovaný u pacientov s ťažkou aortálnou stenózou.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jc w:val="left"/>
        <w:rPr>
          <w:b/>
          <w:bCs/>
          <w:i w:val="0"/>
          <w:iCs w:val="0"/>
          <w:sz w:val="22"/>
          <w:szCs w:val="22"/>
        </w:rPr>
      </w:pPr>
      <w:r w:rsidRPr="003F4E8A">
        <w:rPr>
          <w:b/>
          <w:bCs/>
          <w:i w:val="0"/>
          <w:iCs w:val="0"/>
          <w:sz w:val="22"/>
          <w:szCs w:val="22"/>
        </w:rPr>
        <w:t>4.4</w:t>
      </w:r>
      <w:r w:rsidRPr="003F4E8A">
        <w:rPr>
          <w:b/>
          <w:bCs/>
          <w:i w:val="0"/>
          <w:iCs w:val="0"/>
          <w:sz w:val="22"/>
          <w:szCs w:val="22"/>
        </w:rPr>
        <w:tab/>
        <w:t>Osobitné upozornenia a opatrenia pri používaní</w:t>
      </w:r>
    </w:p>
    <w:p w:rsidR="00B83572" w:rsidRPr="003F4E8A" w:rsidRDefault="00B83572" w:rsidP="003F4E8A">
      <w:pPr>
        <w:pStyle w:val="Nadpis1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Cielené štúdie nedokázali, že lacidipín ovplyvňuje spontánnu aktivitu sinoatriálneho (SA) uzla, ani predĺženie vedenia v atrioventrikulárnom (AV) uzle. Je však potrebné upozorniť na teoretickú možnosť ovplyvnenia funkcie SA a AV uzla blokátormi vápnikových kanálov, preto je u pacientov s existujúcimi abnormalitami činnosti SA a AV uzla pri použití Lacipilu potrebná opatrnosť.</w:t>
      </w:r>
    </w:p>
    <w:p w:rsidR="00B83572" w:rsidRPr="003F4E8A" w:rsidRDefault="00B83572" w:rsidP="0036323B">
      <w:pPr>
        <w:pStyle w:val="Nadpis1"/>
        <w:keepNext w:val="0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rPr>
          <w:sz w:val="22"/>
          <w:szCs w:val="22"/>
        </w:rPr>
      </w:pPr>
      <w:r w:rsidRPr="003F4E8A">
        <w:rPr>
          <w:sz w:val="22"/>
          <w:szCs w:val="22"/>
        </w:rPr>
        <w:t xml:space="preserve">Ako bolo zistené s ďalšími dihydropyridínovými blokátormi vápnikových kanálov, lacidipín má byť používaný s opatrnosťou u pacientov s kongenitálnym alebo získaným predĺžením QT intervalu. Lacidipín má byť používaný s opatrnosťou u pacientov liečených liekmi, o ktorých sa vie, že predlžujú QT interval, tak ako antiarytmiká triedy I a </w:t>
      </w:r>
      <w:smartTag w:uri="urn:schemas-microsoft-com:office:smarttags" w:element="stockticker">
        <w:r w:rsidRPr="003F4E8A">
          <w:rPr>
            <w:sz w:val="22"/>
            <w:szCs w:val="22"/>
          </w:rPr>
          <w:t>III</w:t>
        </w:r>
      </w:smartTag>
      <w:r w:rsidRPr="003F4E8A">
        <w:rPr>
          <w:sz w:val="22"/>
          <w:szCs w:val="22"/>
        </w:rPr>
        <w:t>, tricyklické antidepresíva, niektoré antipsychotiká, antibiotiká (napr. erytromycín) a niektoré antihistaminiká (napr. terfenadín).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Podobne ako pri iných blokátoroch vápnikových kanálov je pri použití Lacipilu u pacientov so zníženou srdcovou rezervou potrebná opatrnosť.</w:t>
      </w:r>
    </w:p>
    <w:p w:rsidR="009057E1" w:rsidRPr="003F4E8A" w:rsidRDefault="009057E1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Podobne ako in</w:t>
      </w:r>
      <w:r w:rsidR="0073102F" w:rsidRPr="003F4E8A">
        <w:rPr>
          <w:i w:val="0"/>
          <w:iCs w:val="0"/>
          <w:sz w:val="22"/>
          <w:szCs w:val="22"/>
        </w:rPr>
        <w:t>é</w:t>
      </w:r>
      <w:r w:rsidRPr="003F4E8A">
        <w:rPr>
          <w:i w:val="0"/>
          <w:iCs w:val="0"/>
          <w:sz w:val="22"/>
          <w:szCs w:val="22"/>
        </w:rPr>
        <w:t xml:space="preserve"> dihydropyridínov</w:t>
      </w:r>
      <w:r w:rsidR="0073102F" w:rsidRPr="003F4E8A">
        <w:rPr>
          <w:i w:val="0"/>
          <w:iCs w:val="0"/>
          <w:sz w:val="22"/>
          <w:szCs w:val="22"/>
        </w:rPr>
        <w:t>é</w:t>
      </w:r>
      <w:r w:rsidRPr="003F4E8A">
        <w:rPr>
          <w:i w:val="0"/>
          <w:iCs w:val="0"/>
          <w:sz w:val="22"/>
          <w:szCs w:val="22"/>
        </w:rPr>
        <w:t xml:space="preserve"> blokátor</w:t>
      </w:r>
      <w:r w:rsidR="0073102F" w:rsidRPr="003F4E8A">
        <w:rPr>
          <w:i w:val="0"/>
          <w:iCs w:val="0"/>
          <w:sz w:val="22"/>
          <w:szCs w:val="22"/>
        </w:rPr>
        <w:t>y</w:t>
      </w:r>
      <w:r w:rsidRPr="003F4E8A">
        <w:rPr>
          <w:i w:val="0"/>
          <w:iCs w:val="0"/>
          <w:sz w:val="22"/>
          <w:szCs w:val="22"/>
        </w:rPr>
        <w:t xml:space="preserve"> vápnikových kanálov</w:t>
      </w:r>
      <w:r w:rsidR="009057E1" w:rsidRPr="003F4E8A">
        <w:rPr>
          <w:i w:val="0"/>
          <w:iCs w:val="0"/>
          <w:sz w:val="22"/>
          <w:szCs w:val="22"/>
        </w:rPr>
        <w:t>,</w:t>
      </w:r>
      <w:r w:rsidRPr="003F4E8A">
        <w:rPr>
          <w:i w:val="0"/>
          <w:iCs w:val="0"/>
          <w:sz w:val="22"/>
          <w:szCs w:val="22"/>
        </w:rPr>
        <w:t xml:space="preserve"> aj Lacipil je potrebné podávať opatrne pacientom</w:t>
      </w:r>
      <w:r w:rsidR="009057E1" w:rsidRPr="003F4E8A">
        <w:rPr>
          <w:i w:val="0"/>
          <w:iCs w:val="0"/>
          <w:sz w:val="22"/>
          <w:szCs w:val="22"/>
        </w:rPr>
        <w:t>, u ktorých bola v minulosti diagnostikovaná</w:t>
      </w:r>
      <w:r w:rsidRPr="003F4E8A">
        <w:rPr>
          <w:i w:val="0"/>
          <w:iCs w:val="0"/>
          <w:sz w:val="22"/>
          <w:szCs w:val="22"/>
        </w:rPr>
        <w:t xml:space="preserve"> nestabiln</w:t>
      </w:r>
      <w:r w:rsidR="009057E1" w:rsidRPr="003F4E8A">
        <w:rPr>
          <w:i w:val="0"/>
          <w:iCs w:val="0"/>
          <w:sz w:val="22"/>
          <w:szCs w:val="22"/>
        </w:rPr>
        <w:t>á</w:t>
      </w:r>
      <w:r w:rsidRPr="003F4E8A">
        <w:rPr>
          <w:i w:val="0"/>
          <w:iCs w:val="0"/>
          <w:sz w:val="22"/>
          <w:szCs w:val="22"/>
        </w:rPr>
        <w:t xml:space="preserve"> angín</w:t>
      </w:r>
      <w:r w:rsidR="009057E1" w:rsidRPr="003F4E8A">
        <w:rPr>
          <w:i w:val="0"/>
          <w:iCs w:val="0"/>
          <w:sz w:val="22"/>
          <w:szCs w:val="22"/>
        </w:rPr>
        <w:t>a</w:t>
      </w:r>
      <w:r w:rsidRPr="003F4E8A">
        <w:rPr>
          <w:i w:val="0"/>
          <w:iCs w:val="0"/>
          <w:sz w:val="22"/>
          <w:szCs w:val="22"/>
        </w:rPr>
        <w:t xml:space="preserve"> pektoris</w:t>
      </w:r>
      <w:r w:rsidR="009057E1" w:rsidRPr="003F4E8A">
        <w:rPr>
          <w:i w:val="0"/>
          <w:iCs w:val="0"/>
          <w:sz w:val="22"/>
          <w:szCs w:val="22"/>
        </w:rPr>
        <w:t>, ako aj paciento</w:t>
      </w:r>
      <w:r w:rsidR="0073102F" w:rsidRPr="003F4E8A">
        <w:rPr>
          <w:i w:val="0"/>
          <w:iCs w:val="0"/>
          <w:sz w:val="22"/>
          <w:szCs w:val="22"/>
        </w:rPr>
        <w:t>m</w:t>
      </w:r>
      <w:r w:rsidR="009057E1" w:rsidRPr="003F4E8A">
        <w:rPr>
          <w:i w:val="0"/>
          <w:iCs w:val="0"/>
          <w:sz w:val="22"/>
          <w:szCs w:val="22"/>
        </w:rPr>
        <w:t>, u ktorých nestabilná angína pektoris vznikne počas liečby</w:t>
      </w:r>
      <w:r w:rsidRPr="003F4E8A">
        <w:rPr>
          <w:i w:val="0"/>
          <w:iCs w:val="0"/>
          <w:sz w:val="22"/>
          <w:szCs w:val="22"/>
        </w:rPr>
        <w:t>.</w:t>
      </w:r>
    </w:p>
    <w:p w:rsidR="009057E1" w:rsidRPr="003F4E8A" w:rsidRDefault="009057E1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U pacientov s čerstvým infarktom myokardu je pri podávaní Lacipilu potrebná opatrnosť.</w:t>
      </w:r>
      <w:r w:rsidR="009057E1" w:rsidRPr="003F4E8A">
        <w:rPr>
          <w:i w:val="0"/>
          <w:iCs w:val="0"/>
          <w:sz w:val="22"/>
          <w:szCs w:val="22"/>
        </w:rPr>
        <w:t xml:space="preserve"> </w:t>
      </w:r>
      <w:r w:rsidR="00F77381" w:rsidRPr="003F4E8A">
        <w:rPr>
          <w:i w:val="0"/>
          <w:iCs w:val="0"/>
          <w:sz w:val="22"/>
          <w:szCs w:val="22"/>
        </w:rPr>
        <w:t xml:space="preserve">Nepreukázalo sa, </w:t>
      </w:r>
      <w:r w:rsidR="009057E1" w:rsidRPr="003F4E8A">
        <w:rPr>
          <w:i w:val="0"/>
          <w:iCs w:val="0"/>
          <w:sz w:val="22"/>
          <w:szCs w:val="22"/>
        </w:rPr>
        <w:t xml:space="preserve">že by </w:t>
      </w:r>
      <w:r w:rsidR="0073102F" w:rsidRPr="003F4E8A">
        <w:rPr>
          <w:i w:val="0"/>
          <w:iCs w:val="0"/>
          <w:sz w:val="22"/>
          <w:szCs w:val="22"/>
        </w:rPr>
        <w:t>lacidipín</w:t>
      </w:r>
      <w:r w:rsidR="009057E1" w:rsidRPr="003F4E8A">
        <w:rPr>
          <w:i w:val="0"/>
          <w:iCs w:val="0"/>
          <w:sz w:val="22"/>
          <w:szCs w:val="22"/>
        </w:rPr>
        <w:t xml:space="preserve"> </w:t>
      </w:r>
      <w:r w:rsidR="00F77381" w:rsidRPr="003F4E8A">
        <w:rPr>
          <w:i w:val="0"/>
          <w:iCs w:val="0"/>
          <w:sz w:val="22"/>
          <w:szCs w:val="22"/>
        </w:rPr>
        <w:t>bol prospešný pri</w:t>
      </w:r>
      <w:r w:rsidR="009057E1" w:rsidRPr="003F4E8A">
        <w:rPr>
          <w:i w:val="0"/>
          <w:iCs w:val="0"/>
          <w:sz w:val="22"/>
          <w:szCs w:val="22"/>
        </w:rPr>
        <w:t xml:space="preserve"> sekundárn</w:t>
      </w:r>
      <w:r w:rsidR="00F77381" w:rsidRPr="003F4E8A">
        <w:rPr>
          <w:i w:val="0"/>
          <w:iCs w:val="0"/>
          <w:sz w:val="22"/>
          <w:szCs w:val="22"/>
        </w:rPr>
        <w:t>ej</w:t>
      </w:r>
      <w:r w:rsidR="009057E1" w:rsidRPr="003F4E8A">
        <w:rPr>
          <w:i w:val="0"/>
          <w:iCs w:val="0"/>
          <w:sz w:val="22"/>
          <w:szCs w:val="22"/>
        </w:rPr>
        <w:t xml:space="preserve"> prevenci</w:t>
      </w:r>
      <w:r w:rsidR="00F77381" w:rsidRPr="003F4E8A">
        <w:rPr>
          <w:i w:val="0"/>
          <w:iCs w:val="0"/>
          <w:sz w:val="22"/>
          <w:szCs w:val="22"/>
        </w:rPr>
        <w:t>i</w:t>
      </w:r>
      <w:r w:rsidR="009057E1" w:rsidRPr="003F4E8A">
        <w:rPr>
          <w:i w:val="0"/>
          <w:iCs w:val="0"/>
          <w:sz w:val="22"/>
          <w:szCs w:val="22"/>
        </w:rPr>
        <w:t xml:space="preserve"> infarktu myokardu.</w:t>
      </w:r>
    </w:p>
    <w:p w:rsidR="009057E1" w:rsidRPr="003F4E8A" w:rsidRDefault="009057E1" w:rsidP="003F4E8A">
      <w:pPr>
        <w:rPr>
          <w:sz w:val="22"/>
          <w:szCs w:val="22"/>
        </w:rPr>
      </w:pPr>
    </w:p>
    <w:p w:rsidR="009057E1" w:rsidRPr="003F4E8A" w:rsidRDefault="009057E1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 xml:space="preserve">Účinnosť a bezpečnosť </w:t>
      </w:r>
      <w:r w:rsidR="0073102F" w:rsidRPr="003F4E8A">
        <w:rPr>
          <w:i w:val="0"/>
          <w:iCs w:val="0"/>
          <w:sz w:val="22"/>
          <w:szCs w:val="22"/>
        </w:rPr>
        <w:t>lacidipínu</w:t>
      </w:r>
      <w:r w:rsidR="00576615" w:rsidRPr="003F4E8A">
        <w:rPr>
          <w:i w:val="0"/>
          <w:iCs w:val="0"/>
          <w:sz w:val="22"/>
          <w:szCs w:val="22"/>
        </w:rPr>
        <w:t xml:space="preserve"> </w:t>
      </w:r>
      <w:r w:rsidR="00F77381" w:rsidRPr="003F4E8A">
        <w:rPr>
          <w:i w:val="0"/>
          <w:iCs w:val="0"/>
          <w:sz w:val="22"/>
          <w:szCs w:val="22"/>
        </w:rPr>
        <w:t>v</w:t>
      </w:r>
      <w:r w:rsidR="00576615" w:rsidRPr="003F4E8A">
        <w:rPr>
          <w:i w:val="0"/>
          <w:iCs w:val="0"/>
          <w:sz w:val="22"/>
          <w:szCs w:val="22"/>
        </w:rPr>
        <w:t xml:space="preserve"> liečbe malígnej hypertenzie nebol</w:t>
      </w:r>
      <w:r w:rsidR="00F77381" w:rsidRPr="003F4E8A">
        <w:rPr>
          <w:i w:val="0"/>
          <w:iCs w:val="0"/>
          <w:sz w:val="22"/>
          <w:szCs w:val="22"/>
        </w:rPr>
        <w:t>i</w:t>
      </w:r>
      <w:r w:rsidR="00576615" w:rsidRPr="003F4E8A">
        <w:rPr>
          <w:i w:val="0"/>
          <w:iCs w:val="0"/>
          <w:sz w:val="22"/>
          <w:szCs w:val="22"/>
        </w:rPr>
        <w:t xml:space="preserve"> stanoven</w:t>
      </w:r>
      <w:r w:rsidR="00F77381" w:rsidRPr="003F4E8A">
        <w:rPr>
          <w:i w:val="0"/>
          <w:iCs w:val="0"/>
          <w:sz w:val="22"/>
          <w:szCs w:val="22"/>
        </w:rPr>
        <w:t>é</w:t>
      </w:r>
      <w:r w:rsidR="00576615" w:rsidRPr="003F4E8A">
        <w:rPr>
          <w:i w:val="0"/>
          <w:iCs w:val="0"/>
          <w:sz w:val="22"/>
          <w:szCs w:val="22"/>
        </w:rPr>
        <w:t>.</w:t>
      </w:r>
    </w:p>
    <w:p w:rsidR="009057E1" w:rsidRPr="003F4E8A" w:rsidRDefault="009057E1" w:rsidP="003F4E8A">
      <w:pPr>
        <w:rPr>
          <w:sz w:val="22"/>
          <w:szCs w:val="22"/>
        </w:rPr>
      </w:pP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Vzhľadom na možné zvýšenie antihypertenzného účinku je pri podávaní Lacipilu pacientom s </w:t>
      </w:r>
      <w:r w:rsidR="0061750C" w:rsidRPr="003F4E8A">
        <w:rPr>
          <w:i w:val="0"/>
          <w:iCs w:val="0"/>
          <w:sz w:val="22"/>
          <w:szCs w:val="22"/>
        </w:rPr>
        <w:t>po</w:t>
      </w:r>
      <w:r w:rsidR="0061750C">
        <w:rPr>
          <w:i w:val="0"/>
          <w:iCs w:val="0"/>
          <w:sz w:val="22"/>
          <w:szCs w:val="22"/>
        </w:rPr>
        <w:t>ruchou</w:t>
      </w:r>
      <w:r w:rsidR="0061750C" w:rsidRPr="003F4E8A">
        <w:rPr>
          <w:i w:val="0"/>
          <w:iCs w:val="0"/>
          <w:sz w:val="22"/>
          <w:szCs w:val="22"/>
        </w:rPr>
        <w:t xml:space="preserve"> </w:t>
      </w:r>
      <w:r w:rsidRPr="003F4E8A">
        <w:rPr>
          <w:i w:val="0"/>
          <w:iCs w:val="0"/>
          <w:sz w:val="22"/>
          <w:szCs w:val="22"/>
        </w:rPr>
        <w:t>funkci</w:t>
      </w:r>
      <w:r w:rsidR="0061750C">
        <w:rPr>
          <w:i w:val="0"/>
          <w:iCs w:val="0"/>
          <w:sz w:val="22"/>
          <w:szCs w:val="22"/>
        </w:rPr>
        <w:t>e</w:t>
      </w:r>
      <w:r w:rsidRPr="003F4E8A">
        <w:rPr>
          <w:i w:val="0"/>
          <w:iCs w:val="0"/>
          <w:sz w:val="22"/>
          <w:szCs w:val="22"/>
        </w:rPr>
        <w:t xml:space="preserve"> pečene potrebná opatrnosť.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sz w:val="22"/>
          <w:szCs w:val="22"/>
        </w:rPr>
      </w:pPr>
    </w:p>
    <w:p w:rsidR="00B83572" w:rsidRPr="003F4E8A" w:rsidRDefault="00B83572" w:rsidP="003F4E8A">
      <w:pPr>
        <w:rPr>
          <w:sz w:val="22"/>
          <w:szCs w:val="22"/>
        </w:rPr>
      </w:pPr>
      <w:r w:rsidRPr="003F4E8A">
        <w:rPr>
          <w:sz w:val="22"/>
          <w:szCs w:val="22"/>
        </w:rPr>
        <w:t>Liek obsahuje laktózu. Pacienti so zriedkavými dedičnými problémami galaktózovej intolerancie, laponského deficitu laktázy alebo glukózo</w:t>
      </w:r>
      <w:r w:rsidR="0036323B">
        <w:rPr>
          <w:sz w:val="22"/>
          <w:szCs w:val="22"/>
        </w:rPr>
        <w:noBreakHyphen/>
      </w:r>
      <w:r w:rsidRPr="003F4E8A">
        <w:rPr>
          <w:sz w:val="22"/>
          <w:szCs w:val="22"/>
        </w:rPr>
        <w:t>galaktózovej malabsorpcie nesmú užívať tento liek.</w:t>
      </w:r>
    </w:p>
    <w:p w:rsidR="00B83572" w:rsidRPr="003F4E8A" w:rsidRDefault="00B83572" w:rsidP="003F4E8A">
      <w:pPr>
        <w:rPr>
          <w:sz w:val="22"/>
          <w:szCs w:val="22"/>
        </w:rPr>
      </w:pP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b/>
          <w:bCs/>
          <w:i w:val="0"/>
          <w:iCs w:val="0"/>
          <w:sz w:val="22"/>
          <w:szCs w:val="22"/>
        </w:rPr>
      </w:pPr>
      <w:r w:rsidRPr="003F4E8A">
        <w:rPr>
          <w:b/>
          <w:bCs/>
          <w:i w:val="0"/>
          <w:iCs w:val="0"/>
          <w:sz w:val="22"/>
          <w:szCs w:val="22"/>
        </w:rPr>
        <w:t>4.5</w:t>
      </w:r>
      <w:r w:rsidRPr="003F4E8A">
        <w:rPr>
          <w:b/>
          <w:bCs/>
          <w:i w:val="0"/>
          <w:iCs w:val="0"/>
          <w:sz w:val="22"/>
          <w:szCs w:val="22"/>
        </w:rPr>
        <w:tab/>
        <w:t>Liekové a iné interakcie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Súčasné podávanie Lacipilu s inými látkami, ktorých hypotenzný účinok je známy, zahŕňajúcimi antihypertenzíva (napr. s diuretikami, beta</w:t>
      </w:r>
      <w:r w:rsidRPr="003F4E8A">
        <w:rPr>
          <w:i w:val="0"/>
          <w:iCs w:val="0"/>
          <w:sz w:val="22"/>
          <w:szCs w:val="22"/>
        </w:rPr>
        <w:noBreakHyphen/>
        <w:t>blokátormi alebo ACE inhibítormi), môže mať aditívny hypotenzný účinok.</w:t>
      </w:r>
      <w:r w:rsidR="00576615" w:rsidRPr="003F4E8A">
        <w:rPr>
          <w:i w:val="0"/>
          <w:iCs w:val="0"/>
          <w:sz w:val="22"/>
          <w:szCs w:val="22"/>
        </w:rPr>
        <w:t xml:space="preserve"> </w:t>
      </w:r>
      <w:r w:rsidRPr="003F4E8A">
        <w:rPr>
          <w:i w:val="0"/>
          <w:iCs w:val="0"/>
          <w:sz w:val="22"/>
          <w:szCs w:val="22"/>
        </w:rPr>
        <w:t>V štúdiách s bežne používanými antihypertenzívami</w:t>
      </w:r>
      <w:r w:rsidR="0073102F" w:rsidRPr="003F4E8A">
        <w:rPr>
          <w:i w:val="0"/>
          <w:iCs w:val="0"/>
          <w:sz w:val="22"/>
          <w:szCs w:val="22"/>
        </w:rPr>
        <w:t xml:space="preserve"> (</w:t>
      </w:r>
      <w:r w:rsidRPr="003F4E8A">
        <w:rPr>
          <w:i w:val="0"/>
          <w:iCs w:val="0"/>
          <w:sz w:val="22"/>
          <w:szCs w:val="22"/>
        </w:rPr>
        <w:t>ako beta</w:t>
      </w:r>
      <w:r w:rsidRPr="003F4E8A">
        <w:rPr>
          <w:i w:val="0"/>
          <w:iCs w:val="0"/>
          <w:sz w:val="22"/>
          <w:szCs w:val="22"/>
        </w:rPr>
        <w:noBreakHyphen/>
        <w:t>blokátory a</w:t>
      </w:r>
      <w:r w:rsidR="0073102F" w:rsidRPr="003F4E8A">
        <w:rPr>
          <w:i w:val="0"/>
          <w:iCs w:val="0"/>
          <w:sz w:val="22"/>
          <w:szCs w:val="22"/>
        </w:rPr>
        <w:t> </w:t>
      </w:r>
      <w:r w:rsidRPr="003F4E8A">
        <w:rPr>
          <w:i w:val="0"/>
          <w:iCs w:val="0"/>
          <w:sz w:val="22"/>
          <w:szCs w:val="22"/>
        </w:rPr>
        <w:t>diuretiká</w:t>
      </w:r>
      <w:r w:rsidR="0073102F" w:rsidRPr="003F4E8A">
        <w:rPr>
          <w:i w:val="0"/>
          <w:iCs w:val="0"/>
          <w:sz w:val="22"/>
          <w:szCs w:val="22"/>
        </w:rPr>
        <w:t>)</w:t>
      </w:r>
      <w:r w:rsidRPr="003F4E8A">
        <w:rPr>
          <w:i w:val="0"/>
          <w:iCs w:val="0"/>
          <w:sz w:val="22"/>
          <w:szCs w:val="22"/>
        </w:rPr>
        <w:t>, ďalej s digoxínom, tolbutamidom a warfarínom neboli dokázané žiadne zvláštne interakcie.</w:t>
      </w:r>
    </w:p>
    <w:p w:rsidR="00576615" w:rsidRPr="003F4E8A" w:rsidRDefault="00576615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</w:p>
    <w:p w:rsidR="00576615" w:rsidRPr="003F4E8A" w:rsidRDefault="00576615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Súčasné podávanie cimetidínu môže zvyšovať plazmatické hladiny lacidipínu.</w:t>
      </w:r>
    </w:p>
    <w:p w:rsidR="00576615" w:rsidRPr="003F4E8A" w:rsidRDefault="00576615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</w:p>
    <w:p w:rsidR="00576615" w:rsidRPr="003F4E8A" w:rsidRDefault="00576615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Lacidipín sa silne viaže na plazmatické bielkoviny (&gt; 95 %) albumín a alfa</w:t>
      </w:r>
      <w:r w:rsidRPr="003F4E8A">
        <w:rPr>
          <w:i w:val="0"/>
          <w:iCs w:val="0"/>
          <w:sz w:val="22"/>
          <w:szCs w:val="22"/>
        </w:rPr>
        <w:noBreakHyphen/>
        <w:t>1</w:t>
      </w:r>
      <w:r w:rsidRPr="003F4E8A">
        <w:rPr>
          <w:i w:val="0"/>
          <w:iCs w:val="0"/>
          <w:sz w:val="22"/>
          <w:szCs w:val="22"/>
        </w:rPr>
        <w:noBreakHyphen/>
        <w:t>glykoproteín.</w:t>
      </w:r>
    </w:p>
    <w:p w:rsidR="00576615" w:rsidRPr="003F4E8A" w:rsidRDefault="00576615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Podobne ako ostatné dihydropyridíny, ani Lacipil sa nemá užívať spolu s grapefruitovým džúsom, ktorý môže meniť biologickú dostupnosť lieku.</w:t>
      </w:r>
    </w:p>
    <w:p w:rsidR="00576615" w:rsidRPr="003F4E8A" w:rsidRDefault="00576615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V klinických štúdiách u pacientov po transplantácii obličky liečených cyklosporínom lacidipín zlepšoval cyklosporínom indukované zníženie renálneho plazmatického prietoku a glomerulárnej filtrácie.</w:t>
      </w:r>
    </w:p>
    <w:p w:rsidR="00576615" w:rsidRPr="003F4E8A" w:rsidRDefault="00576615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 xml:space="preserve">Je známe, že lacidipín je metabolizovaný cytochrómom CYP3A4 a z tohto dovôdu môžu súčasne podávané významné inhibítory a induktory CYP3A4 </w:t>
      </w:r>
      <w:r w:rsidR="00576615" w:rsidRPr="003F4E8A">
        <w:rPr>
          <w:i w:val="0"/>
          <w:iCs w:val="0"/>
          <w:sz w:val="22"/>
          <w:szCs w:val="22"/>
        </w:rPr>
        <w:t xml:space="preserve">(napr. rifampicín, itrakonazol) </w:t>
      </w:r>
      <w:r w:rsidRPr="003F4E8A">
        <w:rPr>
          <w:i w:val="0"/>
          <w:iCs w:val="0"/>
          <w:sz w:val="22"/>
          <w:szCs w:val="22"/>
        </w:rPr>
        <w:t>interagovať s metabolizmom a elimináciou lacidipínu.</w:t>
      </w:r>
    </w:p>
    <w:p w:rsidR="00576615" w:rsidRPr="003F4E8A" w:rsidRDefault="00576615" w:rsidP="003F4E8A">
      <w:pPr>
        <w:rPr>
          <w:sz w:val="22"/>
          <w:szCs w:val="22"/>
        </w:rPr>
      </w:pPr>
    </w:p>
    <w:p w:rsidR="00576615" w:rsidRPr="003F4E8A" w:rsidRDefault="00576615" w:rsidP="003F4E8A">
      <w:pPr>
        <w:rPr>
          <w:sz w:val="22"/>
          <w:szCs w:val="22"/>
        </w:rPr>
      </w:pPr>
      <w:r w:rsidRPr="003F4E8A">
        <w:rPr>
          <w:sz w:val="22"/>
          <w:szCs w:val="22"/>
        </w:rPr>
        <w:t>Súbežné použitie lacidipínu a kortikoidov alebo tetrakosaktidu môže znížiť antihypertenzný účinok.</w:t>
      </w:r>
    </w:p>
    <w:p w:rsidR="00576615" w:rsidRPr="003F4E8A" w:rsidRDefault="00576615" w:rsidP="003F4E8A">
      <w:pPr>
        <w:rPr>
          <w:sz w:val="22"/>
          <w:szCs w:val="22"/>
        </w:rPr>
      </w:pP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b/>
          <w:bCs/>
          <w:i w:val="0"/>
          <w:iCs w:val="0"/>
          <w:sz w:val="22"/>
          <w:szCs w:val="22"/>
        </w:rPr>
      </w:pPr>
      <w:r w:rsidRPr="003F4E8A">
        <w:rPr>
          <w:b/>
          <w:bCs/>
          <w:i w:val="0"/>
          <w:iCs w:val="0"/>
          <w:sz w:val="22"/>
          <w:szCs w:val="22"/>
        </w:rPr>
        <w:t>4.6</w:t>
      </w:r>
      <w:r w:rsidRPr="003F4E8A">
        <w:rPr>
          <w:b/>
          <w:bCs/>
          <w:i w:val="0"/>
          <w:iCs w:val="0"/>
          <w:sz w:val="22"/>
          <w:szCs w:val="22"/>
        </w:rPr>
        <w:tab/>
      </w:r>
      <w:r w:rsidR="00576615" w:rsidRPr="003F4E8A">
        <w:rPr>
          <w:b/>
          <w:bCs/>
          <w:i w:val="0"/>
          <w:iCs w:val="0"/>
          <w:sz w:val="22"/>
          <w:szCs w:val="22"/>
        </w:rPr>
        <w:t>Fertilita, g</w:t>
      </w:r>
      <w:r w:rsidRPr="003F4E8A">
        <w:rPr>
          <w:b/>
          <w:bCs/>
          <w:i w:val="0"/>
          <w:iCs w:val="0"/>
          <w:sz w:val="22"/>
          <w:szCs w:val="22"/>
        </w:rPr>
        <w:t>ravidita a laktácia</w:t>
      </w:r>
    </w:p>
    <w:p w:rsidR="00576615" w:rsidRPr="003F4E8A" w:rsidRDefault="00576615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Nie sú k dispozícii údaje o bezpečnosti lacidipínu u gravidných žien.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</w:p>
    <w:p w:rsidR="00F77381" w:rsidRPr="003F4E8A" w:rsidRDefault="00B83572" w:rsidP="003F4E8A">
      <w:pPr>
        <w:pStyle w:val="Nadpis1"/>
        <w:keepLines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Štúdie na zvieratách nedokázali žiadny teratogénny účinok alebo poruchu vývoja (pozri časť 5.3).</w:t>
      </w:r>
    </w:p>
    <w:p w:rsidR="00B83572" w:rsidRPr="003F4E8A" w:rsidRDefault="00B83572" w:rsidP="003F4E8A">
      <w:pPr>
        <w:pStyle w:val="Nadpis1"/>
        <w:keepLines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Štúdie materského mlieka u zvierat ukázali, že lacidipín (alebo jeho metabolity) sa pravdepodobne vylučuje do materského mlieka.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Lacidipín sa smie počas gravidity alebo laktácie používať, len keď prínos pre matku prevyšuje možnosť vzniku nežiaducich účinkov u</w:t>
      </w:r>
      <w:r w:rsidR="00A22990" w:rsidRPr="003F4E8A">
        <w:rPr>
          <w:i w:val="0"/>
          <w:iCs w:val="0"/>
          <w:sz w:val="22"/>
          <w:szCs w:val="22"/>
        </w:rPr>
        <w:t> plodu alebo dojčeného dieťaťa</w:t>
      </w:r>
      <w:r w:rsidRPr="003F4E8A">
        <w:rPr>
          <w:i w:val="0"/>
          <w:iCs w:val="0"/>
          <w:sz w:val="22"/>
          <w:szCs w:val="22"/>
        </w:rPr>
        <w:t>.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 xml:space="preserve">Je potrebné zvážiť možnosť, že </w:t>
      </w:r>
      <w:r w:rsidR="00EE3BBF" w:rsidRPr="003F4E8A">
        <w:rPr>
          <w:i w:val="0"/>
          <w:iCs w:val="0"/>
          <w:sz w:val="22"/>
          <w:szCs w:val="22"/>
        </w:rPr>
        <w:t>lacidipín</w:t>
      </w:r>
      <w:r w:rsidRPr="003F4E8A">
        <w:rPr>
          <w:i w:val="0"/>
          <w:iCs w:val="0"/>
          <w:sz w:val="22"/>
          <w:szCs w:val="22"/>
        </w:rPr>
        <w:t xml:space="preserve"> môže v termíne pôrodu spôsobiť relaxáciu svalstva maternice (pozri časť 5.3).</w:t>
      </w:r>
    </w:p>
    <w:p w:rsidR="00F77381" w:rsidRPr="003F4E8A" w:rsidRDefault="00F77381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jc w:val="left"/>
        <w:rPr>
          <w:b/>
          <w:bCs/>
          <w:i w:val="0"/>
          <w:iCs w:val="0"/>
          <w:sz w:val="22"/>
          <w:szCs w:val="22"/>
        </w:rPr>
      </w:pPr>
      <w:r w:rsidRPr="003F4E8A">
        <w:rPr>
          <w:b/>
          <w:bCs/>
          <w:i w:val="0"/>
          <w:iCs w:val="0"/>
          <w:sz w:val="22"/>
          <w:szCs w:val="22"/>
        </w:rPr>
        <w:t>4.7</w:t>
      </w:r>
      <w:r w:rsidRPr="003F4E8A">
        <w:rPr>
          <w:b/>
          <w:bCs/>
          <w:i w:val="0"/>
          <w:iCs w:val="0"/>
          <w:sz w:val="22"/>
          <w:szCs w:val="22"/>
        </w:rPr>
        <w:tab/>
        <w:t>Ovplyvnenie schopnosti viesť vozidlá a obsluhovať stroje</w:t>
      </w:r>
    </w:p>
    <w:p w:rsidR="00B83572" w:rsidRPr="003F4E8A" w:rsidRDefault="00B83572" w:rsidP="003F4E8A">
      <w:pPr>
        <w:pStyle w:val="Nadpis1"/>
        <w:jc w:val="left"/>
        <w:rPr>
          <w:i w:val="0"/>
          <w:iCs w:val="0"/>
          <w:sz w:val="22"/>
          <w:szCs w:val="22"/>
        </w:rPr>
      </w:pPr>
    </w:p>
    <w:p w:rsidR="00B83572" w:rsidRPr="003F4E8A" w:rsidRDefault="00F77381" w:rsidP="003F4E8A">
      <w:pPr>
        <w:pStyle w:val="Nadpis1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Laci</w:t>
      </w:r>
      <w:r w:rsidR="00C41C38" w:rsidRPr="003F4E8A">
        <w:rPr>
          <w:i w:val="0"/>
          <w:iCs w:val="0"/>
          <w:sz w:val="22"/>
          <w:szCs w:val="22"/>
        </w:rPr>
        <w:t>dipín</w:t>
      </w:r>
      <w:r w:rsidRPr="003F4E8A">
        <w:rPr>
          <w:i w:val="0"/>
          <w:iCs w:val="0"/>
          <w:sz w:val="22"/>
          <w:szCs w:val="22"/>
        </w:rPr>
        <w:t xml:space="preserve"> môže spôsobovať závraty. Pacientov treba upozorniť, aby neviedli vozidlá alebo neobsluhovali stroje, ak sa u nich vyskytnú závraty alebo podobné príznaky.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jc w:val="left"/>
        <w:rPr>
          <w:b/>
          <w:bCs/>
          <w:i w:val="0"/>
          <w:iCs w:val="0"/>
          <w:sz w:val="22"/>
          <w:szCs w:val="22"/>
        </w:rPr>
      </w:pPr>
      <w:r w:rsidRPr="003F4E8A">
        <w:rPr>
          <w:b/>
          <w:bCs/>
          <w:i w:val="0"/>
          <w:iCs w:val="0"/>
          <w:sz w:val="22"/>
          <w:szCs w:val="22"/>
        </w:rPr>
        <w:t>4.8</w:t>
      </w:r>
      <w:r w:rsidRPr="003F4E8A">
        <w:rPr>
          <w:b/>
          <w:bCs/>
          <w:i w:val="0"/>
          <w:iCs w:val="0"/>
          <w:sz w:val="22"/>
          <w:szCs w:val="22"/>
        </w:rPr>
        <w:tab/>
        <w:t>Nežiaduce účinky</w:t>
      </w:r>
    </w:p>
    <w:p w:rsidR="00B83572" w:rsidRPr="003F4E8A" w:rsidRDefault="00B83572" w:rsidP="003F4E8A">
      <w:pPr>
        <w:rPr>
          <w:sz w:val="22"/>
          <w:szCs w:val="22"/>
        </w:rPr>
      </w:pPr>
    </w:p>
    <w:p w:rsidR="00B83572" w:rsidRPr="003F4E8A" w:rsidRDefault="00B83572" w:rsidP="003F4E8A">
      <w:pPr>
        <w:rPr>
          <w:sz w:val="22"/>
          <w:szCs w:val="22"/>
        </w:rPr>
      </w:pPr>
      <w:r w:rsidRPr="003F4E8A">
        <w:rPr>
          <w:sz w:val="22"/>
          <w:szCs w:val="22"/>
        </w:rPr>
        <w:t>Na určenie frekvencie veľmi častých až menej častých nežiaducich účinkov boli použité údaje z veľkých klinických štúdií (interných a publikovaných).</w:t>
      </w:r>
    </w:p>
    <w:p w:rsidR="00B83572" w:rsidRPr="003F4E8A" w:rsidRDefault="00B83572" w:rsidP="003F4E8A">
      <w:pPr>
        <w:rPr>
          <w:sz w:val="22"/>
          <w:szCs w:val="22"/>
        </w:rPr>
      </w:pPr>
    </w:p>
    <w:p w:rsidR="00B83572" w:rsidRPr="003F4E8A" w:rsidRDefault="00B83572" w:rsidP="003F4E8A">
      <w:pPr>
        <w:rPr>
          <w:sz w:val="22"/>
          <w:szCs w:val="22"/>
        </w:rPr>
      </w:pPr>
      <w:r w:rsidRPr="003F4E8A">
        <w:rPr>
          <w:sz w:val="22"/>
          <w:szCs w:val="22"/>
        </w:rPr>
        <w:t>Pri klasifikácii frekvencie sa použilo nasledujúce pravidlo: veľmi časté ≥</w:t>
      </w:r>
      <w:r w:rsidR="00FD2130" w:rsidRPr="003F4E8A">
        <w:rPr>
          <w:sz w:val="22"/>
          <w:szCs w:val="22"/>
        </w:rPr>
        <w:t> </w:t>
      </w:r>
      <w:r w:rsidRPr="003F4E8A">
        <w:rPr>
          <w:sz w:val="22"/>
          <w:szCs w:val="22"/>
        </w:rPr>
        <w:t>1/10, časté ≥</w:t>
      </w:r>
      <w:r w:rsidR="00FD2130" w:rsidRPr="003F4E8A">
        <w:rPr>
          <w:sz w:val="22"/>
          <w:szCs w:val="22"/>
        </w:rPr>
        <w:t> </w:t>
      </w:r>
      <w:r w:rsidRPr="003F4E8A">
        <w:rPr>
          <w:sz w:val="22"/>
          <w:szCs w:val="22"/>
        </w:rPr>
        <w:t>1/100 až &lt;</w:t>
      </w:r>
      <w:r w:rsidR="00FD2130" w:rsidRPr="003F4E8A">
        <w:rPr>
          <w:sz w:val="22"/>
          <w:szCs w:val="22"/>
        </w:rPr>
        <w:t> </w:t>
      </w:r>
      <w:r w:rsidRPr="003F4E8A">
        <w:rPr>
          <w:sz w:val="22"/>
          <w:szCs w:val="22"/>
        </w:rPr>
        <w:t>1/10, menej časté ≥</w:t>
      </w:r>
      <w:r w:rsidR="00FD2130" w:rsidRPr="003F4E8A">
        <w:rPr>
          <w:sz w:val="22"/>
          <w:szCs w:val="22"/>
        </w:rPr>
        <w:t> </w:t>
      </w:r>
      <w:r w:rsidRPr="003F4E8A">
        <w:rPr>
          <w:sz w:val="22"/>
          <w:szCs w:val="22"/>
        </w:rPr>
        <w:t>1/1 000 až &lt;</w:t>
      </w:r>
      <w:r w:rsidR="00FD2130" w:rsidRPr="003F4E8A">
        <w:rPr>
          <w:sz w:val="22"/>
          <w:szCs w:val="22"/>
        </w:rPr>
        <w:t> </w:t>
      </w:r>
      <w:r w:rsidRPr="003F4E8A">
        <w:rPr>
          <w:sz w:val="22"/>
          <w:szCs w:val="22"/>
        </w:rPr>
        <w:t>1/100, zriedkavé ≥</w:t>
      </w:r>
      <w:r w:rsidR="00FD2130" w:rsidRPr="003F4E8A">
        <w:rPr>
          <w:sz w:val="22"/>
          <w:szCs w:val="22"/>
        </w:rPr>
        <w:t> </w:t>
      </w:r>
      <w:r w:rsidRPr="003F4E8A">
        <w:rPr>
          <w:sz w:val="22"/>
          <w:szCs w:val="22"/>
        </w:rPr>
        <w:t>1/10 000 až &lt;</w:t>
      </w:r>
      <w:r w:rsidR="00FD2130" w:rsidRPr="003F4E8A">
        <w:rPr>
          <w:sz w:val="22"/>
          <w:szCs w:val="22"/>
        </w:rPr>
        <w:t> </w:t>
      </w:r>
      <w:r w:rsidRPr="003F4E8A">
        <w:rPr>
          <w:sz w:val="22"/>
          <w:szCs w:val="22"/>
        </w:rPr>
        <w:t>1/1 000, veľmi zriedkavé &lt;</w:t>
      </w:r>
      <w:r w:rsidR="00FD2130" w:rsidRPr="003F4E8A">
        <w:rPr>
          <w:sz w:val="22"/>
          <w:szCs w:val="22"/>
        </w:rPr>
        <w:t> </w:t>
      </w:r>
      <w:r w:rsidRPr="003F4E8A">
        <w:rPr>
          <w:sz w:val="22"/>
          <w:szCs w:val="22"/>
        </w:rPr>
        <w:t>1/10 000</w:t>
      </w:r>
      <w:r w:rsidR="00F77381" w:rsidRPr="003F4E8A">
        <w:rPr>
          <w:sz w:val="22"/>
          <w:szCs w:val="22"/>
        </w:rPr>
        <w:t>, neznáme (z dostupných údajov)</w:t>
      </w:r>
      <w:r w:rsidRPr="003F4E8A">
        <w:rPr>
          <w:sz w:val="22"/>
          <w:szCs w:val="22"/>
        </w:rPr>
        <w:t>.</w:t>
      </w:r>
    </w:p>
    <w:p w:rsidR="00B83572" w:rsidRPr="003F4E8A" w:rsidRDefault="00B83572" w:rsidP="003F4E8A">
      <w:pPr>
        <w:rPr>
          <w:sz w:val="22"/>
          <w:szCs w:val="22"/>
        </w:rPr>
      </w:pPr>
    </w:p>
    <w:p w:rsidR="00B83572" w:rsidRPr="003F4E8A" w:rsidRDefault="00B83572" w:rsidP="003F4E8A">
      <w:pPr>
        <w:rPr>
          <w:sz w:val="22"/>
          <w:szCs w:val="22"/>
        </w:rPr>
      </w:pPr>
      <w:r w:rsidRPr="003F4E8A">
        <w:rPr>
          <w:sz w:val="22"/>
          <w:szCs w:val="22"/>
        </w:rPr>
        <w:t>Lacidipín sa obvykle dobre znáša. Niektorí pacienti môžu pociťovať nevýznamné nežiaduce účinky spojené s farmakologicky vyvolanou periférnou vazodilatáciou. Takéto účinky, označené mriežkou (#), sú zvyčajne prechodné a pri pokračovaní podávania nezmenenej dávky lacidipínu zvyčajne vymiznú.</w:t>
      </w:r>
    </w:p>
    <w:p w:rsidR="00B83572" w:rsidRPr="003F4E8A" w:rsidRDefault="00B83572" w:rsidP="003F4E8A">
      <w:pPr>
        <w:rPr>
          <w:sz w:val="22"/>
          <w:szCs w:val="22"/>
        </w:rPr>
      </w:pPr>
    </w:p>
    <w:p w:rsidR="00B83572" w:rsidRPr="003F4E8A" w:rsidRDefault="00B83572" w:rsidP="003F4E8A">
      <w:pPr>
        <w:rPr>
          <w:i/>
          <w:iCs/>
          <w:sz w:val="22"/>
          <w:szCs w:val="22"/>
        </w:rPr>
      </w:pPr>
      <w:r w:rsidRPr="003F4E8A">
        <w:rPr>
          <w:i/>
          <w:iCs/>
          <w:sz w:val="22"/>
          <w:szCs w:val="22"/>
        </w:rPr>
        <w:t>Psychické poruchy</w:t>
      </w:r>
    </w:p>
    <w:p w:rsidR="00B83572" w:rsidRPr="003F4E8A" w:rsidRDefault="00B83572" w:rsidP="003F4E8A">
      <w:pPr>
        <w:rPr>
          <w:iCs/>
          <w:sz w:val="22"/>
          <w:szCs w:val="22"/>
        </w:rPr>
      </w:pPr>
      <w:r w:rsidRPr="003F4E8A">
        <w:rPr>
          <w:iCs/>
          <w:sz w:val="22"/>
          <w:szCs w:val="22"/>
        </w:rPr>
        <w:t xml:space="preserve">Veľmi </w:t>
      </w:r>
      <w:r w:rsidR="00332FE7" w:rsidRPr="003F4E8A">
        <w:rPr>
          <w:iCs/>
          <w:sz w:val="22"/>
          <w:szCs w:val="22"/>
        </w:rPr>
        <w:t>zriedkavé</w:t>
      </w:r>
      <w:r w:rsidR="00332FE7" w:rsidRPr="003F4E8A">
        <w:rPr>
          <w:iCs/>
          <w:sz w:val="22"/>
          <w:szCs w:val="22"/>
        </w:rPr>
        <w:tab/>
      </w:r>
      <w:r w:rsidR="00332FE7" w:rsidRPr="003F4E8A">
        <w:rPr>
          <w:iCs/>
          <w:sz w:val="22"/>
          <w:szCs w:val="22"/>
        </w:rPr>
        <w:tab/>
      </w:r>
      <w:r w:rsidRPr="003F4E8A">
        <w:rPr>
          <w:iCs/>
          <w:sz w:val="22"/>
          <w:szCs w:val="22"/>
        </w:rPr>
        <w:t>Depresia</w:t>
      </w:r>
    </w:p>
    <w:p w:rsidR="00B83572" w:rsidRPr="003F4E8A" w:rsidRDefault="00B83572" w:rsidP="003F4E8A">
      <w:pPr>
        <w:rPr>
          <w:sz w:val="22"/>
          <w:szCs w:val="22"/>
        </w:rPr>
      </w:pPr>
    </w:p>
    <w:p w:rsidR="00B83572" w:rsidRPr="003F4E8A" w:rsidRDefault="00B83572" w:rsidP="003F4E8A">
      <w:pPr>
        <w:rPr>
          <w:i/>
          <w:iCs/>
          <w:sz w:val="22"/>
          <w:szCs w:val="22"/>
        </w:rPr>
      </w:pPr>
      <w:r w:rsidRPr="003F4E8A">
        <w:rPr>
          <w:i/>
          <w:iCs/>
          <w:sz w:val="22"/>
          <w:szCs w:val="22"/>
        </w:rPr>
        <w:t>Poruchy nervového systému</w:t>
      </w:r>
    </w:p>
    <w:p w:rsidR="00B83572" w:rsidRPr="003F4E8A" w:rsidRDefault="00B83572" w:rsidP="003F4E8A">
      <w:pPr>
        <w:rPr>
          <w:sz w:val="22"/>
          <w:szCs w:val="22"/>
        </w:rPr>
      </w:pPr>
      <w:r w:rsidRPr="003F4E8A">
        <w:rPr>
          <w:sz w:val="22"/>
          <w:szCs w:val="22"/>
        </w:rPr>
        <w:t>Časté</w:t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  <w:t>#Bolesť hlavy, #závraty</w:t>
      </w:r>
    </w:p>
    <w:p w:rsidR="00B83572" w:rsidRPr="003F4E8A" w:rsidRDefault="00B83572" w:rsidP="003F4E8A">
      <w:pPr>
        <w:rPr>
          <w:sz w:val="22"/>
          <w:szCs w:val="22"/>
        </w:rPr>
      </w:pPr>
      <w:r w:rsidRPr="003F4E8A">
        <w:rPr>
          <w:sz w:val="22"/>
          <w:szCs w:val="22"/>
        </w:rPr>
        <w:t>Veľmi zriedkavé</w:t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  <w:t>Tremor</w:t>
      </w:r>
    </w:p>
    <w:p w:rsidR="00B83572" w:rsidRPr="003F4E8A" w:rsidRDefault="00B83572" w:rsidP="003F4E8A">
      <w:pPr>
        <w:rPr>
          <w:sz w:val="22"/>
          <w:szCs w:val="22"/>
        </w:rPr>
      </w:pPr>
    </w:p>
    <w:p w:rsidR="00B83572" w:rsidRPr="003F4E8A" w:rsidRDefault="00B83572" w:rsidP="008223F7">
      <w:pPr>
        <w:keepNext/>
        <w:keepLines/>
        <w:rPr>
          <w:i/>
          <w:iCs/>
          <w:sz w:val="22"/>
          <w:szCs w:val="22"/>
        </w:rPr>
      </w:pPr>
      <w:r w:rsidRPr="003F4E8A">
        <w:rPr>
          <w:i/>
          <w:iCs/>
          <w:sz w:val="22"/>
          <w:szCs w:val="22"/>
        </w:rPr>
        <w:lastRenderedPageBreak/>
        <w:t>Poruchy srdca a srdcovej činnosti</w:t>
      </w:r>
    </w:p>
    <w:p w:rsidR="00B83572" w:rsidRPr="003F4E8A" w:rsidRDefault="00B83572" w:rsidP="008223F7">
      <w:pPr>
        <w:keepNext/>
        <w:keepLines/>
        <w:rPr>
          <w:sz w:val="22"/>
          <w:szCs w:val="22"/>
        </w:rPr>
      </w:pPr>
      <w:r w:rsidRPr="003F4E8A">
        <w:rPr>
          <w:sz w:val="22"/>
          <w:szCs w:val="22"/>
        </w:rPr>
        <w:t>Časté</w:t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  <w:t>#Búšenie srdca, tachykardia</w:t>
      </w:r>
    </w:p>
    <w:p w:rsidR="00B83572" w:rsidRPr="003F4E8A" w:rsidRDefault="00B83572" w:rsidP="008223F7">
      <w:pPr>
        <w:keepNext/>
        <w:keepLines/>
        <w:rPr>
          <w:sz w:val="22"/>
          <w:szCs w:val="22"/>
        </w:rPr>
      </w:pPr>
      <w:r w:rsidRPr="003F4E8A">
        <w:rPr>
          <w:sz w:val="22"/>
          <w:szCs w:val="22"/>
        </w:rPr>
        <w:t>Menej časté</w:t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  <w:t>Zhoršenie existujúcej angíny pektoris, synkopa, hypotenzia</w:t>
      </w:r>
    </w:p>
    <w:p w:rsidR="00B83572" w:rsidRPr="003F4E8A" w:rsidRDefault="00B83572" w:rsidP="003F4E8A">
      <w:pPr>
        <w:rPr>
          <w:sz w:val="22"/>
          <w:szCs w:val="22"/>
        </w:rPr>
      </w:pPr>
    </w:p>
    <w:p w:rsidR="00B83572" w:rsidRPr="003F4E8A" w:rsidRDefault="00B83572" w:rsidP="003F4E8A">
      <w:pPr>
        <w:rPr>
          <w:sz w:val="22"/>
          <w:szCs w:val="22"/>
        </w:rPr>
      </w:pPr>
      <w:r w:rsidRPr="003F4E8A">
        <w:rPr>
          <w:sz w:val="22"/>
          <w:szCs w:val="22"/>
        </w:rPr>
        <w:t>Podobne ako pri ostatných dihydropyridínoch bolo u malého počtu pacientov popísané zhoršenie existujúcej angíny pektoris, obzvlášť na začiatku liečby. Uvedený účinok je pravdepodobnejší u pacientov so symptomatickou ischemickou chorobou srdca.</w:t>
      </w:r>
    </w:p>
    <w:p w:rsidR="00B83572" w:rsidRPr="003F4E8A" w:rsidRDefault="00B83572" w:rsidP="003F4E8A">
      <w:pPr>
        <w:rPr>
          <w:sz w:val="22"/>
          <w:szCs w:val="22"/>
        </w:rPr>
      </w:pPr>
    </w:p>
    <w:p w:rsidR="00B83572" w:rsidRPr="003F4E8A" w:rsidRDefault="00B83572" w:rsidP="003F4E8A">
      <w:pPr>
        <w:rPr>
          <w:i/>
          <w:iCs/>
          <w:sz w:val="22"/>
          <w:szCs w:val="22"/>
        </w:rPr>
      </w:pPr>
      <w:r w:rsidRPr="003F4E8A">
        <w:rPr>
          <w:i/>
          <w:iCs/>
          <w:sz w:val="22"/>
          <w:szCs w:val="22"/>
        </w:rPr>
        <w:t>Poruchy ciev</w:t>
      </w:r>
    </w:p>
    <w:p w:rsidR="00B83572" w:rsidRPr="003F4E8A" w:rsidRDefault="00B83572" w:rsidP="003F4E8A">
      <w:pPr>
        <w:rPr>
          <w:sz w:val="22"/>
          <w:szCs w:val="22"/>
        </w:rPr>
      </w:pPr>
      <w:r w:rsidRPr="003F4E8A">
        <w:rPr>
          <w:sz w:val="22"/>
          <w:szCs w:val="22"/>
        </w:rPr>
        <w:t>Časté</w:t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  <w:t>#Návaly tepla</w:t>
      </w:r>
    </w:p>
    <w:p w:rsidR="00B83572" w:rsidRPr="003F4E8A" w:rsidRDefault="00B83572" w:rsidP="003F4E8A">
      <w:pPr>
        <w:rPr>
          <w:sz w:val="22"/>
          <w:szCs w:val="22"/>
        </w:rPr>
      </w:pPr>
    </w:p>
    <w:p w:rsidR="00B83572" w:rsidRPr="003F4E8A" w:rsidRDefault="00B83572" w:rsidP="003F4E8A">
      <w:pPr>
        <w:rPr>
          <w:i/>
          <w:iCs/>
          <w:sz w:val="22"/>
          <w:szCs w:val="22"/>
        </w:rPr>
      </w:pPr>
      <w:r w:rsidRPr="003F4E8A">
        <w:rPr>
          <w:i/>
          <w:iCs/>
          <w:sz w:val="22"/>
          <w:szCs w:val="22"/>
        </w:rPr>
        <w:t>Poruchy gastrointestinálneho traktu</w:t>
      </w:r>
    </w:p>
    <w:p w:rsidR="00B83572" w:rsidRPr="003F4E8A" w:rsidRDefault="00B83572" w:rsidP="003F4E8A">
      <w:pPr>
        <w:rPr>
          <w:sz w:val="22"/>
          <w:szCs w:val="22"/>
        </w:rPr>
      </w:pPr>
      <w:r w:rsidRPr="003F4E8A">
        <w:rPr>
          <w:sz w:val="22"/>
          <w:szCs w:val="22"/>
        </w:rPr>
        <w:t>Časté</w:t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  <w:t>Žalúdočné ťažkosti, nevoľnosť</w:t>
      </w:r>
    </w:p>
    <w:p w:rsidR="00B83572" w:rsidRPr="003F4E8A" w:rsidRDefault="00B83572" w:rsidP="003F4E8A">
      <w:pPr>
        <w:rPr>
          <w:sz w:val="22"/>
          <w:szCs w:val="22"/>
        </w:rPr>
      </w:pPr>
      <w:r w:rsidRPr="003F4E8A">
        <w:rPr>
          <w:sz w:val="22"/>
          <w:szCs w:val="22"/>
        </w:rPr>
        <w:t>Menej časté</w:t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  <w:t>Zdurenie ďasien</w:t>
      </w:r>
    </w:p>
    <w:p w:rsidR="00B83572" w:rsidRPr="003F4E8A" w:rsidRDefault="00B83572" w:rsidP="003F4E8A">
      <w:pPr>
        <w:rPr>
          <w:sz w:val="22"/>
          <w:szCs w:val="22"/>
        </w:rPr>
      </w:pPr>
    </w:p>
    <w:p w:rsidR="00B83572" w:rsidRPr="003F4E8A" w:rsidRDefault="00B83572" w:rsidP="003F4E8A">
      <w:pPr>
        <w:keepNext/>
        <w:keepLines/>
        <w:rPr>
          <w:i/>
          <w:iCs/>
          <w:sz w:val="22"/>
          <w:szCs w:val="22"/>
        </w:rPr>
      </w:pPr>
      <w:r w:rsidRPr="003F4E8A">
        <w:rPr>
          <w:i/>
          <w:iCs/>
          <w:sz w:val="22"/>
          <w:szCs w:val="22"/>
        </w:rPr>
        <w:t>Poruchy kože a podkožného tkaniva</w:t>
      </w:r>
    </w:p>
    <w:p w:rsidR="00B83572" w:rsidRPr="003F4E8A" w:rsidRDefault="00B83572" w:rsidP="003F4E8A">
      <w:pPr>
        <w:keepNext/>
        <w:keepLines/>
        <w:rPr>
          <w:sz w:val="22"/>
          <w:szCs w:val="22"/>
        </w:rPr>
      </w:pPr>
      <w:r w:rsidRPr="003F4E8A">
        <w:rPr>
          <w:sz w:val="22"/>
          <w:szCs w:val="22"/>
        </w:rPr>
        <w:t>Časté</w:t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  <w:t>Kožná vyrážka (vrátane erytému a svrbenia)</w:t>
      </w:r>
    </w:p>
    <w:p w:rsidR="00B83572" w:rsidRPr="003F4E8A" w:rsidRDefault="00B83572" w:rsidP="003F4E8A">
      <w:pPr>
        <w:keepNext/>
        <w:keepLines/>
        <w:rPr>
          <w:sz w:val="22"/>
          <w:szCs w:val="22"/>
        </w:rPr>
      </w:pPr>
      <w:r w:rsidRPr="003F4E8A">
        <w:rPr>
          <w:sz w:val="22"/>
          <w:szCs w:val="22"/>
        </w:rPr>
        <w:t>Zriedkavé</w:t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  <w:t>Angioedém, urtikária</w:t>
      </w:r>
    </w:p>
    <w:p w:rsidR="00B83572" w:rsidRPr="003F4E8A" w:rsidRDefault="00B83572" w:rsidP="003F4E8A">
      <w:pPr>
        <w:rPr>
          <w:sz w:val="22"/>
          <w:szCs w:val="22"/>
        </w:rPr>
      </w:pPr>
    </w:p>
    <w:p w:rsidR="00B83572" w:rsidRPr="003F4E8A" w:rsidRDefault="00B83572" w:rsidP="003F4E8A">
      <w:pPr>
        <w:rPr>
          <w:i/>
          <w:iCs/>
          <w:sz w:val="22"/>
          <w:szCs w:val="22"/>
        </w:rPr>
      </w:pPr>
      <w:r w:rsidRPr="003F4E8A">
        <w:rPr>
          <w:i/>
          <w:iCs/>
          <w:sz w:val="22"/>
          <w:szCs w:val="22"/>
        </w:rPr>
        <w:t>Poruchy obličiek a močových ciest</w:t>
      </w:r>
    </w:p>
    <w:p w:rsidR="00B83572" w:rsidRPr="003F4E8A" w:rsidRDefault="00B83572" w:rsidP="003F4E8A">
      <w:pPr>
        <w:rPr>
          <w:sz w:val="22"/>
          <w:szCs w:val="22"/>
        </w:rPr>
      </w:pPr>
      <w:r w:rsidRPr="003F4E8A">
        <w:rPr>
          <w:sz w:val="22"/>
          <w:szCs w:val="22"/>
        </w:rPr>
        <w:t>Časté</w:t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  <w:t>Časté močenie</w:t>
      </w:r>
    </w:p>
    <w:p w:rsidR="00B83572" w:rsidRPr="003F4E8A" w:rsidRDefault="00B83572" w:rsidP="003F4E8A">
      <w:pPr>
        <w:rPr>
          <w:sz w:val="22"/>
          <w:szCs w:val="22"/>
        </w:rPr>
      </w:pPr>
    </w:p>
    <w:p w:rsidR="00B83572" w:rsidRPr="003F4E8A" w:rsidRDefault="00B83572" w:rsidP="003F4E8A">
      <w:pPr>
        <w:keepNext/>
        <w:rPr>
          <w:i/>
          <w:iCs/>
          <w:sz w:val="22"/>
          <w:szCs w:val="22"/>
        </w:rPr>
      </w:pPr>
      <w:r w:rsidRPr="003F4E8A">
        <w:rPr>
          <w:i/>
          <w:iCs/>
          <w:sz w:val="22"/>
          <w:szCs w:val="22"/>
        </w:rPr>
        <w:t>Celkové poruchy a reakcie v mieste podania</w:t>
      </w:r>
    </w:p>
    <w:p w:rsidR="00B83572" w:rsidRPr="003F4E8A" w:rsidRDefault="00B83572" w:rsidP="003F4E8A">
      <w:pPr>
        <w:rPr>
          <w:sz w:val="22"/>
          <w:szCs w:val="22"/>
        </w:rPr>
      </w:pPr>
      <w:r w:rsidRPr="003F4E8A">
        <w:rPr>
          <w:sz w:val="22"/>
          <w:szCs w:val="22"/>
        </w:rPr>
        <w:t>Časté</w:t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  <w:t>Slabosť, #opuch</w:t>
      </w:r>
    </w:p>
    <w:p w:rsidR="00B83572" w:rsidRPr="003F4E8A" w:rsidRDefault="00B83572" w:rsidP="003F4E8A">
      <w:pPr>
        <w:rPr>
          <w:sz w:val="22"/>
          <w:szCs w:val="22"/>
        </w:rPr>
      </w:pPr>
    </w:p>
    <w:p w:rsidR="00B83572" w:rsidRPr="003F4E8A" w:rsidRDefault="00B83572" w:rsidP="003F4E8A">
      <w:pPr>
        <w:rPr>
          <w:i/>
          <w:iCs/>
          <w:sz w:val="22"/>
          <w:szCs w:val="22"/>
        </w:rPr>
      </w:pPr>
      <w:r w:rsidRPr="003F4E8A">
        <w:rPr>
          <w:i/>
          <w:iCs/>
          <w:sz w:val="22"/>
          <w:szCs w:val="22"/>
        </w:rPr>
        <w:t>Laboratórne a funkčné vyšetrenia</w:t>
      </w:r>
    </w:p>
    <w:p w:rsidR="00B83572" w:rsidRPr="003F4E8A" w:rsidRDefault="00B83572" w:rsidP="003F4E8A">
      <w:pPr>
        <w:rPr>
          <w:sz w:val="22"/>
          <w:szCs w:val="22"/>
        </w:rPr>
      </w:pPr>
      <w:r w:rsidRPr="003F4E8A">
        <w:rPr>
          <w:sz w:val="22"/>
          <w:szCs w:val="22"/>
        </w:rPr>
        <w:t>Časté</w:t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  <w:t>Reverzibilné zvýšenie alkalickej fosfatázy (klinicky významné</w:t>
      </w:r>
    </w:p>
    <w:p w:rsidR="00B83572" w:rsidRDefault="00B83572" w:rsidP="003F4E8A">
      <w:pPr>
        <w:rPr>
          <w:sz w:val="22"/>
          <w:szCs w:val="22"/>
        </w:rPr>
      </w:pP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</w:r>
      <w:r w:rsidRPr="003F4E8A">
        <w:rPr>
          <w:sz w:val="22"/>
          <w:szCs w:val="22"/>
        </w:rPr>
        <w:tab/>
        <w:t>zvýšenia sú menej časté)</w:t>
      </w:r>
    </w:p>
    <w:p w:rsidR="006B7257" w:rsidRDefault="006B7257" w:rsidP="006B7257">
      <w:pPr>
        <w:autoSpaceDE w:val="0"/>
        <w:autoSpaceDN w:val="0"/>
        <w:adjustRightInd w:val="0"/>
        <w:rPr>
          <w:noProof/>
          <w:sz w:val="22"/>
          <w:szCs w:val="22"/>
          <w:u w:val="single"/>
        </w:rPr>
      </w:pPr>
    </w:p>
    <w:p w:rsidR="0061750C" w:rsidRPr="00C77072" w:rsidRDefault="0061750C" w:rsidP="0061750C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C77072">
        <w:rPr>
          <w:noProof/>
          <w:sz w:val="22"/>
          <w:szCs w:val="22"/>
          <w:u w:val="single"/>
        </w:rPr>
        <w:t>Hlásenie podozrení na nežiaduce reakcie</w:t>
      </w:r>
    </w:p>
    <w:p w:rsidR="0061750C" w:rsidRPr="006577CB" w:rsidRDefault="0061750C" w:rsidP="0061750C">
      <w:pPr>
        <w:suppressLineNumbers/>
        <w:autoSpaceDE w:val="0"/>
        <w:autoSpaceDN w:val="0"/>
        <w:adjustRightInd w:val="0"/>
        <w:rPr>
          <w:noProof/>
          <w:sz w:val="22"/>
          <w:szCs w:val="22"/>
        </w:rPr>
      </w:pPr>
      <w:r w:rsidRPr="00C77072">
        <w:rPr>
          <w:noProof/>
          <w:sz w:val="22"/>
          <w:szCs w:val="22"/>
        </w:rPr>
        <w:t>Hlásenie podozrení na nežiaduce reakcie po registrácii lieku je dôležité.</w:t>
      </w:r>
      <w:r w:rsidRPr="00C77072">
        <w:rPr>
          <w:sz w:val="22"/>
          <w:szCs w:val="22"/>
        </w:rPr>
        <w:t xml:space="preserve"> </w:t>
      </w:r>
      <w:r w:rsidRPr="00C77072">
        <w:rPr>
          <w:noProof/>
          <w:sz w:val="22"/>
          <w:szCs w:val="22"/>
        </w:rPr>
        <w:t>Umožňuje priebežné monitorovanie pomeru prínosu a rizika lieku.</w:t>
      </w:r>
      <w:r w:rsidRPr="00C77072">
        <w:rPr>
          <w:sz w:val="22"/>
          <w:szCs w:val="22"/>
        </w:rPr>
        <w:t xml:space="preserve"> Od </w:t>
      </w:r>
      <w:r w:rsidRPr="00C77072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>
        <w:rPr>
          <w:noProof/>
          <w:sz w:val="22"/>
          <w:szCs w:val="22"/>
        </w:rPr>
        <w:t>na</w:t>
      </w:r>
      <w:r w:rsidRPr="00C77072">
        <w:rPr>
          <w:noProof/>
          <w:sz w:val="22"/>
          <w:szCs w:val="22"/>
        </w:rPr>
        <w:t xml:space="preserve"> </w:t>
      </w:r>
      <w:r w:rsidRPr="006577CB">
        <w:rPr>
          <w:noProof/>
          <w:sz w:val="22"/>
          <w:szCs w:val="22"/>
          <w:highlight w:val="lightGray"/>
        </w:rPr>
        <w:t xml:space="preserve">národné </w:t>
      </w:r>
      <w:r>
        <w:rPr>
          <w:noProof/>
          <w:sz w:val="22"/>
          <w:szCs w:val="22"/>
          <w:highlight w:val="lightGray"/>
        </w:rPr>
        <w:t>centrum</w:t>
      </w:r>
      <w:r w:rsidRPr="006577CB">
        <w:rPr>
          <w:noProof/>
          <w:sz w:val="22"/>
          <w:szCs w:val="22"/>
          <w:highlight w:val="lightGray"/>
        </w:rPr>
        <w:t xml:space="preserve"> hlásenia uvedené v </w:t>
      </w:r>
      <w:hyperlink r:id="rId8" w:history="1">
        <w:r w:rsidRPr="006577CB">
          <w:rPr>
            <w:rStyle w:val="Hypertextovprepojenie"/>
            <w:noProof/>
            <w:sz w:val="22"/>
            <w:szCs w:val="22"/>
            <w:highlight w:val="lightGray"/>
          </w:rPr>
          <w:t>P</w:t>
        </w:r>
        <w:r w:rsidRPr="006577CB">
          <w:rPr>
            <w:rStyle w:val="Hypertextovprepojenie"/>
            <w:sz w:val="22"/>
            <w:szCs w:val="22"/>
            <w:highlight w:val="lightGray"/>
          </w:rPr>
          <w:t xml:space="preserve">rílohe </w:t>
        </w:r>
        <w:r w:rsidRPr="006577CB">
          <w:rPr>
            <w:rStyle w:val="Hypertextovprepojenie"/>
            <w:noProof/>
            <w:sz w:val="22"/>
            <w:szCs w:val="22"/>
            <w:highlight w:val="lightGray"/>
          </w:rPr>
          <w:t>V</w:t>
        </w:r>
      </w:hyperlink>
      <w:r w:rsidRPr="006577CB">
        <w:rPr>
          <w:rStyle w:val="Hypertextovprepojenie"/>
          <w:noProof/>
          <w:sz w:val="22"/>
          <w:szCs w:val="22"/>
        </w:rPr>
        <w:t>.</w:t>
      </w:r>
    </w:p>
    <w:p w:rsidR="00B83572" w:rsidRPr="002B3C41" w:rsidRDefault="00B83572" w:rsidP="003F4E8A">
      <w:pPr>
        <w:rPr>
          <w:b/>
          <w:bCs/>
          <w:iCs/>
          <w:sz w:val="22"/>
          <w:szCs w:val="22"/>
        </w:rPr>
      </w:pPr>
    </w:p>
    <w:p w:rsidR="0061750C" w:rsidRDefault="0061750C" w:rsidP="003F4E8A">
      <w:pPr>
        <w:pStyle w:val="Nadpis1"/>
        <w:jc w:val="left"/>
        <w:rPr>
          <w:b/>
          <w:bCs/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jc w:val="left"/>
        <w:rPr>
          <w:b/>
          <w:bCs/>
          <w:i w:val="0"/>
          <w:iCs w:val="0"/>
          <w:sz w:val="22"/>
          <w:szCs w:val="22"/>
        </w:rPr>
      </w:pPr>
      <w:r w:rsidRPr="003F4E8A">
        <w:rPr>
          <w:b/>
          <w:bCs/>
          <w:i w:val="0"/>
          <w:iCs w:val="0"/>
          <w:sz w:val="22"/>
          <w:szCs w:val="22"/>
        </w:rPr>
        <w:t>4.9</w:t>
      </w:r>
      <w:r w:rsidRPr="003F4E8A">
        <w:rPr>
          <w:b/>
          <w:bCs/>
          <w:i w:val="0"/>
          <w:iCs w:val="0"/>
          <w:sz w:val="22"/>
          <w:szCs w:val="22"/>
        </w:rPr>
        <w:tab/>
        <w:t>Predávkovanie</w:t>
      </w:r>
    </w:p>
    <w:p w:rsidR="00B83572" w:rsidRPr="003F4E8A" w:rsidRDefault="00B83572" w:rsidP="003F4E8A">
      <w:pPr>
        <w:pStyle w:val="Nadpis1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Nebol popísaný žiadny prípad predávkovania Lacipilom.</w:t>
      </w:r>
    </w:p>
    <w:p w:rsidR="00AD057A" w:rsidRPr="003F4E8A" w:rsidRDefault="00AD057A" w:rsidP="003F4E8A">
      <w:pPr>
        <w:pStyle w:val="Nadpis1"/>
        <w:jc w:val="left"/>
        <w:rPr>
          <w:i w:val="0"/>
          <w:iCs w:val="0"/>
          <w:sz w:val="22"/>
          <w:szCs w:val="22"/>
        </w:rPr>
      </w:pPr>
    </w:p>
    <w:p w:rsidR="00AD057A" w:rsidRPr="003F4E8A" w:rsidRDefault="00AD057A" w:rsidP="003F4E8A">
      <w:pPr>
        <w:rPr>
          <w:i/>
          <w:iCs/>
          <w:sz w:val="22"/>
          <w:szCs w:val="22"/>
        </w:rPr>
      </w:pPr>
      <w:r w:rsidRPr="003F4E8A">
        <w:rPr>
          <w:i/>
          <w:iCs/>
          <w:sz w:val="22"/>
          <w:szCs w:val="22"/>
        </w:rPr>
        <w:t>Príznaky a prejavy</w:t>
      </w:r>
    </w:p>
    <w:p w:rsidR="00B83572" w:rsidRPr="003F4E8A" w:rsidRDefault="00B83572" w:rsidP="003F4E8A">
      <w:pPr>
        <w:pStyle w:val="Nadpis1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Najpravdepodobnejší účinok môže byť dlhotrvajúca periférna vazodilatácia spojená s hypotenziou a tachykardiou.</w:t>
      </w:r>
    </w:p>
    <w:p w:rsidR="00AD057A" w:rsidRPr="003F4E8A" w:rsidRDefault="00AD057A" w:rsidP="003F4E8A">
      <w:pPr>
        <w:pStyle w:val="Nadpis1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Teoreticky môže dôjsť k bradykardii alebo predĺženiu AV vedenia.</w:t>
      </w:r>
    </w:p>
    <w:p w:rsidR="00AD057A" w:rsidRPr="003F4E8A" w:rsidRDefault="00AD057A" w:rsidP="003F4E8A">
      <w:pPr>
        <w:pStyle w:val="Nadpis1"/>
        <w:jc w:val="left"/>
        <w:rPr>
          <w:i w:val="0"/>
          <w:iCs w:val="0"/>
          <w:sz w:val="22"/>
          <w:szCs w:val="22"/>
        </w:rPr>
      </w:pPr>
    </w:p>
    <w:p w:rsidR="00AD057A" w:rsidRPr="003F4E8A" w:rsidRDefault="00AD057A" w:rsidP="003F4E8A">
      <w:pPr>
        <w:pStyle w:val="Nadpis1"/>
        <w:jc w:val="left"/>
        <w:rPr>
          <w:sz w:val="22"/>
          <w:szCs w:val="22"/>
        </w:rPr>
      </w:pPr>
      <w:r w:rsidRPr="003F4E8A">
        <w:rPr>
          <w:sz w:val="22"/>
          <w:szCs w:val="22"/>
        </w:rPr>
        <w:t>Liečba</w:t>
      </w:r>
    </w:p>
    <w:p w:rsidR="00B83572" w:rsidRPr="003F4E8A" w:rsidRDefault="00B83572" w:rsidP="003F4E8A">
      <w:pPr>
        <w:pStyle w:val="Nadpis1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Špecifické antidotum neexistuje. Je potrebné použiť štandardné prostriedky na sledovanie funkcie srdca a príslušné podporné a liečebné opatrenia.</w:t>
      </w:r>
    </w:p>
    <w:p w:rsidR="00B83572" w:rsidRPr="003F4E8A" w:rsidRDefault="00B83572" w:rsidP="003F4E8A">
      <w:pPr>
        <w:pStyle w:val="Nadpis1"/>
        <w:keepNext w:val="0"/>
        <w:widowControl w:val="0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rPr>
          <w:sz w:val="22"/>
          <w:szCs w:val="22"/>
        </w:rPr>
      </w:pPr>
    </w:p>
    <w:p w:rsidR="00B83572" w:rsidRPr="003F4E8A" w:rsidRDefault="00B83572" w:rsidP="003F4E8A">
      <w:pPr>
        <w:pStyle w:val="Nadpis1"/>
        <w:jc w:val="left"/>
        <w:rPr>
          <w:b/>
          <w:bCs/>
          <w:i w:val="0"/>
          <w:iCs w:val="0"/>
          <w:sz w:val="22"/>
          <w:szCs w:val="22"/>
        </w:rPr>
      </w:pPr>
      <w:r w:rsidRPr="003F4E8A">
        <w:rPr>
          <w:b/>
          <w:bCs/>
          <w:i w:val="0"/>
          <w:iCs w:val="0"/>
          <w:sz w:val="22"/>
          <w:szCs w:val="22"/>
        </w:rPr>
        <w:lastRenderedPageBreak/>
        <w:t>5.</w:t>
      </w:r>
      <w:r w:rsidRPr="003F4E8A">
        <w:rPr>
          <w:b/>
          <w:bCs/>
          <w:i w:val="0"/>
          <w:iCs w:val="0"/>
          <w:sz w:val="22"/>
          <w:szCs w:val="22"/>
        </w:rPr>
        <w:tab/>
        <w:t>FARMAKOLOGICKÉ VLASTNOSTI</w:t>
      </w:r>
    </w:p>
    <w:p w:rsidR="00B83572" w:rsidRPr="003F4E8A" w:rsidRDefault="00B83572" w:rsidP="003F4E8A">
      <w:pPr>
        <w:pStyle w:val="Nadpis1"/>
        <w:jc w:val="left"/>
        <w:rPr>
          <w:b/>
          <w:bCs/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jc w:val="left"/>
        <w:rPr>
          <w:b/>
          <w:bCs/>
          <w:i w:val="0"/>
          <w:iCs w:val="0"/>
          <w:sz w:val="22"/>
          <w:szCs w:val="22"/>
        </w:rPr>
      </w:pPr>
      <w:r w:rsidRPr="003F4E8A">
        <w:rPr>
          <w:b/>
          <w:bCs/>
          <w:i w:val="0"/>
          <w:iCs w:val="0"/>
          <w:sz w:val="22"/>
          <w:szCs w:val="22"/>
        </w:rPr>
        <w:t>5.1</w:t>
      </w:r>
      <w:r w:rsidRPr="003F4E8A">
        <w:rPr>
          <w:b/>
          <w:bCs/>
          <w:i w:val="0"/>
          <w:iCs w:val="0"/>
          <w:sz w:val="22"/>
          <w:szCs w:val="22"/>
        </w:rPr>
        <w:tab/>
        <w:t>Farmakodynamické vlastnosti</w:t>
      </w:r>
    </w:p>
    <w:p w:rsidR="00B83572" w:rsidRPr="003F4E8A" w:rsidRDefault="00B83572" w:rsidP="003F4E8A">
      <w:pPr>
        <w:pStyle w:val="Nadpis1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Farmakoterapeutická skupina: Vazodilatancium. ATC: C08CA09</w:t>
      </w:r>
    </w:p>
    <w:p w:rsidR="00B83572" w:rsidRPr="003F4E8A" w:rsidRDefault="00B83572" w:rsidP="003F4E8A">
      <w:pPr>
        <w:pStyle w:val="Nadpis1"/>
        <w:jc w:val="left"/>
        <w:rPr>
          <w:i w:val="0"/>
          <w:iCs w:val="0"/>
          <w:sz w:val="22"/>
          <w:szCs w:val="22"/>
        </w:rPr>
      </w:pPr>
    </w:p>
    <w:p w:rsidR="00B83572" w:rsidRPr="003F4E8A" w:rsidRDefault="00B83572" w:rsidP="003F4E8A">
      <w:pPr>
        <w:pStyle w:val="Nadpis1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Lacidipín je špecifický blokátor vápnikových kanálov s prevažujúcou selektivitou pre kalciové kanály hladkého svalstva ciev.</w:t>
      </w:r>
    </w:p>
    <w:p w:rsidR="00B83572" w:rsidRPr="003F4E8A" w:rsidRDefault="00B83572" w:rsidP="003F4E8A">
      <w:pPr>
        <w:pStyle w:val="Nadpis1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Hlavným účinkom je dilatácia periférnych arteriol, čím sa znižuje periférna cievna rezistencia a klesá krvný tlak.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color w:val="auto"/>
          <w:sz w:val="22"/>
          <w:szCs w:val="22"/>
        </w:rPr>
        <w:t>Po podaní 4 mg lacidipínu sa pozorovalo u zdravých dobrovoľníko</w:t>
      </w:r>
      <w:r w:rsidR="008A0231">
        <w:rPr>
          <w:rFonts w:ascii="Times New Roman" w:hAnsi="Times New Roman" w:cs="Times New Roman"/>
          <w:color w:val="auto"/>
          <w:sz w:val="22"/>
          <w:szCs w:val="22"/>
        </w:rPr>
        <w:t>v</w:t>
      </w:r>
      <w:r w:rsidRPr="003F4E8A">
        <w:rPr>
          <w:rFonts w:ascii="Times New Roman" w:hAnsi="Times New Roman" w:cs="Times New Roman"/>
          <w:color w:val="auto"/>
          <w:sz w:val="22"/>
          <w:szCs w:val="22"/>
        </w:rPr>
        <w:t xml:space="preserve"> minimálne predĺženie QT intervalu.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color w:val="auto"/>
          <w:sz w:val="22"/>
          <w:szCs w:val="22"/>
        </w:rPr>
        <w:t>V štvorročnej randomizovanej dvojito zaslepenej štúdii ELSA (European Lacidipine Study on Atherosclerosis) bolo primárnym parametrom účinnosti u aterosklerózy meranie intimomediálnej hrúbky (IMT) karotíd pomocou ultrasonografie. Výsledky u pacientov liečených lacidipínom potvrdili významné účinky na premenné IMT, čo sa zhoduje s antiaterogénnym účinkom.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b/>
          <w:bCs/>
          <w:color w:val="auto"/>
          <w:sz w:val="22"/>
          <w:szCs w:val="22"/>
        </w:rPr>
        <w:t>5.2</w:t>
      </w:r>
      <w:r w:rsidRPr="003F4E8A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>Farmakokinetické vlastnosti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color w:val="auto"/>
          <w:sz w:val="22"/>
          <w:szCs w:val="22"/>
        </w:rPr>
        <w:t>Po perorálnom podaní sa lacidipín z gastrointestinálneho traktu vstrebáva rýchlo, ale v malej miere. Podlieha výraznému metabolizmu pri prvom prechode pečeňou. Absolútna biologická dostupnosť je priemerne 10 %.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color w:val="auto"/>
          <w:sz w:val="22"/>
          <w:szCs w:val="22"/>
        </w:rPr>
        <w:t>Maximálne plazmatické hladiny sa dosahujú medzi 30 a 150 minútami po podaní. Pri metabolizme vznikajú 4</w:t>
      </w:r>
      <w:r w:rsidR="008223F7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3F4E8A">
        <w:rPr>
          <w:rFonts w:ascii="Times New Roman" w:hAnsi="Times New Roman" w:cs="Times New Roman"/>
          <w:color w:val="auto"/>
          <w:sz w:val="22"/>
          <w:szCs w:val="22"/>
        </w:rPr>
        <w:t>hlavné metabolity, ktoré majú nízku až nulovú farmakodynamickú účinnosť. Liečivo je vylučované predovšetkým hepatálnym metabolizmom (do ktorého je zapojený P450</w:t>
      </w:r>
      <w:r w:rsidR="008223F7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3F4E8A">
        <w:rPr>
          <w:rFonts w:ascii="Times New Roman" w:hAnsi="Times New Roman" w:cs="Times New Roman"/>
          <w:color w:val="auto"/>
          <w:sz w:val="22"/>
          <w:szCs w:val="22"/>
        </w:rPr>
        <w:t>CYP3A4). Neexistujú dôkazy o tom, že by lacidipín spôsoboval buď indukciu, alebo inhibíciu hepatálnych enzýmov.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color w:val="auto"/>
          <w:sz w:val="22"/>
          <w:szCs w:val="22"/>
        </w:rPr>
        <w:t>Asi 70 % podanej dávky sa vylučuje stolicou vo forme metabolitov a zostávajúce množstvo sa vo forme metabolitov vylučuje močom.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color w:val="auto"/>
          <w:sz w:val="22"/>
          <w:szCs w:val="22"/>
        </w:rPr>
        <w:t>Priemerný terminálny plazmatický polčas lacidipínu sa v rovnovážnom stave pohybuje od 13 do 19 hodín.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b/>
          <w:bCs/>
          <w:color w:val="auto"/>
          <w:sz w:val="22"/>
          <w:szCs w:val="22"/>
        </w:rPr>
        <w:t>5.3</w:t>
      </w:r>
      <w:r w:rsidRPr="003F4E8A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>Predklinické údaje o bezpečnosti</w:t>
      </w:r>
    </w:p>
    <w:p w:rsidR="00B83572" w:rsidRPr="003F4E8A" w:rsidRDefault="00B83572" w:rsidP="003F4E8A">
      <w:pPr>
        <w:rPr>
          <w:sz w:val="22"/>
          <w:szCs w:val="22"/>
        </w:rPr>
      </w:pPr>
    </w:p>
    <w:p w:rsidR="00B83572" w:rsidRPr="003F4E8A" w:rsidRDefault="00B83572" w:rsidP="003F4E8A">
      <w:pPr>
        <w:rPr>
          <w:sz w:val="22"/>
          <w:szCs w:val="22"/>
        </w:rPr>
      </w:pPr>
      <w:r w:rsidRPr="003F4E8A">
        <w:rPr>
          <w:sz w:val="22"/>
          <w:szCs w:val="22"/>
        </w:rPr>
        <w:t>Jediné významné toxikologické nálezy pri použití lacidipínu boli reverzibilné a zhodovali sa so známymi farmakologickými účinkami vysokých dávok blokátorov vápnikových kanálov </w:t>
      </w:r>
      <w:r w:rsidRPr="003F4E8A">
        <w:rPr>
          <w:sz w:val="22"/>
          <w:szCs w:val="22"/>
        </w:rPr>
        <w:noBreakHyphen/>
        <w:t> znížená kontraktilita myokardu, zdurenie ďasien u potkanov a psov a zápcha u potkanov.</w:t>
      </w:r>
    </w:p>
    <w:p w:rsidR="00B83572" w:rsidRPr="003F4E8A" w:rsidRDefault="00B83572" w:rsidP="003F4E8A">
      <w:pPr>
        <w:rPr>
          <w:sz w:val="22"/>
          <w:szCs w:val="22"/>
        </w:rPr>
      </w:pPr>
    </w:p>
    <w:p w:rsidR="00B83572" w:rsidRPr="003F4E8A" w:rsidRDefault="00B83572" w:rsidP="003F4E8A">
      <w:pPr>
        <w:rPr>
          <w:sz w:val="22"/>
          <w:szCs w:val="22"/>
        </w:rPr>
      </w:pPr>
      <w:r w:rsidRPr="003F4E8A">
        <w:rPr>
          <w:sz w:val="22"/>
          <w:szCs w:val="22"/>
        </w:rPr>
        <w:t>Po podaní lacidipínu gravidným potkanom a králikom sa nepozorovali žiadne známky vývojovej toxicity. V štúdii fertility a reprodukcie na potkanoch sa pri dávkach toxických pre samicu pozorovala embryotoxicita a pri vysokých dávkach sa pozorovalo predĺžené trvanie gestácie a ťažkosti počas pôrodu, čo sa zhoduje s očakávaným farmakologickým účinkom blokátora vápnikových kanálov na myometrium. Je známe, že blokátory vápnikových kanálov farmakologicky interferujú s normálnou funkciou myometria počas pôrodu, čo vedie k zníženej kontraktilite.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color w:val="auto"/>
          <w:sz w:val="22"/>
          <w:szCs w:val="22"/>
        </w:rPr>
        <w:t xml:space="preserve">V súbore testov </w:t>
      </w:r>
      <w:r w:rsidRPr="003F4E8A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in vitro </w:t>
      </w:r>
      <w:r w:rsidRPr="003F4E8A">
        <w:rPr>
          <w:rFonts w:ascii="Times New Roman" w:hAnsi="Times New Roman" w:cs="Times New Roman"/>
          <w:color w:val="auto"/>
          <w:sz w:val="22"/>
          <w:szCs w:val="22"/>
        </w:rPr>
        <w:t>a </w:t>
      </w:r>
      <w:r w:rsidRPr="003F4E8A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in vivo </w:t>
      </w:r>
      <w:r w:rsidRPr="003F4E8A">
        <w:rPr>
          <w:rFonts w:ascii="Times New Roman" w:hAnsi="Times New Roman" w:cs="Times New Roman"/>
          <w:color w:val="auto"/>
          <w:sz w:val="22"/>
          <w:szCs w:val="22"/>
        </w:rPr>
        <w:t>nebol lacidipín genotoxický. U myší sa nepreukázal karcinogénny potenciál. V zhode s inými blokátormi vápnikových kanálov sa v štúdii karcinogenity na potkanoch zistil zvýšený výskyt benígnych testikulárnych nádorov z intersticiálnych buniek. Endokrinné mechanizmy, ktoré sa zrejme podieľajú na vzniku hyperplázie intersticiálnych buniek a adenómov z intersticiálnych buniek u potkanov, však nie sú relevantné pre ľudí.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b/>
          <w:bCs/>
          <w:color w:val="auto"/>
          <w:sz w:val="22"/>
          <w:szCs w:val="22"/>
        </w:rPr>
        <w:t>6.</w:t>
      </w:r>
      <w:r w:rsidRPr="003F4E8A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 xml:space="preserve">FARMACEUTICKÉ </w:t>
      </w:r>
      <w:r w:rsidRPr="003F4E8A">
        <w:rPr>
          <w:rFonts w:ascii="Times New Roman" w:hAnsi="Times New Roman" w:cs="Times New Roman"/>
          <w:b/>
          <w:bCs/>
          <w:caps/>
          <w:color w:val="auto"/>
          <w:sz w:val="22"/>
          <w:szCs w:val="22"/>
        </w:rPr>
        <w:t>informácie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b/>
          <w:bCs/>
          <w:color w:val="auto"/>
          <w:sz w:val="22"/>
          <w:szCs w:val="22"/>
        </w:rPr>
        <w:t>6.1</w:t>
      </w:r>
      <w:r w:rsidRPr="003F4E8A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>Zoznam pomocných látok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i/>
          <w:color w:val="auto"/>
          <w:sz w:val="22"/>
          <w:szCs w:val="22"/>
        </w:rPr>
        <w:t>Jadro tablety</w:t>
      </w:r>
      <w:r w:rsidRPr="003F4E8A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color w:val="auto"/>
          <w:sz w:val="22"/>
          <w:szCs w:val="22"/>
        </w:rPr>
        <w:lastRenderedPageBreak/>
        <w:t>Monohydrát laktózy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color w:val="auto"/>
          <w:sz w:val="22"/>
          <w:szCs w:val="22"/>
        </w:rPr>
        <w:t>Povidón K</w:t>
      </w:r>
      <w:r w:rsidR="005C4DC2" w:rsidRPr="003F4E8A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3F4E8A">
        <w:rPr>
          <w:rFonts w:ascii="Times New Roman" w:hAnsi="Times New Roman" w:cs="Times New Roman"/>
          <w:color w:val="auto"/>
          <w:sz w:val="22"/>
          <w:szCs w:val="22"/>
        </w:rPr>
        <w:t>30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color w:val="auto"/>
          <w:sz w:val="22"/>
          <w:szCs w:val="22"/>
        </w:rPr>
        <w:t>Magnéziumstearát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i/>
          <w:color w:val="auto"/>
          <w:sz w:val="22"/>
          <w:szCs w:val="22"/>
        </w:rPr>
        <w:t>Filmová vrstva</w:t>
      </w:r>
      <w:r w:rsidRPr="003F4E8A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color w:val="auto"/>
          <w:sz w:val="22"/>
          <w:szCs w:val="22"/>
        </w:rPr>
        <w:t>Hypromelóza, oxid titaničitý (E</w:t>
      </w:r>
      <w:r w:rsidR="005C4DC2" w:rsidRPr="003F4E8A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3F4E8A">
        <w:rPr>
          <w:rFonts w:ascii="Times New Roman" w:hAnsi="Times New Roman" w:cs="Times New Roman"/>
          <w:color w:val="auto"/>
          <w:sz w:val="22"/>
          <w:szCs w:val="22"/>
        </w:rPr>
        <w:t>171), makrogol</w:t>
      </w:r>
      <w:r w:rsidR="005C4DC2" w:rsidRPr="003F4E8A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3F4E8A">
        <w:rPr>
          <w:rFonts w:ascii="Times New Roman" w:hAnsi="Times New Roman" w:cs="Times New Roman"/>
          <w:color w:val="auto"/>
          <w:sz w:val="22"/>
          <w:szCs w:val="22"/>
        </w:rPr>
        <w:t>400, polysorbát</w:t>
      </w:r>
      <w:r w:rsidR="005C4DC2" w:rsidRPr="003F4E8A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3F4E8A">
        <w:rPr>
          <w:rFonts w:ascii="Times New Roman" w:hAnsi="Times New Roman" w:cs="Times New Roman"/>
          <w:color w:val="auto"/>
          <w:sz w:val="22"/>
          <w:szCs w:val="22"/>
        </w:rPr>
        <w:t>80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b/>
          <w:bCs/>
          <w:color w:val="auto"/>
          <w:sz w:val="22"/>
          <w:szCs w:val="22"/>
        </w:rPr>
        <w:t>6.2</w:t>
      </w:r>
      <w:r w:rsidRPr="003F4E8A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>Inkompatibility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color w:val="auto"/>
          <w:sz w:val="22"/>
          <w:szCs w:val="22"/>
        </w:rPr>
        <w:t>Neboli popísané.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</w:p>
    <w:p w:rsidR="00B83572" w:rsidRPr="003F4E8A" w:rsidRDefault="00B83572" w:rsidP="008223F7">
      <w:pPr>
        <w:pStyle w:val="Zkladntext"/>
        <w:keepNext/>
        <w:keepLines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b/>
          <w:bCs/>
          <w:color w:val="auto"/>
          <w:sz w:val="22"/>
          <w:szCs w:val="22"/>
        </w:rPr>
        <w:t>6.3</w:t>
      </w:r>
      <w:r w:rsidRPr="003F4E8A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>Čas použiteľnosti</w:t>
      </w:r>
    </w:p>
    <w:p w:rsidR="00B83572" w:rsidRPr="003F4E8A" w:rsidRDefault="00B83572" w:rsidP="008223F7">
      <w:pPr>
        <w:pStyle w:val="Zkladntext"/>
        <w:keepNext/>
        <w:keepLines/>
        <w:rPr>
          <w:rFonts w:ascii="Times New Roman" w:hAnsi="Times New Roman" w:cs="Times New Roman"/>
          <w:color w:val="auto"/>
          <w:sz w:val="22"/>
          <w:szCs w:val="22"/>
        </w:rPr>
      </w:pPr>
    </w:p>
    <w:p w:rsidR="00B83572" w:rsidRPr="003F4E8A" w:rsidRDefault="00B83572" w:rsidP="008223F7">
      <w:pPr>
        <w:pStyle w:val="Zkladntext"/>
        <w:keepNext/>
        <w:keepLines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8223F7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3F4E8A">
        <w:rPr>
          <w:rFonts w:ascii="Times New Roman" w:hAnsi="Times New Roman" w:cs="Times New Roman"/>
          <w:color w:val="auto"/>
          <w:sz w:val="22"/>
          <w:szCs w:val="22"/>
        </w:rPr>
        <w:t>roky.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b/>
          <w:bCs/>
          <w:color w:val="auto"/>
          <w:sz w:val="22"/>
          <w:szCs w:val="22"/>
        </w:rPr>
        <w:t>6.4</w:t>
      </w:r>
      <w:r w:rsidRPr="003F4E8A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>Špeciálne upozornenia na uchovávanie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color w:val="auto"/>
          <w:sz w:val="22"/>
          <w:szCs w:val="22"/>
        </w:rPr>
        <w:t xml:space="preserve">Uchovávajte pri teplote do </w:t>
      </w:r>
      <w:smartTag w:uri="urn:schemas-microsoft-com:office:smarttags" w:element="metricconverter">
        <w:smartTagPr>
          <w:attr w:name="ProductID" w:val="30ﾠﾰC"/>
        </w:smartTagPr>
        <w:r w:rsidRPr="003F4E8A">
          <w:rPr>
            <w:rFonts w:ascii="Times New Roman" w:hAnsi="Times New Roman" w:cs="Times New Roman"/>
            <w:color w:val="auto"/>
            <w:sz w:val="22"/>
            <w:szCs w:val="22"/>
          </w:rPr>
          <w:t>30 °C</w:t>
        </w:r>
      </w:smartTag>
      <w:r w:rsidRPr="003F4E8A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color w:val="auto"/>
          <w:sz w:val="22"/>
          <w:szCs w:val="22"/>
        </w:rPr>
        <w:t>Lacipil tablety je treba chrániť pred svetlom, a preto sa majú vyberať z blistra až tesne pred použitím.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color w:val="auto"/>
          <w:sz w:val="22"/>
          <w:szCs w:val="22"/>
        </w:rPr>
        <w:t>V prípade užívania polovice zo 4 mg tablety sa zostávajúca polovica musí uchovať v originálnom blistri a musí sa použiť do 48 hodín.</w:t>
      </w:r>
    </w:p>
    <w:p w:rsidR="00B83572" w:rsidRPr="008223F7" w:rsidRDefault="00B83572" w:rsidP="003F4E8A">
      <w:pPr>
        <w:pStyle w:val="Zkladntext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b/>
          <w:bCs/>
          <w:color w:val="auto"/>
          <w:sz w:val="22"/>
          <w:szCs w:val="22"/>
        </w:rPr>
        <w:t>6.5</w:t>
      </w:r>
      <w:r w:rsidRPr="003F4E8A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>Druh obalu a obsah balenia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</w:p>
    <w:p w:rsidR="00156D6F" w:rsidRDefault="00201752" w:rsidP="00156D6F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Lacipil 2 mg</w:t>
      </w:r>
      <w:r w:rsidR="00A86FD6">
        <w:rPr>
          <w:rFonts w:ascii="Times New Roman" w:hAnsi="Times New Roman" w:cs="Times New Roman"/>
          <w:color w:val="auto"/>
          <w:sz w:val="22"/>
          <w:szCs w:val="22"/>
        </w:rPr>
        <w:t>,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86FD6">
        <w:rPr>
          <w:rFonts w:ascii="Times New Roman" w:hAnsi="Times New Roman" w:cs="Times New Roman"/>
          <w:color w:val="auto"/>
          <w:sz w:val="22"/>
          <w:szCs w:val="22"/>
        </w:rPr>
        <w:t>Lacipil 4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86FD6">
        <w:rPr>
          <w:rFonts w:ascii="Times New Roman" w:hAnsi="Times New Roman" w:cs="Times New Roman"/>
          <w:color w:val="auto"/>
          <w:sz w:val="22"/>
          <w:szCs w:val="22"/>
        </w:rPr>
        <w:t xml:space="preserve">mg </w:t>
      </w:r>
      <w:r w:rsidR="002A2276">
        <w:rPr>
          <w:rFonts w:ascii="Times New Roman" w:hAnsi="Times New Roman" w:cs="Times New Roman"/>
          <w:color w:val="auto"/>
          <w:sz w:val="22"/>
          <w:szCs w:val="22"/>
        </w:rPr>
        <w:t>a Lacipil 6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A2276">
        <w:rPr>
          <w:rFonts w:ascii="Times New Roman" w:hAnsi="Times New Roman" w:cs="Times New Roman"/>
          <w:color w:val="auto"/>
          <w:sz w:val="22"/>
          <w:szCs w:val="22"/>
        </w:rPr>
        <w:t>mg</w:t>
      </w:r>
      <w:r w:rsidR="0028685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8685E" w:rsidRPr="0028685E">
        <w:rPr>
          <w:rFonts w:ascii="Times New Roman" w:hAnsi="Times New Roman" w:cs="Times New Roman"/>
          <w:color w:val="auto"/>
          <w:sz w:val="22"/>
          <w:szCs w:val="22"/>
        </w:rPr>
        <w:t>–</w:t>
      </w:r>
      <w:r w:rsidR="0028685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56D6F">
        <w:rPr>
          <w:rFonts w:ascii="Times New Roman" w:hAnsi="Times New Roman" w:cs="Times New Roman"/>
          <w:color w:val="auto"/>
          <w:sz w:val="22"/>
          <w:szCs w:val="22"/>
        </w:rPr>
        <w:t xml:space="preserve">PVC/Al blister </w:t>
      </w:r>
      <w:r w:rsidR="002A2276">
        <w:rPr>
          <w:rFonts w:ascii="Times New Roman" w:hAnsi="Times New Roman" w:cs="Times New Roman"/>
          <w:color w:val="auto"/>
          <w:sz w:val="22"/>
          <w:szCs w:val="22"/>
        </w:rPr>
        <w:t>s detskou bezpečnostnou hliníkovou krycou fóliou</w:t>
      </w:r>
      <w:r w:rsidR="00156D6F">
        <w:rPr>
          <w:rFonts w:ascii="Times New Roman" w:hAnsi="Times New Roman" w:cs="Times New Roman"/>
          <w:color w:val="auto"/>
          <w:sz w:val="22"/>
          <w:szCs w:val="22"/>
        </w:rPr>
        <w:t>, papierová škatuľa, písomná informácia pre používateľa.</w:t>
      </w:r>
    </w:p>
    <w:p w:rsidR="00156D6F" w:rsidRPr="007C47C6" w:rsidRDefault="00156D6F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</w:p>
    <w:p w:rsidR="0028685E" w:rsidRDefault="0028685E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color w:val="auto"/>
          <w:sz w:val="22"/>
          <w:szCs w:val="22"/>
        </w:rPr>
        <w:t>2 mg x 14 tbl.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color w:val="auto"/>
          <w:sz w:val="22"/>
          <w:szCs w:val="22"/>
        </w:rPr>
        <w:t>4 mg x 14 tbl.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color w:val="auto"/>
          <w:sz w:val="22"/>
          <w:szCs w:val="22"/>
        </w:rPr>
        <w:t>4 mg x 28 tbl.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color w:val="auto"/>
          <w:sz w:val="22"/>
          <w:szCs w:val="22"/>
        </w:rPr>
        <w:t>6 mg x 14 tbl.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color w:val="auto"/>
          <w:sz w:val="22"/>
          <w:szCs w:val="22"/>
        </w:rPr>
        <w:t>6 mg x 28 tbl.</w:t>
      </w:r>
    </w:p>
    <w:p w:rsidR="00B83572" w:rsidRPr="003F4E8A" w:rsidRDefault="002A1694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color w:val="auto"/>
          <w:sz w:val="22"/>
          <w:szCs w:val="22"/>
        </w:rPr>
        <w:t xml:space="preserve">Na trh nemusia byť uvedené </w:t>
      </w:r>
      <w:r w:rsidR="00B83572" w:rsidRPr="003F4E8A">
        <w:rPr>
          <w:rFonts w:ascii="Times New Roman" w:hAnsi="Times New Roman" w:cs="Times New Roman"/>
          <w:color w:val="auto"/>
          <w:sz w:val="22"/>
          <w:szCs w:val="22"/>
        </w:rPr>
        <w:t>všetky veľkosti balenia.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b/>
          <w:bCs/>
          <w:color w:val="auto"/>
          <w:sz w:val="22"/>
          <w:szCs w:val="22"/>
        </w:rPr>
        <w:t>6.6</w:t>
      </w:r>
      <w:r w:rsidRPr="003F4E8A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>Špeciálne opatrenia na likvidáciu a iné zaobchádzanie s liekom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color w:val="auto"/>
          <w:sz w:val="22"/>
          <w:szCs w:val="22"/>
        </w:rPr>
        <w:t>Tablety sa majú vyberať z blistra až tesne pred použitím.</w:t>
      </w:r>
    </w:p>
    <w:p w:rsidR="00B83572" w:rsidRPr="008223F7" w:rsidRDefault="00B83572" w:rsidP="003F4E8A">
      <w:pPr>
        <w:pStyle w:val="Zkladntext"/>
        <w:rPr>
          <w:rFonts w:ascii="Times New Roman" w:hAnsi="Times New Roman" w:cs="Times New Roman"/>
          <w:bCs/>
          <w:iCs/>
          <w:color w:val="auto"/>
          <w:sz w:val="22"/>
          <w:szCs w:val="22"/>
        </w:rPr>
      </w:pPr>
    </w:p>
    <w:p w:rsidR="00B83572" w:rsidRPr="008223F7" w:rsidRDefault="00B83572" w:rsidP="003F4E8A">
      <w:pPr>
        <w:pStyle w:val="Zkladntext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b/>
          <w:bCs/>
          <w:color w:val="auto"/>
          <w:sz w:val="22"/>
          <w:szCs w:val="22"/>
        </w:rPr>
        <w:t>7.</w:t>
      </w:r>
      <w:r w:rsidRPr="003F4E8A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  <w:r w:rsidRPr="003F4E8A">
        <w:rPr>
          <w:rFonts w:ascii="Times New Roman" w:hAnsi="Times New Roman" w:cs="Times New Roman"/>
          <w:b/>
          <w:bCs/>
          <w:caps/>
          <w:color w:val="auto"/>
          <w:sz w:val="22"/>
          <w:szCs w:val="22"/>
        </w:rPr>
        <w:t>Držitel rozhodnutia o registrácii</w:t>
      </w:r>
    </w:p>
    <w:p w:rsidR="003F5343" w:rsidRDefault="003F5343" w:rsidP="003F5343">
      <w:pPr>
        <w:rPr>
          <w:sz w:val="22"/>
          <w:szCs w:val="22"/>
        </w:rPr>
      </w:pPr>
    </w:p>
    <w:p w:rsidR="003F5343" w:rsidRDefault="003F5343" w:rsidP="003F5343">
      <w:pPr>
        <w:rPr>
          <w:sz w:val="22"/>
          <w:szCs w:val="22"/>
        </w:rPr>
      </w:pPr>
      <w:r>
        <w:rPr>
          <w:sz w:val="22"/>
          <w:szCs w:val="22"/>
        </w:rPr>
        <w:t>GlaxoSmithKline (Ireland) Limited</w:t>
      </w:r>
    </w:p>
    <w:p w:rsidR="003F5343" w:rsidRDefault="008152D1" w:rsidP="003F5343">
      <w:pPr>
        <w:rPr>
          <w:sz w:val="22"/>
          <w:szCs w:val="22"/>
        </w:rPr>
      </w:pPr>
      <w:r>
        <w:rPr>
          <w:sz w:val="22"/>
          <w:szCs w:val="22"/>
        </w:rPr>
        <w:t>12 Riv</w:t>
      </w:r>
      <w:r w:rsidR="003F5343">
        <w:rPr>
          <w:sz w:val="22"/>
          <w:szCs w:val="22"/>
        </w:rPr>
        <w:t>erwalk</w:t>
      </w:r>
    </w:p>
    <w:p w:rsidR="003F5343" w:rsidRDefault="003F5343" w:rsidP="003F5343">
      <w:pPr>
        <w:rPr>
          <w:sz w:val="22"/>
          <w:szCs w:val="22"/>
        </w:rPr>
      </w:pPr>
      <w:r>
        <w:rPr>
          <w:sz w:val="22"/>
          <w:szCs w:val="22"/>
        </w:rPr>
        <w:t>Citywest Business Campus</w:t>
      </w:r>
    </w:p>
    <w:p w:rsidR="003F5343" w:rsidRDefault="003F5343" w:rsidP="003F5343">
      <w:pPr>
        <w:rPr>
          <w:sz w:val="22"/>
          <w:szCs w:val="22"/>
        </w:rPr>
      </w:pPr>
      <w:r>
        <w:rPr>
          <w:sz w:val="22"/>
          <w:szCs w:val="22"/>
        </w:rPr>
        <w:t>Dublin 24</w:t>
      </w:r>
    </w:p>
    <w:p w:rsidR="00B83572" w:rsidRPr="003F4E8A" w:rsidRDefault="003F5343" w:rsidP="00F626CB">
      <w:pPr>
        <w:rPr>
          <w:i/>
          <w:iCs/>
        </w:rPr>
      </w:pPr>
      <w:r w:rsidRPr="00C24827">
        <w:rPr>
          <w:sz w:val="22"/>
          <w:szCs w:val="22"/>
        </w:rPr>
        <w:t>Írsko</w:t>
      </w:r>
    </w:p>
    <w:p w:rsidR="00B83572" w:rsidRPr="008223F7" w:rsidRDefault="00B83572" w:rsidP="003F4E8A">
      <w:pPr>
        <w:pStyle w:val="Zkladntex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:rsidR="00B83572" w:rsidRPr="008223F7" w:rsidRDefault="00B83572" w:rsidP="003F4E8A">
      <w:pPr>
        <w:pStyle w:val="Zkladntex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:rsidR="00B83572" w:rsidRPr="003F4E8A" w:rsidRDefault="00B83572" w:rsidP="003F4E8A">
      <w:pPr>
        <w:pStyle w:val="Zkladntext"/>
        <w:keepNext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b/>
          <w:bCs/>
          <w:color w:val="auto"/>
          <w:sz w:val="22"/>
          <w:szCs w:val="22"/>
        </w:rPr>
        <w:t>8.</w:t>
      </w:r>
      <w:r w:rsidRPr="003F4E8A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  <w:r w:rsidRPr="003F4E8A">
        <w:rPr>
          <w:rFonts w:ascii="Times New Roman" w:hAnsi="Times New Roman" w:cs="Times New Roman"/>
          <w:b/>
          <w:bCs/>
          <w:caps/>
          <w:color w:val="auto"/>
          <w:sz w:val="22"/>
          <w:szCs w:val="22"/>
        </w:rPr>
        <w:t>Registračné číslA</w:t>
      </w:r>
    </w:p>
    <w:p w:rsidR="00B83572" w:rsidRPr="003F4E8A" w:rsidRDefault="00B83572" w:rsidP="003F4E8A">
      <w:pPr>
        <w:pStyle w:val="Zkladntext"/>
        <w:keepNext/>
        <w:rPr>
          <w:rFonts w:ascii="Times New Roman" w:hAnsi="Times New Roman" w:cs="Times New Roman"/>
          <w:color w:val="auto"/>
          <w:sz w:val="22"/>
          <w:szCs w:val="22"/>
        </w:rPr>
      </w:pPr>
    </w:p>
    <w:p w:rsidR="001333E9" w:rsidRDefault="00B83572" w:rsidP="003F4E8A">
      <w:pPr>
        <w:pStyle w:val="Zkladntext"/>
        <w:keepNext/>
        <w:rPr>
          <w:rFonts w:ascii="Times New Roman" w:hAnsi="Times New Roman" w:cs="Times New Roman"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color w:val="auto"/>
          <w:sz w:val="22"/>
          <w:szCs w:val="22"/>
        </w:rPr>
        <w:t>Lacipil 2 mg</w:t>
      </w:r>
      <w:r w:rsidR="001333E9">
        <w:rPr>
          <w:rFonts w:ascii="Times New Roman" w:hAnsi="Times New Roman" w:cs="Times New Roman"/>
          <w:color w:val="auto"/>
          <w:sz w:val="22"/>
          <w:szCs w:val="22"/>
        </w:rPr>
        <w:t xml:space="preserve"> :</w:t>
      </w:r>
      <w:r w:rsidR="001333E9" w:rsidRPr="001333E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333E9">
        <w:rPr>
          <w:rFonts w:ascii="Times New Roman" w:hAnsi="Times New Roman" w:cs="Times New Roman"/>
          <w:color w:val="auto"/>
          <w:sz w:val="22"/>
          <w:szCs w:val="22"/>
        </w:rPr>
        <w:t>83/0383/18-S</w:t>
      </w:r>
      <w:r w:rsidRPr="003F4E8A">
        <w:rPr>
          <w:rFonts w:ascii="Times New Roman" w:hAnsi="Times New Roman" w:cs="Times New Roman"/>
          <w:color w:val="auto"/>
          <w:sz w:val="22"/>
          <w:szCs w:val="22"/>
        </w:rPr>
        <w:t> </w:t>
      </w:r>
    </w:p>
    <w:p w:rsidR="00B83572" w:rsidRPr="003F4E8A" w:rsidRDefault="00B83572" w:rsidP="003F4E8A">
      <w:pPr>
        <w:pStyle w:val="Zkladntext"/>
        <w:keepNext/>
        <w:rPr>
          <w:rFonts w:ascii="Times New Roman" w:hAnsi="Times New Roman" w:cs="Times New Roman"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color w:val="auto"/>
          <w:sz w:val="22"/>
          <w:szCs w:val="22"/>
        </w:rPr>
        <w:t>Lacipil 4 mg</w:t>
      </w:r>
      <w:r w:rsidR="005B508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F4E8A">
        <w:rPr>
          <w:rFonts w:ascii="Times New Roman" w:hAnsi="Times New Roman" w:cs="Times New Roman"/>
          <w:color w:val="auto"/>
          <w:sz w:val="22"/>
          <w:szCs w:val="22"/>
        </w:rPr>
        <w:t>: 83/0791/92-S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  <w:r w:rsidRPr="003F4E8A">
        <w:rPr>
          <w:rFonts w:ascii="Times New Roman" w:hAnsi="Times New Roman" w:cs="Times New Roman"/>
          <w:color w:val="auto"/>
          <w:sz w:val="22"/>
          <w:szCs w:val="22"/>
        </w:rPr>
        <w:t>Lacipil 6 mg : 83/0007/05-S</w:t>
      </w: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</w:p>
    <w:p w:rsidR="00B83572" w:rsidRPr="003F4E8A" w:rsidRDefault="00B83572" w:rsidP="003F4E8A">
      <w:pPr>
        <w:pStyle w:val="Zkladntext"/>
        <w:rPr>
          <w:rFonts w:ascii="Times New Roman" w:hAnsi="Times New Roman" w:cs="Times New Roman"/>
          <w:color w:val="auto"/>
          <w:sz w:val="22"/>
          <w:szCs w:val="22"/>
        </w:rPr>
      </w:pPr>
    </w:p>
    <w:p w:rsidR="00B83572" w:rsidRPr="003F4E8A" w:rsidRDefault="00B83572" w:rsidP="003F4E8A">
      <w:pPr>
        <w:pStyle w:val="Nadpis1"/>
        <w:jc w:val="left"/>
        <w:rPr>
          <w:b/>
          <w:bCs/>
          <w:i w:val="0"/>
          <w:iCs w:val="0"/>
          <w:sz w:val="22"/>
          <w:szCs w:val="22"/>
        </w:rPr>
      </w:pPr>
      <w:r w:rsidRPr="003F4E8A">
        <w:rPr>
          <w:b/>
          <w:bCs/>
          <w:i w:val="0"/>
          <w:iCs w:val="0"/>
          <w:sz w:val="22"/>
          <w:szCs w:val="22"/>
        </w:rPr>
        <w:lastRenderedPageBreak/>
        <w:t>9.</w:t>
      </w:r>
      <w:r w:rsidRPr="003F4E8A">
        <w:rPr>
          <w:b/>
          <w:bCs/>
          <w:i w:val="0"/>
          <w:iCs w:val="0"/>
          <w:sz w:val="22"/>
          <w:szCs w:val="22"/>
        </w:rPr>
        <w:tab/>
      </w:r>
      <w:r w:rsidRPr="003F4E8A">
        <w:rPr>
          <w:b/>
          <w:bCs/>
          <w:i w:val="0"/>
          <w:iCs w:val="0"/>
          <w:caps/>
          <w:sz w:val="22"/>
          <w:szCs w:val="22"/>
        </w:rPr>
        <w:t>Dátum prvej registrácie</w:t>
      </w:r>
      <w:r w:rsidR="00E1024B" w:rsidRPr="003F4E8A">
        <w:rPr>
          <w:b/>
          <w:bCs/>
          <w:i w:val="0"/>
          <w:iCs w:val="0"/>
          <w:caps/>
          <w:sz w:val="22"/>
          <w:szCs w:val="22"/>
        </w:rPr>
        <w:t>/PREDĹŽENI</w:t>
      </w:r>
      <w:r w:rsidR="00CB5094" w:rsidRPr="003F4E8A">
        <w:rPr>
          <w:b/>
          <w:bCs/>
          <w:i w:val="0"/>
          <w:iCs w:val="0"/>
          <w:caps/>
          <w:sz w:val="22"/>
          <w:szCs w:val="22"/>
        </w:rPr>
        <w:t>A</w:t>
      </w:r>
      <w:r w:rsidR="00E1024B" w:rsidRPr="003F4E8A">
        <w:rPr>
          <w:b/>
          <w:bCs/>
          <w:i w:val="0"/>
          <w:iCs w:val="0"/>
          <w:caps/>
          <w:sz w:val="22"/>
          <w:szCs w:val="22"/>
        </w:rPr>
        <w:t xml:space="preserve"> REGISTRÁCIE</w:t>
      </w:r>
    </w:p>
    <w:p w:rsidR="00B83572" w:rsidRPr="003F4E8A" w:rsidRDefault="00B83572" w:rsidP="003F4E8A">
      <w:pPr>
        <w:pStyle w:val="Nadpis1"/>
        <w:jc w:val="left"/>
        <w:rPr>
          <w:i w:val="0"/>
          <w:iCs w:val="0"/>
          <w:sz w:val="22"/>
          <w:szCs w:val="22"/>
        </w:rPr>
      </w:pPr>
    </w:p>
    <w:p w:rsidR="00C43E13" w:rsidRPr="003F4E8A" w:rsidRDefault="00B83572" w:rsidP="003F4E8A">
      <w:pPr>
        <w:pStyle w:val="Nadpis1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Lacipil 2 mg, Lacipil 4 mg:</w:t>
      </w:r>
    </w:p>
    <w:p w:rsidR="00C43E13" w:rsidRPr="003F4E8A" w:rsidRDefault="00C43E13" w:rsidP="003F4E8A">
      <w:pPr>
        <w:pStyle w:val="Nadpis1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Dátum prvej registrácie:</w:t>
      </w:r>
      <w:r w:rsidR="00B83572" w:rsidRPr="003F4E8A">
        <w:rPr>
          <w:i w:val="0"/>
          <w:iCs w:val="0"/>
          <w:sz w:val="22"/>
          <w:szCs w:val="22"/>
        </w:rPr>
        <w:t xml:space="preserve"> 10.</w:t>
      </w:r>
      <w:r w:rsidRPr="003F4E8A">
        <w:rPr>
          <w:i w:val="0"/>
          <w:iCs w:val="0"/>
          <w:sz w:val="22"/>
          <w:szCs w:val="22"/>
        </w:rPr>
        <w:t xml:space="preserve"> december </w:t>
      </w:r>
      <w:r w:rsidR="00B83572" w:rsidRPr="003F4E8A">
        <w:rPr>
          <w:i w:val="0"/>
          <w:iCs w:val="0"/>
          <w:sz w:val="22"/>
          <w:szCs w:val="22"/>
        </w:rPr>
        <w:t>1992</w:t>
      </w:r>
    </w:p>
    <w:p w:rsidR="00B83572" w:rsidRPr="003F4E8A" w:rsidRDefault="00C43E13" w:rsidP="003F4E8A">
      <w:pPr>
        <w:pStyle w:val="Nadpis1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Dátum posledného predĺženia registrácie:</w:t>
      </w:r>
      <w:r w:rsidR="00E1024B" w:rsidRPr="003F4E8A">
        <w:rPr>
          <w:i w:val="0"/>
          <w:iCs w:val="0"/>
          <w:sz w:val="22"/>
          <w:szCs w:val="22"/>
        </w:rPr>
        <w:t xml:space="preserve"> bez časového obmedzenia</w:t>
      </w:r>
    </w:p>
    <w:p w:rsidR="00C43E13" w:rsidRPr="003F4E8A" w:rsidRDefault="00C43E13" w:rsidP="003F4E8A">
      <w:pPr>
        <w:pStyle w:val="Nadpis1"/>
        <w:jc w:val="left"/>
        <w:rPr>
          <w:i w:val="0"/>
          <w:iCs w:val="0"/>
          <w:sz w:val="22"/>
          <w:szCs w:val="22"/>
        </w:rPr>
      </w:pPr>
    </w:p>
    <w:p w:rsidR="00C43E13" w:rsidRPr="003F4E8A" w:rsidRDefault="00B83572" w:rsidP="003F4E8A">
      <w:pPr>
        <w:pStyle w:val="Nadpis1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Lacipil 6 mg:</w:t>
      </w:r>
    </w:p>
    <w:p w:rsidR="00C43E13" w:rsidRPr="003F4E8A" w:rsidRDefault="00C43E13" w:rsidP="003F4E8A">
      <w:pPr>
        <w:pStyle w:val="Nadpis1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 xml:space="preserve">Dátum prvej registrácie: </w:t>
      </w:r>
      <w:r w:rsidR="00B83572" w:rsidRPr="003F4E8A">
        <w:rPr>
          <w:i w:val="0"/>
          <w:iCs w:val="0"/>
          <w:sz w:val="22"/>
          <w:szCs w:val="22"/>
        </w:rPr>
        <w:t>14.</w:t>
      </w:r>
      <w:r w:rsidRPr="003F4E8A">
        <w:rPr>
          <w:i w:val="0"/>
          <w:iCs w:val="0"/>
          <w:sz w:val="22"/>
          <w:szCs w:val="22"/>
        </w:rPr>
        <w:t xml:space="preserve"> január </w:t>
      </w:r>
      <w:r w:rsidR="00B83572" w:rsidRPr="003F4E8A">
        <w:rPr>
          <w:i w:val="0"/>
          <w:iCs w:val="0"/>
          <w:sz w:val="22"/>
          <w:szCs w:val="22"/>
        </w:rPr>
        <w:t>2005</w:t>
      </w:r>
    </w:p>
    <w:p w:rsidR="00B83572" w:rsidRPr="003F4E8A" w:rsidRDefault="00C43E13" w:rsidP="003F4E8A">
      <w:pPr>
        <w:pStyle w:val="Nadpis1"/>
        <w:jc w:val="left"/>
        <w:rPr>
          <w:i w:val="0"/>
          <w:iCs w:val="0"/>
          <w:sz w:val="22"/>
          <w:szCs w:val="22"/>
        </w:rPr>
      </w:pPr>
      <w:r w:rsidRPr="003F4E8A">
        <w:rPr>
          <w:i w:val="0"/>
          <w:iCs w:val="0"/>
          <w:sz w:val="22"/>
          <w:szCs w:val="22"/>
        </w:rPr>
        <w:t>Dátum posledného predĺženia registrácie:</w:t>
      </w:r>
      <w:r w:rsidR="00E1024B" w:rsidRPr="003F4E8A">
        <w:rPr>
          <w:i w:val="0"/>
          <w:iCs w:val="0"/>
          <w:sz w:val="22"/>
          <w:szCs w:val="22"/>
        </w:rPr>
        <w:t xml:space="preserve"> bez časového obmedzenia</w:t>
      </w:r>
    </w:p>
    <w:p w:rsidR="00B83572" w:rsidRPr="003F4E8A" w:rsidRDefault="00B83572" w:rsidP="003F4E8A">
      <w:pPr>
        <w:rPr>
          <w:sz w:val="22"/>
          <w:szCs w:val="22"/>
        </w:rPr>
      </w:pPr>
    </w:p>
    <w:p w:rsidR="00B83572" w:rsidRPr="003F4E8A" w:rsidRDefault="00B83572" w:rsidP="003F4E8A">
      <w:pPr>
        <w:rPr>
          <w:sz w:val="22"/>
          <w:szCs w:val="22"/>
        </w:rPr>
      </w:pPr>
    </w:p>
    <w:p w:rsidR="00B83572" w:rsidRPr="003F4E8A" w:rsidRDefault="00B83572" w:rsidP="003F4E8A">
      <w:pPr>
        <w:pStyle w:val="Nadpis1"/>
        <w:jc w:val="left"/>
        <w:rPr>
          <w:b/>
          <w:bCs/>
          <w:i w:val="0"/>
          <w:iCs w:val="0"/>
          <w:sz w:val="22"/>
          <w:szCs w:val="22"/>
        </w:rPr>
      </w:pPr>
      <w:r w:rsidRPr="003F4E8A">
        <w:rPr>
          <w:b/>
          <w:bCs/>
          <w:i w:val="0"/>
          <w:iCs w:val="0"/>
          <w:sz w:val="22"/>
          <w:szCs w:val="22"/>
        </w:rPr>
        <w:t>10.</w:t>
      </w:r>
      <w:r w:rsidRPr="003F4E8A">
        <w:rPr>
          <w:b/>
          <w:bCs/>
          <w:i w:val="0"/>
          <w:iCs w:val="0"/>
          <w:sz w:val="22"/>
          <w:szCs w:val="22"/>
        </w:rPr>
        <w:tab/>
      </w:r>
      <w:r w:rsidRPr="003F4E8A">
        <w:rPr>
          <w:b/>
          <w:bCs/>
          <w:i w:val="0"/>
          <w:iCs w:val="0"/>
          <w:caps/>
          <w:sz w:val="22"/>
          <w:szCs w:val="22"/>
        </w:rPr>
        <w:t>Dátum revízie textu</w:t>
      </w:r>
    </w:p>
    <w:p w:rsidR="00B83572" w:rsidRPr="003F4E8A" w:rsidRDefault="00B83572" w:rsidP="003F4E8A">
      <w:pPr>
        <w:rPr>
          <w:sz w:val="22"/>
          <w:szCs w:val="22"/>
        </w:rPr>
      </w:pPr>
    </w:p>
    <w:p w:rsidR="00B83572" w:rsidRPr="00B947FD" w:rsidRDefault="000073A7" w:rsidP="008223F7">
      <w:pPr>
        <w:rPr>
          <w:sz w:val="22"/>
          <w:szCs w:val="22"/>
        </w:rPr>
      </w:pPr>
      <w:r>
        <w:rPr>
          <w:sz w:val="22"/>
          <w:szCs w:val="22"/>
        </w:rPr>
        <w:t>12/2018</w:t>
      </w:r>
    </w:p>
    <w:sectPr w:rsidR="00B83572" w:rsidRPr="00B947FD" w:rsidSect="001333E9">
      <w:headerReference w:type="default" r:id="rId9"/>
      <w:footerReference w:type="even" r:id="rId10"/>
      <w:footerReference w:type="default" r:id="rId11"/>
      <w:pgSz w:w="11907" w:h="16840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C5B" w:rsidRDefault="00232C5B">
      <w:r>
        <w:separator/>
      </w:r>
    </w:p>
  </w:endnote>
  <w:endnote w:type="continuationSeparator" w:id="0">
    <w:p w:rsidR="00232C5B" w:rsidRDefault="00232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FD3" w:rsidRDefault="00457FD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457FD3" w:rsidRDefault="00457FD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FD3" w:rsidRDefault="00457FD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F626CB">
      <w:rPr>
        <w:rStyle w:val="slostrany"/>
        <w:noProof/>
      </w:rPr>
      <w:t>7</w:t>
    </w:r>
    <w:r>
      <w:rPr>
        <w:rStyle w:val="slostrany"/>
      </w:rPr>
      <w:fldChar w:fldCharType="end"/>
    </w:r>
  </w:p>
  <w:p w:rsidR="00457FD3" w:rsidRDefault="00457FD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C5B" w:rsidRDefault="00232C5B">
      <w:r>
        <w:separator/>
      </w:r>
    </w:p>
  </w:footnote>
  <w:footnote w:type="continuationSeparator" w:id="0">
    <w:p w:rsidR="00232C5B" w:rsidRDefault="00232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4E0" w:rsidRPr="007C47C6" w:rsidRDefault="00C854E0" w:rsidP="00C854E0">
    <w:pPr>
      <w:pStyle w:val="Nadpis1"/>
      <w:keepNext w:val="0"/>
      <w:widowControl w:val="0"/>
      <w:rPr>
        <w:i w:val="0"/>
        <w:iCs w:val="0"/>
        <w:sz w:val="16"/>
        <w:szCs w:val="16"/>
      </w:rPr>
    </w:pPr>
    <w:r w:rsidRPr="00C854E0">
      <w:rPr>
        <w:i w:val="0"/>
        <w:iCs w:val="0"/>
        <w:color w:val="000000"/>
        <w:kern w:val="32"/>
        <w:lang w:eastAsia="x-none"/>
      </w:rPr>
      <w:t>Schválený text k</w:t>
    </w:r>
    <w:r>
      <w:rPr>
        <w:i w:val="0"/>
        <w:iCs w:val="0"/>
        <w:color w:val="000000"/>
        <w:kern w:val="32"/>
        <w:lang w:eastAsia="x-none"/>
      </w:rPr>
      <w:t> </w:t>
    </w:r>
    <w:r w:rsidRPr="00C854E0">
      <w:rPr>
        <w:i w:val="0"/>
        <w:iCs w:val="0"/>
        <w:color w:val="000000"/>
        <w:kern w:val="32"/>
        <w:lang w:eastAsia="x-none"/>
      </w:rPr>
      <w:t>rozhodnutiu</w:t>
    </w:r>
    <w:r>
      <w:rPr>
        <w:i w:val="0"/>
        <w:iCs w:val="0"/>
        <w:color w:val="000000"/>
        <w:kern w:val="32"/>
        <w:lang w:eastAsia="x-none"/>
      </w:rPr>
      <w:t xml:space="preserve"> o prevode, ev. č.:</w:t>
    </w:r>
    <w:r w:rsidR="00BD2B2A">
      <w:rPr>
        <w:i w:val="0"/>
        <w:iCs w:val="0"/>
        <w:color w:val="000000"/>
        <w:kern w:val="32"/>
        <w:lang w:eastAsia="x-none"/>
      </w:rPr>
      <w:t>2</w:t>
    </w:r>
    <w:r w:rsidR="001333E9">
      <w:rPr>
        <w:i w:val="0"/>
        <w:iCs w:val="0"/>
        <w:color w:val="000000"/>
        <w:kern w:val="32"/>
        <w:lang w:eastAsia="x-none"/>
      </w:rPr>
      <w:t>018/07343-TR, 2018/07344-TR</w:t>
    </w:r>
    <w:r>
      <w:rPr>
        <w:i w:val="0"/>
        <w:iCs w:val="0"/>
        <w:color w:val="000000"/>
        <w:kern w:val="32"/>
        <w:lang w:eastAsia="x-none"/>
      </w:rPr>
      <w:t xml:space="preserve"> </w:t>
    </w:r>
  </w:p>
  <w:p w:rsidR="00C854E0" w:rsidRDefault="00C854E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F45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ADC375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FA36CB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AF6"/>
    <w:rsid w:val="000026B0"/>
    <w:rsid w:val="000060F3"/>
    <w:rsid w:val="00007303"/>
    <w:rsid w:val="000073A7"/>
    <w:rsid w:val="000161C1"/>
    <w:rsid w:val="00026FED"/>
    <w:rsid w:val="000313AE"/>
    <w:rsid w:val="00037618"/>
    <w:rsid w:val="00042EBA"/>
    <w:rsid w:val="00055A09"/>
    <w:rsid w:val="00070160"/>
    <w:rsid w:val="000778AE"/>
    <w:rsid w:val="000865E6"/>
    <w:rsid w:val="000A17B8"/>
    <w:rsid w:val="000B2304"/>
    <w:rsid w:val="000F52FB"/>
    <w:rsid w:val="0010318D"/>
    <w:rsid w:val="00110AFE"/>
    <w:rsid w:val="00116571"/>
    <w:rsid w:val="00117485"/>
    <w:rsid w:val="00122AFC"/>
    <w:rsid w:val="001333E9"/>
    <w:rsid w:val="00144692"/>
    <w:rsid w:val="00145604"/>
    <w:rsid w:val="0015468D"/>
    <w:rsid w:val="00156D6F"/>
    <w:rsid w:val="00186E85"/>
    <w:rsid w:val="00190C2A"/>
    <w:rsid w:val="00195DCA"/>
    <w:rsid w:val="001A184E"/>
    <w:rsid w:val="001A2724"/>
    <w:rsid w:val="001A33F0"/>
    <w:rsid w:val="001A4649"/>
    <w:rsid w:val="001A5112"/>
    <w:rsid w:val="001A64FE"/>
    <w:rsid w:val="001D6EA7"/>
    <w:rsid w:val="001F0792"/>
    <w:rsid w:val="00201752"/>
    <w:rsid w:val="00210211"/>
    <w:rsid w:val="00210D60"/>
    <w:rsid w:val="00211A9A"/>
    <w:rsid w:val="002142BE"/>
    <w:rsid w:val="00216169"/>
    <w:rsid w:val="00216E61"/>
    <w:rsid w:val="0022705A"/>
    <w:rsid w:val="002275CF"/>
    <w:rsid w:val="00232C5B"/>
    <w:rsid w:val="00235F50"/>
    <w:rsid w:val="002508AD"/>
    <w:rsid w:val="0025182D"/>
    <w:rsid w:val="002773CA"/>
    <w:rsid w:val="00277EC1"/>
    <w:rsid w:val="00284F0E"/>
    <w:rsid w:val="00286677"/>
    <w:rsid w:val="0028685E"/>
    <w:rsid w:val="00286F3B"/>
    <w:rsid w:val="002950AF"/>
    <w:rsid w:val="002A1694"/>
    <w:rsid w:val="002A2276"/>
    <w:rsid w:val="002B11FD"/>
    <w:rsid w:val="002B163D"/>
    <w:rsid w:val="002B3C41"/>
    <w:rsid w:val="002C0A1D"/>
    <w:rsid w:val="002C2B4C"/>
    <w:rsid w:val="002D2A61"/>
    <w:rsid w:val="002D35C4"/>
    <w:rsid w:val="002E4DC2"/>
    <w:rsid w:val="002F6BBA"/>
    <w:rsid w:val="00301650"/>
    <w:rsid w:val="00301EBB"/>
    <w:rsid w:val="0031129E"/>
    <w:rsid w:val="00321C54"/>
    <w:rsid w:val="00321E0A"/>
    <w:rsid w:val="0032418A"/>
    <w:rsid w:val="00332FE7"/>
    <w:rsid w:val="00336661"/>
    <w:rsid w:val="00343B03"/>
    <w:rsid w:val="00351142"/>
    <w:rsid w:val="00351899"/>
    <w:rsid w:val="003569FF"/>
    <w:rsid w:val="0036323B"/>
    <w:rsid w:val="003633EA"/>
    <w:rsid w:val="00363CF2"/>
    <w:rsid w:val="0036634A"/>
    <w:rsid w:val="00367172"/>
    <w:rsid w:val="00381CE0"/>
    <w:rsid w:val="0039266C"/>
    <w:rsid w:val="00392F87"/>
    <w:rsid w:val="0039616F"/>
    <w:rsid w:val="003A0ED7"/>
    <w:rsid w:val="003A64CC"/>
    <w:rsid w:val="003B71CB"/>
    <w:rsid w:val="003D4AD3"/>
    <w:rsid w:val="003F0275"/>
    <w:rsid w:val="003F4E8A"/>
    <w:rsid w:val="003F5343"/>
    <w:rsid w:val="004148CE"/>
    <w:rsid w:val="00415D48"/>
    <w:rsid w:val="00420CC0"/>
    <w:rsid w:val="00421A09"/>
    <w:rsid w:val="00433BED"/>
    <w:rsid w:val="00451601"/>
    <w:rsid w:val="00453B88"/>
    <w:rsid w:val="00457FD3"/>
    <w:rsid w:val="00464496"/>
    <w:rsid w:val="00465E62"/>
    <w:rsid w:val="004744F0"/>
    <w:rsid w:val="00483BA2"/>
    <w:rsid w:val="00495A90"/>
    <w:rsid w:val="004A01FB"/>
    <w:rsid w:val="004A52F3"/>
    <w:rsid w:val="004A7F2C"/>
    <w:rsid w:val="004B3D1B"/>
    <w:rsid w:val="004B4638"/>
    <w:rsid w:val="004B7636"/>
    <w:rsid w:val="004D158E"/>
    <w:rsid w:val="004E15F3"/>
    <w:rsid w:val="004E3176"/>
    <w:rsid w:val="004E74CF"/>
    <w:rsid w:val="004F0C42"/>
    <w:rsid w:val="004F2976"/>
    <w:rsid w:val="0052421C"/>
    <w:rsid w:val="00545882"/>
    <w:rsid w:val="0055576D"/>
    <w:rsid w:val="00557D95"/>
    <w:rsid w:val="00560A21"/>
    <w:rsid w:val="005678AC"/>
    <w:rsid w:val="00570AC9"/>
    <w:rsid w:val="00573CF1"/>
    <w:rsid w:val="0057410B"/>
    <w:rsid w:val="005762FD"/>
    <w:rsid w:val="00576615"/>
    <w:rsid w:val="00581401"/>
    <w:rsid w:val="005920B4"/>
    <w:rsid w:val="00595469"/>
    <w:rsid w:val="005B090B"/>
    <w:rsid w:val="005B508D"/>
    <w:rsid w:val="005B71FE"/>
    <w:rsid w:val="005C1052"/>
    <w:rsid w:val="005C4DC2"/>
    <w:rsid w:val="005D1594"/>
    <w:rsid w:val="005F1A5E"/>
    <w:rsid w:val="005F5C89"/>
    <w:rsid w:val="006141F9"/>
    <w:rsid w:val="0061750C"/>
    <w:rsid w:val="00634592"/>
    <w:rsid w:val="00634D5E"/>
    <w:rsid w:val="006350A7"/>
    <w:rsid w:val="00656C6B"/>
    <w:rsid w:val="00662FCA"/>
    <w:rsid w:val="00672E71"/>
    <w:rsid w:val="00681021"/>
    <w:rsid w:val="00691DB9"/>
    <w:rsid w:val="006A4937"/>
    <w:rsid w:val="006A6F58"/>
    <w:rsid w:val="006B7257"/>
    <w:rsid w:val="006E6AD0"/>
    <w:rsid w:val="006F13F5"/>
    <w:rsid w:val="006F171A"/>
    <w:rsid w:val="006F7C05"/>
    <w:rsid w:val="00704137"/>
    <w:rsid w:val="0070431B"/>
    <w:rsid w:val="00706E57"/>
    <w:rsid w:val="007121BD"/>
    <w:rsid w:val="007211D0"/>
    <w:rsid w:val="007242C1"/>
    <w:rsid w:val="0073102F"/>
    <w:rsid w:val="00733C73"/>
    <w:rsid w:val="007357A7"/>
    <w:rsid w:val="00737C3E"/>
    <w:rsid w:val="00743D19"/>
    <w:rsid w:val="00746689"/>
    <w:rsid w:val="00755A06"/>
    <w:rsid w:val="00767552"/>
    <w:rsid w:val="00767667"/>
    <w:rsid w:val="00777F0C"/>
    <w:rsid w:val="00780363"/>
    <w:rsid w:val="00781282"/>
    <w:rsid w:val="00787721"/>
    <w:rsid w:val="00787CC9"/>
    <w:rsid w:val="00793A86"/>
    <w:rsid w:val="00793E4A"/>
    <w:rsid w:val="007978BB"/>
    <w:rsid w:val="007A0F44"/>
    <w:rsid w:val="007A22EF"/>
    <w:rsid w:val="007A5ABF"/>
    <w:rsid w:val="007B2BC1"/>
    <w:rsid w:val="007B3362"/>
    <w:rsid w:val="007B6FEC"/>
    <w:rsid w:val="007C3777"/>
    <w:rsid w:val="007C47C6"/>
    <w:rsid w:val="007D11C5"/>
    <w:rsid w:val="00806173"/>
    <w:rsid w:val="00814537"/>
    <w:rsid w:val="008145BC"/>
    <w:rsid w:val="008152D1"/>
    <w:rsid w:val="00820480"/>
    <w:rsid w:val="008223F7"/>
    <w:rsid w:val="00822437"/>
    <w:rsid w:val="00833E51"/>
    <w:rsid w:val="00834FAD"/>
    <w:rsid w:val="00835C96"/>
    <w:rsid w:val="00843A04"/>
    <w:rsid w:val="00864032"/>
    <w:rsid w:val="00865643"/>
    <w:rsid w:val="00867825"/>
    <w:rsid w:val="008704A5"/>
    <w:rsid w:val="008715A5"/>
    <w:rsid w:val="00874BE9"/>
    <w:rsid w:val="00877077"/>
    <w:rsid w:val="008822D8"/>
    <w:rsid w:val="008961AC"/>
    <w:rsid w:val="008A0231"/>
    <w:rsid w:val="008A459D"/>
    <w:rsid w:val="008A7A16"/>
    <w:rsid w:val="008A7E2B"/>
    <w:rsid w:val="008B2B3E"/>
    <w:rsid w:val="008B4BA1"/>
    <w:rsid w:val="008C0E87"/>
    <w:rsid w:val="008C23D3"/>
    <w:rsid w:val="008C6984"/>
    <w:rsid w:val="008D0E2A"/>
    <w:rsid w:val="008E33C2"/>
    <w:rsid w:val="008F0059"/>
    <w:rsid w:val="00903C85"/>
    <w:rsid w:val="00904162"/>
    <w:rsid w:val="009057E1"/>
    <w:rsid w:val="009110EB"/>
    <w:rsid w:val="00934702"/>
    <w:rsid w:val="00935EC7"/>
    <w:rsid w:val="0094544C"/>
    <w:rsid w:val="00962F7E"/>
    <w:rsid w:val="00966DBC"/>
    <w:rsid w:val="00972F0E"/>
    <w:rsid w:val="00976D2E"/>
    <w:rsid w:val="00977D25"/>
    <w:rsid w:val="00985E1D"/>
    <w:rsid w:val="00996618"/>
    <w:rsid w:val="009C085D"/>
    <w:rsid w:val="009C3599"/>
    <w:rsid w:val="009D05F6"/>
    <w:rsid w:val="009D6D88"/>
    <w:rsid w:val="009F2A68"/>
    <w:rsid w:val="00A123CD"/>
    <w:rsid w:val="00A144F8"/>
    <w:rsid w:val="00A201BD"/>
    <w:rsid w:val="00A21F73"/>
    <w:rsid w:val="00A22990"/>
    <w:rsid w:val="00A23BA0"/>
    <w:rsid w:val="00A26D56"/>
    <w:rsid w:val="00A32F2D"/>
    <w:rsid w:val="00A33D74"/>
    <w:rsid w:val="00A434F6"/>
    <w:rsid w:val="00A63B11"/>
    <w:rsid w:val="00A73890"/>
    <w:rsid w:val="00A73F2E"/>
    <w:rsid w:val="00A86FD6"/>
    <w:rsid w:val="00AA2873"/>
    <w:rsid w:val="00AA7940"/>
    <w:rsid w:val="00AA7BB9"/>
    <w:rsid w:val="00AB2E38"/>
    <w:rsid w:val="00AB3685"/>
    <w:rsid w:val="00AB562C"/>
    <w:rsid w:val="00AC6242"/>
    <w:rsid w:val="00AD057A"/>
    <w:rsid w:val="00AD205A"/>
    <w:rsid w:val="00AE2EB0"/>
    <w:rsid w:val="00AE732A"/>
    <w:rsid w:val="00AF515C"/>
    <w:rsid w:val="00AF67FE"/>
    <w:rsid w:val="00B05AFB"/>
    <w:rsid w:val="00B20456"/>
    <w:rsid w:val="00B27AE0"/>
    <w:rsid w:val="00B331F7"/>
    <w:rsid w:val="00B35196"/>
    <w:rsid w:val="00B42F2F"/>
    <w:rsid w:val="00B54256"/>
    <w:rsid w:val="00B6694E"/>
    <w:rsid w:val="00B82CD1"/>
    <w:rsid w:val="00B83572"/>
    <w:rsid w:val="00B85794"/>
    <w:rsid w:val="00B947FD"/>
    <w:rsid w:val="00BB7E7D"/>
    <w:rsid w:val="00BC0CF0"/>
    <w:rsid w:val="00BC2CB9"/>
    <w:rsid w:val="00BD2B2A"/>
    <w:rsid w:val="00BD5899"/>
    <w:rsid w:val="00BE5A90"/>
    <w:rsid w:val="00BF7B85"/>
    <w:rsid w:val="00C05C71"/>
    <w:rsid w:val="00C24827"/>
    <w:rsid w:val="00C32FFB"/>
    <w:rsid w:val="00C347A6"/>
    <w:rsid w:val="00C41C38"/>
    <w:rsid w:val="00C43E13"/>
    <w:rsid w:val="00C456D4"/>
    <w:rsid w:val="00C534E0"/>
    <w:rsid w:val="00C67F83"/>
    <w:rsid w:val="00C7352F"/>
    <w:rsid w:val="00C83938"/>
    <w:rsid w:val="00C854E0"/>
    <w:rsid w:val="00C931E1"/>
    <w:rsid w:val="00C94417"/>
    <w:rsid w:val="00CA61C9"/>
    <w:rsid w:val="00CB5094"/>
    <w:rsid w:val="00CC2DB3"/>
    <w:rsid w:val="00CC560E"/>
    <w:rsid w:val="00CC5CE8"/>
    <w:rsid w:val="00CD71EC"/>
    <w:rsid w:val="00D07146"/>
    <w:rsid w:val="00D12F5E"/>
    <w:rsid w:val="00D15E37"/>
    <w:rsid w:val="00D17FAB"/>
    <w:rsid w:val="00D22160"/>
    <w:rsid w:val="00D31A5A"/>
    <w:rsid w:val="00D323AF"/>
    <w:rsid w:val="00D375D5"/>
    <w:rsid w:val="00D62957"/>
    <w:rsid w:val="00D702F6"/>
    <w:rsid w:val="00D95564"/>
    <w:rsid w:val="00DB77E7"/>
    <w:rsid w:val="00DC09D1"/>
    <w:rsid w:val="00DC13BE"/>
    <w:rsid w:val="00DD1271"/>
    <w:rsid w:val="00DD1FDE"/>
    <w:rsid w:val="00DD407D"/>
    <w:rsid w:val="00DE3FDD"/>
    <w:rsid w:val="00DE5496"/>
    <w:rsid w:val="00E00068"/>
    <w:rsid w:val="00E1024B"/>
    <w:rsid w:val="00E149CA"/>
    <w:rsid w:val="00E214F4"/>
    <w:rsid w:val="00E22F4F"/>
    <w:rsid w:val="00E319DD"/>
    <w:rsid w:val="00E332F0"/>
    <w:rsid w:val="00E34A6D"/>
    <w:rsid w:val="00E42A9B"/>
    <w:rsid w:val="00E4467D"/>
    <w:rsid w:val="00E470EA"/>
    <w:rsid w:val="00E47957"/>
    <w:rsid w:val="00E51C7C"/>
    <w:rsid w:val="00E532BA"/>
    <w:rsid w:val="00E53E43"/>
    <w:rsid w:val="00E60F5F"/>
    <w:rsid w:val="00E63776"/>
    <w:rsid w:val="00E72FDA"/>
    <w:rsid w:val="00E862A9"/>
    <w:rsid w:val="00E90373"/>
    <w:rsid w:val="00E912F7"/>
    <w:rsid w:val="00E91AAD"/>
    <w:rsid w:val="00E9380D"/>
    <w:rsid w:val="00E94B3A"/>
    <w:rsid w:val="00E95AF6"/>
    <w:rsid w:val="00EB3EA4"/>
    <w:rsid w:val="00EC1DE5"/>
    <w:rsid w:val="00EC7AAF"/>
    <w:rsid w:val="00ED0244"/>
    <w:rsid w:val="00ED794B"/>
    <w:rsid w:val="00EE050C"/>
    <w:rsid w:val="00EE0E77"/>
    <w:rsid w:val="00EE1E4E"/>
    <w:rsid w:val="00EE3BBF"/>
    <w:rsid w:val="00EE7B1F"/>
    <w:rsid w:val="00EF05B5"/>
    <w:rsid w:val="00EF105B"/>
    <w:rsid w:val="00EF7F27"/>
    <w:rsid w:val="00F16B0F"/>
    <w:rsid w:val="00F240D9"/>
    <w:rsid w:val="00F248C5"/>
    <w:rsid w:val="00F41751"/>
    <w:rsid w:val="00F626CB"/>
    <w:rsid w:val="00F656ED"/>
    <w:rsid w:val="00F65EED"/>
    <w:rsid w:val="00F77381"/>
    <w:rsid w:val="00F77783"/>
    <w:rsid w:val="00F93B69"/>
    <w:rsid w:val="00F96934"/>
    <w:rsid w:val="00FA4EBC"/>
    <w:rsid w:val="00FB24AD"/>
    <w:rsid w:val="00FB4128"/>
    <w:rsid w:val="00FB4704"/>
    <w:rsid w:val="00FB5C29"/>
    <w:rsid w:val="00FC1C97"/>
    <w:rsid w:val="00FD0B5B"/>
    <w:rsid w:val="00FD2130"/>
    <w:rsid w:val="00FE2548"/>
    <w:rsid w:val="00FE4C7E"/>
    <w:rsid w:val="00FE6806"/>
    <w:rsid w:val="00FF354A"/>
    <w:rsid w:val="00FF6AC7"/>
    <w:rsid w:val="00FF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B41155-3C1B-4C85-BCC2-03FF1DE7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3" w:locked="1"/>
    <w:lsdException w:name="Hyperlink" w:uiPriority="99"/>
    <w:lsdException w:name="Strong" w:locked="1" w:qFormat="1"/>
    <w:lsdException w:name="Emphasis" w:locked="1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21A09"/>
    <w:rPr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421A09"/>
    <w:pPr>
      <w:keepNext/>
      <w:jc w:val="both"/>
      <w:outlineLvl w:val="0"/>
    </w:pPr>
    <w:rPr>
      <w:i/>
      <w:iCs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EE050C"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paragraph" w:customStyle="1" w:styleId="Normal1li">
    <w:name w:val="Normal 1li"/>
    <w:basedOn w:val="Normlny"/>
    <w:rsid w:val="00421A09"/>
    <w:pPr>
      <w:widowControl w:val="0"/>
      <w:spacing w:before="240"/>
    </w:pPr>
    <w:rPr>
      <w:sz w:val="24"/>
      <w:szCs w:val="24"/>
    </w:rPr>
  </w:style>
  <w:style w:type="paragraph" w:styleId="Pta">
    <w:name w:val="footer"/>
    <w:basedOn w:val="Normlny"/>
    <w:link w:val="PtaChar"/>
    <w:rsid w:val="00421A09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semiHidden/>
    <w:locked/>
    <w:rsid w:val="00EE050C"/>
    <w:rPr>
      <w:rFonts w:cs="Times New Roman"/>
      <w:lang w:val="x-none" w:eastAsia="en-US"/>
    </w:rPr>
  </w:style>
  <w:style w:type="character" w:styleId="slostrany">
    <w:name w:val="page number"/>
    <w:rsid w:val="00421A09"/>
    <w:rPr>
      <w:rFonts w:cs="Times New Roman"/>
    </w:rPr>
  </w:style>
  <w:style w:type="paragraph" w:styleId="Zkladntext">
    <w:name w:val="Body Text"/>
    <w:basedOn w:val="Normlny"/>
    <w:link w:val="ZkladntextChar"/>
    <w:rsid w:val="00421A09"/>
    <w:rPr>
      <w:rFonts w:ascii="Arial" w:hAnsi="Arial" w:cs="Arial"/>
      <w:color w:val="0000FF"/>
    </w:rPr>
  </w:style>
  <w:style w:type="character" w:customStyle="1" w:styleId="ZkladntextChar">
    <w:name w:val="Základný text Char"/>
    <w:link w:val="Zkladntext"/>
    <w:semiHidden/>
    <w:locked/>
    <w:rsid w:val="00EE050C"/>
    <w:rPr>
      <w:rFonts w:cs="Times New Roman"/>
      <w:lang w:val="x-none" w:eastAsia="en-US"/>
    </w:rPr>
  </w:style>
  <w:style w:type="paragraph" w:styleId="Hlavika">
    <w:name w:val="header"/>
    <w:basedOn w:val="Normlny"/>
    <w:link w:val="HlavikaChar"/>
    <w:rsid w:val="00FB4128"/>
    <w:pPr>
      <w:tabs>
        <w:tab w:val="center" w:pos="4320"/>
        <w:tab w:val="right" w:pos="8640"/>
      </w:tabs>
    </w:pPr>
  </w:style>
  <w:style w:type="character" w:customStyle="1" w:styleId="HlavikaChar">
    <w:name w:val="Hlavička Char"/>
    <w:link w:val="Hlavika"/>
    <w:semiHidden/>
    <w:locked/>
    <w:rsid w:val="00EE050C"/>
    <w:rPr>
      <w:rFonts w:cs="Times New Roman"/>
      <w:lang w:val="x-none" w:eastAsia="en-US"/>
    </w:rPr>
  </w:style>
  <w:style w:type="paragraph" w:styleId="Textbubliny">
    <w:name w:val="Balloon Text"/>
    <w:basedOn w:val="Normlny"/>
    <w:link w:val="TextbublinyChar"/>
    <w:semiHidden/>
    <w:rsid w:val="00343B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EE050C"/>
    <w:rPr>
      <w:rFonts w:cs="Times New Roman"/>
      <w:sz w:val="2"/>
      <w:szCs w:val="2"/>
      <w:lang w:val="x-none" w:eastAsia="en-US"/>
    </w:rPr>
  </w:style>
  <w:style w:type="paragraph" w:styleId="Zkladntext3">
    <w:name w:val="Body Text 3"/>
    <w:basedOn w:val="Normlny"/>
    <w:link w:val="Zkladntext3Char"/>
    <w:rsid w:val="00343B03"/>
    <w:pPr>
      <w:spacing w:line="312" w:lineRule="atLeast"/>
    </w:pPr>
    <w:rPr>
      <w:color w:val="000000"/>
      <w:sz w:val="24"/>
      <w:szCs w:val="24"/>
      <w:lang w:val="en-GB"/>
    </w:rPr>
  </w:style>
  <w:style w:type="character" w:customStyle="1" w:styleId="Zkladntext3Char">
    <w:name w:val="Základný text 3 Char"/>
    <w:link w:val="Zkladntext3"/>
    <w:semiHidden/>
    <w:locked/>
    <w:rsid w:val="00EE050C"/>
    <w:rPr>
      <w:rFonts w:cs="Times New Roman"/>
      <w:sz w:val="16"/>
      <w:szCs w:val="16"/>
      <w:lang w:val="x-none" w:eastAsia="en-US"/>
    </w:rPr>
  </w:style>
  <w:style w:type="paragraph" w:customStyle="1" w:styleId="CharChar">
    <w:name w:val="Char Char"/>
    <w:basedOn w:val="Normlny"/>
    <w:rsid w:val="00286F3B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SimSun" w:hAnsi="Verdana" w:cs="Verdana"/>
      <w:lang w:val="en-US" w:eastAsia="zh-CN"/>
    </w:rPr>
  </w:style>
  <w:style w:type="paragraph" w:styleId="Revzia">
    <w:name w:val="Revision"/>
    <w:hidden/>
    <w:uiPriority w:val="99"/>
    <w:semiHidden/>
    <w:rsid w:val="009057E1"/>
    <w:rPr>
      <w:lang w:eastAsia="en-US"/>
    </w:rPr>
  </w:style>
  <w:style w:type="character" w:styleId="Hypertextovprepojenie">
    <w:name w:val="Hyperlink"/>
    <w:uiPriority w:val="99"/>
    <w:rsid w:val="006B72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6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B991F-B418-4555-9924-8F5F05802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2008</Words>
  <Characters>11451</Characters>
  <Application>Microsoft Office Word</Application>
  <DocSecurity>0</DocSecurity>
  <Lines>95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GlaxoSmithKline</Company>
  <LinksUpToDate>false</LinksUpToDate>
  <CharactersWithSpaces>13433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subject/>
  <dc:creator>GlaxoWellcome</dc:creator>
  <cp:keywords/>
  <cp:lastModifiedBy>Kuziaková, Marianna</cp:lastModifiedBy>
  <cp:revision>2</cp:revision>
  <cp:lastPrinted>2008-09-23T07:15:00Z</cp:lastPrinted>
  <dcterms:created xsi:type="dcterms:W3CDTF">2018-12-11T12:01:00Z</dcterms:created>
  <dcterms:modified xsi:type="dcterms:W3CDTF">2018-12-11T12:01:00Z</dcterms:modified>
</cp:coreProperties>
</file>