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297B2" w14:textId="77777777" w:rsidR="004033FE" w:rsidRDefault="004033FE" w:rsidP="004568C3">
      <w:pPr>
        <w:tabs>
          <w:tab w:val="left" w:pos="0"/>
        </w:tabs>
        <w:spacing w:before="54"/>
        <w:jc w:val="center"/>
        <w:rPr>
          <w:rFonts w:ascii="Times New Roman" w:eastAsia="Times New Roman" w:hAnsi="Times New Roman" w:cs="Times New Roman"/>
          <w:b/>
          <w:lang w:val="sk-SK"/>
        </w:rPr>
      </w:pPr>
      <w:r w:rsidRPr="004033FE">
        <w:rPr>
          <w:rFonts w:ascii="Times New Roman" w:eastAsia="Times New Roman" w:hAnsi="Times New Roman" w:cs="Times New Roman"/>
          <w:b/>
          <w:lang w:val="sk-SK"/>
        </w:rPr>
        <w:t>SÚHRN CHARAKTERISTICKÝCH VLASTNOSTÍ LIEKU</w:t>
      </w:r>
    </w:p>
    <w:p w14:paraId="64124B53" w14:textId="77777777" w:rsidR="004033FE" w:rsidRDefault="004033FE" w:rsidP="004568C3">
      <w:pPr>
        <w:tabs>
          <w:tab w:val="left" w:pos="0"/>
        </w:tabs>
        <w:spacing w:before="54"/>
        <w:jc w:val="center"/>
        <w:rPr>
          <w:rFonts w:ascii="Times New Roman" w:eastAsia="Times New Roman" w:hAnsi="Times New Roman" w:cs="Times New Roman"/>
          <w:b/>
          <w:lang w:val="sk-SK"/>
        </w:rPr>
      </w:pPr>
    </w:p>
    <w:p w14:paraId="2CE089D2" w14:textId="77777777" w:rsidR="004033FE" w:rsidRPr="004033FE" w:rsidRDefault="004033FE" w:rsidP="004568C3">
      <w:pPr>
        <w:tabs>
          <w:tab w:val="left" w:pos="0"/>
        </w:tabs>
        <w:spacing w:before="54"/>
        <w:jc w:val="center"/>
        <w:rPr>
          <w:rFonts w:ascii="Times New Roman" w:eastAsia="Times New Roman" w:hAnsi="Times New Roman" w:cs="Times New Roman"/>
          <w:b/>
          <w:lang w:val="sk-SK"/>
        </w:rPr>
      </w:pPr>
    </w:p>
    <w:p w14:paraId="3D13FF87" w14:textId="77777777" w:rsidR="00AF2C33" w:rsidRPr="00D45D95" w:rsidRDefault="008174E0" w:rsidP="004568C3">
      <w:pPr>
        <w:numPr>
          <w:ilvl w:val="0"/>
          <w:numId w:val="13"/>
        </w:numPr>
        <w:tabs>
          <w:tab w:val="left" w:pos="0"/>
        </w:tabs>
        <w:spacing w:before="54"/>
        <w:ind w:left="0" w:firstLine="0"/>
        <w:jc w:val="left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b/>
          <w:spacing w:val="-1"/>
          <w:lang w:val="sk-SK"/>
        </w:rPr>
        <w:t>NÁZOV LIEKU</w:t>
      </w:r>
    </w:p>
    <w:p w14:paraId="433EA766" w14:textId="77777777" w:rsidR="00AF2C33" w:rsidRPr="00D45D95" w:rsidRDefault="00AF2C33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55A8C739" w14:textId="77777777" w:rsidR="008477A4" w:rsidRDefault="003C1EF3" w:rsidP="004568C3">
      <w:pPr>
        <w:pStyle w:val="Zkladntext"/>
        <w:tabs>
          <w:tab w:val="left" w:pos="0"/>
        </w:tabs>
        <w:ind w:left="0"/>
        <w:rPr>
          <w:rFonts w:cs="Times New Roman"/>
          <w:spacing w:val="-1"/>
          <w:lang w:val="sk-SK"/>
        </w:rPr>
      </w:pPr>
      <w:r w:rsidRPr="00D45D95">
        <w:rPr>
          <w:rFonts w:cs="Times New Roman"/>
          <w:spacing w:val="-1"/>
          <w:lang w:val="sk-SK"/>
        </w:rPr>
        <w:t>Gefitinib Synthon</w:t>
      </w:r>
      <w:r w:rsidR="008174E0" w:rsidRPr="00D45D95">
        <w:rPr>
          <w:rFonts w:cs="Times New Roman"/>
          <w:spacing w:val="-1"/>
          <w:lang w:val="sk-SK"/>
        </w:rPr>
        <w:t xml:space="preserve"> 250</w:t>
      </w:r>
      <w:r w:rsidR="008174E0" w:rsidRPr="00D45D95">
        <w:rPr>
          <w:rFonts w:cs="Times New Roman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 xml:space="preserve">mg </w:t>
      </w:r>
    </w:p>
    <w:p w14:paraId="46EFC760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filmom obalené tablety</w:t>
      </w:r>
    </w:p>
    <w:p w14:paraId="77C07667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2D8B4707" w14:textId="77777777" w:rsidR="00AF2C33" w:rsidRPr="00D45D95" w:rsidRDefault="00AF2C33" w:rsidP="004568C3">
      <w:pPr>
        <w:tabs>
          <w:tab w:val="left" w:pos="0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14:paraId="5330A9E3" w14:textId="77777777" w:rsidR="00AF2C33" w:rsidRPr="00D45D95" w:rsidRDefault="008174E0" w:rsidP="004568C3">
      <w:pPr>
        <w:pStyle w:val="Nadpis1"/>
        <w:numPr>
          <w:ilvl w:val="0"/>
          <w:numId w:val="13"/>
        </w:numPr>
        <w:tabs>
          <w:tab w:val="left" w:pos="0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KVALITATÍVNE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KVANTITATÍVNE ZLOŽENIE</w:t>
      </w:r>
    </w:p>
    <w:p w14:paraId="0CF25B36" w14:textId="77777777" w:rsidR="00AF2C33" w:rsidRPr="00D45D95" w:rsidRDefault="00AF2C33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48A1CFC1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Každá tableta obsahuje 250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mg gefitinibu.</w:t>
      </w:r>
    </w:p>
    <w:p w14:paraId="02ABEE3E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18DF6CCF" w14:textId="77777777" w:rsidR="00D45D95" w:rsidRPr="004033FE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4033FE">
        <w:rPr>
          <w:rFonts w:cs="Times New Roman"/>
          <w:spacing w:val="-1"/>
          <w:u w:val="single" w:color="000000"/>
          <w:lang w:val="sk-SK"/>
        </w:rPr>
        <w:t xml:space="preserve">Pomocná látka so známym </w:t>
      </w:r>
      <w:r w:rsidRPr="004033FE">
        <w:rPr>
          <w:rFonts w:cs="Times New Roman"/>
          <w:spacing w:val="-2"/>
          <w:u w:val="single" w:color="000000"/>
          <w:lang w:val="sk-SK"/>
        </w:rPr>
        <w:t>účinkom</w:t>
      </w:r>
      <w:r w:rsidRPr="004033FE">
        <w:rPr>
          <w:rFonts w:cs="Times New Roman"/>
          <w:spacing w:val="-2"/>
          <w:lang w:val="sk-SK"/>
        </w:rPr>
        <w:t>:</w:t>
      </w:r>
      <w:r w:rsidRPr="004033FE">
        <w:rPr>
          <w:rFonts w:cs="Times New Roman"/>
          <w:lang w:val="sk-SK"/>
        </w:rPr>
        <w:t xml:space="preserve"> </w:t>
      </w:r>
    </w:p>
    <w:p w14:paraId="4E5E0217" w14:textId="77777777" w:rsidR="00AF2C33" w:rsidRPr="004033FE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4033FE">
        <w:rPr>
          <w:rFonts w:cs="Times New Roman"/>
          <w:lang w:val="sk-SK"/>
        </w:rPr>
        <w:t xml:space="preserve">Každá </w:t>
      </w:r>
      <w:r w:rsidRPr="004033FE">
        <w:rPr>
          <w:rFonts w:cs="Times New Roman"/>
          <w:spacing w:val="-1"/>
          <w:lang w:val="sk-SK"/>
        </w:rPr>
        <w:t>tableta obsahuje 163,5 mg laktózy (vo forme</w:t>
      </w:r>
      <w:r w:rsidRPr="004033FE">
        <w:rPr>
          <w:rFonts w:cs="Times New Roman"/>
          <w:spacing w:val="22"/>
          <w:lang w:val="sk-SK"/>
        </w:rPr>
        <w:t xml:space="preserve"> </w:t>
      </w:r>
      <w:r w:rsidRPr="004033FE">
        <w:rPr>
          <w:rFonts w:cs="Times New Roman"/>
          <w:spacing w:val="-1"/>
          <w:lang w:val="sk-SK"/>
        </w:rPr>
        <w:t>monohydrátu).</w:t>
      </w:r>
    </w:p>
    <w:p w14:paraId="07830260" w14:textId="0FAE5C07" w:rsidR="00AF2C33" w:rsidRPr="004033FE" w:rsidRDefault="00D45D95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  <w:r w:rsidRPr="004033FE">
        <w:rPr>
          <w:rFonts w:ascii="Times New Roman" w:eastAsia="Times New Roman" w:hAnsi="Times New Roman" w:cs="Times New Roman"/>
          <w:lang w:val="sk-SK"/>
        </w:rPr>
        <w:t>Každá tableta obsahuje 1,9 mg sodíka.</w:t>
      </w:r>
    </w:p>
    <w:p w14:paraId="47FEE46E" w14:textId="77777777" w:rsidR="00D45D95" w:rsidRPr="004033FE" w:rsidRDefault="00D45D95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188E3BB6" w14:textId="77777777" w:rsidR="00AF2C33" w:rsidRPr="004033FE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4033FE">
        <w:rPr>
          <w:rFonts w:cs="Times New Roman"/>
          <w:spacing w:val="-1"/>
          <w:lang w:val="sk-SK"/>
        </w:rPr>
        <w:t>Úplný zoznam pomocných látok, pozri časť</w:t>
      </w:r>
      <w:r w:rsidRPr="004033FE">
        <w:rPr>
          <w:rFonts w:cs="Times New Roman"/>
          <w:spacing w:val="-2"/>
          <w:lang w:val="sk-SK"/>
        </w:rPr>
        <w:t xml:space="preserve"> </w:t>
      </w:r>
      <w:r w:rsidRPr="004033FE">
        <w:rPr>
          <w:rFonts w:cs="Times New Roman"/>
          <w:lang w:val="sk-SK"/>
        </w:rPr>
        <w:t>6.1.</w:t>
      </w:r>
    </w:p>
    <w:p w14:paraId="2395703D" w14:textId="77777777" w:rsidR="00AF2C33" w:rsidRPr="004033FE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36FF93B3" w14:textId="77777777" w:rsidR="00AF2C33" w:rsidRPr="004033FE" w:rsidRDefault="00AF2C33" w:rsidP="004568C3">
      <w:pPr>
        <w:tabs>
          <w:tab w:val="left" w:pos="0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14:paraId="05D21512" w14:textId="77777777" w:rsidR="00AF2C33" w:rsidRPr="004033FE" w:rsidRDefault="008174E0" w:rsidP="004568C3">
      <w:pPr>
        <w:pStyle w:val="Nadpis1"/>
        <w:numPr>
          <w:ilvl w:val="0"/>
          <w:numId w:val="13"/>
        </w:numPr>
        <w:tabs>
          <w:tab w:val="left" w:pos="0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4033FE">
        <w:rPr>
          <w:rFonts w:cs="Times New Roman"/>
          <w:spacing w:val="-1"/>
          <w:lang w:val="sk-SK"/>
        </w:rPr>
        <w:t>LIEKOVÁ FORMA</w:t>
      </w:r>
    </w:p>
    <w:p w14:paraId="677EFB40" w14:textId="77777777" w:rsidR="00AF2C33" w:rsidRPr="004033FE" w:rsidRDefault="00AF2C33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D79AA6F" w14:textId="77777777" w:rsidR="00AF2C33" w:rsidRPr="004033FE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4033FE">
        <w:rPr>
          <w:rFonts w:cs="Times New Roman"/>
          <w:spacing w:val="-1"/>
          <w:lang w:val="sk-SK"/>
        </w:rPr>
        <w:t>Filmom obalen</w:t>
      </w:r>
      <w:r w:rsidR="00D45D95" w:rsidRPr="004033FE">
        <w:rPr>
          <w:rFonts w:cs="Times New Roman"/>
          <w:spacing w:val="-1"/>
          <w:lang w:val="sk-SK"/>
        </w:rPr>
        <w:t>á</w:t>
      </w:r>
      <w:r w:rsidRPr="004033FE">
        <w:rPr>
          <w:rFonts w:cs="Times New Roman"/>
          <w:spacing w:val="-1"/>
          <w:lang w:val="sk-SK"/>
        </w:rPr>
        <w:t xml:space="preserve"> tablet</w:t>
      </w:r>
      <w:r w:rsidR="00D45D95" w:rsidRPr="004033FE">
        <w:rPr>
          <w:rFonts w:cs="Times New Roman"/>
          <w:spacing w:val="-1"/>
          <w:lang w:val="sk-SK"/>
        </w:rPr>
        <w:t>a.</w:t>
      </w:r>
    </w:p>
    <w:p w14:paraId="0F8C122F" w14:textId="77777777" w:rsidR="00AF2C33" w:rsidRPr="004033FE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0BA24ED9" w14:textId="77777777" w:rsidR="00AF2C33" w:rsidRPr="00D45D95" w:rsidRDefault="00D45D95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4033FE">
        <w:rPr>
          <w:rFonts w:cs="Times New Roman"/>
          <w:spacing w:val="-1"/>
          <w:lang w:val="sk-SK"/>
        </w:rPr>
        <w:t>H</w:t>
      </w:r>
      <w:r w:rsidR="008174E0" w:rsidRPr="004033FE">
        <w:rPr>
          <w:rFonts w:cs="Times New Roman"/>
          <w:spacing w:val="-1"/>
          <w:lang w:val="sk-SK"/>
        </w:rPr>
        <w:t xml:space="preserve">nedé, okrúhle, bikonvexné </w:t>
      </w:r>
      <w:r w:rsidRPr="004033FE">
        <w:rPr>
          <w:rFonts w:cs="Times New Roman"/>
          <w:spacing w:val="-1"/>
          <w:lang w:val="sk-SK"/>
        </w:rPr>
        <w:t>obalené tablety (s priemerom približne 11 mm) a</w:t>
      </w:r>
      <w:r w:rsidR="008174E0" w:rsidRPr="004033FE">
        <w:rPr>
          <w:rFonts w:cs="Times New Roman"/>
          <w:spacing w:val="-1"/>
          <w:lang w:val="sk-SK"/>
        </w:rPr>
        <w:t xml:space="preserve"> vyrazeným </w:t>
      </w:r>
      <w:r w:rsidRPr="004033FE">
        <w:rPr>
          <w:rFonts w:cs="Times New Roman"/>
          <w:spacing w:val="-1"/>
          <w:lang w:val="sk-SK"/>
        </w:rPr>
        <w:t>G9FB</w:t>
      </w:r>
      <w:r w:rsidR="008174E0" w:rsidRPr="004033FE">
        <w:rPr>
          <w:rFonts w:cs="Times New Roman"/>
          <w:spacing w:val="-2"/>
          <w:lang w:val="sk-SK"/>
        </w:rPr>
        <w:t xml:space="preserve"> </w:t>
      </w:r>
      <w:r w:rsidR="008174E0" w:rsidRPr="004033FE">
        <w:rPr>
          <w:rFonts w:cs="Times New Roman"/>
          <w:spacing w:val="-1"/>
          <w:lang w:val="sk-SK"/>
        </w:rPr>
        <w:t>250 na jednej strane</w:t>
      </w:r>
      <w:r w:rsidRPr="004033FE">
        <w:rPr>
          <w:rFonts w:cs="Times New Roman"/>
          <w:lang w:val="sk-SK"/>
        </w:rPr>
        <w:t>.</w:t>
      </w:r>
    </w:p>
    <w:p w14:paraId="6CB79007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591D5B65" w14:textId="77777777" w:rsidR="00AF2C33" w:rsidRPr="00D45D95" w:rsidRDefault="00AF2C33" w:rsidP="004568C3">
      <w:pPr>
        <w:tabs>
          <w:tab w:val="left" w:pos="0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14:paraId="56481F76" w14:textId="77777777" w:rsidR="00AF2C33" w:rsidRPr="00D45D95" w:rsidRDefault="008174E0" w:rsidP="004568C3">
      <w:pPr>
        <w:pStyle w:val="Nadpis1"/>
        <w:numPr>
          <w:ilvl w:val="0"/>
          <w:numId w:val="13"/>
        </w:numPr>
        <w:tabs>
          <w:tab w:val="left" w:pos="0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>KLINICKÉ ÚDAJE</w:t>
      </w:r>
    </w:p>
    <w:p w14:paraId="27EBCFAE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b/>
          <w:bCs/>
          <w:lang w:val="sk-SK"/>
        </w:rPr>
      </w:pPr>
    </w:p>
    <w:p w14:paraId="1C8B0993" w14:textId="77777777" w:rsidR="00AF2C33" w:rsidRPr="00D45D95" w:rsidRDefault="008174E0" w:rsidP="004568C3">
      <w:pPr>
        <w:numPr>
          <w:ilvl w:val="1"/>
          <w:numId w:val="13"/>
        </w:numPr>
        <w:tabs>
          <w:tab w:val="left" w:pos="0"/>
        </w:tabs>
        <w:ind w:left="0" w:firstLine="0"/>
        <w:jc w:val="left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b/>
          <w:spacing w:val="-1"/>
          <w:lang w:val="sk-SK"/>
        </w:rPr>
        <w:t>Terapeutické indikácie</w:t>
      </w:r>
    </w:p>
    <w:p w14:paraId="1CFB0B32" w14:textId="77777777" w:rsidR="00AF2C33" w:rsidRPr="00D45D95" w:rsidRDefault="00AF2C33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65E938E1" w14:textId="77777777" w:rsidR="00AF2C33" w:rsidRPr="00D45D95" w:rsidRDefault="003C1EF3" w:rsidP="004568C3">
      <w:pPr>
        <w:pStyle w:val="Zkladntext"/>
        <w:tabs>
          <w:tab w:val="left" w:pos="0"/>
        </w:tabs>
        <w:ind w:left="0"/>
        <w:jc w:val="both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Gefitinib Synthon</w:t>
      </w:r>
      <w:r w:rsidR="008174E0" w:rsidRPr="00D45D95">
        <w:rPr>
          <w:rFonts w:cs="Times New Roman"/>
          <w:spacing w:val="-1"/>
          <w:lang w:val="sk-SK"/>
        </w:rPr>
        <w:t xml:space="preserve"> je indikovan</w:t>
      </w:r>
      <w:r w:rsidR="00D45D95">
        <w:rPr>
          <w:rFonts w:cs="Times New Roman"/>
          <w:spacing w:val="-1"/>
          <w:lang w:val="sk-SK"/>
        </w:rPr>
        <w:t>ý</w:t>
      </w:r>
      <w:r w:rsidR="008174E0" w:rsidRPr="00D45D95">
        <w:rPr>
          <w:rFonts w:cs="Times New Roman"/>
          <w:spacing w:val="-1"/>
          <w:lang w:val="sk-SK"/>
        </w:rPr>
        <w:t xml:space="preserve"> ako monoterapia na liečbu dospelých pacientov </w:t>
      </w:r>
      <w:r w:rsidR="008174E0" w:rsidRPr="00D45D95">
        <w:rPr>
          <w:rFonts w:cs="Times New Roman"/>
          <w:lang w:val="sk-SK"/>
        </w:rPr>
        <w:t>s</w:t>
      </w:r>
      <w:r w:rsidR="008174E0" w:rsidRPr="00D45D95">
        <w:rPr>
          <w:rFonts w:cs="Times New Roman"/>
          <w:spacing w:val="-1"/>
          <w:lang w:val="sk-SK"/>
        </w:rPr>
        <w:t xml:space="preserve"> lokálne pokročilým alebo</w:t>
      </w:r>
      <w:r w:rsidR="008174E0" w:rsidRPr="00D45D95">
        <w:rPr>
          <w:rFonts w:cs="Times New Roman"/>
          <w:spacing w:val="22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 xml:space="preserve">metastatickým nemalobunkovým karcinómom pľúc (NSCLC) </w:t>
      </w:r>
      <w:r w:rsidR="008174E0" w:rsidRPr="00D45D95">
        <w:rPr>
          <w:rFonts w:cs="Times New Roman"/>
          <w:lang w:val="sk-SK"/>
        </w:rPr>
        <w:t>s</w:t>
      </w:r>
      <w:r w:rsidR="008174E0" w:rsidRPr="00D45D95">
        <w:rPr>
          <w:rFonts w:cs="Times New Roman"/>
          <w:spacing w:val="-1"/>
          <w:lang w:val="sk-SK"/>
        </w:rPr>
        <w:t xml:space="preserve"> aktivujúcimi mutáciami EGFR-TK</w:t>
      </w:r>
      <w:r w:rsidR="008174E0" w:rsidRPr="00D45D95">
        <w:rPr>
          <w:rFonts w:cs="Times New Roman"/>
          <w:spacing w:val="29"/>
          <w:lang w:val="sk-SK"/>
        </w:rPr>
        <w:t xml:space="preserve"> </w:t>
      </w:r>
      <w:r w:rsidR="008174E0" w:rsidRPr="00D45D95">
        <w:rPr>
          <w:rFonts w:cs="Times New Roman"/>
          <w:lang w:val="sk-SK"/>
        </w:rPr>
        <w:t>(pozri časť</w:t>
      </w:r>
      <w:r w:rsidR="008174E0" w:rsidRPr="00D45D95">
        <w:rPr>
          <w:rFonts w:cs="Times New Roman"/>
          <w:spacing w:val="-1"/>
          <w:lang w:val="sk-SK"/>
        </w:rPr>
        <w:t xml:space="preserve"> 4.4).</w:t>
      </w:r>
    </w:p>
    <w:p w14:paraId="3F380706" w14:textId="77777777" w:rsidR="00AF2C33" w:rsidRPr="00D45D95" w:rsidRDefault="00AF2C33" w:rsidP="004568C3">
      <w:pPr>
        <w:tabs>
          <w:tab w:val="left" w:pos="0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6372519C" w14:textId="77777777" w:rsidR="00AF2C33" w:rsidRPr="00D45D95" w:rsidRDefault="008174E0" w:rsidP="004568C3">
      <w:pPr>
        <w:pStyle w:val="Nadpis1"/>
        <w:numPr>
          <w:ilvl w:val="1"/>
          <w:numId w:val="13"/>
        </w:numPr>
        <w:tabs>
          <w:tab w:val="left" w:pos="0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Dávkovanie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spôsob podávania</w:t>
      </w:r>
    </w:p>
    <w:p w14:paraId="33B1C51C" w14:textId="77777777" w:rsidR="00AF2C33" w:rsidRPr="00D45D95" w:rsidRDefault="00AF2C33" w:rsidP="004568C3">
      <w:pPr>
        <w:tabs>
          <w:tab w:val="left" w:pos="0"/>
        </w:tabs>
        <w:spacing w:before="5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45E38B2E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Liečba </w:t>
      </w:r>
      <w:r w:rsidR="003C1EF3" w:rsidRPr="00D45D95">
        <w:rPr>
          <w:rFonts w:cs="Times New Roman"/>
          <w:spacing w:val="-2"/>
          <w:lang w:val="sk-SK"/>
        </w:rPr>
        <w:t>Gefitinib</w:t>
      </w:r>
      <w:r w:rsidR="00D45D95">
        <w:rPr>
          <w:rFonts w:cs="Times New Roman"/>
          <w:spacing w:val="-2"/>
          <w:lang w:val="sk-SK"/>
        </w:rPr>
        <w:t>om</w:t>
      </w:r>
      <w:r w:rsidR="003C1EF3" w:rsidRPr="00D45D95">
        <w:rPr>
          <w:rFonts w:cs="Times New Roman"/>
          <w:spacing w:val="-2"/>
          <w:lang w:val="sk-SK"/>
        </w:rPr>
        <w:t xml:space="preserve"> Synthon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má byť iniciovaná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 xml:space="preserve">kontrolovaná lekárom, skúseným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lang w:val="sk-SK"/>
        </w:rPr>
        <w:t>oblasti používania</w:t>
      </w:r>
      <w:r w:rsidRPr="00D45D95">
        <w:rPr>
          <w:rFonts w:cs="Times New Roman"/>
          <w:spacing w:val="3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protinádorovej liečby.</w:t>
      </w:r>
    </w:p>
    <w:p w14:paraId="455F2C8B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6F3C9940" w14:textId="77777777" w:rsidR="00AF2C33" w:rsidRPr="00D45D95" w:rsidRDefault="008174E0" w:rsidP="004568C3">
      <w:pPr>
        <w:pStyle w:val="Zkladntext"/>
        <w:tabs>
          <w:tab w:val="left" w:pos="0"/>
        </w:tabs>
        <w:spacing w:line="252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u w:val="single" w:color="000000"/>
          <w:lang w:val="sk-SK"/>
        </w:rPr>
        <w:t>Dávkovanie</w:t>
      </w:r>
    </w:p>
    <w:p w14:paraId="02D01468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Odporúčané dávkovanie </w:t>
      </w:r>
      <w:r w:rsidR="003C1EF3" w:rsidRPr="00D45D95">
        <w:rPr>
          <w:rFonts w:cs="Times New Roman"/>
          <w:spacing w:val="-1"/>
          <w:lang w:val="sk-SK"/>
        </w:rPr>
        <w:t>Gefitinib</w:t>
      </w:r>
      <w:r w:rsidR="00D45D95">
        <w:rPr>
          <w:rFonts w:cs="Times New Roman"/>
          <w:spacing w:val="-1"/>
          <w:lang w:val="sk-SK"/>
        </w:rPr>
        <w:t>u</w:t>
      </w:r>
      <w:r w:rsidR="003C1EF3" w:rsidRPr="00D45D95">
        <w:rPr>
          <w:rFonts w:cs="Times New Roman"/>
          <w:spacing w:val="-1"/>
          <w:lang w:val="sk-SK"/>
        </w:rPr>
        <w:t xml:space="preserve"> Synthon</w:t>
      </w:r>
      <w:r w:rsidRPr="00D45D95">
        <w:rPr>
          <w:rFonts w:cs="Times New Roman"/>
          <w:spacing w:val="-1"/>
          <w:lang w:val="sk-SK"/>
        </w:rPr>
        <w:t xml:space="preserve"> je jedna 250 mg tableta raz denne. Ak sa dávka vynechá, má sa užiť</w:t>
      </w:r>
      <w:r w:rsidRPr="00D45D95">
        <w:rPr>
          <w:rFonts w:cs="Times New Roman"/>
          <w:spacing w:val="3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čo najskôr ako si pacient spomenie. Ak do užitia nasledujúcej dávky ostáva menej ako 12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hodín,</w:t>
      </w:r>
      <w:r w:rsidRPr="00D45D95">
        <w:rPr>
          <w:rFonts w:cs="Times New Roman"/>
          <w:spacing w:val="3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pacient nemá užiť vynechanú dávku. Pacienti nemajú užívať dvojnásobnú dávku (dve dávky naraz),</w:t>
      </w:r>
      <w:r w:rsidRPr="00D45D95">
        <w:rPr>
          <w:rFonts w:cs="Times New Roman"/>
          <w:spacing w:val="2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aby nahradili vynechanú dávku.</w:t>
      </w:r>
    </w:p>
    <w:p w14:paraId="03AB797B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646010CA" w14:textId="77777777" w:rsidR="00AF2C33" w:rsidRPr="00D45D95" w:rsidRDefault="008174E0" w:rsidP="004568C3">
      <w:pPr>
        <w:tabs>
          <w:tab w:val="left" w:pos="0"/>
        </w:tabs>
        <w:spacing w:line="252" w:lineRule="exact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i/>
          <w:spacing w:val="-1"/>
          <w:lang w:val="sk-SK"/>
        </w:rPr>
        <w:t>Pediatrická populácia</w:t>
      </w:r>
    </w:p>
    <w:p w14:paraId="5471138D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Bezpečnosť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účinnosť </w:t>
      </w:r>
      <w:r w:rsidR="003C1EF3" w:rsidRPr="00D45D95">
        <w:rPr>
          <w:rFonts w:cs="Times New Roman"/>
          <w:spacing w:val="-1"/>
          <w:lang w:val="sk-SK"/>
        </w:rPr>
        <w:t>Gefitinib</w:t>
      </w:r>
      <w:r w:rsidR="00D45D95">
        <w:rPr>
          <w:rFonts w:cs="Times New Roman"/>
          <w:spacing w:val="-1"/>
          <w:lang w:val="sk-SK"/>
        </w:rPr>
        <w:t>u</w:t>
      </w:r>
      <w:r w:rsidR="003C1EF3" w:rsidRPr="00D45D95">
        <w:rPr>
          <w:rFonts w:cs="Times New Roman"/>
          <w:spacing w:val="-1"/>
          <w:lang w:val="sk-SK"/>
        </w:rPr>
        <w:t xml:space="preserve"> Synthon</w:t>
      </w:r>
      <w:r w:rsidRPr="00D45D9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detí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dospievajúcich mladších ako 18 rokov nebola stanovená.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Použitie gefitinibu sa netýka detí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dospievajúcich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indikácii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NSCLC.</w:t>
      </w:r>
    </w:p>
    <w:p w14:paraId="1107F4A6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79413169" w14:textId="77777777" w:rsidR="00AF2C33" w:rsidRPr="00D45D95" w:rsidRDefault="008174E0" w:rsidP="004568C3">
      <w:pPr>
        <w:tabs>
          <w:tab w:val="left" w:pos="0"/>
        </w:tabs>
        <w:spacing w:line="252" w:lineRule="exact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i/>
          <w:spacing w:val="-1"/>
          <w:lang w:val="sk-SK"/>
        </w:rPr>
        <w:t>Porucha funkcie pečene</w:t>
      </w:r>
    </w:p>
    <w:p w14:paraId="55117052" w14:textId="28EB3BA5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Pacienti so stredne ťažkou až ťažkou poruchou funkcie pečene </w:t>
      </w:r>
      <w:r w:rsidRPr="00D45D95">
        <w:rPr>
          <w:rFonts w:cs="Times New Roman"/>
          <w:spacing w:val="-2"/>
          <w:lang w:val="sk-SK"/>
        </w:rPr>
        <w:t>(Child</w:t>
      </w:r>
      <w:r w:rsidR="00FA77F7">
        <w:rPr>
          <w:rFonts w:cs="Times New Roman"/>
          <w:spacing w:val="-2"/>
          <w:lang w:val="sk-SK"/>
        </w:rPr>
        <w:t>ovo</w:t>
      </w:r>
      <w:r w:rsidRPr="00D45D95">
        <w:rPr>
          <w:rFonts w:cs="Times New Roman"/>
          <w:spacing w:val="-2"/>
          <w:lang w:val="sk-SK"/>
        </w:rPr>
        <w:t>-Pugh</w:t>
      </w:r>
      <w:r w:rsidR="00FA77F7">
        <w:rPr>
          <w:rFonts w:cs="Times New Roman"/>
          <w:spacing w:val="-2"/>
          <w:lang w:val="sk-SK"/>
        </w:rPr>
        <w:t>ovo</w:t>
      </w:r>
      <w:r w:rsidRPr="00D45D95">
        <w:rPr>
          <w:rFonts w:cs="Times New Roman"/>
          <w:spacing w:val="-1"/>
          <w:lang w:val="sk-SK"/>
        </w:rPr>
        <w:t xml:space="preserve"> skóre</w:t>
      </w:r>
      <w:r w:rsidRPr="00D45D95">
        <w:rPr>
          <w:rFonts w:cs="Times New Roman"/>
          <w:lang w:val="sk-SK"/>
        </w:rPr>
        <w:t xml:space="preserve"> B</w:t>
      </w:r>
      <w:r w:rsidRPr="00D45D95">
        <w:rPr>
          <w:rFonts w:cs="Times New Roman"/>
          <w:spacing w:val="-1"/>
          <w:lang w:val="sk-SK"/>
        </w:rPr>
        <w:t xml:space="preserve"> alebo C) </w:t>
      </w:r>
      <w:r w:rsidRPr="00D45D95">
        <w:rPr>
          <w:rFonts w:cs="Times New Roman"/>
          <w:lang w:val="sk-SK"/>
        </w:rPr>
        <w:t>z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dôvodu</w:t>
      </w:r>
      <w:r w:rsidRPr="00D45D95">
        <w:rPr>
          <w:rFonts w:cs="Times New Roman"/>
          <w:spacing w:val="4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cirhózy majú zvýšené plazmatické koncentrácie gefitinibu.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týchto pacientov sa má starostlivo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sledovať výskyt vedľajších účinkov. Plazmatické koncentrácie neboli zvýšené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pacientov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so</w:t>
      </w:r>
      <w:r w:rsidRPr="00D45D95">
        <w:rPr>
          <w:rFonts w:cs="Times New Roman"/>
          <w:spacing w:val="29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zvýšenými hodnotami aspartát</w:t>
      </w:r>
      <w:r w:rsidR="00FA77F7">
        <w:rPr>
          <w:rFonts w:cs="Times New Roman"/>
          <w:spacing w:val="-1"/>
          <w:lang w:val="sk-SK"/>
        </w:rPr>
        <w:t>aminotransferázy</w:t>
      </w:r>
      <w:r w:rsidRPr="00D45D95">
        <w:rPr>
          <w:rFonts w:cs="Times New Roman"/>
          <w:spacing w:val="-1"/>
          <w:lang w:val="sk-SK"/>
        </w:rPr>
        <w:t xml:space="preserve"> (AST), </w:t>
      </w:r>
      <w:r w:rsidRPr="00D45D95">
        <w:rPr>
          <w:rFonts w:cs="Times New Roman"/>
          <w:spacing w:val="-2"/>
          <w:lang w:val="sk-SK"/>
        </w:rPr>
        <w:t>alkalickej</w:t>
      </w:r>
      <w:r w:rsidRPr="00D45D95">
        <w:rPr>
          <w:rFonts w:cs="Times New Roman"/>
          <w:spacing w:val="-1"/>
          <w:lang w:val="sk-SK"/>
        </w:rPr>
        <w:t xml:space="preserve"> fosfatázy alebo bilirubínu </w:t>
      </w:r>
      <w:r w:rsidRPr="00D45D95">
        <w:rPr>
          <w:rFonts w:cs="Times New Roman"/>
          <w:lang w:val="sk-SK"/>
        </w:rPr>
        <w:t>z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lastRenderedPageBreak/>
        <w:t>dôvodu</w:t>
      </w:r>
      <w:r w:rsidRPr="00D45D95">
        <w:rPr>
          <w:rFonts w:cs="Times New Roman"/>
          <w:spacing w:val="3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metastáz do pečene (pozri časť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5.2).</w:t>
      </w:r>
    </w:p>
    <w:p w14:paraId="190ED847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698BD124" w14:textId="77777777" w:rsidR="00AF2C33" w:rsidRPr="00D45D95" w:rsidRDefault="008174E0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i/>
          <w:spacing w:val="-1"/>
          <w:lang w:val="sk-SK"/>
        </w:rPr>
        <w:t>Porucha funkcie obličiek</w:t>
      </w:r>
    </w:p>
    <w:p w14:paraId="33E33882" w14:textId="77777777" w:rsidR="00AF2C33" w:rsidRPr="00D45D95" w:rsidRDefault="008174E0" w:rsidP="004568C3">
      <w:pPr>
        <w:pStyle w:val="Zkladntext"/>
        <w:tabs>
          <w:tab w:val="left" w:pos="0"/>
        </w:tabs>
        <w:spacing w:before="49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pacientov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 xml:space="preserve">poruchou funkcie obličiek pri klírense kreatinínu </w:t>
      </w:r>
      <w:r w:rsidRPr="00D45D95">
        <w:rPr>
          <w:rFonts w:cs="Times New Roman"/>
          <w:lang w:val="sk-SK"/>
        </w:rPr>
        <w:t>&gt;</w:t>
      </w:r>
      <w:r w:rsidRPr="00D45D9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lang w:val="sk-SK"/>
        </w:rPr>
        <w:t>20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ml/min nie je potrebná úprava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dávky.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Údaje</w:t>
      </w:r>
      <w:r w:rsidRPr="00D45D95">
        <w:rPr>
          <w:rFonts w:cs="Times New Roman"/>
          <w:lang w:val="sk-SK"/>
        </w:rPr>
        <w:t xml:space="preserve"> o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pacientoch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>klírensom kreatinínu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lang w:val="sk-SK"/>
        </w:rPr>
        <w:t>≤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lang w:val="sk-SK"/>
        </w:rPr>
        <w:t>20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ml/min sú obmedzené </w:t>
      </w:r>
      <w:r w:rsidRPr="00D45D95">
        <w:rPr>
          <w:rFonts w:cs="Times New Roman"/>
          <w:lang w:val="sk-SK"/>
        </w:rPr>
        <w:t>a u</w:t>
      </w:r>
      <w:r w:rsidRPr="00D45D95">
        <w:rPr>
          <w:rFonts w:cs="Times New Roman"/>
          <w:spacing w:val="-1"/>
          <w:lang w:val="sk-SK"/>
        </w:rPr>
        <w:t xml:space="preserve"> týchto pacientov je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treba postupovať so zvýšenou opatrnosťou (pozri časť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lang w:val="sk-SK"/>
        </w:rPr>
        <w:t>5.2).</w:t>
      </w:r>
    </w:p>
    <w:p w14:paraId="2EFB9251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04290505" w14:textId="77777777" w:rsidR="00AF2C33" w:rsidRPr="00D45D95" w:rsidRDefault="008174E0" w:rsidP="004568C3">
      <w:pPr>
        <w:tabs>
          <w:tab w:val="left" w:pos="0"/>
        </w:tabs>
        <w:spacing w:line="252" w:lineRule="exact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i/>
          <w:lang w:val="sk-SK"/>
        </w:rPr>
        <w:t>Starší</w:t>
      </w:r>
      <w:r w:rsidR="00D45D95">
        <w:rPr>
          <w:rFonts w:ascii="Times New Roman" w:hAnsi="Times New Roman" w:cs="Times New Roman"/>
          <w:i/>
          <w:lang w:val="sk-SK"/>
        </w:rPr>
        <w:t xml:space="preserve"> pacienti</w:t>
      </w:r>
    </w:p>
    <w:p w14:paraId="34B25141" w14:textId="77777777" w:rsidR="00AF2C33" w:rsidRPr="00D45D95" w:rsidRDefault="008174E0" w:rsidP="004568C3">
      <w:pPr>
        <w:pStyle w:val="Zkladntext"/>
        <w:tabs>
          <w:tab w:val="left" w:pos="0"/>
        </w:tabs>
        <w:spacing w:line="252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Nie je potrebná úprava dávky na základe veku pacienta (pozri časť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lang w:val="sk-SK"/>
        </w:rPr>
        <w:t>5.2).</w:t>
      </w:r>
    </w:p>
    <w:p w14:paraId="37E40C8C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42C219D8" w14:textId="635BE2B6" w:rsidR="00AF2C33" w:rsidRPr="00D45D95" w:rsidRDefault="00FA77F7" w:rsidP="004568C3">
      <w:pPr>
        <w:tabs>
          <w:tab w:val="left" w:pos="0"/>
        </w:tabs>
        <w:spacing w:line="252" w:lineRule="exact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hAnsi="Times New Roman" w:cs="Times New Roman"/>
          <w:i/>
          <w:spacing w:val="-1"/>
          <w:lang w:val="sk-SK"/>
        </w:rPr>
        <w:t>Pomalí</w:t>
      </w:r>
      <w:r w:rsidR="008174E0" w:rsidRPr="00D45D95">
        <w:rPr>
          <w:rFonts w:ascii="Times New Roman" w:hAnsi="Times New Roman" w:cs="Times New Roman"/>
          <w:i/>
          <w:spacing w:val="-1"/>
          <w:lang w:val="sk-SK"/>
        </w:rPr>
        <w:t xml:space="preserve"> CYP2D6 metabolizéri</w:t>
      </w:r>
    </w:p>
    <w:p w14:paraId="2B665C25" w14:textId="57153BAE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Pacientom so známym genotypom </w:t>
      </w:r>
      <w:r w:rsidR="00FA77F7">
        <w:rPr>
          <w:rFonts w:cs="Times New Roman"/>
          <w:spacing w:val="-1"/>
          <w:lang w:val="sk-SK"/>
        </w:rPr>
        <w:t>pomalých</w:t>
      </w:r>
      <w:r w:rsidRPr="00D45D95">
        <w:rPr>
          <w:rFonts w:cs="Times New Roman"/>
          <w:spacing w:val="-1"/>
          <w:lang w:val="sk-SK"/>
        </w:rPr>
        <w:t xml:space="preserve"> CYP2D6 metabolizérov nie je potrebné upravovať dávku,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má sa však </w:t>
      </w:r>
      <w:r w:rsidRPr="00D45D95">
        <w:rPr>
          <w:rFonts w:cs="Times New Roman"/>
          <w:lang w:val="sk-SK"/>
        </w:rPr>
        <w:t xml:space="preserve">u </w:t>
      </w:r>
      <w:r w:rsidRPr="00D45D95">
        <w:rPr>
          <w:rFonts w:cs="Times New Roman"/>
          <w:spacing w:val="-1"/>
          <w:lang w:val="sk-SK"/>
        </w:rPr>
        <w:t>nich starostlivo sledovať výskyt nežiaducich účinkov (pozri časť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5.2).</w:t>
      </w:r>
    </w:p>
    <w:p w14:paraId="10E9C7C5" w14:textId="77777777" w:rsidR="00AF2C33" w:rsidRPr="00D45D95" w:rsidRDefault="00AF2C33" w:rsidP="004568C3">
      <w:pPr>
        <w:tabs>
          <w:tab w:val="left" w:pos="0"/>
        </w:tabs>
        <w:spacing w:before="10"/>
        <w:rPr>
          <w:rFonts w:ascii="Times New Roman" w:eastAsia="Times New Roman" w:hAnsi="Times New Roman" w:cs="Times New Roman"/>
          <w:lang w:val="sk-SK"/>
        </w:rPr>
      </w:pPr>
    </w:p>
    <w:p w14:paraId="73A17940" w14:textId="77777777" w:rsidR="00AF2C33" w:rsidRPr="00D45D95" w:rsidRDefault="008174E0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i/>
          <w:spacing w:val="-1"/>
          <w:lang w:val="sk-SK"/>
        </w:rPr>
        <w:t>Úprava dávky kvôli toxicite</w:t>
      </w:r>
    </w:p>
    <w:p w14:paraId="14B57E4B" w14:textId="2D488BAC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Pacientom, ktorí zle tolerujú hnačku alebo kožné nežiaduce účinky sa môže liečba na krátky</w:t>
      </w:r>
      <w:r w:rsidRPr="00D45D95">
        <w:rPr>
          <w:rFonts w:cs="Times New Roman"/>
          <w:spacing w:val="-5"/>
          <w:lang w:val="sk-SK"/>
        </w:rPr>
        <w:t xml:space="preserve"> </w:t>
      </w:r>
      <w:r w:rsidRPr="00D45D95">
        <w:rPr>
          <w:rFonts w:cs="Times New Roman"/>
          <w:lang w:val="sk-SK"/>
        </w:rPr>
        <w:t>čas</w:t>
      </w:r>
      <w:r w:rsidRPr="00D45D95">
        <w:rPr>
          <w:rFonts w:cs="Times New Roman"/>
          <w:spacing w:val="29"/>
          <w:lang w:val="sk-SK"/>
        </w:rPr>
        <w:t xml:space="preserve"> </w:t>
      </w:r>
      <w:r w:rsidR="00FA77F7">
        <w:rPr>
          <w:rFonts w:cs="Times New Roman"/>
          <w:spacing w:val="-1"/>
          <w:lang w:val="sk-SK"/>
        </w:rPr>
        <w:t>prerušiť</w:t>
      </w:r>
      <w:r w:rsidRPr="00D45D95">
        <w:rPr>
          <w:rFonts w:cs="Times New Roman"/>
          <w:spacing w:val="-1"/>
          <w:lang w:val="sk-SK"/>
        </w:rPr>
        <w:t xml:space="preserve"> (do 14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dní)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následne môže znovu pokračovať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dávke 250 mg (pozri časť 4.8). </w:t>
      </w:r>
      <w:r w:rsidR="00FA77F7">
        <w:rPr>
          <w:rFonts w:cs="Times New Roman"/>
          <w:spacing w:val="-1"/>
          <w:lang w:val="sk-SK"/>
        </w:rPr>
        <w:t>U p</w:t>
      </w:r>
      <w:r w:rsidRPr="00D45D95">
        <w:rPr>
          <w:rFonts w:cs="Times New Roman"/>
          <w:spacing w:val="-1"/>
          <w:lang w:val="sk-SK"/>
        </w:rPr>
        <w:t>aciento</w:t>
      </w:r>
      <w:r w:rsidR="00FA77F7">
        <w:rPr>
          <w:rFonts w:cs="Times New Roman"/>
          <w:spacing w:val="-1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>,</w:t>
      </w:r>
      <w:r w:rsidRPr="00D45D95">
        <w:rPr>
          <w:rFonts w:cs="Times New Roman"/>
          <w:spacing w:val="28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ktorí netolerujú liečbu po tomto prerušení sa má</w:t>
      </w:r>
      <w:r w:rsidRPr="00D45D95">
        <w:rPr>
          <w:rFonts w:cs="Times New Roman"/>
          <w:spacing w:val="-2"/>
          <w:lang w:val="sk-SK"/>
        </w:rPr>
        <w:t xml:space="preserve"> </w:t>
      </w:r>
      <w:r w:rsidR="00FA77F7">
        <w:rPr>
          <w:rFonts w:cs="Times New Roman"/>
          <w:spacing w:val="-2"/>
          <w:lang w:val="sk-SK"/>
        </w:rPr>
        <w:t xml:space="preserve">liečba </w:t>
      </w:r>
      <w:r w:rsidRPr="00D45D95">
        <w:rPr>
          <w:rFonts w:cs="Times New Roman"/>
          <w:spacing w:val="-1"/>
          <w:lang w:val="sk-SK"/>
        </w:rPr>
        <w:t>gefitinib</w:t>
      </w:r>
      <w:r w:rsidR="00FA77F7">
        <w:rPr>
          <w:rFonts w:cs="Times New Roman"/>
          <w:spacing w:val="-1"/>
          <w:lang w:val="sk-SK"/>
        </w:rPr>
        <w:t>om</w:t>
      </w:r>
      <w:r w:rsidRPr="00D45D95">
        <w:rPr>
          <w:rFonts w:cs="Times New Roman"/>
          <w:spacing w:val="-1"/>
          <w:lang w:val="sk-SK"/>
        </w:rPr>
        <w:t xml:space="preserve"> </w:t>
      </w:r>
      <w:r w:rsidR="00FA77F7">
        <w:rPr>
          <w:rFonts w:cs="Times New Roman"/>
          <w:spacing w:val="-1"/>
          <w:lang w:val="sk-SK"/>
        </w:rPr>
        <w:t>ukončiť</w:t>
      </w:r>
      <w:r w:rsidRPr="00D45D9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má sa zvážiť alternatívna liečba.</w:t>
      </w:r>
    </w:p>
    <w:p w14:paraId="11BAC868" w14:textId="77777777" w:rsidR="00AF2C33" w:rsidRPr="00D45D95" w:rsidRDefault="00AF2C33" w:rsidP="004568C3">
      <w:pPr>
        <w:tabs>
          <w:tab w:val="left" w:pos="0"/>
        </w:tabs>
        <w:spacing w:before="10"/>
        <w:rPr>
          <w:rFonts w:ascii="Times New Roman" w:eastAsia="Times New Roman" w:hAnsi="Times New Roman" w:cs="Times New Roman"/>
          <w:lang w:val="sk-SK"/>
        </w:rPr>
      </w:pPr>
    </w:p>
    <w:p w14:paraId="45A70A5C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u w:val="single" w:color="000000"/>
          <w:lang w:val="sk-SK"/>
        </w:rPr>
        <w:t>Spôsob podávania</w:t>
      </w:r>
    </w:p>
    <w:p w14:paraId="34453753" w14:textId="532304B9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Tableta sa môže užívať perorálne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jedlom alebo bez jedla približne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rovnaký čas každý deň. Tableta</w:t>
      </w:r>
      <w:r w:rsidRPr="00D45D95">
        <w:rPr>
          <w:rFonts w:cs="Times New Roman"/>
          <w:spacing w:val="28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sa môže prehltnúť celá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 xml:space="preserve">trochou vody. Ak nie je možné podať tabletu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celku, je možné rozpustiť ju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neperlivej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vode</w:t>
      </w:r>
      <w:r w:rsidRPr="00D45D95">
        <w:rPr>
          <w:rFonts w:cs="Times New Roman"/>
          <w:lang w:val="sk-SK"/>
        </w:rPr>
        <w:t xml:space="preserve"> a </w:t>
      </w:r>
      <w:r w:rsidRPr="00D45D95">
        <w:rPr>
          <w:rFonts w:cs="Times New Roman"/>
          <w:spacing w:val="-1"/>
          <w:lang w:val="sk-SK"/>
        </w:rPr>
        <w:t>podať vo forme disperzie. Nemajú sa používať žiadne iné tekutiny.</w:t>
      </w:r>
    </w:p>
    <w:p w14:paraId="5E684511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Vložte tabletu, bez toho aby ste ju rozdrvili, do polovice pohára pitnej vody. Občas zamiešajte, pokiaľ</w:t>
      </w:r>
      <w:r w:rsidRPr="00D45D95">
        <w:rPr>
          <w:rFonts w:cs="Times New Roman"/>
          <w:spacing w:val="38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sa tableta nerozpustí (môže to trvať až 20 minút). Disperziu po rozpustení ihneď vypite (t.j. do</w:t>
      </w:r>
    </w:p>
    <w:p w14:paraId="612E75D0" w14:textId="77777777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 xml:space="preserve">60 </w:t>
      </w:r>
      <w:r w:rsidRPr="00D45D95">
        <w:rPr>
          <w:rFonts w:cs="Times New Roman"/>
          <w:spacing w:val="-1"/>
          <w:lang w:val="sk-SK"/>
        </w:rPr>
        <w:t>minút). Pohár sa má vypláchnuť polovicou pohára vody,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ktorá sa má tiež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vypiť. Disperzia sa môže</w:t>
      </w:r>
      <w:r w:rsidRPr="00D45D95">
        <w:rPr>
          <w:rFonts w:cs="Times New Roman"/>
          <w:spacing w:val="3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podať aj cez nazogastrickú alebo gastrostomickú sondu.</w:t>
      </w:r>
    </w:p>
    <w:p w14:paraId="4E6AA832" w14:textId="77777777" w:rsidR="00AF2C33" w:rsidRPr="00D45D95" w:rsidRDefault="00AF2C33" w:rsidP="004568C3">
      <w:pPr>
        <w:tabs>
          <w:tab w:val="left" w:pos="0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6CC354C3" w14:textId="77777777" w:rsidR="00AF2C33" w:rsidRPr="00D45D95" w:rsidRDefault="008174E0" w:rsidP="004568C3">
      <w:pPr>
        <w:pStyle w:val="Nadpis1"/>
        <w:numPr>
          <w:ilvl w:val="1"/>
          <w:numId w:val="13"/>
        </w:numPr>
        <w:tabs>
          <w:tab w:val="left" w:pos="0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>Kontraindikácie</w:t>
      </w:r>
    </w:p>
    <w:p w14:paraId="1C97AB70" w14:textId="77777777" w:rsidR="00AF2C33" w:rsidRPr="00D45D95" w:rsidRDefault="00AF2C33" w:rsidP="00841DE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1989F10" w14:textId="77777777" w:rsidR="00841DE3" w:rsidRDefault="008174E0" w:rsidP="00BB53F4">
      <w:pPr>
        <w:pStyle w:val="Zkladntext"/>
        <w:tabs>
          <w:tab w:val="left" w:pos="0"/>
        </w:tabs>
        <w:ind w:left="0"/>
        <w:rPr>
          <w:rFonts w:cs="Times New Roman"/>
          <w:spacing w:val="30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Precitlivenosť na liečivo alebo na ktorúkoľvek </w:t>
      </w:r>
      <w:r w:rsidRPr="00D45D95">
        <w:rPr>
          <w:rFonts w:cs="Times New Roman"/>
          <w:lang w:val="sk-SK"/>
        </w:rPr>
        <w:t>z</w:t>
      </w:r>
      <w:r w:rsidRPr="00D45D95">
        <w:rPr>
          <w:rFonts w:cs="Times New Roman"/>
          <w:spacing w:val="-1"/>
          <w:lang w:val="sk-SK"/>
        </w:rPr>
        <w:t xml:space="preserve"> pomocných látok uvedených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lang w:val="sk-SK"/>
        </w:rPr>
        <w:t>časti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lang w:val="sk-SK"/>
        </w:rPr>
        <w:t>6.1.</w:t>
      </w:r>
      <w:r w:rsidRPr="00D45D95">
        <w:rPr>
          <w:rFonts w:cs="Times New Roman"/>
          <w:spacing w:val="30"/>
          <w:lang w:val="sk-SK"/>
        </w:rPr>
        <w:t xml:space="preserve"> </w:t>
      </w:r>
    </w:p>
    <w:p w14:paraId="571AE534" w14:textId="77777777" w:rsidR="00841DE3" w:rsidRDefault="00841DE3" w:rsidP="00BB53F4">
      <w:pPr>
        <w:pStyle w:val="Zkladntext"/>
        <w:tabs>
          <w:tab w:val="left" w:pos="0"/>
        </w:tabs>
        <w:ind w:left="0"/>
        <w:rPr>
          <w:rFonts w:cs="Times New Roman"/>
          <w:spacing w:val="-1"/>
          <w:lang w:val="sk-SK"/>
        </w:rPr>
      </w:pPr>
    </w:p>
    <w:p w14:paraId="3DD7E52B" w14:textId="77777777" w:rsidR="00AF2C33" w:rsidRDefault="008174E0" w:rsidP="00BB53F4">
      <w:pPr>
        <w:pStyle w:val="Zkladntext"/>
        <w:tabs>
          <w:tab w:val="left" w:pos="0"/>
        </w:tabs>
        <w:ind w:left="0"/>
        <w:rPr>
          <w:rFonts w:cs="Times New Roman"/>
          <w:spacing w:val="-1"/>
          <w:lang w:val="sk-SK"/>
        </w:rPr>
      </w:pPr>
      <w:r w:rsidRPr="00D45D95">
        <w:rPr>
          <w:rFonts w:cs="Times New Roman"/>
          <w:spacing w:val="-1"/>
          <w:lang w:val="sk-SK"/>
        </w:rPr>
        <w:t>Dojčenie (pozri časť 4.6).</w:t>
      </w:r>
    </w:p>
    <w:p w14:paraId="1E7F696E" w14:textId="77777777" w:rsidR="00841DE3" w:rsidRPr="00D45D95" w:rsidRDefault="00841DE3" w:rsidP="00BB53F4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</w:p>
    <w:p w14:paraId="18FC6D64" w14:textId="77777777" w:rsidR="00AF2C33" w:rsidRPr="00D45D95" w:rsidRDefault="008174E0" w:rsidP="00841DE3">
      <w:pPr>
        <w:pStyle w:val="Nadpis1"/>
        <w:numPr>
          <w:ilvl w:val="1"/>
          <w:numId w:val="13"/>
        </w:numPr>
        <w:tabs>
          <w:tab w:val="left" w:pos="0"/>
        </w:tabs>
        <w:spacing w:before="14"/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Osobitné upozornenia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>opatrenia pri používaní</w:t>
      </w:r>
    </w:p>
    <w:p w14:paraId="26FD534C" w14:textId="77777777" w:rsidR="00AF2C33" w:rsidRPr="00D45D95" w:rsidRDefault="00AF2C33" w:rsidP="008F2498">
      <w:pPr>
        <w:tabs>
          <w:tab w:val="left" w:pos="0"/>
        </w:tabs>
        <w:spacing w:before="5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17A6B550" w14:textId="017912BD" w:rsidR="00AF2C33" w:rsidRPr="00D45D95" w:rsidRDefault="008174E0" w:rsidP="00BB53F4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Pri zvažovaní použitia </w:t>
      </w:r>
      <w:r w:rsidR="003C1EF3" w:rsidRPr="00D45D95">
        <w:rPr>
          <w:rFonts w:cs="Times New Roman"/>
          <w:spacing w:val="-1"/>
          <w:lang w:val="sk-SK"/>
        </w:rPr>
        <w:t>Gefitinib</w:t>
      </w:r>
      <w:r w:rsidR="00D45D95">
        <w:rPr>
          <w:rFonts w:cs="Times New Roman"/>
          <w:spacing w:val="-1"/>
          <w:lang w:val="sk-SK"/>
        </w:rPr>
        <w:t>u</w:t>
      </w:r>
      <w:r w:rsidR="003C1EF3" w:rsidRPr="00D45D95">
        <w:rPr>
          <w:rFonts w:cs="Times New Roman"/>
          <w:spacing w:val="-1"/>
          <w:lang w:val="sk-SK"/>
        </w:rPr>
        <w:t xml:space="preserve"> Synthon</w:t>
      </w:r>
      <w:r w:rsidRPr="00D45D9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liečbe lokálne pokročilého alebo metastatického NSCLC je dôležité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pokúsiť sa určiť </w:t>
      </w:r>
      <w:r w:rsidRPr="00D45D95">
        <w:rPr>
          <w:rFonts w:cs="Times New Roman"/>
          <w:lang w:val="sk-SK"/>
        </w:rPr>
        <w:t xml:space="preserve">u </w:t>
      </w:r>
      <w:r w:rsidRPr="00D45D95">
        <w:rPr>
          <w:rFonts w:cs="Times New Roman"/>
          <w:spacing w:val="-1"/>
          <w:lang w:val="sk-SK"/>
        </w:rPr>
        <w:t xml:space="preserve">všetkých pacientov EGFR mutáciu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6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nádorovom tkanive. Ak vzorka nádorového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tkaniva nie je hodnotiteľná, môže sa použiť vzorka cirkulujúcej nádorovej DNA (ctDNA) izolovaná</w:t>
      </w:r>
      <w:r w:rsidR="00841DE3">
        <w:rPr>
          <w:rFonts w:cs="Times New Roman"/>
          <w:lang w:val="sk-SK"/>
        </w:rPr>
        <w:t xml:space="preserve"> </w:t>
      </w:r>
      <w:r w:rsidRPr="00D45D95">
        <w:rPr>
          <w:rFonts w:cs="Times New Roman"/>
          <w:lang w:val="sk-SK"/>
        </w:rPr>
        <w:t>z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krvi (plazmy).</w:t>
      </w:r>
    </w:p>
    <w:p w14:paraId="71867402" w14:textId="77777777" w:rsidR="00AF2C33" w:rsidRPr="00D45D95" w:rsidRDefault="00AF2C33" w:rsidP="004568C3">
      <w:pPr>
        <w:tabs>
          <w:tab w:val="left" w:pos="0"/>
        </w:tabs>
        <w:spacing w:before="10"/>
        <w:rPr>
          <w:rFonts w:ascii="Times New Roman" w:eastAsia="Times New Roman" w:hAnsi="Times New Roman" w:cs="Times New Roman"/>
          <w:lang w:val="sk-SK"/>
        </w:rPr>
      </w:pPr>
    </w:p>
    <w:p w14:paraId="4E1D6889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Na určenie stavu EGFR mutácie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nádorovom tkanive alebo ctDNA sa má použiť len robustný,</w:t>
      </w:r>
      <w:r w:rsidRPr="00D45D95">
        <w:rPr>
          <w:rFonts w:cs="Times New Roman"/>
          <w:spacing w:val="26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spoľahlivý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 xml:space="preserve">senzitívny test (testy)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preukázaným prínosom, aby sa predišlo falošne negatívnym alebo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falošne pozitívnym výsledkom (pozri časť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5.1).</w:t>
      </w:r>
    </w:p>
    <w:p w14:paraId="59403AB1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101879DC" w14:textId="77777777" w:rsidR="00AF2C33" w:rsidRPr="00D45D95" w:rsidRDefault="008174E0" w:rsidP="004568C3">
      <w:pPr>
        <w:tabs>
          <w:tab w:val="left" w:pos="0"/>
        </w:tabs>
        <w:spacing w:line="252" w:lineRule="exact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i/>
          <w:spacing w:val="-1"/>
          <w:lang w:val="sk-SK"/>
        </w:rPr>
        <w:t>Intersticiálna pľúcna choroba (ILD)</w:t>
      </w:r>
    </w:p>
    <w:p w14:paraId="1607B36F" w14:textId="77777777" w:rsidR="00AF2C33" w:rsidRPr="00D45D95" w:rsidRDefault="008174E0" w:rsidP="004568C3">
      <w:pPr>
        <w:pStyle w:val="Zkladntext"/>
        <w:tabs>
          <w:tab w:val="left" w:pos="0"/>
        </w:tabs>
        <w:spacing w:line="252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1,3% pacientov liečených gefitinibom</w:t>
      </w:r>
      <w:r w:rsidRPr="00D45D95">
        <w:rPr>
          <w:rFonts w:cs="Times New Roman"/>
          <w:spacing w:val="-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sa zaznamenal výskyt ILD, ktorej nástup môže byť akútny</w:t>
      </w:r>
    </w:p>
    <w:p w14:paraId="407B59E1" w14:textId="1CD094DC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a 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niektorých prípadoch sa môže skončiť fatálne (pozri časť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4.8). Pokiaľ dôjde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pacienta </w:t>
      </w:r>
      <w:r w:rsidRPr="00D45D95">
        <w:rPr>
          <w:rFonts w:cs="Times New Roman"/>
          <w:lang w:val="sk-SK"/>
        </w:rPr>
        <w:t>k</w:t>
      </w:r>
      <w:r w:rsidRPr="00D45D95">
        <w:rPr>
          <w:rFonts w:cs="Times New Roman"/>
          <w:spacing w:val="-1"/>
          <w:lang w:val="sk-SK"/>
        </w:rPr>
        <w:t xml:space="preserve"> zhoršeniu</w:t>
      </w:r>
      <w:r w:rsidRPr="00D45D95">
        <w:rPr>
          <w:rFonts w:cs="Times New Roman"/>
          <w:spacing w:val="2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respiračných symptómov akými sú dyspnoe, kašeľ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horúčka, podávanie </w:t>
      </w:r>
      <w:r w:rsidR="003C1EF3" w:rsidRPr="00D45D95">
        <w:rPr>
          <w:rFonts w:cs="Times New Roman"/>
          <w:spacing w:val="-1"/>
          <w:lang w:val="sk-SK"/>
        </w:rPr>
        <w:t>Gefitinib</w:t>
      </w:r>
      <w:r w:rsidR="00D45D95">
        <w:rPr>
          <w:rFonts w:cs="Times New Roman"/>
          <w:spacing w:val="-1"/>
          <w:lang w:val="sk-SK"/>
        </w:rPr>
        <w:t>u</w:t>
      </w:r>
      <w:r w:rsidR="003C1EF3" w:rsidRPr="00D45D95">
        <w:rPr>
          <w:rFonts w:cs="Times New Roman"/>
          <w:spacing w:val="-1"/>
          <w:lang w:val="sk-SK"/>
        </w:rPr>
        <w:t xml:space="preserve"> Synthon</w:t>
      </w:r>
      <w:r w:rsidRPr="00D45D95">
        <w:rPr>
          <w:rFonts w:cs="Times New Roman"/>
          <w:spacing w:val="-1"/>
          <w:lang w:val="sk-SK"/>
        </w:rPr>
        <w:t xml:space="preserve"> sa má prerušiť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25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začať bezodkladne vyšetrenia. Ak sa potvrdí ILD, </w:t>
      </w:r>
      <w:r w:rsidR="00841DE3">
        <w:rPr>
          <w:rFonts w:cs="Times New Roman"/>
          <w:spacing w:val="-1"/>
          <w:lang w:val="sk-SK"/>
        </w:rPr>
        <w:t xml:space="preserve">podávanie </w:t>
      </w:r>
      <w:r w:rsidR="003C1EF3" w:rsidRPr="00D45D95">
        <w:rPr>
          <w:rFonts w:cs="Times New Roman"/>
          <w:spacing w:val="-1"/>
          <w:lang w:val="sk-SK"/>
        </w:rPr>
        <w:t>Gefitinib</w:t>
      </w:r>
      <w:r w:rsidR="00841DE3">
        <w:rPr>
          <w:rFonts w:cs="Times New Roman"/>
          <w:spacing w:val="-1"/>
          <w:lang w:val="sk-SK"/>
        </w:rPr>
        <w:t>u</w:t>
      </w:r>
      <w:r w:rsidR="003C1EF3" w:rsidRPr="00D45D95">
        <w:rPr>
          <w:rFonts w:cs="Times New Roman"/>
          <w:spacing w:val="-1"/>
          <w:lang w:val="sk-SK"/>
        </w:rPr>
        <w:t xml:space="preserve"> Synthon</w:t>
      </w:r>
      <w:r w:rsidRPr="00D45D95">
        <w:rPr>
          <w:rFonts w:cs="Times New Roman"/>
          <w:spacing w:val="-1"/>
          <w:lang w:val="sk-SK"/>
        </w:rPr>
        <w:t xml:space="preserve"> sa musí </w:t>
      </w:r>
      <w:r w:rsidR="00841DE3">
        <w:rPr>
          <w:rFonts w:cs="Times New Roman"/>
          <w:spacing w:val="-1"/>
          <w:lang w:val="sk-SK"/>
        </w:rPr>
        <w:t>ukončiť</w:t>
      </w:r>
      <w:r w:rsidRPr="00D45D9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má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sa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začať</w:t>
      </w:r>
      <w:r w:rsidRPr="00D45D95">
        <w:rPr>
          <w:rFonts w:cs="Times New Roman"/>
          <w:lang w:val="sk-SK"/>
        </w:rPr>
        <w:t xml:space="preserve"> s</w:t>
      </w:r>
      <w:r w:rsidRPr="00D45D95">
        <w:rPr>
          <w:rFonts w:cs="Times New Roman"/>
          <w:spacing w:val="29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adekvátnou liečbou.</w:t>
      </w:r>
    </w:p>
    <w:p w14:paraId="5733DB30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7B6CA117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rámci japonského farmakoepidemiologického kontrolovaného klinického skúšania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3159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pacientov</w:t>
      </w:r>
      <w:r w:rsidRPr="00D45D95">
        <w:rPr>
          <w:rFonts w:cs="Times New Roman"/>
          <w:spacing w:val="27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>NSCLC užívajúcich gefitinib alebo chemoterapiu, sledovaných počas 12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týždňov, boli</w:t>
      </w:r>
    </w:p>
    <w:p w14:paraId="116CFBB3" w14:textId="4C70A9F8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identifikované nasledujúce rizikové faktory pre vznik ILD (bez ohľadu na to, či pacient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užíval </w:t>
      </w:r>
      <w:r w:rsidR="00D45D95">
        <w:rPr>
          <w:rFonts w:cs="Times New Roman"/>
          <w:spacing w:val="-1"/>
          <w:lang w:val="sk-SK"/>
        </w:rPr>
        <w:t>g</w:t>
      </w:r>
      <w:r w:rsidR="003C1EF3" w:rsidRPr="00D45D95">
        <w:rPr>
          <w:rFonts w:cs="Times New Roman"/>
          <w:spacing w:val="-1"/>
          <w:lang w:val="sk-SK"/>
        </w:rPr>
        <w:t xml:space="preserve">efitinib </w:t>
      </w:r>
      <w:r w:rsidRPr="00D45D95">
        <w:rPr>
          <w:rFonts w:cs="Times New Roman"/>
          <w:spacing w:val="-1"/>
          <w:lang w:val="sk-SK"/>
        </w:rPr>
        <w:lastRenderedPageBreak/>
        <w:t xml:space="preserve">alebo chemoterapiu): fajčenie, </w:t>
      </w:r>
      <w:r w:rsidR="00841DE3">
        <w:rPr>
          <w:rFonts w:cs="Times New Roman"/>
          <w:spacing w:val="-1"/>
          <w:lang w:val="sk-SK"/>
        </w:rPr>
        <w:t>slabý výkonnostný stav</w:t>
      </w:r>
      <w:r w:rsidRPr="00D45D95">
        <w:rPr>
          <w:rFonts w:cs="Times New Roman"/>
          <w:spacing w:val="-1"/>
          <w:lang w:val="sk-SK"/>
        </w:rPr>
        <w:t xml:space="preserve"> (performance status, PS</w:t>
      </w:r>
      <w:r w:rsidRPr="00D45D95">
        <w:rPr>
          <w:rFonts w:cs="Times New Roman"/>
          <w:spacing w:val="-4"/>
          <w:lang w:val="sk-SK"/>
        </w:rPr>
        <w:t xml:space="preserve"> </w:t>
      </w:r>
      <w:r w:rsidR="00D45D95" w:rsidRPr="00D45D95">
        <w:rPr>
          <w:rFonts w:eastAsia="Symbol" w:cs="Times New Roman"/>
          <w:u w:val="single"/>
          <w:lang w:val="sk-SK"/>
        </w:rPr>
        <w:t>&gt;</w:t>
      </w:r>
      <w:r w:rsidRPr="00D45D95">
        <w:rPr>
          <w:rFonts w:cs="Times New Roman"/>
          <w:spacing w:val="-1"/>
          <w:lang w:val="sk-SK"/>
        </w:rPr>
        <w:t>2), dôkaz redukcie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normálneho pľúcneho tkaniva na základe CT vyšetrenia (≤</w:t>
      </w:r>
      <w:r w:rsidRPr="00D45D95">
        <w:rPr>
          <w:rFonts w:cs="Times New Roman"/>
          <w:lang w:val="sk-SK"/>
        </w:rPr>
        <w:t xml:space="preserve"> 50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%), nedávna diagnóza NSCLC</w:t>
      </w:r>
    </w:p>
    <w:p w14:paraId="407C194F" w14:textId="02C22140" w:rsidR="00AF2C33" w:rsidRPr="00D45D95" w:rsidRDefault="008174E0" w:rsidP="00BB53F4">
      <w:pPr>
        <w:pStyle w:val="Zkladntext"/>
        <w:tabs>
          <w:tab w:val="left" w:pos="0"/>
        </w:tabs>
        <w:spacing w:before="2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 xml:space="preserve">(&lt; 6 </w:t>
      </w:r>
      <w:r w:rsidRPr="00D45D95">
        <w:rPr>
          <w:rFonts w:cs="Times New Roman"/>
          <w:spacing w:val="-1"/>
          <w:lang w:val="sk-SK"/>
        </w:rPr>
        <w:t xml:space="preserve">mesiacov), </w:t>
      </w:r>
      <w:r w:rsidR="00841DE3">
        <w:rPr>
          <w:rFonts w:cs="Times New Roman"/>
          <w:spacing w:val="-1"/>
          <w:lang w:val="sk-SK"/>
        </w:rPr>
        <w:t xml:space="preserve">už </w:t>
      </w:r>
      <w:r w:rsidRPr="00D45D95">
        <w:rPr>
          <w:rFonts w:cs="Times New Roman"/>
          <w:spacing w:val="-1"/>
          <w:lang w:val="sk-SK"/>
        </w:rPr>
        <w:t xml:space="preserve">existujúca intersticiálna pľúcna choroba, </w:t>
      </w:r>
      <w:r w:rsidR="00841DE3">
        <w:rPr>
          <w:rFonts w:cs="Times New Roman"/>
          <w:spacing w:val="-2"/>
          <w:lang w:val="sk-SK"/>
        </w:rPr>
        <w:t>vyšší</w:t>
      </w:r>
      <w:r w:rsidRPr="00D45D95">
        <w:rPr>
          <w:rFonts w:cs="Times New Roman"/>
          <w:spacing w:val="-1"/>
          <w:lang w:val="sk-SK"/>
        </w:rPr>
        <w:t xml:space="preserve"> vek </w:t>
      </w:r>
      <w:r w:rsidRPr="00D45D95">
        <w:rPr>
          <w:rFonts w:cs="Times New Roman"/>
          <w:lang w:val="sk-SK"/>
        </w:rPr>
        <w:t>(</w:t>
      </w:r>
      <w:r w:rsidR="00D45D95" w:rsidRPr="00D45D95">
        <w:rPr>
          <w:rFonts w:eastAsia="Symbol" w:cs="Times New Roman"/>
          <w:u w:val="single"/>
          <w:lang w:val="sk-SK"/>
        </w:rPr>
        <w:t>&gt;</w:t>
      </w:r>
      <w:r w:rsidR="008F2498">
        <w:rPr>
          <w:rFonts w:eastAsia="Symbol" w:cs="Times New Roman"/>
          <w:u w:val="single"/>
          <w:lang w:val="sk-SK"/>
        </w:rPr>
        <w:t xml:space="preserve"> </w:t>
      </w:r>
      <w:r w:rsidRPr="00D45D95">
        <w:rPr>
          <w:rFonts w:cs="Times New Roman"/>
          <w:lang w:val="sk-SK"/>
        </w:rPr>
        <w:t>55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rokov)</w:t>
      </w:r>
      <w:r w:rsidRPr="00D45D95">
        <w:rPr>
          <w:rFonts w:cs="Times New Roman"/>
          <w:lang w:val="sk-SK"/>
        </w:rPr>
        <w:t xml:space="preserve"> a </w:t>
      </w:r>
      <w:r w:rsidRPr="00D45D95">
        <w:rPr>
          <w:rFonts w:cs="Times New Roman"/>
          <w:spacing w:val="-1"/>
          <w:lang w:val="sk-SK"/>
        </w:rPr>
        <w:t>súbežne sa</w:t>
      </w:r>
      <w:r w:rsidR="00841DE3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vyskytujúce ochorenie srdca. Prevažne počas prvých </w:t>
      </w:r>
      <w:r w:rsidRPr="00D45D95">
        <w:rPr>
          <w:rFonts w:cs="Times New Roman"/>
          <w:lang w:val="sk-SK"/>
        </w:rPr>
        <w:t>4</w:t>
      </w:r>
      <w:r w:rsidRPr="00D45D95">
        <w:rPr>
          <w:rFonts w:cs="Times New Roman"/>
          <w:spacing w:val="-1"/>
          <w:lang w:val="sk-SK"/>
        </w:rPr>
        <w:t xml:space="preserve"> týždňov liečby bolo zvýšené riziko ILD pri</w:t>
      </w:r>
      <w:r w:rsidRPr="00D45D95">
        <w:rPr>
          <w:rFonts w:cs="Times New Roman"/>
          <w:spacing w:val="2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gefitinibe </w:t>
      </w:r>
      <w:r w:rsidR="008F2498">
        <w:rPr>
          <w:rFonts w:cs="Times New Roman"/>
          <w:spacing w:val="-1"/>
          <w:lang w:val="sk-SK"/>
        </w:rPr>
        <w:t>v porovnaní s</w:t>
      </w:r>
      <w:r w:rsidRPr="00D45D95">
        <w:rPr>
          <w:rFonts w:cs="Times New Roman"/>
          <w:spacing w:val="-1"/>
          <w:lang w:val="sk-SK"/>
        </w:rPr>
        <w:t xml:space="preserve"> chemoterapi</w:t>
      </w:r>
      <w:r w:rsidR="008F2498">
        <w:rPr>
          <w:rFonts w:cs="Times New Roman"/>
          <w:spacing w:val="-1"/>
          <w:lang w:val="sk-SK"/>
        </w:rPr>
        <w:t>ou</w:t>
      </w:r>
      <w:r w:rsidRPr="00D45D95">
        <w:rPr>
          <w:rFonts w:cs="Times New Roman"/>
          <w:spacing w:val="-1"/>
          <w:lang w:val="sk-SK"/>
        </w:rPr>
        <w:t xml:space="preserve"> (</w:t>
      </w:r>
      <w:r w:rsidR="008F2498">
        <w:rPr>
          <w:rFonts w:cs="Times New Roman"/>
          <w:spacing w:val="-1"/>
          <w:lang w:val="sk-SK"/>
        </w:rPr>
        <w:t>upravený</w:t>
      </w:r>
      <w:r w:rsidRPr="00D45D95">
        <w:rPr>
          <w:rFonts w:cs="Times New Roman"/>
          <w:spacing w:val="-1"/>
          <w:lang w:val="sk-SK"/>
        </w:rPr>
        <w:t xml:space="preserve"> OR 3,8; 95</w:t>
      </w:r>
      <w:r w:rsidRPr="00D45D95">
        <w:rPr>
          <w:rFonts w:cs="Times New Roman"/>
          <w:spacing w:val="-4"/>
          <w:lang w:val="sk-SK"/>
        </w:rPr>
        <w:t xml:space="preserve"> </w:t>
      </w:r>
      <w:r w:rsidRPr="00D45D95">
        <w:rPr>
          <w:rFonts w:cs="Times New Roman"/>
          <w:lang w:val="sk-SK"/>
        </w:rPr>
        <w:t>%</w:t>
      </w:r>
      <w:r w:rsidRPr="00D45D95">
        <w:rPr>
          <w:rFonts w:cs="Times New Roman"/>
          <w:spacing w:val="-1"/>
          <w:lang w:val="sk-SK"/>
        </w:rPr>
        <w:t xml:space="preserve"> I</w:t>
      </w:r>
      <w:r w:rsidR="008F2498">
        <w:rPr>
          <w:rFonts w:cs="Times New Roman"/>
          <w:spacing w:val="-1"/>
          <w:lang w:val="sk-SK"/>
        </w:rPr>
        <w:t>S</w:t>
      </w:r>
      <w:r w:rsidRPr="00D45D95">
        <w:rPr>
          <w:rFonts w:cs="Times New Roman"/>
          <w:spacing w:val="-1"/>
          <w:lang w:val="sk-SK"/>
        </w:rPr>
        <w:t xml:space="preserve"> 1,9 až 7,7); potom </w:t>
      </w:r>
      <w:r w:rsidR="00A5542B">
        <w:rPr>
          <w:rFonts w:cs="Times New Roman"/>
          <w:spacing w:val="-1"/>
          <w:lang w:val="sk-SK"/>
        </w:rPr>
        <w:t xml:space="preserve">bolo </w:t>
      </w:r>
      <w:r w:rsidRPr="00D45D95">
        <w:rPr>
          <w:rFonts w:cs="Times New Roman"/>
          <w:spacing w:val="-1"/>
          <w:lang w:val="sk-SK"/>
        </w:rPr>
        <w:t>relatívne riziko</w:t>
      </w:r>
      <w:r w:rsidR="00A5542B">
        <w:rPr>
          <w:rFonts w:cs="Times New Roman"/>
          <w:spacing w:val="3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nižšie (</w:t>
      </w:r>
      <w:r w:rsidR="008F2498">
        <w:rPr>
          <w:rFonts w:cs="Times New Roman"/>
          <w:spacing w:val="-1"/>
          <w:lang w:val="sk-SK"/>
        </w:rPr>
        <w:t>upravený</w:t>
      </w:r>
      <w:r w:rsidRPr="00D45D95">
        <w:rPr>
          <w:rFonts w:cs="Times New Roman"/>
          <w:spacing w:val="-1"/>
          <w:lang w:val="sk-SK"/>
        </w:rPr>
        <w:t xml:space="preserve"> OR 2,5; 95</w:t>
      </w:r>
      <w:r w:rsidRPr="00D45D95">
        <w:rPr>
          <w:rFonts w:cs="Times New Roman"/>
          <w:lang w:val="sk-SK"/>
        </w:rPr>
        <w:t xml:space="preserve"> %</w:t>
      </w:r>
      <w:r w:rsidRPr="00D45D95">
        <w:rPr>
          <w:rFonts w:cs="Times New Roman"/>
          <w:spacing w:val="-1"/>
          <w:lang w:val="sk-SK"/>
        </w:rPr>
        <w:t xml:space="preserve"> I</w:t>
      </w:r>
      <w:r w:rsidR="008F2498">
        <w:rPr>
          <w:rFonts w:cs="Times New Roman"/>
          <w:spacing w:val="-1"/>
          <w:lang w:val="sk-SK"/>
        </w:rPr>
        <w:t>S</w:t>
      </w:r>
      <w:r w:rsidRPr="00D45D95">
        <w:rPr>
          <w:rFonts w:cs="Times New Roman"/>
          <w:spacing w:val="-1"/>
          <w:lang w:val="sk-SK"/>
        </w:rPr>
        <w:t xml:space="preserve"> 1,1 až 5,8). Riziko mortality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pacientov,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ktorých došlo </w:t>
      </w:r>
      <w:r w:rsidRPr="00D45D95">
        <w:rPr>
          <w:rFonts w:cs="Times New Roman"/>
          <w:lang w:val="sk-SK"/>
        </w:rPr>
        <w:t>k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vzniku</w:t>
      </w:r>
      <w:r w:rsidRPr="00D45D95">
        <w:rPr>
          <w:rFonts w:cs="Times New Roman"/>
          <w:spacing w:val="28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ILD pri liečbe </w:t>
      </w:r>
      <w:r w:rsidR="00D45D95">
        <w:rPr>
          <w:rFonts w:cs="Times New Roman"/>
          <w:spacing w:val="-2"/>
          <w:lang w:val="sk-SK"/>
        </w:rPr>
        <w:t>g</w:t>
      </w:r>
      <w:r w:rsidR="003C1EF3" w:rsidRPr="00D45D95">
        <w:rPr>
          <w:rFonts w:cs="Times New Roman"/>
          <w:spacing w:val="-2"/>
          <w:lang w:val="sk-SK"/>
        </w:rPr>
        <w:t>efitinib</w:t>
      </w:r>
      <w:r w:rsidR="00D45D95">
        <w:rPr>
          <w:rFonts w:cs="Times New Roman"/>
          <w:spacing w:val="-2"/>
          <w:lang w:val="sk-SK"/>
        </w:rPr>
        <w:t>om</w:t>
      </w:r>
      <w:r w:rsidR="003C1EF3"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alebo pri chemoterapii bolo vyššie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pacientov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>nasledujúcimi rizikovými</w:t>
      </w:r>
      <w:r w:rsidRPr="00D45D95">
        <w:rPr>
          <w:rFonts w:cs="Times New Roman"/>
          <w:spacing w:val="2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faktormi: fajčenie, dôkaz redukcie normálneho pľúcneho tkaniva na základe CT vyšetrenia </w:t>
      </w:r>
      <w:r w:rsidRPr="00D45D95">
        <w:rPr>
          <w:rFonts w:cs="Times New Roman"/>
          <w:lang w:val="sk-SK"/>
        </w:rPr>
        <w:t>(≤</w:t>
      </w:r>
      <w:r w:rsidRPr="00D45D9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50 </w:t>
      </w:r>
      <w:r w:rsidRPr="00D45D95">
        <w:rPr>
          <w:rFonts w:cs="Times New Roman"/>
          <w:spacing w:val="-1"/>
          <w:lang w:val="sk-SK"/>
        </w:rPr>
        <w:t>%),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ILD, </w:t>
      </w:r>
      <w:r w:rsidR="00A5542B">
        <w:rPr>
          <w:rFonts w:cs="Times New Roman"/>
          <w:spacing w:val="-1"/>
          <w:lang w:val="sk-SK"/>
        </w:rPr>
        <w:t>vyšší</w:t>
      </w:r>
      <w:r w:rsidRPr="00D45D95">
        <w:rPr>
          <w:rFonts w:cs="Times New Roman"/>
          <w:spacing w:val="-1"/>
          <w:lang w:val="sk-SK"/>
        </w:rPr>
        <w:t xml:space="preserve"> vek </w:t>
      </w:r>
      <w:r w:rsidRPr="00D45D95">
        <w:rPr>
          <w:rFonts w:cs="Times New Roman"/>
          <w:lang w:val="sk-SK"/>
        </w:rPr>
        <w:t>(</w:t>
      </w:r>
      <w:r w:rsidR="00D45D95" w:rsidRPr="00D45D95">
        <w:rPr>
          <w:rFonts w:eastAsia="Symbol" w:cs="Times New Roman"/>
          <w:u w:val="single"/>
          <w:lang w:val="sk-SK"/>
        </w:rPr>
        <w:t>&gt;</w:t>
      </w:r>
      <w:r w:rsidR="00A5542B">
        <w:rPr>
          <w:rFonts w:eastAsia="Symbol" w:cs="Times New Roman"/>
          <w:u w:val="single"/>
          <w:lang w:val="sk-SK"/>
        </w:rPr>
        <w:t xml:space="preserve"> </w:t>
      </w:r>
      <w:r w:rsidRPr="00D45D95">
        <w:rPr>
          <w:rFonts w:cs="Times New Roman"/>
          <w:lang w:val="sk-SK"/>
        </w:rPr>
        <w:t>65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rokov)</w:t>
      </w:r>
      <w:r w:rsidRPr="00D45D95">
        <w:rPr>
          <w:rFonts w:cs="Times New Roman"/>
          <w:lang w:val="sk-SK"/>
        </w:rPr>
        <w:t xml:space="preserve"> a </w:t>
      </w:r>
      <w:r w:rsidRPr="00D45D95">
        <w:rPr>
          <w:rFonts w:cs="Times New Roman"/>
          <w:spacing w:val="-1"/>
          <w:lang w:val="sk-SK"/>
        </w:rPr>
        <w:t xml:space="preserve">rozsiahle plochy adherujúce </w:t>
      </w:r>
      <w:r w:rsidRPr="00D45D95">
        <w:rPr>
          <w:rFonts w:cs="Times New Roman"/>
          <w:lang w:val="sk-SK"/>
        </w:rPr>
        <w:t>k</w:t>
      </w:r>
      <w:r w:rsidRPr="00D45D95">
        <w:rPr>
          <w:rFonts w:cs="Times New Roman"/>
          <w:spacing w:val="-1"/>
          <w:lang w:val="sk-SK"/>
        </w:rPr>
        <w:t xml:space="preserve"> pleure </w:t>
      </w:r>
      <w:r w:rsidRPr="00D45D95">
        <w:rPr>
          <w:rFonts w:cs="Times New Roman"/>
          <w:lang w:val="sk-SK"/>
        </w:rPr>
        <w:t>(</w:t>
      </w:r>
      <w:r w:rsidR="00D45D95" w:rsidRPr="00D45D95">
        <w:rPr>
          <w:rFonts w:eastAsia="Symbol" w:cs="Times New Roman"/>
          <w:u w:val="single"/>
          <w:lang w:val="sk-SK"/>
        </w:rPr>
        <w:t>&gt;</w:t>
      </w:r>
      <w:r w:rsidR="00A5542B">
        <w:rPr>
          <w:rFonts w:eastAsia="Symbol" w:cs="Times New Roman"/>
          <w:u w:val="single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50 </w:t>
      </w:r>
      <w:r w:rsidRPr="00D45D95">
        <w:rPr>
          <w:rFonts w:cs="Times New Roman"/>
          <w:spacing w:val="-1"/>
          <w:lang w:val="sk-SK"/>
        </w:rPr>
        <w:t>%).</w:t>
      </w:r>
    </w:p>
    <w:p w14:paraId="73E3CC21" w14:textId="77777777" w:rsidR="00AF2C33" w:rsidRPr="00D45D95" w:rsidRDefault="00AF2C33" w:rsidP="004568C3">
      <w:pPr>
        <w:tabs>
          <w:tab w:val="left" w:pos="0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14:paraId="051B056E" w14:textId="77777777" w:rsidR="00AF2C33" w:rsidRPr="00D45D95" w:rsidRDefault="008174E0" w:rsidP="004568C3">
      <w:pPr>
        <w:tabs>
          <w:tab w:val="left" w:pos="0"/>
        </w:tabs>
        <w:spacing w:line="252" w:lineRule="exact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i/>
          <w:spacing w:val="-1"/>
          <w:lang w:val="sk-SK"/>
        </w:rPr>
        <w:t xml:space="preserve">Hepatotoxicita </w:t>
      </w:r>
      <w:r w:rsidRPr="00D45D95">
        <w:rPr>
          <w:rFonts w:ascii="Times New Roman" w:hAnsi="Times New Roman" w:cs="Times New Roman"/>
          <w:i/>
          <w:lang w:val="sk-SK"/>
        </w:rPr>
        <w:t>a</w:t>
      </w:r>
      <w:r w:rsidRPr="00D45D95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D45D95">
        <w:rPr>
          <w:rFonts w:ascii="Times New Roman" w:hAnsi="Times New Roman" w:cs="Times New Roman"/>
          <w:i/>
          <w:spacing w:val="-1"/>
          <w:lang w:val="sk-SK"/>
        </w:rPr>
        <w:t>porucha funkcie pečene</w:t>
      </w:r>
    </w:p>
    <w:p w14:paraId="78ABEEC0" w14:textId="2C96ABF3" w:rsidR="00AF2C33" w:rsidRPr="00D45D95" w:rsidRDefault="00A5542B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A5542B">
        <w:rPr>
          <w:rFonts w:cs="Times New Roman"/>
          <w:spacing w:val="-1"/>
          <w:lang w:val="sk-SK"/>
        </w:rPr>
        <w:t>Pozorovali sa a</w:t>
      </w:r>
      <w:r w:rsidR="008174E0" w:rsidRPr="00D45D95">
        <w:rPr>
          <w:rFonts w:cs="Times New Roman"/>
          <w:spacing w:val="-1"/>
          <w:lang w:val="sk-SK"/>
        </w:rPr>
        <w:t>bnormality pečeňových funkčných testov (vrátane zvýšenia alanínaminotransferázy,</w:t>
      </w:r>
      <w:r w:rsidR="008174E0" w:rsidRPr="00D45D95">
        <w:rPr>
          <w:rFonts w:cs="Times New Roman"/>
          <w:spacing w:val="26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 xml:space="preserve">aspartátaminotransferázy, bilirubínu), menej často </w:t>
      </w:r>
      <w:r>
        <w:rPr>
          <w:rFonts w:cs="Times New Roman"/>
          <w:spacing w:val="-1"/>
          <w:lang w:val="sk-SK"/>
        </w:rPr>
        <w:t>sa pozorovala</w:t>
      </w:r>
      <w:r w:rsidR="008174E0" w:rsidRPr="00D45D95">
        <w:rPr>
          <w:rFonts w:cs="Times New Roman"/>
          <w:spacing w:val="-1"/>
          <w:lang w:val="sk-SK"/>
        </w:rPr>
        <w:t xml:space="preserve"> hepatitída (pozri časť</w:t>
      </w:r>
      <w:r w:rsidR="008174E0" w:rsidRPr="00D45D95">
        <w:rPr>
          <w:rFonts w:cs="Times New Roman"/>
          <w:spacing w:val="22"/>
          <w:lang w:val="sk-SK"/>
        </w:rPr>
        <w:t xml:space="preserve"> </w:t>
      </w:r>
      <w:r w:rsidR="008174E0" w:rsidRPr="00D45D95">
        <w:rPr>
          <w:rFonts w:cs="Times New Roman"/>
          <w:lang w:val="sk-SK"/>
        </w:rPr>
        <w:t xml:space="preserve">4.8). </w:t>
      </w:r>
      <w:r w:rsidR="008174E0" w:rsidRPr="00D45D95">
        <w:rPr>
          <w:rFonts w:cs="Times New Roman"/>
          <w:spacing w:val="-1"/>
          <w:lang w:val="sk-SK"/>
        </w:rPr>
        <w:t xml:space="preserve">Existujú jednotlivé prípady zlyhania pečene, ktoré </w:t>
      </w:r>
      <w:r w:rsidR="008174E0" w:rsidRPr="00D45D95">
        <w:rPr>
          <w:rFonts w:cs="Times New Roman"/>
          <w:lang w:val="sk-SK"/>
        </w:rPr>
        <w:t>v</w:t>
      </w:r>
      <w:r w:rsidR="008174E0" w:rsidRPr="00D45D95">
        <w:rPr>
          <w:rFonts w:cs="Times New Roman"/>
          <w:spacing w:val="-1"/>
          <w:lang w:val="sk-SK"/>
        </w:rPr>
        <w:t xml:space="preserve"> niektorých prípadoch viedli </w:t>
      </w:r>
      <w:r w:rsidR="008174E0" w:rsidRPr="00D45D95">
        <w:rPr>
          <w:rFonts w:cs="Times New Roman"/>
          <w:lang w:val="sk-SK"/>
        </w:rPr>
        <w:t>k</w:t>
      </w:r>
      <w:r w:rsidR="008174E0" w:rsidRPr="00D45D95">
        <w:rPr>
          <w:rFonts w:cs="Times New Roman"/>
          <w:spacing w:val="-5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>fatálnym</w:t>
      </w:r>
      <w:r w:rsidR="008174E0" w:rsidRPr="00D45D95">
        <w:rPr>
          <w:rFonts w:cs="Times New Roman"/>
          <w:spacing w:val="29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>koncom.</w:t>
      </w:r>
      <w:r w:rsidR="008174E0" w:rsidRPr="00D45D95">
        <w:rPr>
          <w:rFonts w:cs="Times New Roman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>Preto sa odporúča pravidelné testovanie funkcie pečene. Gefitinib</w:t>
      </w:r>
      <w:r w:rsidR="008174E0" w:rsidRPr="00D45D95">
        <w:rPr>
          <w:rFonts w:cs="Times New Roman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>sa</w:t>
      </w:r>
      <w:r w:rsidR="008174E0" w:rsidRPr="00D45D95">
        <w:rPr>
          <w:rFonts w:cs="Times New Roman"/>
          <w:spacing w:val="-2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>má</w:t>
      </w:r>
      <w:r w:rsidR="008174E0" w:rsidRPr="00D45D95">
        <w:rPr>
          <w:rFonts w:cs="Times New Roman"/>
          <w:spacing w:val="-2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>používať</w:t>
      </w:r>
      <w:r w:rsidR="008174E0" w:rsidRPr="00D45D95">
        <w:rPr>
          <w:rFonts w:cs="Times New Roman"/>
          <w:spacing w:val="-2"/>
          <w:lang w:val="sk-SK"/>
        </w:rPr>
        <w:t xml:space="preserve"> </w:t>
      </w:r>
      <w:r w:rsidR="008174E0" w:rsidRPr="00D45D95">
        <w:rPr>
          <w:rFonts w:cs="Times New Roman"/>
          <w:lang w:val="sk-SK"/>
        </w:rPr>
        <w:t>v</w:t>
      </w:r>
      <w:r w:rsidR="008174E0" w:rsidRPr="00D45D95">
        <w:rPr>
          <w:rFonts w:cs="Times New Roman"/>
          <w:spacing w:val="25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 xml:space="preserve">prípadoch ľahkých až stredne ťažkých zmien funkcie pečene so zvýšenou opatrnosťou. Ak ide </w:t>
      </w:r>
      <w:r w:rsidR="008174E0" w:rsidRPr="00D45D95">
        <w:rPr>
          <w:rFonts w:cs="Times New Roman"/>
          <w:lang w:val="sk-SK"/>
        </w:rPr>
        <w:t>o</w:t>
      </w:r>
      <w:r w:rsidR="008174E0" w:rsidRPr="00D45D95">
        <w:rPr>
          <w:rFonts w:cs="Times New Roman"/>
          <w:spacing w:val="-1"/>
          <w:lang w:val="sk-SK"/>
        </w:rPr>
        <w:t xml:space="preserve"> ťažké</w:t>
      </w:r>
      <w:r w:rsidR="008174E0" w:rsidRPr="00D45D95">
        <w:rPr>
          <w:rFonts w:cs="Times New Roman"/>
          <w:spacing w:val="34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>zmeny, má sa zvážiť ukončenie</w:t>
      </w:r>
      <w:r w:rsidR="008174E0" w:rsidRPr="00D45D95">
        <w:rPr>
          <w:rFonts w:cs="Times New Roman"/>
          <w:spacing w:val="-3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>terapie.</w:t>
      </w:r>
    </w:p>
    <w:p w14:paraId="76F338E1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6BD9F6C3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Ukázalo sa, že porucha funkcie pečene </w:t>
      </w:r>
      <w:r w:rsidRPr="00D45D95">
        <w:rPr>
          <w:rFonts w:cs="Times New Roman"/>
          <w:lang w:val="sk-SK"/>
        </w:rPr>
        <w:t>z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dôvodu cirhózy vedie </w:t>
      </w:r>
      <w:r w:rsidRPr="00D45D95">
        <w:rPr>
          <w:rFonts w:cs="Times New Roman"/>
          <w:lang w:val="sk-SK"/>
        </w:rPr>
        <w:t>k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zvýšeniu plazmatických koncentrácií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gefitinibu (pozri časť 5.2).</w:t>
      </w:r>
    </w:p>
    <w:p w14:paraId="23DC8DC1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5F36E2C7" w14:textId="77777777" w:rsidR="00AF2C33" w:rsidRPr="00D45D95" w:rsidRDefault="008174E0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i/>
          <w:spacing w:val="-1"/>
          <w:lang w:val="sk-SK"/>
        </w:rPr>
        <w:t xml:space="preserve">Interakcie </w:t>
      </w:r>
      <w:r w:rsidRPr="00D45D95">
        <w:rPr>
          <w:rFonts w:ascii="Times New Roman" w:hAnsi="Times New Roman" w:cs="Times New Roman"/>
          <w:i/>
          <w:lang w:val="sk-SK"/>
        </w:rPr>
        <w:t xml:space="preserve">s </w:t>
      </w:r>
      <w:r w:rsidRPr="00D45D95">
        <w:rPr>
          <w:rFonts w:ascii="Times New Roman" w:hAnsi="Times New Roman" w:cs="Times New Roman"/>
          <w:i/>
          <w:spacing w:val="-1"/>
          <w:lang w:val="sk-SK"/>
        </w:rPr>
        <w:t>inými liekmi</w:t>
      </w:r>
    </w:p>
    <w:p w14:paraId="57A6D8F0" w14:textId="77777777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Induktory CYP3A4 môžu zvýšiť metabolizmus gefitinibu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znížiť plazmatické koncentrácie gefitinibu.</w:t>
      </w:r>
      <w:r w:rsidRPr="00D45D95">
        <w:rPr>
          <w:rFonts w:cs="Times New Roman"/>
          <w:spacing w:val="29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Súbežné podávanie induktorov CYP3A4 (napr. fenytoín, karbamazepín, rifampicín, barbituráty alebo</w:t>
      </w:r>
      <w:r w:rsidRPr="00D45D95">
        <w:rPr>
          <w:rFonts w:cs="Times New Roman"/>
          <w:spacing w:val="29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rastlinné prípravky </w:t>
      </w:r>
      <w:r w:rsidRPr="00D45D95">
        <w:rPr>
          <w:rFonts w:cs="Times New Roman"/>
          <w:spacing w:val="-2"/>
          <w:lang w:val="sk-SK"/>
        </w:rPr>
        <w:t>obsahujúce</w:t>
      </w:r>
      <w:r w:rsidRPr="00D45D95">
        <w:rPr>
          <w:rFonts w:cs="Times New Roman"/>
          <w:spacing w:val="-1"/>
          <w:lang w:val="sk-SK"/>
        </w:rPr>
        <w:t xml:space="preserve"> </w:t>
      </w:r>
      <w:r w:rsidR="00D45D95" w:rsidRPr="00D45D95">
        <w:rPr>
          <w:rFonts w:cs="Times New Roman"/>
          <w:spacing w:val="-1"/>
          <w:lang w:val="sk-SK"/>
        </w:rPr>
        <w:t>ľ</w:t>
      </w:r>
      <w:r w:rsidRPr="00D45D95">
        <w:rPr>
          <w:rFonts w:cs="Times New Roman"/>
          <w:spacing w:val="-1"/>
          <w:lang w:val="sk-SK"/>
        </w:rPr>
        <w:t>ubovník bodkovaný (</w:t>
      </w:r>
      <w:r w:rsidRPr="00D45D95">
        <w:rPr>
          <w:rFonts w:cs="Times New Roman"/>
          <w:i/>
          <w:spacing w:val="-1"/>
          <w:lang w:val="sk-SK"/>
        </w:rPr>
        <w:t xml:space="preserve">Hypericum </w:t>
      </w:r>
      <w:r w:rsidRPr="00D45D95">
        <w:rPr>
          <w:rFonts w:cs="Times New Roman"/>
          <w:i/>
          <w:spacing w:val="-2"/>
          <w:lang w:val="sk-SK"/>
        </w:rPr>
        <w:t>perforatum</w:t>
      </w:r>
      <w:r w:rsidRPr="00D45D95">
        <w:rPr>
          <w:rFonts w:cs="Times New Roman"/>
          <w:spacing w:val="-2"/>
          <w:lang w:val="sk-SK"/>
        </w:rPr>
        <w:t>)</w:t>
      </w:r>
      <w:r w:rsidRPr="00D45D95">
        <w:rPr>
          <w:rFonts w:cs="Times New Roman"/>
          <w:spacing w:val="-1"/>
          <w:lang w:val="sk-SK"/>
        </w:rPr>
        <w:t xml:space="preserve"> môže preto znížiť</w:t>
      </w:r>
      <w:r w:rsidRPr="00D45D95">
        <w:rPr>
          <w:rFonts w:cs="Times New Roman"/>
          <w:spacing w:val="5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účinnosť liečby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>takejto kombinácii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sa má vyhnúť (pozri časť 4.5).</w:t>
      </w:r>
    </w:p>
    <w:p w14:paraId="36DD5790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64750A20" w14:textId="7F8786E3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pacientov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 xml:space="preserve">genotypom </w:t>
      </w:r>
      <w:r w:rsidR="009354F4">
        <w:rPr>
          <w:rFonts w:cs="Times New Roman"/>
          <w:spacing w:val="-1"/>
          <w:lang w:val="sk-SK"/>
        </w:rPr>
        <w:t>pomalých</w:t>
      </w:r>
      <w:r w:rsidRPr="00D45D95">
        <w:rPr>
          <w:rFonts w:cs="Times New Roman"/>
          <w:spacing w:val="-1"/>
          <w:lang w:val="sk-SK"/>
        </w:rPr>
        <w:t xml:space="preserve"> metabolizérov pre substráty CYP2D6 môže viesť liečba silnými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inhibítormi CYP3A4 </w:t>
      </w:r>
      <w:r w:rsidRPr="00D45D95">
        <w:rPr>
          <w:rFonts w:cs="Times New Roman"/>
          <w:lang w:val="sk-SK"/>
        </w:rPr>
        <w:t>k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lang w:val="sk-SK"/>
        </w:rPr>
        <w:t>zvýšeniu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plazmatických koncentrácií gefitinibu. Pri začatí liečby inhibítormi</w:t>
      </w:r>
      <w:r w:rsidRPr="00D45D95">
        <w:rPr>
          <w:rFonts w:cs="Times New Roman"/>
          <w:spacing w:val="28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CYP3A4 majú byť pacienti starostlivo sledovaní</w:t>
      </w:r>
      <w:r w:rsidR="00CE3049">
        <w:rPr>
          <w:rFonts w:cs="Times New Roman"/>
          <w:spacing w:val="-1"/>
          <w:lang w:val="sk-SK"/>
        </w:rPr>
        <w:t xml:space="preserve"> kvôli</w:t>
      </w:r>
      <w:r w:rsidRPr="00D45D95">
        <w:rPr>
          <w:rFonts w:cs="Times New Roman"/>
          <w:spacing w:val="-1"/>
          <w:lang w:val="sk-SK"/>
        </w:rPr>
        <w:t xml:space="preserve"> nežiaduc</w:t>
      </w:r>
      <w:r w:rsidR="00CE3049">
        <w:rPr>
          <w:rFonts w:cs="Times New Roman"/>
          <w:spacing w:val="-1"/>
          <w:lang w:val="sk-SK"/>
        </w:rPr>
        <w:t>im</w:t>
      </w:r>
      <w:r w:rsidRPr="00D45D95">
        <w:rPr>
          <w:rFonts w:cs="Times New Roman"/>
          <w:spacing w:val="-1"/>
          <w:lang w:val="sk-SK"/>
        </w:rPr>
        <w:t xml:space="preserve"> účink</w:t>
      </w:r>
      <w:r w:rsidR="00CE3049">
        <w:rPr>
          <w:rFonts w:cs="Times New Roman"/>
          <w:spacing w:val="-1"/>
          <w:lang w:val="sk-SK"/>
        </w:rPr>
        <w:t>om</w:t>
      </w:r>
      <w:r w:rsidRPr="00D45D95">
        <w:rPr>
          <w:rFonts w:cs="Times New Roman"/>
          <w:spacing w:val="-1"/>
          <w:lang w:val="sk-SK"/>
        </w:rPr>
        <w:t xml:space="preserve"> gefitinibu (pozri časť 4.5).</w:t>
      </w:r>
    </w:p>
    <w:p w14:paraId="79124D28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4E26E813" w14:textId="272310B6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niektorých pacientov užívajúcich warfarín spolu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-1"/>
          <w:lang w:val="sk-SK"/>
        </w:rPr>
        <w:t xml:space="preserve"> gefitinibom bolo zaznamenané zvýšenie</w:t>
      </w:r>
      <w:r w:rsidRPr="00D45D95">
        <w:rPr>
          <w:rFonts w:cs="Times New Roman"/>
          <w:spacing w:val="28"/>
          <w:lang w:val="sk-SK"/>
        </w:rPr>
        <w:t xml:space="preserve"> </w:t>
      </w:r>
      <w:r w:rsidR="003F5D9C" w:rsidRPr="003F5D9C">
        <w:rPr>
          <w:rFonts w:cs="Times New Roman"/>
          <w:lang w:val="sk-SK"/>
        </w:rPr>
        <w:t xml:space="preserve">medzinárodného normalizovaného pomeru </w:t>
      </w:r>
      <w:r w:rsidR="003F5D9C">
        <w:rPr>
          <w:rFonts w:cs="Times New Roman"/>
          <w:lang w:val="sk-SK"/>
        </w:rPr>
        <w:t>(</w:t>
      </w:r>
      <w:r w:rsidRPr="00D45D95">
        <w:rPr>
          <w:rFonts w:cs="Times New Roman"/>
          <w:spacing w:val="-1"/>
          <w:lang w:val="sk-SK"/>
        </w:rPr>
        <w:t>International Normalised Ratio</w:t>
      </w:r>
      <w:r w:rsidR="003F5D9C">
        <w:rPr>
          <w:rFonts w:cs="Times New Roman"/>
          <w:spacing w:val="-1"/>
          <w:lang w:val="sk-SK"/>
        </w:rPr>
        <w:t>,</w:t>
      </w:r>
      <w:r w:rsidRPr="00D45D95">
        <w:rPr>
          <w:rFonts w:cs="Times New Roman"/>
          <w:spacing w:val="-1"/>
          <w:lang w:val="sk-SK"/>
        </w:rPr>
        <w:t xml:space="preserve"> INR) a/alebo prípady krvácania (pozri časť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4.5).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pacientov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užívajúcich warfarín súbežne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>gefitinibom sa majú pravidelne monitorovať zmeny protrombínového</w:t>
      </w:r>
      <w:r w:rsidRPr="00D45D95">
        <w:rPr>
          <w:rFonts w:cs="Times New Roman"/>
          <w:spacing w:val="29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času (PT) alebo INR.</w:t>
      </w:r>
    </w:p>
    <w:p w14:paraId="45A1F426" w14:textId="77777777" w:rsidR="00AF2C33" w:rsidRPr="00D45D95" w:rsidRDefault="00AF2C33" w:rsidP="004568C3">
      <w:pPr>
        <w:tabs>
          <w:tab w:val="left" w:pos="0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14:paraId="71202813" w14:textId="77777777" w:rsidR="00AF2C33" w:rsidRPr="00D45D95" w:rsidRDefault="008174E0" w:rsidP="004568C3">
      <w:pPr>
        <w:pStyle w:val="Zkladntext"/>
        <w:tabs>
          <w:tab w:val="left" w:pos="0"/>
        </w:tabs>
        <w:spacing w:line="235" w:lineRule="auto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Lieky, ktoré spôsobujú signifikantné dlhodobé zvýšenie žalúdkového pH, ako sú inhibítory protónovej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pumpy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>H</w:t>
      </w:r>
      <w:r w:rsidRPr="00BB53F4">
        <w:rPr>
          <w:rFonts w:cs="Times New Roman"/>
          <w:spacing w:val="-1"/>
          <w:position w:val="-2"/>
          <w:vertAlign w:val="subscript"/>
          <w:lang w:val="sk-SK"/>
        </w:rPr>
        <w:t>2</w:t>
      </w:r>
      <w:r w:rsidRPr="00D45D95">
        <w:rPr>
          <w:rFonts w:cs="Times New Roman"/>
          <w:spacing w:val="20"/>
          <w:position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–antagonisty môžu znižovať biologickú dostupnosť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koncentrácie gefitinibu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plazme,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2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preto môžu znižovať účinnosť. Ak sa antacidá užívajú pravidelne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krátkom časovom odstupe od</w:t>
      </w:r>
      <w:r w:rsidRPr="00D45D95">
        <w:rPr>
          <w:rFonts w:cs="Times New Roman"/>
          <w:spacing w:val="2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podania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gefitinibu, môžu mať podobný účinok (pozri časti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4.5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>5.2).</w:t>
      </w:r>
    </w:p>
    <w:p w14:paraId="79AE4BAC" w14:textId="77777777" w:rsidR="00AF2C33" w:rsidRPr="00D45D95" w:rsidRDefault="00AF2C33" w:rsidP="004568C3">
      <w:pPr>
        <w:tabs>
          <w:tab w:val="left" w:pos="0"/>
        </w:tabs>
        <w:spacing w:before="1"/>
        <w:rPr>
          <w:rFonts w:ascii="Times New Roman" w:eastAsia="Times New Roman" w:hAnsi="Times New Roman" w:cs="Times New Roman"/>
          <w:lang w:val="sk-SK"/>
        </w:rPr>
      </w:pPr>
    </w:p>
    <w:p w14:paraId="2E99FF8B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Údaje z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klinického skúšania II. fázy, kde sa súbežne užíval gefitinib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vinorelbín naznačujú, že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gefitinib môže spôsobiť exacerbáciu neutropenického efektu vinorelbínu.</w:t>
      </w:r>
    </w:p>
    <w:p w14:paraId="64ED4D49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7EBAE8E5" w14:textId="77777777" w:rsidR="00AF2C33" w:rsidRPr="00D45D95" w:rsidRDefault="008174E0" w:rsidP="004568C3">
      <w:pPr>
        <w:tabs>
          <w:tab w:val="left" w:pos="0"/>
        </w:tabs>
        <w:spacing w:line="252" w:lineRule="exact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i/>
          <w:spacing w:val="-1"/>
          <w:lang w:val="sk-SK"/>
        </w:rPr>
        <w:t>Laktóza</w:t>
      </w:r>
    </w:p>
    <w:p w14:paraId="6385914D" w14:textId="77777777" w:rsidR="00AF2C33" w:rsidRPr="00D45D95" w:rsidRDefault="003C1EF3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Gefitinib Synthon</w:t>
      </w:r>
      <w:r w:rsidR="008174E0" w:rsidRPr="00D45D95">
        <w:rPr>
          <w:rFonts w:cs="Times New Roman"/>
          <w:spacing w:val="-1"/>
          <w:lang w:val="sk-SK"/>
        </w:rPr>
        <w:t xml:space="preserve"> obsahuje laktózu. Pacienti so zriedkavými dedičnými problémami galaktózovej intolerancie,</w:t>
      </w:r>
      <w:r w:rsidR="008174E0" w:rsidRPr="00D45D95">
        <w:rPr>
          <w:rFonts w:cs="Times New Roman"/>
          <w:spacing w:val="22"/>
          <w:lang w:val="sk-SK"/>
        </w:rPr>
        <w:t xml:space="preserve"> </w:t>
      </w:r>
      <w:r w:rsidR="00D45D95">
        <w:rPr>
          <w:rFonts w:cs="Times New Roman"/>
          <w:spacing w:val="-1"/>
          <w:lang w:val="sk-SK"/>
        </w:rPr>
        <w:t>celkovým</w:t>
      </w:r>
      <w:r w:rsidR="008174E0" w:rsidRPr="00D45D95">
        <w:rPr>
          <w:rFonts w:cs="Times New Roman"/>
          <w:spacing w:val="-1"/>
          <w:lang w:val="sk-SK"/>
        </w:rPr>
        <w:t xml:space="preserve"> deficit</w:t>
      </w:r>
      <w:r w:rsidR="00D45D95">
        <w:rPr>
          <w:rFonts w:cs="Times New Roman"/>
          <w:spacing w:val="-1"/>
          <w:lang w:val="sk-SK"/>
        </w:rPr>
        <w:t>om</w:t>
      </w:r>
      <w:r w:rsidR="008174E0" w:rsidRPr="00D45D95">
        <w:rPr>
          <w:rFonts w:cs="Times New Roman"/>
          <w:spacing w:val="-1"/>
          <w:lang w:val="sk-SK"/>
        </w:rPr>
        <w:t xml:space="preserve"> laktázy alebo glukózo-galaktózov</w:t>
      </w:r>
      <w:r w:rsidR="00D45D95">
        <w:rPr>
          <w:rFonts w:cs="Times New Roman"/>
          <w:spacing w:val="-1"/>
          <w:lang w:val="sk-SK"/>
        </w:rPr>
        <w:t>ou</w:t>
      </w:r>
      <w:r w:rsidR="008174E0" w:rsidRPr="00D45D95">
        <w:rPr>
          <w:rFonts w:cs="Times New Roman"/>
          <w:spacing w:val="-1"/>
          <w:lang w:val="sk-SK"/>
        </w:rPr>
        <w:t xml:space="preserve"> malabsorpci</w:t>
      </w:r>
      <w:r w:rsidR="00D45D95">
        <w:rPr>
          <w:rFonts w:cs="Times New Roman"/>
          <w:spacing w:val="-1"/>
          <w:lang w:val="sk-SK"/>
        </w:rPr>
        <w:t>ou</w:t>
      </w:r>
      <w:r w:rsidR="008174E0" w:rsidRPr="00D45D95">
        <w:rPr>
          <w:rFonts w:cs="Times New Roman"/>
          <w:spacing w:val="-1"/>
          <w:lang w:val="sk-SK"/>
        </w:rPr>
        <w:t xml:space="preserve"> nesmú užívať tento liek.</w:t>
      </w:r>
    </w:p>
    <w:p w14:paraId="16241769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01A2C1DC" w14:textId="77777777" w:rsidR="00AF2C33" w:rsidRPr="00D45D95" w:rsidRDefault="008174E0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i/>
          <w:spacing w:val="-1"/>
          <w:lang w:val="sk-SK"/>
        </w:rPr>
        <w:t>Ďalšie upozornenia pri užívaní</w:t>
      </w:r>
    </w:p>
    <w:p w14:paraId="5BF3B690" w14:textId="0D4EB525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Pacienti majú byť poučení </w:t>
      </w:r>
      <w:r w:rsidRPr="00D45D95">
        <w:rPr>
          <w:rFonts w:cs="Times New Roman"/>
          <w:lang w:val="sk-SK"/>
        </w:rPr>
        <w:t>o</w:t>
      </w:r>
      <w:r w:rsidRPr="00D45D95">
        <w:rPr>
          <w:rFonts w:cs="Times New Roman"/>
          <w:spacing w:val="-1"/>
          <w:lang w:val="sk-SK"/>
        </w:rPr>
        <w:t xml:space="preserve"> tom, aby okamžite vyhľadali lekársku pomoc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prípade, ak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nich dôjde</w:t>
      </w:r>
      <w:r w:rsidRPr="00D45D95">
        <w:rPr>
          <w:rFonts w:cs="Times New Roman"/>
          <w:spacing w:val="32"/>
          <w:lang w:val="sk-SK"/>
        </w:rPr>
        <w:t xml:space="preserve"> </w:t>
      </w:r>
      <w:r w:rsidRPr="00D45D95">
        <w:rPr>
          <w:rFonts w:cs="Times New Roman"/>
          <w:lang w:val="sk-SK"/>
        </w:rPr>
        <w:t>k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ťažkej alebo pretrvávajúcej hnačke, nevoľnosti, vracaniu alebo anorexii, </w:t>
      </w:r>
      <w:r w:rsidR="00FA7937" w:rsidRPr="00FA7937">
        <w:rPr>
          <w:rFonts w:cs="Times New Roman"/>
          <w:spacing w:val="-1"/>
          <w:lang w:val="sk-SK"/>
        </w:rPr>
        <w:t>keďže</w:t>
      </w:r>
      <w:r w:rsidRPr="00D45D95">
        <w:rPr>
          <w:rFonts w:cs="Times New Roman"/>
          <w:spacing w:val="-1"/>
          <w:lang w:val="sk-SK"/>
        </w:rPr>
        <w:t xml:space="preserve"> tieto môžu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nepriamo viesť </w:t>
      </w:r>
      <w:r w:rsidRPr="00D45D95">
        <w:rPr>
          <w:rFonts w:cs="Times New Roman"/>
          <w:lang w:val="sk-SK"/>
        </w:rPr>
        <w:t>k</w:t>
      </w:r>
      <w:r w:rsidRPr="00D45D95">
        <w:rPr>
          <w:rFonts w:cs="Times New Roman"/>
          <w:spacing w:val="-1"/>
          <w:lang w:val="sk-SK"/>
        </w:rPr>
        <w:t xml:space="preserve"> vzniku dehydratácie.</w:t>
      </w:r>
      <w:r w:rsidRPr="00D45D95">
        <w:rPr>
          <w:rFonts w:cs="Times New Roman"/>
          <w:spacing w:val="-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Tieto symptómy sa majú liečiť podľa klinických príznakov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lang w:val="sk-SK"/>
        </w:rPr>
        <w:t>(pozri časť</w:t>
      </w:r>
      <w:r w:rsidRPr="00D45D95">
        <w:rPr>
          <w:rFonts w:cs="Times New Roman"/>
          <w:spacing w:val="-1"/>
          <w:lang w:val="sk-SK"/>
        </w:rPr>
        <w:t xml:space="preserve"> 4.8).</w:t>
      </w:r>
    </w:p>
    <w:p w14:paraId="2FAFA182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7FD3CC71" w14:textId="2AD5913A" w:rsidR="00AF2C33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spacing w:val="-1"/>
          <w:lang w:val="sk-SK"/>
        </w:rPr>
      </w:pPr>
      <w:r w:rsidRPr="00D45D95">
        <w:rPr>
          <w:rFonts w:cs="Times New Roman"/>
          <w:spacing w:val="-1"/>
          <w:lang w:val="sk-SK"/>
        </w:rPr>
        <w:t>Pacientov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so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2"/>
          <w:lang w:val="sk-SK"/>
        </w:rPr>
        <w:t>známkami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>príznakmi</w:t>
      </w:r>
      <w:r w:rsidRPr="00D45D95">
        <w:rPr>
          <w:rFonts w:cs="Times New Roman"/>
          <w:spacing w:val="1"/>
          <w:lang w:val="sk-SK"/>
        </w:rPr>
        <w:t xml:space="preserve"> </w:t>
      </w:r>
      <w:r w:rsidR="00FA7937">
        <w:rPr>
          <w:rFonts w:cs="Times New Roman"/>
          <w:lang w:val="sk-SK"/>
        </w:rPr>
        <w:t>naznačujúcimi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keratitídu,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2"/>
          <w:lang w:val="sk-SK"/>
        </w:rPr>
        <w:t>akými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sú </w:t>
      </w:r>
      <w:r w:rsidRPr="00D45D95">
        <w:rPr>
          <w:rFonts w:cs="Times New Roman"/>
          <w:spacing w:val="-1"/>
          <w:lang w:val="sk-SK"/>
        </w:rPr>
        <w:t xml:space="preserve">akútny alebo </w:t>
      </w:r>
      <w:r w:rsidRPr="00D45D95">
        <w:rPr>
          <w:rFonts w:cs="Times New Roman"/>
          <w:spacing w:val="-2"/>
          <w:lang w:val="sk-SK"/>
        </w:rPr>
        <w:t>zhoršený: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zápal</w:t>
      </w:r>
      <w:r w:rsidRPr="00D45D95">
        <w:rPr>
          <w:rFonts w:cs="Times New Roman"/>
          <w:spacing w:val="38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oka,</w:t>
      </w:r>
      <w:r w:rsidRPr="00D45D95">
        <w:rPr>
          <w:rFonts w:cs="Times New Roman"/>
          <w:lang w:val="sk-SK"/>
        </w:rPr>
        <w:t xml:space="preserve"> slzenie,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citlivosť na svetlo,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rozmazané</w:t>
      </w:r>
      <w:r w:rsidRPr="00D45D95">
        <w:rPr>
          <w:rFonts w:cs="Times New Roman"/>
          <w:lang w:val="sk-SK"/>
        </w:rPr>
        <w:t xml:space="preserve"> videnie, </w:t>
      </w:r>
      <w:r w:rsidRPr="00D45D95">
        <w:rPr>
          <w:rFonts w:cs="Times New Roman"/>
          <w:spacing w:val="-1"/>
          <w:lang w:val="sk-SK"/>
        </w:rPr>
        <w:t>bolesť očí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lang w:val="sk-SK"/>
        </w:rPr>
        <w:t>a/</w:t>
      </w:r>
      <w:r w:rsidRPr="00D45D95">
        <w:rPr>
          <w:rFonts w:cs="Times New Roman"/>
          <w:spacing w:val="-1"/>
          <w:lang w:val="sk-SK"/>
        </w:rPr>
        <w:t>alebo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červené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oči,</w:t>
      </w:r>
      <w:r w:rsidRPr="00D45D95">
        <w:rPr>
          <w:rFonts w:cs="Times New Roman"/>
          <w:lang w:val="sk-SK"/>
        </w:rPr>
        <w:t xml:space="preserve"> by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mal</w:t>
      </w:r>
      <w:r w:rsidRPr="00D45D95">
        <w:rPr>
          <w:rFonts w:cs="Times New Roman"/>
          <w:spacing w:val="29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lastRenderedPageBreak/>
        <w:t>bezodkladne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prezrieť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špecialista oftalmológ.</w:t>
      </w:r>
    </w:p>
    <w:p w14:paraId="7B57118B" w14:textId="77777777" w:rsidR="0068545A" w:rsidRPr="00D45D95" w:rsidRDefault="0068545A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</w:p>
    <w:p w14:paraId="5649037F" w14:textId="29B6094C" w:rsidR="00AF2C33" w:rsidRPr="00D45D95" w:rsidRDefault="008174E0" w:rsidP="00BB53F4">
      <w:pPr>
        <w:pStyle w:val="Zkladntext"/>
        <w:tabs>
          <w:tab w:val="left" w:pos="0"/>
        </w:tabs>
        <w:spacing w:before="49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Ak sa potvrdí diagnóza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ulceratívnej </w:t>
      </w:r>
      <w:r w:rsidRPr="00D45D95">
        <w:rPr>
          <w:rFonts w:cs="Times New Roman"/>
          <w:spacing w:val="-2"/>
          <w:lang w:val="sk-SK"/>
        </w:rPr>
        <w:t>keratitídy,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liečba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gefitinibom</w:t>
      </w:r>
      <w:r w:rsidRPr="00D45D95">
        <w:rPr>
          <w:rFonts w:cs="Times New Roman"/>
          <w:spacing w:val="-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sa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má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prerušiť,</w:t>
      </w:r>
      <w:r w:rsidRPr="00D45D95">
        <w:rPr>
          <w:rFonts w:cs="Times New Roman"/>
          <w:lang w:val="sk-SK"/>
        </w:rPr>
        <w:t xml:space="preserve"> a </w:t>
      </w:r>
      <w:r w:rsidRPr="00D45D95">
        <w:rPr>
          <w:rFonts w:cs="Times New Roman"/>
          <w:spacing w:val="-1"/>
          <w:lang w:val="sk-SK"/>
        </w:rPr>
        <w:t>ak sa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príznaky</w:t>
      </w:r>
      <w:r w:rsidRPr="00D45D95">
        <w:rPr>
          <w:rFonts w:cs="Times New Roman"/>
          <w:spacing w:val="6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nezlepšia,</w:t>
      </w:r>
      <w:r w:rsidRPr="00D45D95">
        <w:rPr>
          <w:rFonts w:cs="Times New Roman"/>
          <w:spacing w:val="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alebo</w:t>
      </w:r>
      <w:r w:rsidRPr="00D45D95">
        <w:rPr>
          <w:rFonts w:cs="Times New Roman"/>
          <w:spacing w:val="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ak</w:t>
      </w:r>
      <w:r w:rsidRPr="00D45D95">
        <w:rPr>
          <w:rFonts w:cs="Times New Roman"/>
          <w:lang w:val="sk-SK"/>
        </w:rPr>
        <w:t xml:space="preserve"> sa</w:t>
      </w:r>
      <w:r w:rsidRPr="00D45D95">
        <w:rPr>
          <w:rFonts w:cs="Times New Roman"/>
          <w:spacing w:val="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príznaky</w:t>
      </w:r>
      <w:r w:rsidRPr="00D45D95">
        <w:rPr>
          <w:rFonts w:cs="Times New Roman"/>
          <w:spacing w:val="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pri</w:t>
      </w:r>
      <w:r w:rsidRPr="00D45D95">
        <w:rPr>
          <w:rFonts w:cs="Times New Roman"/>
          <w:spacing w:val="2"/>
          <w:lang w:val="sk-SK"/>
        </w:rPr>
        <w:t xml:space="preserve"> </w:t>
      </w:r>
      <w:r w:rsidR="0068545A">
        <w:rPr>
          <w:rFonts w:cs="Times New Roman"/>
          <w:spacing w:val="2"/>
          <w:lang w:val="sk-SK"/>
        </w:rPr>
        <w:t>opätovnom začatí liečby</w:t>
      </w:r>
      <w:r w:rsidRPr="00D45D95">
        <w:rPr>
          <w:rFonts w:cs="Times New Roman"/>
          <w:spacing w:val="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gefitinib</w:t>
      </w:r>
      <w:r w:rsidR="0068545A">
        <w:rPr>
          <w:rFonts w:cs="Times New Roman"/>
          <w:spacing w:val="-1"/>
          <w:lang w:val="sk-SK"/>
        </w:rPr>
        <w:t>om</w:t>
      </w:r>
      <w:r w:rsidRPr="00D45D95">
        <w:rPr>
          <w:rFonts w:cs="Times New Roman"/>
          <w:spacing w:val="2"/>
          <w:lang w:val="sk-SK"/>
        </w:rPr>
        <w:t xml:space="preserve"> </w:t>
      </w:r>
      <w:r w:rsidRPr="00D45D95">
        <w:rPr>
          <w:rFonts w:cs="Times New Roman"/>
          <w:spacing w:val="-2"/>
          <w:lang w:val="sk-SK"/>
        </w:rPr>
        <w:t>znovu</w:t>
      </w:r>
      <w:r w:rsidRPr="00D45D95">
        <w:rPr>
          <w:rFonts w:cs="Times New Roman"/>
          <w:spacing w:val="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vyskytnú,</w:t>
      </w:r>
      <w:r w:rsidRPr="00D45D95">
        <w:rPr>
          <w:rFonts w:cs="Times New Roman"/>
          <w:spacing w:val="5"/>
          <w:lang w:val="sk-SK"/>
        </w:rPr>
        <w:t xml:space="preserve"> </w:t>
      </w:r>
      <w:r w:rsidRPr="00D45D95">
        <w:rPr>
          <w:rFonts w:cs="Times New Roman"/>
          <w:spacing w:val="-2"/>
          <w:lang w:val="sk-SK"/>
        </w:rPr>
        <w:t>malo</w:t>
      </w:r>
      <w:r w:rsidRPr="00D45D95">
        <w:rPr>
          <w:rFonts w:cs="Times New Roman"/>
          <w:spacing w:val="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by</w:t>
      </w:r>
      <w:r w:rsidRPr="00D45D95">
        <w:rPr>
          <w:rFonts w:cs="Times New Roman"/>
          <w:spacing w:val="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sa</w:t>
      </w:r>
      <w:r w:rsidRPr="00D45D95">
        <w:rPr>
          <w:rFonts w:cs="Times New Roman"/>
          <w:spacing w:val="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uvažovať</w:t>
      </w:r>
      <w:r w:rsidRPr="00D45D95">
        <w:rPr>
          <w:rFonts w:cs="Times New Roman"/>
          <w:spacing w:val="30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o </w:t>
      </w:r>
      <w:r w:rsidRPr="00D45D95">
        <w:rPr>
          <w:rFonts w:cs="Times New Roman"/>
          <w:spacing w:val="-1"/>
          <w:lang w:val="sk-SK"/>
        </w:rPr>
        <w:t xml:space="preserve">trvalom </w:t>
      </w:r>
      <w:r w:rsidR="0068545A">
        <w:rPr>
          <w:rFonts w:cs="Times New Roman"/>
          <w:spacing w:val="-1"/>
          <w:lang w:val="sk-SK"/>
        </w:rPr>
        <w:t>ukončení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liečby.</w:t>
      </w:r>
    </w:p>
    <w:p w14:paraId="4A17FEAC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1591D6AB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Vo fáze I/II klinického skúšania sledujúceho podávanie gefitinibu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radiačnej liečby pediatrickým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pacientom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>novodiagnostikovaným gliómom mozgového kmeňa alebo nekompletnou resekciou</w:t>
      </w:r>
      <w:r w:rsidRPr="00D45D95">
        <w:rPr>
          <w:rFonts w:cs="Times New Roman"/>
          <w:spacing w:val="27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supratentoriálneho malígneho gliómu boli hlásené </w:t>
      </w:r>
      <w:r w:rsidRPr="00D45D95">
        <w:rPr>
          <w:rFonts w:cs="Times New Roman"/>
          <w:lang w:val="sk-SK"/>
        </w:rPr>
        <w:t>4</w:t>
      </w:r>
      <w:r w:rsidRPr="00D45D95">
        <w:rPr>
          <w:rFonts w:cs="Times New Roman"/>
          <w:spacing w:val="-1"/>
          <w:lang w:val="sk-SK"/>
        </w:rPr>
        <w:t xml:space="preserve"> prípady (1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fatálny) krvácania do centrálneho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nervového systému (CNS) </w:t>
      </w:r>
      <w:r w:rsidRPr="00D45D95">
        <w:rPr>
          <w:rFonts w:cs="Times New Roman"/>
          <w:lang w:val="sk-SK"/>
        </w:rPr>
        <w:t>z</w:t>
      </w:r>
      <w:r w:rsidRPr="00D45D95">
        <w:rPr>
          <w:rFonts w:cs="Times New Roman"/>
          <w:spacing w:val="-1"/>
          <w:lang w:val="sk-SK"/>
        </w:rPr>
        <w:t xml:space="preserve"> celkového počtu 45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pacientov zaradených do skúšania. Ďalší prípad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krvácania do CNS bol hlásený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dieťaťa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-1"/>
          <w:lang w:val="sk-SK"/>
        </w:rPr>
        <w:t xml:space="preserve"> ependymómom počas klinického skúšania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-1"/>
          <w:lang w:val="sk-SK"/>
        </w:rPr>
        <w:t xml:space="preserve"> gefitinibom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samotným. Zvýšené riziko cerebrálnej hemorágie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dospelých pacientov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 xml:space="preserve">NSCLC </w:t>
      </w:r>
      <w:r w:rsidRPr="00D45D95">
        <w:rPr>
          <w:rFonts w:cs="Times New Roman"/>
          <w:spacing w:val="-2"/>
          <w:lang w:val="sk-SK"/>
        </w:rPr>
        <w:t>užívajúcich</w:t>
      </w:r>
      <w:r w:rsidRPr="00D45D95">
        <w:rPr>
          <w:rFonts w:cs="Times New Roman"/>
          <w:spacing w:val="3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gefitinib nebolo stanovené.</w:t>
      </w:r>
    </w:p>
    <w:p w14:paraId="16E50ADB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6BDE37E4" w14:textId="1898FDC9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Perforácia gastrointestinálneho traktu sa hlásila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pacientov užívajúcich gefitinib. Vo väčšine prípadov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je spojená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-1"/>
          <w:lang w:val="sk-SK"/>
        </w:rPr>
        <w:t xml:space="preserve"> ďalšími známymi rizikovými faktormi, vrátane </w:t>
      </w:r>
      <w:r w:rsidR="0068545A">
        <w:rPr>
          <w:rFonts w:cs="Times New Roman"/>
          <w:spacing w:val="-1"/>
          <w:lang w:val="sk-SK"/>
        </w:rPr>
        <w:t>súbežného</w:t>
      </w:r>
      <w:r w:rsidRPr="00D45D95">
        <w:rPr>
          <w:rFonts w:cs="Times New Roman"/>
          <w:spacing w:val="-1"/>
          <w:lang w:val="sk-SK"/>
        </w:rPr>
        <w:t xml:space="preserve"> používani</w:t>
      </w:r>
      <w:r w:rsidR="0068545A">
        <w:rPr>
          <w:rFonts w:cs="Times New Roman"/>
          <w:spacing w:val="-1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liekov ako sú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steroidy alebo NSAID, anamnéza</w:t>
      </w:r>
      <w:r w:rsidRPr="00D45D95">
        <w:rPr>
          <w:rFonts w:cs="Times New Roman"/>
          <w:spacing w:val="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gastrointestinálnej ulcerácie, vek, fajčenie alebo črevné metastázy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2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miestach perforácie.</w:t>
      </w:r>
    </w:p>
    <w:p w14:paraId="471318D8" w14:textId="77777777" w:rsidR="00AF2C33" w:rsidRPr="00D45D95" w:rsidRDefault="00AF2C33" w:rsidP="004568C3">
      <w:pPr>
        <w:tabs>
          <w:tab w:val="left" w:pos="0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42ACE96A" w14:textId="77777777" w:rsidR="00AF2C33" w:rsidRPr="00D45D95" w:rsidRDefault="008174E0" w:rsidP="004568C3">
      <w:pPr>
        <w:pStyle w:val="Nadpis1"/>
        <w:numPr>
          <w:ilvl w:val="1"/>
          <w:numId w:val="13"/>
        </w:numPr>
        <w:tabs>
          <w:tab w:val="left" w:pos="0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Liekové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iné interakcie</w:t>
      </w:r>
    </w:p>
    <w:p w14:paraId="7E836444" w14:textId="77777777" w:rsidR="00AF2C33" w:rsidRPr="00D45D95" w:rsidRDefault="00AF2C33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11AA7FF7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Gefitinib sa metabolizuje prostredníctvom izoenzýmu CYP3A4 cytochrómu P450 </w:t>
      </w:r>
      <w:r w:rsidRPr="00D45D95">
        <w:rPr>
          <w:rFonts w:cs="Times New Roman"/>
          <w:spacing w:val="-2"/>
          <w:lang w:val="sk-SK"/>
        </w:rPr>
        <w:t>(prevažne)</w:t>
      </w:r>
      <w:r w:rsidRPr="00D45D95">
        <w:rPr>
          <w:rFonts w:cs="Times New Roman"/>
          <w:spacing w:val="30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>prostredníctvom CYP2D6.</w:t>
      </w:r>
    </w:p>
    <w:p w14:paraId="54FBD290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5BC9C21E" w14:textId="77777777" w:rsidR="00AF2C33" w:rsidRPr="00D45D95" w:rsidRDefault="008174E0" w:rsidP="004568C3">
      <w:pPr>
        <w:tabs>
          <w:tab w:val="left" w:pos="0"/>
        </w:tabs>
        <w:spacing w:line="252" w:lineRule="exact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i/>
          <w:spacing w:val="-1"/>
          <w:lang w:val="sk-SK"/>
        </w:rPr>
        <w:t>Liečivá, ktoré môžu zvýšiť plazmatické koncentrácie gefitinibu</w:t>
      </w:r>
    </w:p>
    <w:p w14:paraId="6628D0A3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Štúdie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i/>
          <w:spacing w:val="-1"/>
          <w:lang w:val="sk-SK"/>
        </w:rPr>
        <w:t>in</w:t>
      </w:r>
      <w:r w:rsidRPr="00D45D95">
        <w:rPr>
          <w:rFonts w:cs="Times New Roman"/>
          <w:i/>
          <w:lang w:val="sk-SK"/>
        </w:rPr>
        <w:t xml:space="preserve"> </w:t>
      </w:r>
      <w:r w:rsidRPr="00D45D95">
        <w:rPr>
          <w:rFonts w:cs="Times New Roman"/>
          <w:i/>
          <w:spacing w:val="-1"/>
          <w:lang w:val="sk-SK"/>
        </w:rPr>
        <w:t>vitro</w:t>
      </w:r>
      <w:r w:rsidRPr="00D45D95">
        <w:rPr>
          <w:rFonts w:cs="Times New Roman"/>
          <w:i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preukázali, že gefitinib je substrátom p-glykoproteínu (Pgp). Dostupné údaje</w:t>
      </w:r>
      <w:r w:rsidRPr="00D45D95">
        <w:rPr>
          <w:rFonts w:cs="Times New Roman"/>
          <w:spacing w:val="2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nenaznačujú žiadne klinické dôsledky </w:t>
      </w:r>
      <w:r w:rsidRPr="00D45D95">
        <w:rPr>
          <w:rFonts w:cs="Times New Roman"/>
          <w:lang w:val="sk-SK"/>
        </w:rPr>
        <w:t>k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týmto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i/>
          <w:lang w:val="sk-SK"/>
        </w:rPr>
        <w:t>in vitro</w:t>
      </w:r>
      <w:r w:rsidRPr="00D45D95">
        <w:rPr>
          <w:rFonts w:cs="Times New Roman"/>
          <w:i/>
          <w:spacing w:val="-5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zisteniam.</w:t>
      </w:r>
    </w:p>
    <w:p w14:paraId="46D8F1F4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0BC6F755" w14:textId="66F51B86" w:rsidR="00AF2C33" w:rsidRPr="00D45D95" w:rsidRDefault="0068545A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Látky</w:t>
      </w:r>
      <w:r w:rsidR="008174E0" w:rsidRPr="00D45D95">
        <w:rPr>
          <w:rFonts w:cs="Times New Roman"/>
          <w:spacing w:val="-1"/>
          <w:lang w:val="sk-SK"/>
        </w:rPr>
        <w:t xml:space="preserve"> inhibujúce CYP3A4 môžu znížiť klírens gefitinibu. Súbežné podávanie so silnými</w:t>
      </w:r>
      <w:r w:rsidR="008174E0" w:rsidRPr="00D45D95">
        <w:rPr>
          <w:rFonts w:cs="Times New Roman"/>
          <w:spacing w:val="22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>inhibítormi aktivity CYP3A4 (napr. ketokonazol, posakonazol, vorikonazol, inhibítory proteázy,</w:t>
      </w:r>
      <w:r w:rsidR="008174E0" w:rsidRPr="00D45D95">
        <w:rPr>
          <w:rFonts w:cs="Times New Roman"/>
          <w:spacing w:val="28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>klaritromycín, telitromycín) môže zvýšiť plazmatické koncentrácie gefitinibu. Toto zvýšenie môže byť</w:t>
      </w:r>
      <w:r w:rsidR="008174E0" w:rsidRPr="00D45D95">
        <w:rPr>
          <w:rFonts w:cs="Times New Roman"/>
          <w:spacing w:val="20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 xml:space="preserve">klinicky relevantné, </w:t>
      </w:r>
      <w:r>
        <w:rPr>
          <w:rFonts w:cs="Times New Roman"/>
          <w:spacing w:val="-2"/>
          <w:lang w:val="sk-SK"/>
        </w:rPr>
        <w:t>keďže</w:t>
      </w:r>
      <w:r w:rsidR="008174E0" w:rsidRPr="00D45D95">
        <w:rPr>
          <w:rFonts w:cs="Times New Roman"/>
          <w:spacing w:val="-1"/>
          <w:lang w:val="sk-SK"/>
        </w:rPr>
        <w:t xml:space="preserve"> nežiaduce účinky majú súvislosť </w:t>
      </w:r>
      <w:r w:rsidR="008174E0" w:rsidRPr="00D45D95">
        <w:rPr>
          <w:rFonts w:cs="Times New Roman"/>
          <w:lang w:val="sk-SK"/>
        </w:rPr>
        <w:t>s</w:t>
      </w:r>
      <w:r w:rsidR="008174E0" w:rsidRPr="00D45D95">
        <w:rPr>
          <w:rFonts w:cs="Times New Roman"/>
          <w:spacing w:val="-2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>dávkou</w:t>
      </w:r>
      <w:r w:rsidR="008174E0" w:rsidRPr="00D45D95">
        <w:rPr>
          <w:rFonts w:cs="Times New Roman"/>
          <w:spacing w:val="-2"/>
          <w:lang w:val="sk-SK"/>
        </w:rPr>
        <w:t xml:space="preserve"> </w:t>
      </w:r>
      <w:r w:rsidR="008174E0" w:rsidRPr="00D45D95">
        <w:rPr>
          <w:rFonts w:cs="Times New Roman"/>
          <w:lang w:val="sk-SK"/>
        </w:rPr>
        <w:t xml:space="preserve">a </w:t>
      </w:r>
      <w:r w:rsidR="008174E0" w:rsidRPr="00D45D95">
        <w:rPr>
          <w:rFonts w:cs="Times New Roman"/>
          <w:spacing w:val="-1"/>
          <w:lang w:val="sk-SK"/>
        </w:rPr>
        <w:t>expozíciou. Toto zvýšenie</w:t>
      </w:r>
      <w:r w:rsidR="008174E0" w:rsidRPr="00D45D95">
        <w:rPr>
          <w:rFonts w:cs="Times New Roman"/>
          <w:spacing w:val="28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 xml:space="preserve">môže byť výraznejšie </w:t>
      </w:r>
      <w:r w:rsidR="008174E0" w:rsidRPr="00D45D95">
        <w:rPr>
          <w:rFonts w:cs="Times New Roman"/>
          <w:lang w:val="sk-SK"/>
        </w:rPr>
        <w:t>u</w:t>
      </w:r>
      <w:r w:rsidR="008174E0" w:rsidRPr="00D45D95">
        <w:rPr>
          <w:rFonts w:cs="Times New Roman"/>
          <w:spacing w:val="-3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 xml:space="preserve">jednotlivých pacientov </w:t>
      </w:r>
      <w:r w:rsidR="008174E0" w:rsidRPr="00D45D95">
        <w:rPr>
          <w:rFonts w:cs="Times New Roman"/>
          <w:lang w:val="sk-SK"/>
        </w:rPr>
        <w:t xml:space="preserve">s </w:t>
      </w:r>
      <w:r w:rsidR="008174E0" w:rsidRPr="00D45D95">
        <w:rPr>
          <w:rFonts w:cs="Times New Roman"/>
          <w:spacing w:val="-1"/>
          <w:lang w:val="sk-SK"/>
        </w:rPr>
        <w:t xml:space="preserve">genotypom </w:t>
      </w:r>
      <w:r>
        <w:rPr>
          <w:rFonts w:cs="Times New Roman"/>
          <w:spacing w:val="-1"/>
          <w:lang w:val="sk-SK"/>
        </w:rPr>
        <w:t>pomalých</w:t>
      </w:r>
      <w:r w:rsidR="008174E0" w:rsidRPr="00D45D95">
        <w:rPr>
          <w:rFonts w:cs="Times New Roman"/>
          <w:spacing w:val="-1"/>
          <w:lang w:val="sk-SK"/>
        </w:rPr>
        <w:t xml:space="preserve"> CYP2D6 metabolizérov.</w:t>
      </w:r>
    </w:p>
    <w:p w14:paraId="6B0B3B9D" w14:textId="4F6108B6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Predchádzajúca liečba itrakonazolom (silným inhibítorom CYP3A4) mala za následok </w:t>
      </w:r>
      <w:r w:rsidRPr="00D45D95">
        <w:rPr>
          <w:rFonts w:cs="Times New Roman"/>
          <w:spacing w:val="-2"/>
          <w:lang w:val="sk-SK"/>
        </w:rPr>
        <w:t>80%</w:t>
      </w:r>
      <w:r w:rsidR="0068545A">
        <w:rPr>
          <w:rFonts w:cs="Times New Roman"/>
          <w:spacing w:val="27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zvýšenie strednej AUC gefitinibu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zdravých dobrovoľníkov.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prípade súbežnej liečby so silnými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inhibítormi CYP3A4 sa má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pacientov starostlivo sledovať výskyt nežiaducich účinkov gefitinibu.</w:t>
      </w:r>
    </w:p>
    <w:p w14:paraId="28FAD7AB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3A3088AC" w14:textId="58981EF5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Neexistujú údaje </w:t>
      </w:r>
      <w:r w:rsidRPr="00D45D95">
        <w:rPr>
          <w:rFonts w:cs="Times New Roman"/>
          <w:lang w:val="sk-SK"/>
        </w:rPr>
        <w:t>o</w:t>
      </w:r>
      <w:r w:rsidRPr="00D45D95">
        <w:rPr>
          <w:rFonts w:cs="Times New Roman"/>
          <w:spacing w:val="-1"/>
          <w:lang w:val="sk-SK"/>
        </w:rPr>
        <w:t xml:space="preserve"> súbežnej liečbe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inhibítormi CYP2D6, ale silní inhibítori tohto enzýmu môžu</w:t>
      </w:r>
      <w:r w:rsidRPr="00D45D95">
        <w:rPr>
          <w:rFonts w:cs="Times New Roman"/>
          <w:spacing w:val="2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spôsobiť asi </w:t>
      </w:r>
      <w:r w:rsidRPr="00D45D95">
        <w:rPr>
          <w:rFonts w:cs="Times New Roman"/>
          <w:spacing w:val="-2"/>
          <w:lang w:val="sk-SK"/>
        </w:rPr>
        <w:t>2-násobné</w:t>
      </w:r>
      <w:r w:rsidRPr="00D45D95">
        <w:rPr>
          <w:rFonts w:cs="Times New Roman"/>
          <w:spacing w:val="-1"/>
          <w:lang w:val="sk-SK"/>
        </w:rPr>
        <w:t xml:space="preserve"> zvýšenie plazmatických koncentrácií gefitinibu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2"/>
          <w:lang w:val="sk-SK"/>
        </w:rPr>
        <w:t xml:space="preserve"> </w:t>
      </w:r>
      <w:r w:rsidR="002C1CED">
        <w:rPr>
          <w:rFonts w:cs="Times New Roman"/>
          <w:spacing w:val="-1"/>
          <w:lang w:val="sk-SK"/>
        </w:rPr>
        <w:t>rýchlych</w:t>
      </w:r>
      <w:r w:rsidRPr="00D45D95">
        <w:rPr>
          <w:rFonts w:cs="Times New Roman"/>
          <w:spacing w:val="-1"/>
          <w:lang w:val="sk-SK"/>
        </w:rPr>
        <w:t xml:space="preserve"> metabolizérov</w:t>
      </w:r>
      <w:r w:rsidRPr="00D45D95">
        <w:rPr>
          <w:rFonts w:cs="Times New Roman"/>
          <w:spacing w:val="3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CYP2D6 (pozri časť 5.2).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prípade súbežnej liečby so silnými inhibítormi CYP2D6 sa má</w:t>
      </w:r>
    </w:p>
    <w:p w14:paraId="72F8083F" w14:textId="77777777" w:rsidR="00AF2C33" w:rsidRPr="00D45D95" w:rsidRDefault="008174E0" w:rsidP="004568C3">
      <w:pPr>
        <w:pStyle w:val="Zkladntext"/>
        <w:tabs>
          <w:tab w:val="left" w:pos="0"/>
        </w:tabs>
        <w:spacing w:line="252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 xml:space="preserve">u </w:t>
      </w:r>
      <w:r w:rsidRPr="00D45D95">
        <w:rPr>
          <w:rFonts w:cs="Times New Roman"/>
          <w:spacing w:val="-1"/>
          <w:lang w:val="sk-SK"/>
        </w:rPr>
        <w:t>pacientov starostlivo sledovať výskyt nežiaducich účinkov.</w:t>
      </w:r>
    </w:p>
    <w:p w14:paraId="306149F4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1F5EF33A" w14:textId="77777777" w:rsidR="00AF2C33" w:rsidRPr="00D45D95" w:rsidRDefault="008174E0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i/>
          <w:spacing w:val="-1"/>
          <w:lang w:val="sk-SK"/>
        </w:rPr>
        <w:t>Liečivá, ktoré môžu znížiť plazmatické koncentrácie gefitinibu</w:t>
      </w:r>
    </w:p>
    <w:p w14:paraId="18A5CCE4" w14:textId="03A8A701" w:rsidR="00AF2C33" w:rsidRPr="00D45D95" w:rsidRDefault="002C1CED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Látky</w:t>
      </w:r>
      <w:r w:rsidR="008174E0" w:rsidRPr="00D45D95">
        <w:rPr>
          <w:rFonts w:cs="Times New Roman"/>
          <w:spacing w:val="-1"/>
          <w:lang w:val="sk-SK"/>
        </w:rPr>
        <w:t xml:space="preserve">, ktoré sú induktormi aktivity CYP3A4, môžu zvýšiť metabolizmus </w:t>
      </w:r>
      <w:r w:rsidR="008174E0" w:rsidRPr="00D45D95">
        <w:rPr>
          <w:rFonts w:cs="Times New Roman"/>
          <w:lang w:val="sk-SK"/>
        </w:rPr>
        <w:t>a</w:t>
      </w:r>
      <w:r w:rsidR="008174E0" w:rsidRPr="00D45D95">
        <w:rPr>
          <w:rFonts w:cs="Times New Roman"/>
          <w:spacing w:val="-1"/>
          <w:lang w:val="sk-SK"/>
        </w:rPr>
        <w:t xml:space="preserve"> znížiť plazmatické</w:t>
      </w:r>
      <w:r w:rsidR="008174E0" w:rsidRPr="00D45D95">
        <w:rPr>
          <w:rFonts w:cs="Times New Roman"/>
          <w:spacing w:val="20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 xml:space="preserve">koncentrácie gefitinibu, </w:t>
      </w:r>
      <w:r w:rsidR="008174E0" w:rsidRPr="00D45D95">
        <w:rPr>
          <w:rFonts w:cs="Times New Roman"/>
          <w:lang w:val="sk-SK"/>
        </w:rPr>
        <w:t>a</w:t>
      </w:r>
      <w:r w:rsidR="008174E0" w:rsidRPr="00D45D95">
        <w:rPr>
          <w:rFonts w:cs="Times New Roman"/>
          <w:spacing w:val="-1"/>
          <w:lang w:val="sk-SK"/>
        </w:rPr>
        <w:t xml:space="preserve"> teda znížiť účinnosť gefitinibu. </w:t>
      </w:r>
      <w:r>
        <w:rPr>
          <w:rFonts w:cs="Times New Roman"/>
          <w:spacing w:val="-1"/>
          <w:lang w:val="sk-SK"/>
        </w:rPr>
        <w:t>S</w:t>
      </w:r>
      <w:r w:rsidR="008174E0" w:rsidRPr="00D45D95">
        <w:rPr>
          <w:rFonts w:cs="Times New Roman"/>
          <w:spacing w:val="-1"/>
          <w:lang w:val="sk-SK"/>
        </w:rPr>
        <w:t>úbežné</w:t>
      </w:r>
      <w:r>
        <w:rPr>
          <w:rFonts w:cs="Times New Roman"/>
          <w:spacing w:val="-1"/>
          <w:lang w:val="sk-SK"/>
        </w:rPr>
        <w:t>mu</w:t>
      </w:r>
      <w:r w:rsidR="008174E0" w:rsidRPr="00D45D95">
        <w:rPr>
          <w:rFonts w:cs="Times New Roman"/>
          <w:spacing w:val="-1"/>
          <w:lang w:val="sk-SK"/>
        </w:rPr>
        <w:t xml:space="preserve"> podávani</w:t>
      </w:r>
      <w:r>
        <w:rPr>
          <w:rFonts w:cs="Times New Roman"/>
          <w:spacing w:val="-1"/>
          <w:lang w:val="sk-SK"/>
        </w:rPr>
        <w:t>u</w:t>
      </w:r>
      <w:r w:rsidR="008174E0" w:rsidRPr="00D45D95">
        <w:rPr>
          <w:rFonts w:cs="Times New Roman"/>
          <w:spacing w:val="-1"/>
          <w:lang w:val="sk-SK"/>
        </w:rPr>
        <w:t xml:space="preserve"> liekov</w:t>
      </w:r>
      <w:r w:rsidR="008174E0" w:rsidRPr="00D45D95">
        <w:rPr>
          <w:rFonts w:cs="Times New Roman"/>
          <w:spacing w:val="22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>indukujúcich CYP3A4 (napr. fenytoín, karbamazepín, rifampicín, barbituráty alebo ľubovník</w:t>
      </w:r>
      <w:r w:rsidR="008174E0" w:rsidRPr="00D45D95">
        <w:rPr>
          <w:rFonts w:cs="Times New Roman"/>
          <w:spacing w:val="28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 xml:space="preserve">bodkovaný, </w:t>
      </w:r>
      <w:r w:rsidR="008174E0" w:rsidRPr="00D45D95">
        <w:rPr>
          <w:rFonts w:cs="Times New Roman"/>
          <w:i/>
          <w:spacing w:val="-1"/>
          <w:lang w:val="sk-SK"/>
        </w:rPr>
        <w:t>Hypericum</w:t>
      </w:r>
      <w:r w:rsidR="008174E0" w:rsidRPr="00D45D95">
        <w:rPr>
          <w:rFonts w:cs="Times New Roman"/>
          <w:i/>
          <w:lang w:val="sk-SK"/>
        </w:rPr>
        <w:t xml:space="preserve"> </w:t>
      </w:r>
      <w:r w:rsidR="008174E0" w:rsidRPr="00D45D95">
        <w:rPr>
          <w:rFonts w:cs="Times New Roman"/>
          <w:i/>
          <w:spacing w:val="-1"/>
          <w:lang w:val="sk-SK"/>
        </w:rPr>
        <w:t>perforatum</w:t>
      </w:r>
      <w:r w:rsidR="008174E0" w:rsidRPr="00D45D95">
        <w:rPr>
          <w:rFonts w:cs="Times New Roman"/>
          <w:spacing w:val="-1"/>
          <w:lang w:val="sk-SK"/>
        </w:rPr>
        <w:t xml:space="preserve">), </w:t>
      </w:r>
      <w:r w:rsidRPr="002C1CED">
        <w:rPr>
          <w:rFonts w:cs="Times New Roman"/>
          <w:spacing w:val="-1"/>
          <w:lang w:val="sk-SK"/>
        </w:rPr>
        <w:t>sa má vyhnúť</w:t>
      </w:r>
      <w:r w:rsidR="008174E0" w:rsidRPr="00D45D95">
        <w:rPr>
          <w:rFonts w:cs="Times New Roman"/>
          <w:spacing w:val="-1"/>
          <w:lang w:val="sk-SK"/>
        </w:rPr>
        <w:t>. Predchádzajúca liečba</w:t>
      </w:r>
      <w:r w:rsidR="008174E0" w:rsidRPr="00D45D95">
        <w:rPr>
          <w:rFonts w:cs="Times New Roman"/>
          <w:spacing w:val="28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 xml:space="preserve">rifampicínom (silným induktorom CYP3A4) znížila </w:t>
      </w:r>
      <w:r w:rsidR="008174E0" w:rsidRPr="00D45D95">
        <w:rPr>
          <w:rFonts w:cs="Times New Roman"/>
          <w:lang w:val="sk-SK"/>
        </w:rPr>
        <w:t>u</w:t>
      </w:r>
      <w:r w:rsidR="008174E0" w:rsidRPr="00D45D95">
        <w:rPr>
          <w:rFonts w:cs="Times New Roman"/>
          <w:spacing w:val="-3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>zdravých dobrovoľníkov strednú hodnotu AUC</w:t>
      </w:r>
      <w:r w:rsidR="008174E0" w:rsidRPr="00D45D95">
        <w:rPr>
          <w:rFonts w:cs="Times New Roman"/>
          <w:spacing w:val="20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 xml:space="preserve">gefitinibu </w:t>
      </w:r>
      <w:r w:rsidR="008174E0" w:rsidRPr="00D45D95">
        <w:rPr>
          <w:rFonts w:cs="Times New Roman"/>
          <w:lang w:val="sk-SK"/>
        </w:rPr>
        <w:t>o</w:t>
      </w:r>
      <w:r w:rsidR="008174E0" w:rsidRPr="00D45D95">
        <w:rPr>
          <w:rFonts w:cs="Times New Roman"/>
          <w:spacing w:val="-1"/>
          <w:lang w:val="sk-SK"/>
        </w:rPr>
        <w:t xml:space="preserve"> 83% (pozri časť </w:t>
      </w:r>
      <w:r w:rsidR="008174E0" w:rsidRPr="00D45D95">
        <w:rPr>
          <w:rFonts w:cs="Times New Roman"/>
          <w:lang w:val="sk-SK"/>
        </w:rPr>
        <w:t>4.4).</w:t>
      </w:r>
    </w:p>
    <w:p w14:paraId="2BB211FC" w14:textId="77777777" w:rsidR="00AF2C33" w:rsidRPr="00D45D95" w:rsidRDefault="00AF2C33" w:rsidP="004568C3">
      <w:pPr>
        <w:tabs>
          <w:tab w:val="left" w:pos="0"/>
        </w:tabs>
        <w:spacing w:before="10"/>
        <w:rPr>
          <w:rFonts w:ascii="Times New Roman" w:eastAsia="Times New Roman" w:hAnsi="Times New Roman" w:cs="Times New Roman"/>
          <w:lang w:val="sk-SK"/>
        </w:rPr>
      </w:pPr>
    </w:p>
    <w:p w14:paraId="6968AB23" w14:textId="781B7B18" w:rsidR="00AF2C33" w:rsidRPr="00D45D95" w:rsidRDefault="002C1CED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Látky</w:t>
      </w:r>
      <w:r w:rsidR="008174E0" w:rsidRPr="00D45D95">
        <w:rPr>
          <w:rFonts w:cs="Times New Roman"/>
          <w:spacing w:val="-1"/>
          <w:lang w:val="sk-SK"/>
        </w:rPr>
        <w:t>, ktoré spôsobujú signifikantnú prolongovanú eleváciu žalúdkového pH, môžu znížiť</w:t>
      </w:r>
      <w:r w:rsidR="008174E0" w:rsidRPr="00D45D95">
        <w:rPr>
          <w:rFonts w:cs="Times New Roman"/>
          <w:spacing w:val="29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 xml:space="preserve">plazmatické koncentrácie gefitinibu, </w:t>
      </w:r>
      <w:r w:rsidR="008174E0" w:rsidRPr="00D45D95">
        <w:rPr>
          <w:rFonts w:cs="Times New Roman"/>
          <w:lang w:val="sk-SK"/>
        </w:rPr>
        <w:t>a</w:t>
      </w:r>
      <w:r w:rsidR="008174E0" w:rsidRPr="00D45D95">
        <w:rPr>
          <w:rFonts w:cs="Times New Roman"/>
          <w:spacing w:val="-1"/>
          <w:lang w:val="sk-SK"/>
        </w:rPr>
        <w:t xml:space="preserve"> tak znížiť účinnosť gefitinibu. Vysoké dávky krátkodobo</w:t>
      </w:r>
      <w:r w:rsidR="008174E0" w:rsidRPr="00D45D95">
        <w:rPr>
          <w:rFonts w:cs="Times New Roman"/>
          <w:spacing w:val="20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 xml:space="preserve">pôsobiacich antacíd môžu mať podobný účinok, ak sa užívajú pravidelne </w:t>
      </w:r>
      <w:r w:rsidR="008174E0" w:rsidRPr="00D45D95">
        <w:rPr>
          <w:rFonts w:cs="Times New Roman"/>
          <w:lang w:val="sk-SK"/>
        </w:rPr>
        <w:t>v</w:t>
      </w:r>
      <w:r w:rsidR="008174E0" w:rsidRPr="00D45D95">
        <w:rPr>
          <w:rFonts w:cs="Times New Roman"/>
          <w:spacing w:val="-5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>krátkom časovom odstupe</w:t>
      </w:r>
      <w:r w:rsidR="008174E0" w:rsidRPr="00D45D95">
        <w:rPr>
          <w:rFonts w:cs="Times New Roman"/>
          <w:spacing w:val="24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 xml:space="preserve">od užitia gefitinibu. Súbežné podávanie gefitinibu </w:t>
      </w:r>
      <w:r w:rsidR="008174E0" w:rsidRPr="00D45D95">
        <w:rPr>
          <w:rFonts w:cs="Times New Roman"/>
          <w:lang w:val="sk-SK"/>
        </w:rPr>
        <w:t>s</w:t>
      </w:r>
      <w:r w:rsidR="008174E0" w:rsidRPr="00D45D95">
        <w:rPr>
          <w:rFonts w:cs="Times New Roman"/>
          <w:spacing w:val="-1"/>
          <w:lang w:val="sk-SK"/>
        </w:rPr>
        <w:t xml:space="preserve"> ranitidínom zdravým dobrovoľníkom </w:t>
      </w:r>
      <w:r w:rsidR="008174E0" w:rsidRPr="00D45D95">
        <w:rPr>
          <w:rFonts w:cs="Times New Roman"/>
          <w:lang w:val="sk-SK"/>
        </w:rPr>
        <w:t>v</w:t>
      </w:r>
      <w:r w:rsidR="008174E0" w:rsidRPr="00D45D95">
        <w:rPr>
          <w:rFonts w:cs="Times New Roman"/>
          <w:spacing w:val="-3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>dávkach</w:t>
      </w:r>
      <w:r w:rsidR="008174E0" w:rsidRPr="00D45D95">
        <w:rPr>
          <w:rFonts w:cs="Times New Roman"/>
          <w:spacing w:val="29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 xml:space="preserve">spôsobujúcich pretrvávajúce zvýšenie žalúdkového pH </w:t>
      </w:r>
      <w:r w:rsidR="008174E0" w:rsidRPr="00D45D95">
        <w:rPr>
          <w:rFonts w:cs="Times New Roman"/>
          <w:lang w:val="sk-SK"/>
        </w:rPr>
        <w:t>≥</w:t>
      </w:r>
      <w:r w:rsidR="008174E0" w:rsidRPr="00D45D95">
        <w:rPr>
          <w:rFonts w:cs="Times New Roman"/>
          <w:spacing w:val="-1"/>
          <w:lang w:val="sk-SK"/>
        </w:rPr>
        <w:t xml:space="preserve"> </w:t>
      </w:r>
      <w:r w:rsidR="008174E0" w:rsidRPr="00D45D95">
        <w:rPr>
          <w:rFonts w:cs="Times New Roman"/>
          <w:lang w:val="sk-SK"/>
        </w:rPr>
        <w:t>5</w:t>
      </w:r>
      <w:r w:rsidR="008174E0" w:rsidRPr="00D45D95">
        <w:rPr>
          <w:rFonts w:cs="Times New Roman"/>
          <w:spacing w:val="-2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>malo za následok zníženie stredného AUC</w:t>
      </w:r>
      <w:r w:rsidR="008174E0" w:rsidRPr="00D45D95">
        <w:rPr>
          <w:rFonts w:cs="Times New Roman"/>
          <w:spacing w:val="20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 xml:space="preserve">gefitinibu </w:t>
      </w:r>
      <w:r w:rsidR="008174E0" w:rsidRPr="00D45D95">
        <w:rPr>
          <w:rFonts w:cs="Times New Roman"/>
          <w:lang w:val="sk-SK"/>
        </w:rPr>
        <w:t>o</w:t>
      </w:r>
      <w:r w:rsidR="008174E0" w:rsidRPr="00D45D95">
        <w:rPr>
          <w:rFonts w:cs="Times New Roman"/>
          <w:spacing w:val="-1"/>
          <w:lang w:val="sk-SK"/>
        </w:rPr>
        <w:t xml:space="preserve"> 47% (pozri časti</w:t>
      </w:r>
      <w:r w:rsidR="008174E0" w:rsidRPr="00D45D95">
        <w:rPr>
          <w:rFonts w:cs="Times New Roman"/>
          <w:lang w:val="sk-SK"/>
        </w:rPr>
        <w:t xml:space="preserve"> 4.4 a</w:t>
      </w:r>
      <w:r w:rsidR="008174E0" w:rsidRPr="00D45D95">
        <w:rPr>
          <w:rFonts w:cs="Times New Roman"/>
          <w:spacing w:val="-2"/>
          <w:lang w:val="sk-SK"/>
        </w:rPr>
        <w:t xml:space="preserve"> </w:t>
      </w:r>
      <w:r w:rsidR="008174E0" w:rsidRPr="00D45D95">
        <w:rPr>
          <w:rFonts w:cs="Times New Roman"/>
          <w:lang w:val="sk-SK"/>
        </w:rPr>
        <w:t>5.2).</w:t>
      </w:r>
    </w:p>
    <w:p w14:paraId="6F7A5F90" w14:textId="77777777" w:rsidR="00A81743" w:rsidRPr="00D45D95" w:rsidRDefault="00A81743" w:rsidP="004568C3">
      <w:pPr>
        <w:tabs>
          <w:tab w:val="left" w:pos="0"/>
        </w:tabs>
        <w:spacing w:before="49" w:line="252" w:lineRule="exact"/>
        <w:rPr>
          <w:rFonts w:ascii="Times New Roman" w:hAnsi="Times New Roman" w:cs="Times New Roman"/>
          <w:i/>
          <w:spacing w:val="-1"/>
          <w:lang w:val="sk-SK"/>
        </w:rPr>
      </w:pPr>
    </w:p>
    <w:p w14:paraId="44B10F33" w14:textId="77777777" w:rsidR="00AF2C33" w:rsidRPr="00D45D95" w:rsidRDefault="008174E0" w:rsidP="004568C3">
      <w:pPr>
        <w:tabs>
          <w:tab w:val="left" w:pos="0"/>
        </w:tabs>
        <w:spacing w:before="49" w:line="252" w:lineRule="exact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i/>
          <w:spacing w:val="-1"/>
          <w:lang w:val="sk-SK"/>
        </w:rPr>
        <w:lastRenderedPageBreak/>
        <w:t>Liečivá, ktorých plazmatická koncentrácia môže byť zmenená gefitinibom</w:t>
      </w:r>
    </w:p>
    <w:p w14:paraId="57A0E2FB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Štúdie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i/>
          <w:spacing w:val="-1"/>
          <w:lang w:val="sk-SK"/>
        </w:rPr>
        <w:t>in</w:t>
      </w:r>
      <w:r w:rsidRPr="00D45D95">
        <w:rPr>
          <w:rFonts w:cs="Times New Roman"/>
          <w:i/>
          <w:lang w:val="sk-SK"/>
        </w:rPr>
        <w:t xml:space="preserve"> </w:t>
      </w:r>
      <w:r w:rsidRPr="00D45D95">
        <w:rPr>
          <w:rFonts w:cs="Times New Roman"/>
          <w:i/>
          <w:spacing w:val="-1"/>
          <w:lang w:val="sk-SK"/>
        </w:rPr>
        <w:t>vitro</w:t>
      </w:r>
      <w:r w:rsidRPr="00D45D95">
        <w:rPr>
          <w:rFonts w:cs="Times New Roman"/>
          <w:i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preukázali, že gefitinib má obmedzený potenciál inhibovať CYP2D6.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klinickom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skúšaní </w:t>
      </w:r>
      <w:r w:rsidRPr="00D45D95">
        <w:rPr>
          <w:rFonts w:cs="Times New Roman"/>
          <w:spacing w:val="-1"/>
          <w:lang w:val="sk-SK"/>
        </w:rPr>
        <w:t xml:space="preserve">sa pacientom súbežne podával gefitinib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-1"/>
          <w:lang w:val="sk-SK"/>
        </w:rPr>
        <w:t xml:space="preserve"> metoprololom (substrát CYP2D6). Malo to za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následok 35% zvýšenie expozície metoprololu. Takéto zvýšenie môže byť</w:t>
      </w:r>
      <w:r w:rsidR="002C1CED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potenciálne relevantné pre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substráty CYP2D6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>úzkym terapeutickým indexom. Ak sa zvažuje podávanie substrátov CYP2D6</w:t>
      </w:r>
    </w:p>
    <w:p w14:paraId="52308DA6" w14:textId="514E4E9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 xml:space="preserve">v </w:t>
      </w:r>
      <w:r w:rsidRPr="00D45D95">
        <w:rPr>
          <w:rFonts w:cs="Times New Roman"/>
          <w:spacing w:val="-1"/>
          <w:lang w:val="sk-SK"/>
        </w:rPr>
        <w:t xml:space="preserve">kombinácii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 xml:space="preserve">gefitinibom, má sa zvážiť úprava dávky substrátu CYP2D6,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to najmä </w:t>
      </w:r>
      <w:r w:rsidRPr="00D45D95">
        <w:rPr>
          <w:rFonts w:cs="Times New Roman"/>
          <w:lang w:val="sk-SK"/>
        </w:rPr>
        <w:t xml:space="preserve">u </w:t>
      </w:r>
      <w:r w:rsidR="002C1CED">
        <w:rPr>
          <w:rFonts w:cs="Times New Roman"/>
          <w:spacing w:val="-1"/>
          <w:lang w:val="sk-SK"/>
        </w:rPr>
        <w:t>liekov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>úzkym terapeutickým oknom.</w:t>
      </w:r>
    </w:p>
    <w:p w14:paraId="2BB70AAC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28213B82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Gefitinib inhibuje BCRP transportný proteín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i/>
          <w:spacing w:val="-1"/>
          <w:lang w:val="sk-SK"/>
        </w:rPr>
        <w:t>in vitro</w:t>
      </w:r>
      <w:r w:rsidRPr="00D45D95">
        <w:rPr>
          <w:rFonts w:cs="Times New Roman"/>
          <w:spacing w:val="-1"/>
          <w:lang w:val="sk-SK"/>
        </w:rPr>
        <w:t>, avšak klinická závažnosť tohto zistenia nie</w:t>
      </w:r>
      <w:r w:rsidRPr="00D45D95">
        <w:rPr>
          <w:rFonts w:cs="Times New Roman"/>
          <w:spacing w:val="-4"/>
          <w:lang w:val="sk-SK"/>
        </w:rPr>
        <w:t xml:space="preserve"> </w:t>
      </w:r>
      <w:r w:rsidRPr="00D45D95">
        <w:rPr>
          <w:rFonts w:cs="Times New Roman"/>
          <w:lang w:val="sk-SK"/>
        </w:rPr>
        <w:t>je</w:t>
      </w:r>
      <w:r w:rsidRPr="00D45D95">
        <w:rPr>
          <w:rFonts w:cs="Times New Roman"/>
          <w:spacing w:val="27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známa.</w:t>
      </w:r>
    </w:p>
    <w:p w14:paraId="1DF4A798" w14:textId="77777777" w:rsidR="00AF2C33" w:rsidRPr="00D45D95" w:rsidRDefault="00AF2C33" w:rsidP="004568C3">
      <w:pPr>
        <w:tabs>
          <w:tab w:val="left" w:pos="0"/>
        </w:tabs>
        <w:spacing w:before="10"/>
        <w:rPr>
          <w:rFonts w:ascii="Times New Roman" w:eastAsia="Times New Roman" w:hAnsi="Times New Roman" w:cs="Times New Roman"/>
          <w:lang w:val="sk-SK"/>
        </w:rPr>
      </w:pPr>
    </w:p>
    <w:p w14:paraId="4DCE42FE" w14:textId="77777777" w:rsidR="00AF2C33" w:rsidRPr="00D45D95" w:rsidRDefault="008174E0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i/>
          <w:spacing w:val="-1"/>
          <w:lang w:val="sk-SK"/>
        </w:rPr>
        <w:t>Ďalšie</w:t>
      </w:r>
      <w:r w:rsidRPr="00D45D95">
        <w:rPr>
          <w:rFonts w:ascii="Times New Roman" w:hAnsi="Times New Roman" w:cs="Times New Roman"/>
          <w:i/>
          <w:lang w:val="sk-SK"/>
        </w:rPr>
        <w:t xml:space="preserve"> </w:t>
      </w:r>
      <w:r w:rsidRPr="00D45D95">
        <w:rPr>
          <w:rFonts w:ascii="Times New Roman" w:hAnsi="Times New Roman" w:cs="Times New Roman"/>
          <w:i/>
          <w:spacing w:val="-1"/>
          <w:lang w:val="sk-SK"/>
        </w:rPr>
        <w:t>potenciálne interakcie</w:t>
      </w:r>
    </w:p>
    <w:p w14:paraId="7CECDCC4" w14:textId="77777777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Elevácia INR a/alebo prípady krvácania boli hlásené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niektorých pacientov súbežne užívajúcich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warfarín (pozri časť 4.4).</w:t>
      </w:r>
    </w:p>
    <w:p w14:paraId="25DE4AE2" w14:textId="77777777" w:rsidR="00AF2C33" w:rsidRPr="00D45D95" w:rsidRDefault="00AF2C33" w:rsidP="004568C3">
      <w:pPr>
        <w:tabs>
          <w:tab w:val="left" w:pos="0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5BEB875B" w14:textId="77777777" w:rsidR="00AF2C33" w:rsidRPr="00D45D95" w:rsidRDefault="008174E0" w:rsidP="004568C3">
      <w:pPr>
        <w:pStyle w:val="Nadpis1"/>
        <w:numPr>
          <w:ilvl w:val="1"/>
          <w:numId w:val="13"/>
        </w:numPr>
        <w:tabs>
          <w:tab w:val="left" w:pos="0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Fertilita, gravidita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laktácia</w:t>
      </w:r>
    </w:p>
    <w:p w14:paraId="75B4A44B" w14:textId="77777777" w:rsidR="00AF2C33" w:rsidRPr="00D45D95" w:rsidRDefault="00AF2C33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2E0FC337" w14:textId="4429CEE5" w:rsidR="00AF2C33" w:rsidRPr="00D45D95" w:rsidRDefault="002C1CED" w:rsidP="004568C3">
      <w:pPr>
        <w:pStyle w:val="Zkladntext"/>
        <w:tabs>
          <w:tab w:val="left" w:pos="0"/>
        </w:tabs>
        <w:spacing w:line="252" w:lineRule="exact"/>
        <w:ind w:left="0"/>
        <w:rPr>
          <w:rFonts w:cs="Times New Roman"/>
          <w:lang w:val="sk-SK"/>
        </w:rPr>
      </w:pPr>
      <w:r w:rsidRPr="002C1CED">
        <w:rPr>
          <w:rFonts w:cs="Times New Roman"/>
          <w:spacing w:val="-1"/>
          <w:u w:val="single" w:color="000000"/>
          <w:lang w:val="sk-SK"/>
        </w:rPr>
        <w:t>Ženy vo fertilnom veku</w:t>
      </w:r>
    </w:p>
    <w:p w14:paraId="2DC0D319" w14:textId="11F0E542" w:rsidR="00AF2C33" w:rsidRPr="00D45D95" w:rsidRDefault="008174E0" w:rsidP="004568C3">
      <w:pPr>
        <w:pStyle w:val="Zkladntext"/>
        <w:tabs>
          <w:tab w:val="left" w:pos="0"/>
        </w:tabs>
        <w:spacing w:line="252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Ženám vo fertilnom veku </w:t>
      </w:r>
      <w:r w:rsidR="002C1CED" w:rsidRPr="002C1CED">
        <w:rPr>
          <w:rFonts w:cs="Times New Roman"/>
          <w:spacing w:val="-1"/>
          <w:lang w:val="sk-SK"/>
        </w:rPr>
        <w:t xml:space="preserve">musia byť poučené o tom, že </w:t>
      </w:r>
      <w:r w:rsidRPr="00D45D95">
        <w:rPr>
          <w:rFonts w:cs="Times New Roman"/>
          <w:spacing w:val="-1"/>
          <w:lang w:val="sk-SK"/>
        </w:rPr>
        <w:t xml:space="preserve">počas liečby </w:t>
      </w:r>
      <w:r w:rsidR="002C1CED" w:rsidRPr="002C1CED">
        <w:rPr>
          <w:rFonts w:cs="Times New Roman"/>
          <w:spacing w:val="-1"/>
          <w:lang w:val="sk-SK"/>
        </w:rPr>
        <w:t>nesmú otehotnieť</w:t>
      </w:r>
      <w:r w:rsidRPr="00D45D95">
        <w:rPr>
          <w:rFonts w:cs="Times New Roman"/>
          <w:spacing w:val="-2"/>
          <w:lang w:val="sk-SK"/>
        </w:rPr>
        <w:t>.</w:t>
      </w:r>
    </w:p>
    <w:p w14:paraId="596F2FCF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198A0E37" w14:textId="77777777" w:rsidR="00AF2C33" w:rsidRPr="00D45D95" w:rsidRDefault="008174E0" w:rsidP="004568C3">
      <w:pPr>
        <w:pStyle w:val="Zkladntext"/>
        <w:tabs>
          <w:tab w:val="left" w:pos="0"/>
        </w:tabs>
        <w:spacing w:line="252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u w:val="single" w:color="000000"/>
          <w:lang w:val="sk-SK"/>
        </w:rPr>
        <w:t>Gravidita</w:t>
      </w:r>
    </w:p>
    <w:p w14:paraId="60500AAD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Nie sú </w:t>
      </w:r>
      <w:r w:rsidRPr="00D45D95">
        <w:rPr>
          <w:rFonts w:cs="Times New Roman"/>
          <w:lang w:val="sk-SK"/>
        </w:rPr>
        <w:t>k</w:t>
      </w:r>
      <w:r w:rsidRPr="00D45D95">
        <w:rPr>
          <w:rFonts w:cs="Times New Roman"/>
          <w:spacing w:val="-1"/>
          <w:lang w:val="sk-SK"/>
        </w:rPr>
        <w:t xml:space="preserve"> dispozícii údaje </w:t>
      </w:r>
      <w:r w:rsidRPr="00D45D95">
        <w:rPr>
          <w:rFonts w:cs="Times New Roman"/>
          <w:lang w:val="sk-SK"/>
        </w:rPr>
        <w:t>o</w:t>
      </w:r>
      <w:r w:rsidRPr="00D45D95">
        <w:rPr>
          <w:rFonts w:cs="Times New Roman"/>
          <w:spacing w:val="-1"/>
          <w:lang w:val="sk-SK"/>
        </w:rPr>
        <w:t xml:space="preserve"> použití gefitinibu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gravidných žien. Štúdie na zvieratách preukázali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reprodukčnú toxicitu (pozri časť 5.3). Potenciálne riziko pre ľudí nie je známe. </w:t>
      </w:r>
      <w:r w:rsidR="003C1EF3" w:rsidRPr="00D45D95">
        <w:rPr>
          <w:rFonts w:cs="Times New Roman"/>
          <w:spacing w:val="-1"/>
          <w:lang w:val="sk-SK"/>
        </w:rPr>
        <w:t>Gefitinib Synthon</w:t>
      </w:r>
      <w:r w:rsidRPr="00D45D95">
        <w:rPr>
          <w:rFonts w:cs="Times New Roman"/>
          <w:spacing w:val="-1"/>
          <w:lang w:val="sk-SK"/>
        </w:rPr>
        <w:t xml:space="preserve"> sa nemá</w:t>
      </w:r>
      <w:r w:rsidRPr="00D45D95">
        <w:rPr>
          <w:rFonts w:cs="Times New Roman"/>
          <w:spacing w:val="28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užívať počas gravidity pokiaľ to nie je nevyhnutné.</w:t>
      </w:r>
    </w:p>
    <w:p w14:paraId="79B67F9D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694A9209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u w:val="single" w:color="000000"/>
          <w:lang w:val="sk-SK"/>
        </w:rPr>
        <w:t>Dojčenie</w:t>
      </w:r>
    </w:p>
    <w:p w14:paraId="6CD1419A" w14:textId="6197DA35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Nie je známe, či sa gefitinib vylučuje do materského mlieka. Gefitinib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metabolity gefitinibu sa</w:t>
      </w:r>
      <w:r w:rsidRPr="00D45D95">
        <w:rPr>
          <w:rFonts w:cs="Times New Roman"/>
          <w:spacing w:val="26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vylučujú do mlieka </w:t>
      </w:r>
      <w:r w:rsidR="00326ADF">
        <w:rPr>
          <w:rFonts w:cs="Times New Roman"/>
          <w:spacing w:val="-1"/>
          <w:lang w:val="sk-SK"/>
        </w:rPr>
        <w:t>laktujúcich</w:t>
      </w:r>
      <w:r w:rsidRPr="00D45D95">
        <w:rPr>
          <w:rFonts w:cs="Times New Roman"/>
          <w:spacing w:val="-1"/>
          <w:lang w:val="sk-SK"/>
        </w:rPr>
        <w:t xml:space="preserve"> potkanov (pozri časť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5.3). Gefitinib je kontraindikovaný počas dojčenia,</w:t>
      </w:r>
      <w:r w:rsidRPr="00D45D95">
        <w:rPr>
          <w:rFonts w:cs="Times New Roman"/>
          <w:spacing w:val="24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>preto sa dojčenie počas liečby gefitinibom musí prerušiť (pozri časť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4.3).</w:t>
      </w:r>
    </w:p>
    <w:p w14:paraId="32CEA516" w14:textId="77777777" w:rsidR="00AF2C33" w:rsidRPr="00D45D95" w:rsidRDefault="00AF2C33" w:rsidP="004568C3">
      <w:pPr>
        <w:tabs>
          <w:tab w:val="left" w:pos="0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3CA00573" w14:textId="77777777" w:rsidR="00AF2C33" w:rsidRPr="00D45D95" w:rsidRDefault="008174E0" w:rsidP="004568C3">
      <w:pPr>
        <w:pStyle w:val="Nadpis1"/>
        <w:numPr>
          <w:ilvl w:val="1"/>
          <w:numId w:val="13"/>
        </w:numPr>
        <w:tabs>
          <w:tab w:val="left" w:pos="0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Ovplyvnenie schopnosti viesť vozidlá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obsluhovať stroje</w:t>
      </w:r>
    </w:p>
    <w:p w14:paraId="61FDD90D" w14:textId="77777777" w:rsidR="00AF2C33" w:rsidRPr="00D45D95" w:rsidRDefault="00AF2C33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627CC47A" w14:textId="7B442A11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Počas liečby gefitinibom bola pozorovaná asténia. Preto je potrebná zvýšená opatrnosť počas vedenia</w:t>
      </w:r>
      <w:r w:rsidRPr="00D45D95">
        <w:rPr>
          <w:rFonts w:cs="Times New Roman"/>
          <w:spacing w:val="2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vozid</w:t>
      </w:r>
      <w:r w:rsidR="00326ADF">
        <w:rPr>
          <w:rFonts w:cs="Times New Roman"/>
          <w:spacing w:val="-1"/>
          <w:lang w:val="sk-SK"/>
        </w:rPr>
        <w:t>iel</w:t>
      </w:r>
      <w:r w:rsidRPr="00D45D95">
        <w:rPr>
          <w:rFonts w:cs="Times New Roman"/>
          <w:spacing w:val="-1"/>
          <w:lang w:val="sk-SK"/>
        </w:rPr>
        <w:t xml:space="preserve"> či obsluhy strojov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pacientov, </w:t>
      </w:r>
      <w:r w:rsidR="00326ADF">
        <w:rPr>
          <w:rFonts w:cs="Times New Roman"/>
          <w:spacing w:val="-1"/>
          <w:lang w:val="sk-SK"/>
        </w:rPr>
        <w:t>u ktorých sa vyskytol</w:t>
      </w:r>
      <w:r w:rsidRPr="00D45D95">
        <w:rPr>
          <w:rFonts w:cs="Times New Roman"/>
          <w:spacing w:val="-1"/>
          <w:lang w:val="sk-SK"/>
        </w:rPr>
        <w:t xml:space="preserve"> tento príznak.</w:t>
      </w:r>
    </w:p>
    <w:p w14:paraId="678A66B7" w14:textId="77777777" w:rsidR="00AF2C33" w:rsidRPr="00D45D95" w:rsidRDefault="00AF2C33" w:rsidP="004568C3">
      <w:pPr>
        <w:tabs>
          <w:tab w:val="left" w:pos="0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439377FC" w14:textId="77777777" w:rsidR="00AF2C33" w:rsidRPr="00D45D95" w:rsidRDefault="008174E0" w:rsidP="004568C3">
      <w:pPr>
        <w:pStyle w:val="Nadpis1"/>
        <w:numPr>
          <w:ilvl w:val="1"/>
          <w:numId w:val="13"/>
        </w:numPr>
        <w:tabs>
          <w:tab w:val="left" w:pos="0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>Nežiaduce účinky</w:t>
      </w:r>
    </w:p>
    <w:p w14:paraId="0B6EE1E8" w14:textId="77777777" w:rsidR="00AF2C33" w:rsidRPr="00D45D95" w:rsidRDefault="00AF2C33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37DD2F37" w14:textId="010ED1E7" w:rsidR="00AF2C33" w:rsidRPr="00D45D95" w:rsidRDefault="00326ADF" w:rsidP="004568C3">
      <w:pPr>
        <w:pStyle w:val="Zkladntext"/>
        <w:tabs>
          <w:tab w:val="left" w:pos="0"/>
        </w:tabs>
        <w:spacing w:line="252" w:lineRule="exact"/>
        <w:ind w:left="0"/>
        <w:rPr>
          <w:rFonts w:cs="Times New Roman"/>
          <w:lang w:val="sk-SK"/>
        </w:rPr>
      </w:pPr>
      <w:r w:rsidRPr="00326ADF">
        <w:rPr>
          <w:rFonts w:cs="Times New Roman"/>
          <w:spacing w:val="-1"/>
          <w:u w:val="single" w:color="000000"/>
          <w:lang w:val="sk-SK"/>
        </w:rPr>
        <w:t>Súhrn bezpečnostného profilu</w:t>
      </w:r>
    </w:p>
    <w:p w14:paraId="3B6911B8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Nežiaduce reakcie zo spoločnej databázy klinických skúšaní III. fázy ISEL, INTEREST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2"/>
          <w:lang w:val="sk-SK"/>
        </w:rPr>
        <w:t xml:space="preserve"> IPASS</w:t>
      </w:r>
      <w:r w:rsidRPr="00D45D95">
        <w:rPr>
          <w:rFonts w:cs="Times New Roman"/>
          <w:spacing w:val="21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(2462 </w:t>
      </w:r>
      <w:r w:rsidRPr="00D45D95">
        <w:rPr>
          <w:rFonts w:cs="Times New Roman"/>
          <w:spacing w:val="-1"/>
          <w:lang w:val="sk-SK"/>
        </w:rPr>
        <w:t xml:space="preserve">pacientov liečených </w:t>
      </w:r>
      <w:r w:rsidR="00D45D95">
        <w:rPr>
          <w:rFonts w:cs="Times New Roman"/>
          <w:spacing w:val="-1"/>
          <w:lang w:val="sk-SK"/>
        </w:rPr>
        <w:t>g</w:t>
      </w:r>
      <w:r w:rsidR="003C1EF3" w:rsidRPr="00D45D95">
        <w:rPr>
          <w:rFonts w:cs="Times New Roman"/>
          <w:spacing w:val="-1"/>
          <w:lang w:val="sk-SK"/>
        </w:rPr>
        <w:t>efitinib</w:t>
      </w:r>
      <w:r w:rsidR="00D45D95">
        <w:rPr>
          <w:rFonts w:cs="Times New Roman"/>
          <w:spacing w:val="-1"/>
          <w:lang w:val="sk-SK"/>
        </w:rPr>
        <w:t>om</w:t>
      </w:r>
      <w:r w:rsidRPr="00D45D95">
        <w:rPr>
          <w:rFonts w:cs="Times New Roman"/>
          <w:spacing w:val="-1"/>
          <w:lang w:val="sk-SK"/>
        </w:rPr>
        <w:t>) preukázali, že najčastejšie hlásené nežiaduce reakcie, ktoré sa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vyskytli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viac ako 20</w:t>
      </w:r>
      <w:r w:rsidR="00326ADF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% pacientov sú hnačka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kožné reakcie (vrátane vyrážky, akné, suchej kože</w:t>
      </w:r>
    </w:p>
    <w:p w14:paraId="48D99749" w14:textId="372464A3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jc w:val="both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 xml:space="preserve">pruritu). Nežiaduce účinky sa zvyčajne vyskytujú počas prvého mesiaca liečby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vo všeobecnosti sú</w:t>
      </w:r>
      <w:r w:rsidRPr="00D45D95">
        <w:rPr>
          <w:rFonts w:cs="Times New Roman"/>
          <w:spacing w:val="2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reverzibilné. Približne </w:t>
      </w:r>
      <w:r w:rsidRPr="00D45D95">
        <w:rPr>
          <w:rFonts w:cs="Times New Roman"/>
          <w:lang w:val="sk-SK"/>
        </w:rPr>
        <w:t>u</w:t>
      </w:r>
      <w:r w:rsidR="00326ADF">
        <w:rPr>
          <w:rFonts w:cs="Times New Roman"/>
          <w:spacing w:val="-1"/>
          <w:lang w:val="sk-SK"/>
        </w:rPr>
        <w:t> </w:t>
      </w:r>
      <w:r w:rsidRPr="00D45D95">
        <w:rPr>
          <w:rFonts w:cs="Times New Roman"/>
          <w:spacing w:val="-1"/>
          <w:lang w:val="sk-SK"/>
        </w:rPr>
        <w:t>8</w:t>
      </w:r>
      <w:r w:rsidR="00326ADF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% pacientov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sa objavila ťažká nežiaduca reakcia (</w:t>
      </w:r>
      <w:r w:rsidR="00326ADF" w:rsidRPr="00326ADF">
        <w:rPr>
          <w:rFonts w:cs="Times New Roman"/>
          <w:spacing w:val="-1"/>
          <w:lang w:val="sk-SK"/>
        </w:rPr>
        <w:t>všeobecné kritériá toxicity</w:t>
      </w:r>
      <w:r w:rsidRPr="00D45D95">
        <w:rPr>
          <w:rFonts w:cs="Times New Roman"/>
          <w:spacing w:val="-1"/>
          <w:lang w:val="sk-SK"/>
        </w:rPr>
        <w:t>,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(CTC) stupeň </w:t>
      </w:r>
      <w:r w:rsidRPr="00D45D95">
        <w:rPr>
          <w:rFonts w:cs="Times New Roman"/>
          <w:lang w:val="sk-SK"/>
        </w:rPr>
        <w:t>3</w:t>
      </w:r>
      <w:r w:rsidRPr="00D45D95">
        <w:rPr>
          <w:rFonts w:cs="Times New Roman"/>
          <w:spacing w:val="-1"/>
          <w:lang w:val="sk-SK"/>
        </w:rPr>
        <w:t xml:space="preserve"> alebo 4). Približne 3</w:t>
      </w:r>
      <w:r w:rsidR="00326ADF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% pacientov ukončilo liečbu kvôli nežiaducim účinkom.</w:t>
      </w:r>
    </w:p>
    <w:p w14:paraId="5E8DA462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7AE82DC6" w14:textId="0A35A450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Intersticiálna choroba pľúc (ILD), často ťažká (CTC stupeň </w:t>
      </w:r>
      <w:r w:rsidRPr="00D45D95">
        <w:rPr>
          <w:rFonts w:cs="Times New Roman"/>
          <w:spacing w:val="-2"/>
          <w:lang w:val="sk-SK"/>
        </w:rPr>
        <w:t>3-4),</w:t>
      </w:r>
      <w:r w:rsidRPr="00D45D95">
        <w:rPr>
          <w:rFonts w:cs="Times New Roman"/>
          <w:spacing w:val="-1"/>
          <w:lang w:val="sk-SK"/>
        </w:rPr>
        <w:t xml:space="preserve"> sa vyskytla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1,3</w:t>
      </w:r>
      <w:r w:rsidR="00326ADF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% pacientov. Boli</w:t>
      </w:r>
      <w:r w:rsidRPr="00D45D95">
        <w:rPr>
          <w:rFonts w:cs="Times New Roman"/>
          <w:spacing w:val="3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hlásené prípady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 xml:space="preserve">fatálnym </w:t>
      </w:r>
      <w:r w:rsidR="00326ADF">
        <w:rPr>
          <w:rFonts w:cs="Times New Roman"/>
          <w:spacing w:val="-1"/>
          <w:lang w:val="sk-SK"/>
        </w:rPr>
        <w:t>koncom</w:t>
      </w:r>
      <w:r w:rsidRPr="00D45D95">
        <w:rPr>
          <w:rFonts w:cs="Times New Roman"/>
          <w:spacing w:val="-1"/>
          <w:lang w:val="sk-SK"/>
        </w:rPr>
        <w:t>.</w:t>
      </w:r>
    </w:p>
    <w:p w14:paraId="3830ED88" w14:textId="77777777" w:rsidR="00AF2C33" w:rsidRPr="00D45D95" w:rsidRDefault="00AF2C33" w:rsidP="004568C3">
      <w:pPr>
        <w:tabs>
          <w:tab w:val="left" w:pos="0"/>
        </w:tabs>
        <w:spacing w:before="10"/>
        <w:rPr>
          <w:rFonts w:ascii="Times New Roman" w:eastAsia="Times New Roman" w:hAnsi="Times New Roman" w:cs="Times New Roman"/>
          <w:lang w:val="sk-SK"/>
        </w:rPr>
      </w:pPr>
    </w:p>
    <w:p w14:paraId="481543C3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u w:val="single" w:color="000000"/>
          <w:lang w:val="sk-SK"/>
        </w:rPr>
        <w:t>Tabuľkový zoznam nežiaducich reakcií</w:t>
      </w:r>
    </w:p>
    <w:p w14:paraId="72D56302" w14:textId="77777777" w:rsidR="00AF2C33" w:rsidRPr="00D45D95" w:rsidRDefault="008174E0" w:rsidP="004568C3">
      <w:pPr>
        <w:pStyle w:val="Zkladntext"/>
        <w:tabs>
          <w:tab w:val="left" w:pos="0"/>
        </w:tabs>
        <w:spacing w:before="1" w:line="252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Profil bezpečnosti uvedený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Tabuľke </w:t>
      </w:r>
      <w:r w:rsidRPr="00D45D95">
        <w:rPr>
          <w:rFonts w:cs="Times New Roman"/>
          <w:lang w:val="sk-SK"/>
        </w:rPr>
        <w:t>1</w:t>
      </w:r>
      <w:r w:rsidRPr="00D45D95">
        <w:rPr>
          <w:rFonts w:cs="Times New Roman"/>
          <w:spacing w:val="-1"/>
          <w:lang w:val="sk-SK"/>
        </w:rPr>
        <w:t xml:space="preserve"> je založený na klinickom vývojovom programe gefitinibu</w:t>
      </w:r>
    </w:p>
    <w:p w14:paraId="7F443564" w14:textId="15D0264D" w:rsidR="00A81743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 xml:space="preserve">a </w:t>
      </w:r>
      <w:r w:rsidR="00326ADF" w:rsidRPr="00326ADF">
        <w:rPr>
          <w:rFonts w:cs="Times New Roman"/>
          <w:lang w:val="sk-SK"/>
        </w:rPr>
        <w:t>zo skúseností po uvedení gefitinibu na trh</w:t>
      </w:r>
      <w:r w:rsidRPr="00D45D95">
        <w:rPr>
          <w:rFonts w:cs="Times New Roman"/>
          <w:spacing w:val="-1"/>
          <w:lang w:val="sk-SK"/>
        </w:rPr>
        <w:t xml:space="preserve">. Nežiaduce účinky boli zaradené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Tabuľke 1, kde je to možné do</w:t>
      </w:r>
      <w:r w:rsidRPr="00D45D95">
        <w:rPr>
          <w:rFonts w:cs="Times New Roman"/>
          <w:spacing w:val="2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kategórií podľa frekvencie na základe výskytu porovnateľných hlásení nežiaducich účinkov </w:t>
      </w:r>
      <w:r w:rsidRPr="00D45D95">
        <w:rPr>
          <w:rFonts w:cs="Times New Roman"/>
          <w:lang w:val="sk-SK"/>
        </w:rPr>
        <w:t>z</w:t>
      </w:r>
      <w:r w:rsidR="00326ADF">
        <w:rPr>
          <w:rFonts w:cs="Times New Roman"/>
          <w:lang w:val="sk-SK"/>
        </w:rPr>
        <w:t>o spoločnej databázy</w:t>
      </w:r>
      <w:r w:rsidRPr="00D45D95">
        <w:rPr>
          <w:rFonts w:cs="Times New Roman"/>
          <w:spacing w:val="2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klinických skúšaní ISEL, INTEREST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>IPASS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v </w:t>
      </w:r>
      <w:r w:rsidRPr="00D45D95">
        <w:rPr>
          <w:rFonts w:cs="Times New Roman"/>
          <w:spacing w:val="-1"/>
          <w:lang w:val="sk-SK"/>
        </w:rPr>
        <w:t>III fáze (2462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pacientov liečených </w:t>
      </w:r>
      <w:r w:rsidR="00D45D95">
        <w:rPr>
          <w:rFonts w:cs="Times New Roman"/>
          <w:spacing w:val="-1"/>
          <w:lang w:val="sk-SK"/>
        </w:rPr>
        <w:t>g</w:t>
      </w:r>
      <w:r w:rsidR="003C1EF3" w:rsidRPr="00D45D95">
        <w:rPr>
          <w:rFonts w:cs="Times New Roman"/>
          <w:spacing w:val="-1"/>
          <w:lang w:val="sk-SK"/>
        </w:rPr>
        <w:t>efitinib</w:t>
      </w:r>
      <w:r w:rsidR="00D45D95">
        <w:rPr>
          <w:rFonts w:cs="Times New Roman"/>
          <w:spacing w:val="-1"/>
          <w:lang w:val="sk-SK"/>
        </w:rPr>
        <w:t>om</w:t>
      </w:r>
      <w:r w:rsidRPr="00D45D95">
        <w:rPr>
          <w:rFonts w:cs="Times New Roman"/>
          <w:spacing w:val="-1"/>
          <w:lang w:val="sk-SK"/>
        </w:rPr>
        <w:t>).</w:t>
      </w:r>
      <w:r w:rsidR="00A81743" w:rsidRPr="00D45D95">
        <w:rPr>
          <w:rFonts w:cs="Times New Roman"/>
          <w:lang w:val="sk-SK"/>
        </w:rPr>
        <w:t xml:space="preserve"> </w:t>
      </w:r>
    </w:p>
    <w:p w14:paraId="76C12C4B" w14:textId="77777777" w:rsidR="00326ADF" w:rsidRPr="00D45D95" w:rsidRDefault="00326ADF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</w:p>
    <w:p w14:paraId="6BCD39E5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Frekvencie výskytu nežiaducich účinkov sú definované ako: veľmi</w:t>
      </w:r>
      <w:r w:rsidRPr="00D45D95">
        <w:rPr>
          <w:rFonts w:cs="Times New Roman"/>
          <w:lang w:val="sk-SK"/>
        </w:rPr>
        <w:t xml:space="preserve"> časté (≥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1/10); časté (≥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1/100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až</w:t>
      </w:r>
    </w:p>
    <w:p w14:paraId="3B3301C0" w14:textId="77777777" w:rsidR="00AF2C33" w:rsidRPr="00D45D95" w:rsidRDefault="008174E0" w:rsidP="004568C3">
      <w:pPr>
        <w:pStyle w:val="Zkladntext"/>
        <w:tabs>
          <w:tab w:val="left" w:pos="0"/>
        </w:tabs>
        <w:spacing w:line="252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 xml:space="preserve">&lt; </w:t>
      </w:r>
      <w:r w:rsidRPr="00D45D95">
        <w:rPr>
          <w:rFonts w:cs="Times New Roman"/>
          <w:spacing w:val="-1"/>
          <w:lang w:val="sk-SK"/>
        </w:rPr>
        <w:t>1/10); menej časté (≥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1/1</w:t>
      </w:r>
      <w:r w:rsidR="00326ADF">
        <w:rPr>
          <w:rFonts w:cs="Times New Roman"/>
          <w:spacing w:val="-1"/>
          <w:lang w:val="sk-SK"/>
        </w:rPr>
        <w:t> </w:t>
      </w:r>
      <w:r w:rsidRPr="00D45D95">
        <w:rPr>
          <w:rFonts w:cs="Times New Roman"/>
          <w:spacing w:val="-1"/>
          <w:lang w:val="sk-SK"/>
        </w:rPr>
        <w:t xml:space="preserve">000 až </w:t>
      </w:r>
      <w:r w:rsidRPr="00D45D95">
        <w:rPr>
          <w:rFonts w:cs="Times New Roman"/>
          <w:lang w:val="sk-SK"/>
        </w:rPr>
        <w:t xml:space="preserve">&lt; </w:t>
      </w:r>
      <w:r w:rsidRPr="00D45D95">
        <w:rPr>
          <w:rFonts w:cs="Times New Roman"/>
          <w:spacing w:val="-1"/>
          <w:lang w:val="sk-SK"/>
        </w:rPr>
        <w:t xml:space="preserve">1/100), zriedkavé </w:t>
      </w:r>
      <w:r w:rsidRPr="00D45D95">
        <w:rPr>
          <w:rFonts w:cs="Times New Roman"/>
          <w:lang w:val="sk-SK"/>
        </w:rPr>
        <w:t>(≥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1/10 000 až </w:t>
      </w:r>
      <w:r w:rsidRPr="00D45D95">
        <w:rPr>
          <w:rFonts w:cs="Times New Roman"/>
          <w:lang w:val="sk-SK"/>
        </w:rPr>
        <w:t xml:space="preserve">&lt; </w:t>
      </w:r>
      <w:r w:rsidRPr="00D45D95">
        <w:rPr>
          <w:rFonts w:cs="Times New Roman"/>
          <w:spacing w:val="-1"/>
          <w:lang w:val="sk-SK"/>
        </w:rPr>
        <w:t>1/1</w:t>
      </w:r>
      <w:r w:rsidR="00326ADF">
        <w:rPr>
          <w:rFonts w:cs="Times New Roman"/>
          <w:spacing w:val="-1"/>
          <w:lang w:val="sk-SK"/>
        </w:rPr>
        <w:t> </w:t>
      </w:r>
      <w:r w:rsidRPr="00D45D95">
        <w:rPr>
          <w:rFonts w:cs="Times New Roman"/>
          <w:spacing w:val="-1"/>
          <w:lang w:val="sk-SK"/>
        </w:rPr>
        <w:t>000); veľmi zriedkavé</w:t>
      </w:r>
    </w:p>
    <w:p w14:paraId="2ED6EA75" w14:textId="77777777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lastRenderedPageBreak/>
        <w:t xml:space="preserve">&lt; </w:t>
      </w:r>
      <w:r w:rsidRPr="00D45D95">
        <w:rPr>
          <w:rFonts w:cs="Times New Roman"/>
          <w:spacing w:val="-1"/>
          <w:lang w:val="sk-SK"/>
        </w:rPr>
        <w:t>1/10 000), neznáme (z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dostupných údajov).</w:t>
      </w:r>
    </w:p>
    <w:p w14:paraId="05ED5DD4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7E3540E3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rámci jednotlivých skupín frekvencií sú nežiaduce účinky usporiadané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5"/>
          <w:lang w:val="sk-SK"/>
        </w:rPr>
        <w:t xml:space="preserve"> </w:t>
      </w:r>
      <w:r w:rsidRPr="00D45D95">
        <w:rPr>
          <w:rFonts w:cs="Times New Roman"/>
          <w:lang w:val="sk-SK"/>
        </w:rPr>
        <w:t>poradí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klesajúcej</w:t>
      </w:r>
      <w:r w:rsidRPr="00D45D95">
        <w:rPr>
          <w:rFonts w:cs="Times New Roman"/>
          <w:spacing w:val="28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závažnosti.</w:t>
      </w:r>
    </w:p>
    <w:p w14:paraId="5C07517A" w14:textId="77777777" w:rsidR="00AF2C33" w:rsidRPr="00D45D95" w:rsidRDefault="00AF2C33" w:rsidP="004568C3">
      <w:pPr>
        <w:tabs>
          <w:tab w:val="left" w:pos="0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1FCDAFD5" w14:textId="77777777" w:rsidR="00AF2C33" w:rsidRPr="00D45D95" w:rsidRDefault="008174E0" w:rsidP="004568C3">
      <w:pPr>
        <w:pStyle w:val="Nadpis1"/>
        <w:tabs>
          <w:tab w:val="left" w:pos="0"/>
        </w:tabs>
        <w:ind w:left="0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Tabuľka </w:t>
      </w:r>
      <w:r w:rsidRPr="00D45D95">
        <w:rPr>
          <w:rFonts w:cs="Times New Roman"/>
          <w:lang w:val="sk-SK"/>
        </w:rPr>
        <w:t>1</w:t>
      </w:r>
      <w:r w:rsidRPr="00D45D95">
        <w:rPr>
          <w:rFonts w:cs="Times New Roman"/>
          <w:spacing w:val="-1"/>
          <w:lang w:val="sk-SK"/>
        </w:rPr>
        <w:t xml:space="preserve"> Nežiaduce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reakcie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560"/>
        <w:gridCol w:w="5635"/>
      </w:tblGrid>
      <w:tr w:rsidR="00AF2C33" w:rsidRPr="00D45D95" w14:paraId="7D6E9164" w14:textId="77777777">
        <w:trPr>
          <w:trHeight w:hRule="exact" w:val="401"/>
        </w:trPr>
        <w:tc>
          <w:tcPr>
            <w:tcW w:w="92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F312E" w14:textId="6D5A18DC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Nežiaduce reakcie podľa triedy</w:t>
            </w:r>
            <w:r w:rsidR="00326ADF">
              <w:t xml:space="preserve"> </w:t>
            </w:r>
            <w:r w:rsidR="00326ADF" w:rsidRPr="00326ADF">
              <w:rPr>
                <w:rFonts w:ascii="Times New Roman" w:hAnsi="Times New Roman" w:cs="Times New Roman"/>
                <w:b/>
                <w:spacing w:val="-1"/>
                <w:lang w:val="sk-SK"/>
              </w:rPr>
              <w:t>orgánových systémov</w:t>
            </w: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b/>
                <w:lang w:val="sk-SK"/>
              </w:rPr>
              <w:t>a</w:t>
            </w:r>
            <w:r w:rsidRPr="00D45D95">
              <w:rPr>
                <w:rFonts w:ascii="Times New Roman" w:hAnsi="Times New Roman" w:cs="Times New Roman"/>
                <w:b/>
                <w:spacing w:val="-3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frekvencie</w:t>
            </w:r>
          </w:p>
        </w:tc>
      </w:tr>
      <w:tr w:rsidR="00AF2C33" w:rsidRPr="00D45D95" w14:paraId="76DB9697" w14:textId="77777777">
        <w:trPr>
          <w:trHeight w:hRule="exact" w:val="768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CA7CF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Poruchy</w:t>
            </w:r>
            <w:r w:rsidRPr="00D45D95">
              <w:rPr>
                <w:rFonts w:ascii="Times New Roman" w:hAnsi="Times New Roman" w:cs="Times New Roman"/>
                <w:spacing w:val="20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metabolizmu</w:t>
            </w:r>
            <w:r w:rsidRPr="00D45D95">
              <w:rPr>
                <w:rFonts w:ascii="Times New Roman" w:hAnsi="Times New Roman" w:cs="Times New Roman"/>
                <w:spacing w:val="20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a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výživy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E7B0D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Veľmi časté</w:t>
            </w: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38D2B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39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Anorexia mierna alebo stredne ťažká (CTC stupeň </w:t>
            </w:r>
            <w:r w:rsidRPr="00D45D95">
              <w:rPr>
                <w:rFonts w:ascii="Times New Roman" w:hAnsi="Times New Roman" w:cs="Times New Roman"/>
                <w:lang w:val="sk-SK"/>
              </w:rPr>
              <w:t>1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 alebo</w:t>
            </w:r>
            <w:r w:rsidRPr="00D45D95">
              <w:rPr>
                <w:rFonts w:ascii="Times New Roman" w:hAnsi="Times New Roman" w:cs="Times New Roman"/>
                <w:spacing w:val="27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>2).</w:t>
            </w:r>
          </w:p>
        </w:tc>
      </w:tr>
      <w:tr w:rsidR="00AF2C33" w:rsidRPr="00D45D95" w14:paraId="19A28455" w14:textId="77777777">
        <w:trPr>
          <w:trHeight w:hRule="exact" w:val="516"/>
        </w:trPr>
        <w:tc>
          <w:tcPr>
            <w:tcW w:w="20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2D153E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Poruchy oka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4C511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Časté</w:t>
            </w: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8D2F9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Konjunktivitída, blefaritída 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a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suché oči*, prevažne mierne</w:t>
            </w:r>
            <w:r w:rsidRPr="00D45D95">
              <w:rPr>
                <w:rFonts w:ascii="Times New Roman" w:hAnsi="Times New Roman" w:cs="Times New Roman"/>
                <w:spacing w:val="25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(CTC stupeň 1).</w:t>
            </w:r>
          </w:p>
        </w:tc>
      </w:tr>
      <w:tr w:rsidR="00AF2C33" w:rsidRPr="00D45D95" w14:paraId="48002DEA" w14:textId="77777777">
        <w:trPr>
          <w:trHeight w:hRule="exact" w:val="516"/>
        </w:trPr>
        <w:tc>
          <w:tcPr>
            <w:tcW w:w="2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BB7DAF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D15D04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Menej časté</w:t>
            </w: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A565E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Erózia rohovky, reverzibilná </w:t>
            </w:r>
            <w:r w:rsidRPr="00D45D95">
              <w:rPr>
                <w:rFonts w:ascii="Times New Roman" w:hAnsi="Times New Roman" w:cs="Times New Roman"/>
                <w:lang w:val="sk-SK"/>
              </w:rPr>
              <w:t>a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 niekedy spojená</w:t>
            </w:r>
            <w:r w:rsidRPr="00D45D95">
              <w:rPr>
                <w:rFonts w:ascii="Times New Roman" w:hAnsi="Times New Roman" w:cs="Times New Roman"/>
                <w:spacing w:val="24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>s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 abnormálnym rastom mihalníc.</w:t>
            </w:r>
          </w:p>
        </w:tc>
      </w:tr>
      <w:tr w:rsidR="00AF2C33" w:rsidRPr="00D45D95" w14:paraId="6A79CDE1" w14:textId="77777777">
        <w:trPr>
          <w:trHeight w:hRule="exact" w:val="264"/>
        </w:trPr>
        <w:tc>
          <w:tcPr>
            <w:tcW w:w="20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E34B6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907A0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67957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Keratitída (0,12</w:t>
            </w:r>
            <w:r w:rsidR="00326ADF">
              <w:rPr>
                <w:rFonts w:ascii="Times New Roman" w:hAnsi="Times New Roman" w:cs="Times New Roman"/>
                <w:spacing w:val="-1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%)</w:t>
            </w:r>
          </w:p>
        </w:tc>
      </w:tr>
      <w:tr w:rsidR="00AF2C33" w:rsidRPr="00D45D95" w14:paraId="648D42BD" w14:textId="77777777">
        <w:trPr>
          <w:trHeight w:hRule="exact" w:val="26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C1152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Poruchy ciev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155CC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Časté</w:t>
            </w: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5593E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Hemorágia, ako napr. epistaxa </w:t>
            </w:r>
            <w:r w:rsidRPr="00D45D95">
              <w:rPr>
                <w:rFonts w:ascii="Times New Roman" w:hAnsi="Times New Roman" w:cs="Times New Roman"/>
                <w:lang w:val="sk-SK"/>
              </w:rPr>
              <w:t>a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 hematúria.</w:t>
            </w:r>
          </w:p>
        </w:tc>
      </w:tr>
      <w:tr w:rsidR="00AF2C33" w:rsidRPr="00D45D95" w14:paraId="55C382A0" w14:textId="77777777">
        <w:trPr>
          <w:trHeight w:hRule="exact" w:val="770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634BD" w14:textId="77777777" w:rsidR="00AF2C33" w:rsidRPr="00D45D95" w:rsidRDefault="008174E0" w:rsidP="00BB53F4">
            <w:pPr>
              <w:pStyle w:val="TableParagraph"/>
              <w:tabs>
                <w:tab w:val="left" w:pos="0"/>
              </w:tabs>
              <w:spacing w:line="239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Poruchy dýchacej</w:t>
            </w:r>
            <w:r w:rsidRPr="00D45D95">
              <w:rPr>
                <w:rFonts w:ascii="Times New Roman" w:hAnsi="Times New Roman" w:cs="Times New Roman"/>
                <w:spacing w:val="21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sústavy, hrudníka</w:t>
            </w:r>
            <w:r w:rsidRPr="00D45D95">
              <w:rPr>
                <w:rFonts w:ascii="Times New Roman" w:hAnsi="Times New Roman" w:cs="Times New Roman"/>
                <w:spacing w:val="24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a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mediastína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1F59A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8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Časté</w:t>
            </w: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7DE99" w14:textId="3478954D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39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Intersticiálna pľúcna choroba (1,</w:t>
            </w:r>
            <w:r w:rsidR="00326ADF">
              <w:rPr>
                <w:rFonts w:ascii="Times New Roman" w:hAnsi="Times New Roman" w:cs="Times New Roman"/>
                <w:spacing w:val="-1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3%) často ťažká (CTC</w:t>
            </w:r>
            <w:r w:rsidRPr="00D45D95">
              <w:rPr>
                <w:rFonts w:ascii="Times New Roman" w:hAnsi="Times New Roman" w:cs="Times New Roman"/>
                <w:spacing w:val="26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stupeň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>3-4).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 Boli hlásené prípady 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s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fatálnym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="00326ADF">
              <w:rPr>
                <w:rFonts w:ascii="Times New Roman" w:hAnsi="Times New Roman" w:cs="Times New Roman"/>
                <w:spacing w:val="-1"/>
                <w:lang w:val="sk-SK"/>
              </w:rPr>
              <w:t>koncom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.</w:t>
            </w:r>
          </w:p>
        </w:tc>
      </w:tr>
      <w:tr w:rsidR="00AF2C33" w:rsidRPr="00D45D95" w14:paraId="1D352D4C" w14:textId="77777777">
        <w:trPr>
          <w:trHeight w:hRule="exact" w:val="516"/>
        </w:trPr>
        <w:tc>
          <w:tcPr>
            <w:tcW w:w="20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77154F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Poruchy</w:t>
            </w:r>
            <w:r w:rsidRPr="00D45D95">
              <w:rPr>
                <w:rFonts w:ascii="Times New Roman" w:hAnsi="Times New Roman" w:cs="Times New Roman"/>
                <w:spacing w:val="20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gastrointestinálneho</w:t>
            </w:r>
            <w:r w:rsidRPr="00D45D95">
              <w:rPr>
                <w:rFonts w:ascii="Times New Roman" w:hAnsi="Times New Roman" w:cs="Times New Roman"/>
                <w:spacing w:val="20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>traktu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7941BB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Veľmi časté</w:t>
            </w: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B6818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39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Hnačka prevažne mierna alebo stredne ťažká (CTC stupeň </w:t>
            </w:r>
            <w:r w:rsidRPr="00D45D95">
              <w:rPr>
                <w:rFonts w:ascii="Times New Roman" w:hAnsi="Times New Roman" w:cs="Times New Roman"/>
                <w:lang w:val="sk-SK"/>
              </w:rPr>
              <w:t>1</w:t>
            </w:r>
            <w:r w:rsidRPr="00D45D95">
              <w:rPr>
                <w:rFonts w:ascii="Times New Roman" w:hAnsi="Times New Roman" w:cs="Times New Roman"/>
                <w:spacing w:val="29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>alebo</w:t>
            </w:r>
            <w:r w:rsidRPr="00D45D95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>2).</w:t>
            </w:r>
          </w:p>
        </w:tc>
      </w:tr>
      <w:tr w:rsidR="00AF2C33" w:rsidRPr="00D45D95" w14:paraId="4F83BE22" w14:textId="77777777">
        <w:trPr>
          <w:trHeight w:hRule="exact" w:val="516"/>
        </w:trPr>
        <w:tc>
          <w:tcPr>
            <w:tcW w:w="2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178884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DCE381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0A481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39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Vracanie prevažne mierne alebo stredne ťažké (CTC stupeň</w:t>
            </w:r>
            <w:r w:rsidRPr="00D45D95">
              <w:rPr>
                <w:rFonts w:ascii="Times New Roman" w:hAnsi="Times New Roman" w:cs="Times New Roman"/>
                <w:spacing w:val="27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>1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 alebo 2).</w:t>
            </w:r>
          </w:p>
        </w:tc>
      </w:tr>
      <w:tr w:rsidR="00AF2C33" w:rsidRPr="00D45D95" w14:paraId="0A695E25" w14:textId="77777777">
        <w:trPr>
          <w:trHeight w:hRule="exact" w:val="262"/>
        </w:trPr>
        <w:tc>
          <w:tcPr>
            <w:tcW w:w="2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21ECF4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8C14E0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98CBE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Nevoľnosť prevažne mierna (CTC stupeň 1).</w:t>
            </w:r>
          </w:p>
        </w:tc>
      </w:tr>
      <w:tr w:rsidR="00AF2C33" w:rsidRPr="00D45D95" w14:paraId="5139F65D" w14:textId="77777777">
        <w:trPr>
          <w:trHeight w:hRule="exact" w:val="264"/>
        </w:trPr>
        <w:tc>
          <w:tcPr>
            <w:tcW w:w="2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4D7482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B4225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551A5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Stomatitída prevažne mierna (CTC stupeň 1).</w:t>
            </w:r>
          </w:p>
        </w:tc>
      </w:tr>
      <w:tr w:rsidR="00AF2C33" w:rsidRPr="00D45D95" w14:paraId="6AAA79B0" w14:textId="77777777">
        <w:trPr>
          <w:trHeight w:hRule="exact" w:val="516"/>
        </w:trPr>
        <w:tc>
          <w:tcPr>
            <w:tcW w:w="2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AD3C4E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EF531B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Časté</w:t>
            </w: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3F352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39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Sekundárna dehydratácia pri hnačke, nevoľnosti, vracaní</w:t>
            </w:r>
            <w:r w:rsidRPr="00D45D95">
              <w:rPr>
                <w:rFonts w:ascii="Times New Roman" w:hAnsi="Times New Roman" w:cs="Times New Roman"/>
                <w:spacing w:val="25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alebo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anorexii.</w:t>
            </w:r>
          </w:p>
        </w:tc>
      </w:tr>
      <w:tr w:rsidR="00AF2C33" w:rsidRPr="00D45D95" w14:paraId="37453C4F" w14:textId="77777777">
        <w:trPr>
          <w:trHeight w:hRule="exact" w:val="262"/>
        </w:trPr>
        <w:tc>
          <w:tcPr>
            <w:tcW w:w="2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0B3A2B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3464F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D1181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Sucho v</w:t>
            </w:r>
            <w:r w:rsidRPr="00D45D95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ústach* prevažne mierne (CTC stupeň 1).</w:t>
            </w:r>
          </w:p>
        </w:tc>
      </w:tr>
      <w:tr w:rsidR="00AF2C33" w:rsidRPr="00D45D95" w14:paraId="7F1ED8C8" w14:textId="77777777">
        <w:trPr>
          <w:trHeight w:hRule="exact" w:val="264"/>
        </w:trPr>
        <w:tc>
          <w:tcPr>
            <w:tcW w:w="2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27703F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0A2103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8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Menej časté</w:t>
            </w: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1614F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8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Pankreatitída.</w:t>
            </w:r>
          </w:p>
        </w:tc>
      </w:tr>
      <w:tr w:rsidR="00AF2C33" w:rsidRPr="00D45D95" w14:paraId="02A4230B" w14:textId="77777777">
        <w:trPr>
          <w:trHeight w:hRule="exact" w:val="264"/>
        </w:trPr>
        <w:tc>
          <w:tcPr>
            <w:tcW w:w="20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F5CA0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15C97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9C700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Gastrointestinálna perforácia.</w:t>
            </w:r>
          </w:p>
        </w:tc>
      </w:tr>
      <w:tr w:rsidR="00AF2C33" w:rsidRPr="00D45D95" w14:paraId="65E72ABD" w14:textId="77777777">
        <w:trPr>
          <w:trHeight w:hRule="exact" w:val="516"/>
        </w:trPr>
        <w:tc>
          <w:tcPr>
            <w:tcW w:w="20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E120E1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39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Poruchy pečene</w:t>
            </w:r>
            <w:r w:rsidRPr="00D45D95">
              <w:rPr>
                <w:rFonts w:ascii="Times New Roman" w:hAnsi="Times New Roman" w:cs="Times New Roman"/>
                <w:spacing w:val="21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a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žlčových ciest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7474E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Veľmi časté</w:t>
            </w: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77DF0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39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Zvýšenie hladiny alanínaminotransferázy prevažne mierne až</w:t>
            </w:r>
            <w:r w:rsidRPr="00D45D95">
              <w:rPr>
                <w:rFonts w:ascii="Times New Roman" w:hAnsi="Times New Roman" w:cs="Times New Roman"/>
                <w:spacing w:val="25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stredne ťažké.</w:t>
            </w:r>
          </w:p>
        </w:tc>
      </w:tr>
      <w:tr w:rsidR="00AF2C33" w:rsidRPr="00D45D95" w14:paraId="7EAAC001" w14:textId="77777777">
        <w:trPr>
          <w:trHeight w:hRule="exact" w:val="516"/>
        </w:trPr>
        <w:tc>
          <w:tcPr>
            <w:tcW w:w="2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5F8A98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54E5AD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Časté</w:t>
            </w: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BEC72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39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Zvýšenie </w:t>
            </w:r>
            <w:r w:rsidR="00547F05">
              <w:rPr>
                <w:rFonts w:ascii="Times New Roman" w:hAnsi="Times New Roman" w:cs="Times New Roman"/>
                <w:spacing w:val="-1"/>
                <w:lang w:val="sk-SK"/>
              </w:rPr>
              <w:t xml:space="preserve">hladiny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aspartátaminotransferázy prevažne mierne až</w:t>
            </w:r>
            <w:r w:rsidRPr="00D45D95">
              <w:rPr>
                <w:rFonts w:ascii="Times New Roman" w:hAnsi="Times New Roman" w:cs="Times New Roman"/>
                <w:spacing w:val="24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stredne ťažké.</w:t>
            </w:r>
          </w:p>
        </w:tc>
      </w:tr>
      <w:tr w:rsidR="00AF2C33" w:rsidRPr="00D45D95" w14:paraId="6F8398BC" w14:textId="77777777">
        <w:trPr>
          <w:trHeight w:hRule="exact" w:val="516"/>
        </w:trPr>
        <w:tc>
          <w:tcPr>
            <w:tcW w:w="2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94EA75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393B3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603FB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39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Zvýšenie celkového </w:t>
            </w:r>
            <w:r w:rsidR="00547F05">
              <w:rPr>
                <w:rFonts w:ascii="Times New Roman" w:hAnsi="Times New Roman" w:cs="Times New Roman"/>
                <w:spacing w:val="-1"/>
                <w:lang w:val="sk-SK"/>
              </w:rPr>
              <w:t xml:space="preserve">hladiny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bilirubínu prevažne mierne až stredne</w:t>
            </w:r>
            <w:r w:rsidRPr="00D45D95">
              <w:rPr>
                <w:rFonts w:ascii="Times New Roman" w:hAnsi="Times New Roman" w:cs="Times New Roman"/>
                <w:spacing w:val="26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ťažké.</w:t>
            </w:r>
          </w:p>
        </w:tc>
      </w:tr>
      <w:tr w:rsidR="00AF2C33" w:rsidRPr="00D45D95" w14:paraId="0EBE6342" w14:textId="77777777">
        <w:trPr>
          <w:trHeight w:hRule="exact" w:val="262"/>
        </w:trPr>
        <w:tc>
          <w:tcPr>
            <w:tcW w:w="20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75B5C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8A407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Menej časté</w:t>
            </w: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95E95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Hepatitída**.</w:t>
            </w:r>
          </w:p>
        </w:tc>
      </w:tr>
      <w:tr w:rsidR="00AF2C33" w:rsidRPr="00D45D95" w14:paraId="43F793A5" w14:textId="77777777">
        <w:trPr>
          <w:trHeight w:hRule="exact" w:val="1022"/>
        </w:trPr>
        <w:tc>
          <w:tcPr>
            <w:tcW w:w="20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F28875" w14:textId="77777777" w:rsidR="00AF2C33" w:rsidRPr="00D45D95" w:rsidRDefault="008174E0" w:rsidP="00BB53F4">
            <w:pPr>
              <w:pStyle w:val="TableParagraph"/>
              <w:tabs>
                <w:tab w:val="left" w:pos="0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Poruchy kože</w:t>
            </w:r>
            <w:r w:rsidRPr="00D45D95">
              <w:rPr>
                <w:rFonts w:ascii="Times New Roman" w:hAnsi="Times New Roman" w:cs="Times New Roman"/>
                <w:spacing w:val="21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a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podkožného</w:t>
            </w:r>
            <w:r w:rsidRPr="00D45D95">
              <w:rPr>
                <w:rFonts w:ascii="Times New Roman" w:hAnsi="Times New Roman" w:cs="Times New Roman"/>
                <w:spacing w:val="20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tkaniva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9D428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Veľmi časté</w:t>
            </w: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CF2B3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39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Kožné reakcie prevažne mierne alebo stredne ťažké (CTC</w:t>
            </w:r>
            <w:r w:rsidRPr="00D45D95">
              <w:rPr>
                <w:rFonts w:ascii="Times New Roman" w:hAnsi="Times New Roman" w:cs="Times New Roman"/>
                <w:spacing w:val="27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stupeň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1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alebo 2) pustulárne vyrážky niekedy svrbivé so</w:t>
            </w:r>
            <w:r w:rsidRPr="00D45D95">
              <w:rPr>
                <w:rFonts w:ascii="Times New Roman" w:hAnsi="Times New Roman" w:cs="Times New Roman"/>
                <w:spacing w:val="27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suchou kožou vrátane kožných trhlín na erytematóznom</w:t>
            </w:r>
            <w:r w:rsidRPr="00D45D95">
              <w:rPr>
                <w:rFonts w:ascii="Times New Roman" w:hAnsi="Times New Roman" w:cs="Times New Roman"/>
                <w:spacing w:val="26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základe.</w:t>
            </w:r>
          </w:p>
        </w:tc>
      </w:tr>
      <w:tr w:rsidR="00AF2C33" w:rsidRPr="00D45D95" w14:paraId="38E59F13" w14:textId="77777777">
        <w:trPr>
          <w:trHeight w:hRule="exact" w:val="269"/>
        </w:trPr>
        <w:tc>
          <w:tcPr>
            <w:tcW w:w="2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E7F9E3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6A1DE1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Časté</w:t>
            </w: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92537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Poškodenie nechtov.</w:t>
            </w:r>
          </w:p>
        </w:tc>
      </w:tr>
      <w:tr w:rsidR="00AF2C33" w:rsidRPr="00D45D95" w14:paraId="519F5CBC" w14:textId="77777777">
        <w:trPr>
          <w:trHeight w:hRule="exact" w:val="271"/>
        </w:trPr>
        <w:tc>
          <w:tcPr>
            <w:tcW w:w="2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146B8D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6EDD49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C03ED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8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Alopécia.</w:t>
            </w:r>
          </w:p>
        </w:tc>
      </w:tr>
      <w:tr w:rsidR="00AF2C33" w:rsidRPr="00D45D95" w14:paraId="249F9A87" w14:textId="77777777">
        <w:trPr>
          <w:trHeight w:hRule="exact" w:val="262"/>
        </w:trPr>
        <w:tc>
          <w:tcPr>
            <w:tcW w:w="2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B576A1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4F2A0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CD2CA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Alergické reakcie (1,1%) vrátane angioedému </w:t>
            </w:r>
            <w:r w:rsidRPr="00D45D95">
              <w:rPr>
                <w:rFonts w:ascii="Times New Roman" w:hAnsi="Times New Roman" w:cs="Times New Roman"/>
                <w:lang w:val="sk-SK"/>
              </w:rPr>
              <w:t>a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 urtikárie.</w:t>
            </w:r>
          </w:p>
        </w:tc>
      </w:tr>
      <w:tr w:rsidR="00AF2C33" w:rsidRPr="00D45D95" w14:paraId="5225063C" w14:textId="77777777">
        <w:trPr>
          <w:trHeight w:hRule="exact" w:val="516"/>
        </w:trPr>
        <w:tc>
          <w:tcPr>
            <w:tcW w:w="2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F7EC5C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334B8E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8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Zriedkavé</w:t>
            </w: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66106" w14:textId="11047BAC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39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Bulózne stavy vrátane toxickej 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>epidermálnej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 nekrolýzy,</w:t>
            </w:r>
            <w:r w:rsidRPr="00D45D95">
              <w:rPr>
                <w:rFonts w:ascii="Times New Roman" w:hAnsi="Times New Roman" w:cs="Times New Roman"/>
                <w:spacing w:val="26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>Stevensov</w:t>
            </w:r>
            <w:r w:rsidR="00547F05">
              <w:rPr>
                <w:rFonts w:ascii="Times New Roman" w:hAnsi="Times New Roman" w:cs="Times New Roman"/>
                <w:spacing w:val="-2"/>
                <w:lang w:val="sk-SK"/>
              </w:rPr>
              <w:t>ho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>-Johnsonov</w:t>
            </w:r>
            <w:r w:rsidR="00547F05">
              <w:rPr>
                <w:rFonts w:ascii="Times New Roman" w:hAnsi="Times New Roman" w:cs="Times New Roman"/>
                <w:spacing w:val="-2"/>
                <w:lang w:val="sk-SK"/>
              </w:rPr>
              <w:t>ho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 syndróm</w:t>
            </w:r>
            <w:r w:rsidR="00547F05">
              <w:rPr>
                <w:rFonts w:ascii="Times New Roman" w:hAnsi="Times New Roman" w:cs="Times New Roman"/>
                <w:spacing w:val="-1"/>
                <w:lang w:val="sk-SK"/>
              </w:rPr>
              <w:t>u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>a</w:t>
            </w:r>
            <w:r w:rsidRPr="00D45D95">
              <w:rPr>
                <w:rFonts w:ascii="Times New Roman" w:hAnsi="Times New Roman" w:cs="Times New Roman"/>
                <w:spacing w:val="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multiformn</w:t>
            </w:r>
            <w:r w:rsidR="00547F05">
              <w:rPr>
                <w:rFonts w:ascii="Times New Roman" w:hAnsi="Times New Roman" w:cs="Times New Roman"/>
                <w:spacing w:val="-1"/>
                <w:lang w:val="sk-SK"/>
              </w:rPr>
              <w:t>ého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 erytém</w:t>
            </w:r>
            <w:r w:rsidR="00547F05">
              <w:rPr>
                <w:rFonts w:ascii="Times New Roman" w:hAnsi="Times New Roman" w:cs="Times New Roman"/>
                <w:spacing w:val="-1"/>
                <w:lang w:val="sk-SK"/>
              </w:rPr>
              <w:t>u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.</w:t>
            </w:r>
          </w:p>
        </w:tc>
      </w:tr>
      <w:tr w:rsidR="00AF2C33" w:rsidRPr="00D45D95" w14:paraId="5CBB5D3D" w14:textId="77777777">
        <w:trPr>
          <w:trHeight w:hRule="exact" w:val="264"/>
        </w:trPr>
        <w:tc>
          <w:tcPr>
            <w:tcW w:w="20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D0A94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BC759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B9DA4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8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Kožná vaskulitída</w:t>
            </w:r>
          </w:p>
        </w:tc>
      </w:tr>
      <w:tr w:rsidR="00AF2C33" w:rsidRPr="00D45D95" w14:paraId="19CA5D13" w14:textId="77777777">
        <w:trPr>
          <w:trHeight w:hRule="exact" w:val="271"/>
        </w:trPr>
        <w:tc>
          <w:tcPr>
            <w:tcW w:w="20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F4E400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Poruchy obličiek</w:t>
            </w:r>
            <w:r w:rsidRPr="00D45D95">
              <w:rPr>
                <w:rFonts w:ascii="Times New Roman" w:hAnsi="Times New Roman" w:cs="Times New Roman"/>
                <w:spacing w:val="21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a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močových ciest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DB8AA0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Časté</w:t>
            </w: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1DF8F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Asymptomatické laboratórne zvýšenie kreatinínu </w:t>
            </w:r>
            <w:r w:rsidRPr="00D45D95">
              <w:rPr>
                <w:rFonts w:ascii="Times New Roman" w:hAnsi="Times New Roman" w:cs="Times New Roman"/>
                <w:lang w:val="sk-SK"/>
              </w:rPr>
              <w:t>v</w:t>
            </w:r>
            <w:r w:rsidRPr="00D45D95">
              <w:rPr>
                <w:rFonts w:ascii="Times New Roman" w:hAnsi="Times New Roman" w:cs="Times New Roman"/>
                <w:spacing w:val="-4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krvi.</w:t>
            </w:r>
          </w:p>
        </w:tc>
      </w:tr>
      <w:tr w:rsidR="00AF2C33" w:rsidRPr="00D45D95" w14:paraId="121FE9A6" w14:textId="77777777">
        <w:trPr>
          <w:trHeight w:hRule="exact" w:val="269"/>
        </w:trPr>
        <w:tc>
          <w:tcPr>
            <w:tcW w:w="2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615981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B354CC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F306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Proteinúria.</w:t>
            </w:r>
          </w:p>
        </w:tc>
      </w:tr>
      <w:tr w:rsidR="00AF2C33" w:rsidRPr="00D45D95" w14:paraId="04262402" w14:textId="77777777">
        <w:trPr>
          <w:trHeight w:hRule="exact" w:val="271"/>
        </w:trPr>
        <w:tc>
          <w:tcPr>
            <w:tcW w:w="2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534F2E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19BA9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D774A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Cystitída</w:t>
            </w:r>
          </w:p>
        </w:tc>
      </w:tr>
      <w:tr w:rsidR="00AF2C33" w:rsidRPr="00D45D95" w14:paraId="5FFEC8BA" w14:textId="77777777">
        <w:trPr>
          <w:trHeight w:hRule="exact" w:val="269"/>
        </w:trPr>
        <w:tc>
          <w:tcPr>
            <w:tcW w:w="20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01733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6DB64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Zriedkavé</w:t>
            </w: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B5955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Hemoragická cystitída</w:t>
            </w:r>
          </w:p>
        </w:tc>
      </w:tr>
    </w:tbl>
    <w:p w14:paraId="4C675FE9" w14:textId="77777777" w:rsidR="00AF2C33" w:rsidRPr="00D45D95" w:rsidRDefault="00AF2C33" w:rsidP="004568C3">
      <w:pPr>
        <w:tabs>
          <w:tab w:val="left" w:pos="0"/>
        </w:tabs>
        <w:spacing w:line="246" w:lineRule="exact"/>
        <w:rPr>
          <w:rFonts w:ascii="Times New Roman" w:eastAsia="Times New Roman" w:hAnsi="Times New Roman" w:cs="Times New Roman"/>
          <w:lang w:val="sk-SK"/>
        </w:rPr>
        <w:sectPr w:rsidR="00AF2C33" w:rsidRPr="00D45D95" w:rsidSect="008B1531">
          <w:headerReference w:type="default" r:id="rId7"/>
          <w:footerReference w:type="default" r:id="rId8"/>
          <w:pgSz w:w="11910" w:h="16840"/>
          <w:pgMar w:top="1134" w:right="1418" w:bottom="1134" w:left="1418" w:header="737" w:footer="739" w:gutter="0"/>
          <w:cols w:space="720"/>
          <w:docGrid w:linePitch="299"/>
        </w:sectPr>
      </w:pPr>
    </w:p>
    <w:p w14:paraId="34D74D67" w14:textId="77777777" w:rsidR="00AF2C33" w:rsidRPr="00D45D95" w:rsidRDefault="00AF2C33" w:rsidP="004568C3">
      <w:pPr>
        <w:tabs>
          <w:tab w:val="left" w:pos="0"/>
        </w:tabs>
        <w:spacing w:before="5"/>
        <w:rPr>
          <w:rFonts w:ascii="Times New Roman" w:eastAsia="Times New Roman" w:hAnsi="Times New Roman" w:cs="Times New Roman"/>
          <w:b/>
          <w:bCs/>
          <w:lang w:val="sk-SK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560"/>
        <w:gridCol w:w="5635"/>
      </w:tblGrid>
      <w:tr w:rsidR="00AF2C33" w:rsidRPr="00D45D95" w14:paraId="3AFB0515" w14:textId="77777777">
        <w:trPr>
          <w:trHeight w:hRule="exact" w:val="312"/>
        </w:trPr>
        <w:tc>
          <w:tcPr>
            <w:tcW w:w="20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C14781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Celkové poruchy</w:t>
            </w:r>
            <w:r w:rsidRPr="00D45D95">
              <w:rPr>
                <w:rFonts w:ascii="Times New Roman" w:hAnsi="Times New Roman" w:cs="Times New Roman"/>
                <w:spacing w:val="21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a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reakcie </w:t>
            </w:r>
            <w:r w:rsidRPr="00D45D95">
              <w:rPr>
                <w:rFonts w:ascii="Times New Roman" w:hAnsi="Times New Roman" w:cs="Times New Roman"/>
                <w:lang w:val="sk-SK"/>
              </w:rPr>
              <w:t>v</w:t>
            </w:r>
            <w:r w:rsidRPr="00D45D95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mieste</w:t>
            </w:r>
            <w:r w:rsidRPr="00D45D95">
              <w:rPr>
                <w:rFonts w:ascii="Times New Roman" w:hAnsi="Times New Roman" w:cs="Times New Roman"/>
                <w:spacing w:val="21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podania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0E699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Veľmi časté</w:t>
            </w: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B410A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Asténia prevažne mierna (CTC stupeň 1).</w:t>
            </w:r>
          </w:p>
        </w:tc>
      </w:tr>
      <w:tr w:rsidR="00AF2C33" w:rsidRPr="00D45D95" w14:paraId="30864370" w14:textId="77777777">
        <w:trPr>
          <w:trHeight w:hRule="exact" w:val="456"/>
        </w:trPr>
        <w:tc>
          <w:tcPr>
            <w:tcW w:w="20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ED869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10F8F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Časté</w:t>
            </w:r>
          </w:p>
        </w:tc>
        <w:tc>
          <w:tcPr>
            <w:tcW w:w="5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EAB80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Pyrexia.</w:t>
            </w:r>
          </w:p>
        </w:tc>
      </w:tr>
    </w:tbl>
    <w:p w14:paraId="29D5F5C8" w14:textId="77777777" w:rsidR="00AF2C33" w:rsidRPr="00D45D95" w:rsidRDefault="008174E0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lang w:val="sk-SK"/>
        </w:rPr>
        <w:t>Frekvencia</w:t>
      </w:r>
      <w:r w:rsidRPr="00D45D95">
        <w:rPr>
          <w:rFonts w:ascii="Times New Roman" w:hAnsi="Times New Roman" w:cs="Times New Roman"/>
          <w:spacing w:val="-8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nežiaducich</w:t>
      </w:r>
      <w:r w:rsidRPr="00D45D95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reakcií</w:t>
      </w:r>
      <w:r w:rsidRPr="00D45D95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súvisiaca</w:t>
      </w:r>
      <w:r w:rsidRPr="00D45D95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s</w:t>
      </w:r>
      <w:r w:rsidRPr="00D45D95">
        <w:rPr>
          <w:rFonts w:ascii="Times New Roman" w:hAnsi="Times New Roman" w:cs="Times New Roman"/>
          <w:spacing w:val="-8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abnormálnymi</w:t>
      </w:r>
      <w:r w:rsidRPr="00D45D95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laboratórnymi</w:t>
      </w:r>
      <w:r w:rsidRPr="00D45D95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hodnotami</w:t>
      </w:r>
      <w:r w:rsidRPr="00D45D95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je</w:t>
      </w:r>
      <w:r w:rsidRPr="00D45D95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založená</w:t>
      </w:r>
      <w:r w:rsidRPr="00D45D95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na</w:t>
      </w:r>
      <w:r w:rsidRPr="00D45D95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pacientoch</w:t>
      </w:r>
      <w:r w:rsidRPr="00D45D95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so</w:t>
      </w:r>
      <w:r w:rsidRPr="00D45D95">
        <w:rPr>
          <w:rFonts w:ascii="Times New Roman" w:hAnsi="Times New Roman" w:cs="Times New Roman"/>
          <w:w w:val="99"/>
          <w:lang w:val="sk-SK"/>
        </w:rPr>
        <w:t xml:space="preserve"> </w:t>
      </w:r>
      <w:r w:rsidRPr="00D45D95">
        <w:rPr>
          <w:rFonts w:ascii="Times New Roman" w:hAnsi="Times New Roman" w:cs="Times New Roman"/>
          <w:spacing w:val="-1"/>
          <w:lang w:val="sk-SK"/>
        </w:rPr>
        <w:t>zmenou</w:t>
      </w:r>
      <w:r w:rsidRPr="00D45D95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oproti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východiskovým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hodnotám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o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2</w:t>
      </w:r>
      <w:r w:rsidRPr="00D45D95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alebo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viac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CTC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stupňov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v</w:t>
      </w:r>
      <w:r w:rsidRPr="00D45D95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relevantných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laboratórnych</w:t>
      </w:r>
      <w:r w:rsidRPr="00D45D95">
        <w:rPr>
          <w:rFonts w:ascii="Times New Roman" w:hAnsi="Times New Roman" w:cs="Times New Roman"/>
          <w:spacing w:val="24"/>
          <w:w w:val="99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parametroch.</w:t>
      </w:r>
    </w:p>
    <w:p w14:paraId="1042C82F" w14:textId="58181B00" w:rsidR="00AF2C33" w:rsidRPr="00D45D95" w:rsidRDefault="008174E0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spacing w:val="-1"/>
          <w:lang w:val="sk-SK"/>
        </w:rPr>
        <w:t>*Táto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nežiaduca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reakcia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sa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môže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vyskytnúť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v</w:t>
      </w:r>
      <w:r w:rsidRPr="00D45D95">
        <w:rPr>
          <w:rFonts w:ascii="Times New Roman" w:hAnsi="Times New Roman" w:cs="Times New Roman"/>
          <w:spacing w:val="-8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spojení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s</w:t>
      </w:r>
      <w:r w:rsidRPr="00D45D95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ďalšími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prejavmi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="00547F05">
        <w:rPr>
          <w:rFonts w:ascii="Times New Roman" w:hAnsi="Times New Roman" w:cs="Times New Roman"/>
          <w:lang w:val="sk-SK"/>
        </w:rPr>
        <w:t>suchého tkaniva</w:t>
      </w:r>
      <w:r w:rsidRPr="00D45D95">
        <w:rPr>
          <w:rFonts w:ascii="Times New Roman" w:hAnsi="Times New Roman" w:cs="Times New Roman"/>
          <w:spacing w:val="-5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(hlavne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kožnými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reakciami)</w:t>
      </w:r>
      <w:r w:rsidRPr="00D45D95">
        <w:rPr>
          <w:rFonts w:ascii="Times New Roman" w:hAnsi="Times New Roman" w:cs="Times New Roman"/>
          <w:spacing w:val="24"/>
          <w:w w:val="99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pozorovanými</w:t>
      </w:r>
      <w:r w:rsidRPr="00D45D95">
        <w:rPr>
          <w:rFonts w:ascii="Times New Roman" w:hAnsi="Times New Roman" w:cs="Times New Roman"/>
          <w:spacing w:val="-10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pri</w:t>
      </w:r>
      <w:r w:rsidRPr="00D45D95">
        <w:rPr>
          <w:rFonts w:ascii="Times New Roman" w:hAnsi="Times New Roman" w:cs="Times New Roman"/>
          <w:spacing w:val="-10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podávaní</w:t>
      </w:r>
      <w:r w:rsidRPr="00D45D95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hAnsi="Times New Roman" w:cs="Times New Roman"/>
          <w:spacing w:val="-1"/>
          <w:lang w:val="sk-SK"/>
        </w:rPr>
        <w:t>gefitinibu.</w:t>
      </w:r>
    </w:p>
    <w:p w14:paraId="6D067456" w14:textId="77777777" w:rsidR="00AF2C33" w:rsidRPr="00D45D95" w:rsidRDefault="008174E0" w:rsidP="004568C3">
      <w:pPr>
        <w:tabs>
          <w:tab w:val="left" w:pos="0"/>
        </w:tabs>
        <w:spacing w:before="1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lang w:val="sk-SK"/>
        </w:rPr>
        <w:t>**Zahŕňa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jednotlivé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hlásenia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o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zlyhaní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pečene,</w:t>
      </w:r>
      <w:r w:rsidRPr="00D45D95">
        <w:rPr>
          <w:rFonts w:ascii="Times New Roman" w:hAnsi="Times New Roman" w:cs="Times New Roman"/>
          <w:spacing w:val="-5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ktoré</w:t>
      </w:r>
      <w:r w:rsidRPr="00D45D95">
        <w:rPr>
          <w:rFonts w:ascii="Times New Roman" w:hAnsi="Times New Roman" w:cs="Times New Roman"/>
          <w:spacing w:val="-5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v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niektorých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prípadoch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viedli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k</w:t>
      </w:r>
      <w:r w:rsidRPr="00D45D95">
        <w:rPr>
          <w:rFonts w:ascii="Times New Roman" w:hAnsi="Times New Roman" w:cs="Times New Roman"/>
          <w:spacing w:val="-5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fatálnym</w:t>
      </w:r>
      <w:r w:rsidRPr="00D45D95">
        <w:rPr>
          <w:rFonts w:ascii="Times New Roman" w:hAnsi="Times New Roman" w:cs="Times New Roman"/>
          <w:spacing w:val="-5"/>
          <w:lang w:val="sk-SK"/>
        </w:rPr>
        <w:t xml:space="preserve"> </w:t>
      </w:r>
      <w:r w:rsidRPr="00D45D95">
        <w:rPr>
          <w:rFonts w:ascii="Times New Roman" w:hAnsi="Times New Roman" w:cs="Times New Roman"/>
          <w:spacing w:val="-1"/>
          <w:lang w:val="sk-SK"/>
        </w:rPr>
        <w:t>koncom.</w:t>
      </w:r>
    </w:p>
    <w:p w14:paraId="2BA9E91A" w14:textId="77777777" w:rsidR="00AF2C33" w:rsidRPr="00D45D95" w:rsidRDefault="00AF2C33" w:rsidP="004568C3">
      <w:pPr>
        <w:tabs>
          <w:tab w:val="left" w:pos="0"/>
        </w:tabs>
        <w:spacing w:before="10"/>
        <w:rPr>
          <w:rFonts w:ascii="Times New Roman" w:eastAsia="Times New Roman" w:hAnsi="Times New Roman" w:cs="Times New Roman"/>
          <w:lang w:val="sk-SK"/>
        </w:rPr>
      </w:pPr>
    </w:p>
    <w:p w14:paraId="3060469D" w14:textId="77777777" w:rsidR="00AF2C33" w:rsidRPr="00D45D95" w:rsidRDefault="008174E0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i/>
          <w:spacing w:val="-1"/>
          <w:lang w:val="sk-SK"/>
        </w:rPr>
        <w:t>Intersticiálna pľúcna choroba (ILD)</w:t>
      </w:r>
    </w:p>
    <w:p w14:paraId="7881C967" w14:textId="77777777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klinickom skúšaní INTEREST bola incidencia udalostí typu ILD 1,4% (10) pacientov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5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skupine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>gefitinibom versus 1,1% (8)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pacientov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skupine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-1"/>
          <w:lang w:val="sk-SK"/>
        </w:rPr>
        <w:t xml:space="preserve"> docetaxelom. Jedna udalosť typu ILD bola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fatálna,</w:t>
      </w:r>
      <w:r w:rsidRPr="00D45D95">
        <w:rPr>
          <w:rFonts w:cs="Times New Roman"/>
          <w:lang w:val="sk-SK"/>
        </w:rPr>
        <w:t xml:space="preserve"> a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to u </w:t>
      </w:r>
      <w:r w:rsidRPr="00D45D95">
        <w:rPr>
          <w:rFonts w:cs="Times New Roman"/>
          <w:spacing w:val="-1"/>
          <w:lang w:val="sk-SK"/>
        </w:rPr>
        <w:t>pacienta užívajúceho gefitinib.</w:t>
      </w:r>
    </w:p>
    <w:p w14:paraId="2618627D" w14:textId="77777777" w:rsidR="00AF2C33" w:rsidRPr="00D45D95" w:rsidRDefault="00AF2C33" w:rsidP="004568C3">
      <w:pPr>
        <w:tabs>
          <w:tab w:val="left" w:pos="0"/>
        </w:tabs>
        <w:spacing w:before="10"/>
        <w:rPr>
          <w:rFonts w:ascii="Times New Roman" w:eastAsia="Times New Roman" w:hAnsi="Times New Roman" w:cs="Times New Roman"/>
          <w:lang w:val="sk-SK"/>
        </w:rPr>
      </w:pPr>
    </w:p>
    <w:p w14:paraId="108728CF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klinickom skúšaní ISEL bola incidencia udalostí typu ILD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celkovej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populácii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približne</w:t>
      </w:r>
      <w:r w:rsidRPr="00D45D95">
        <w:rPr>
          <w:rFonts w:cs="Times New Roman"/>
          <w:lang w:val="sk-SK"/>
        </w:rPr>
        <w:t xml:space="preserve"> 1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lang w:val="sk-SK"/>
        </w:rPr>
        <w:t>%</w:t>
      </w:r>
    </w:p>
    <w:p w14:paraId="2C35470C" w14:textId="1D73B139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oboch liečebných </w:t>
      </w:r>
      <w:r w:rsidR="00547F05">
        <w:rPr>
          <w:rFonts w:cs="Times New Roman"/>
          <w:spacing w:val="-1"/>
          <w:lang w:val="sk-SK"/>
        </w:rPr>
        <w:t>skupinách</w:t>
      </w:r>
      <w:r w:rsidRPr="00D45D95">
        <w:rPr>
          <w:rFonts w:cs="Times New Roman"/>
          <w:spacing w:val="-1"/>
          <w:lang w:val="sk-SK"/>
        </w:rPr>
        <w:t xml:space="preserve">. Väčšina hlásených udalostí typu ILD sa týkala pacientov </w:t>
      </w:r>
      <w:r w:rsidRPr="00D45D95">
        <w:rPr>
          <w:rFonts w:cs="Times New Roman"/>
          <w:spacing w:val="-2"/>
          <w:lang w:val="sk-SK"/>
        </w:rPr>
        <w:t>ázijského</w:t>
      </w:r>
      <w:r w:rsidRPr="00D45D95">
        <w:rPr>
          <w:rFonts w:cs="Times New Roman"/>
          <w:spacing w:val="38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pôvodu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 xml:space="preserve">incidencia ILD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pacientov ázijského pôvodu užívajúcich </w:t>
      </w:r>
      <w:r w:rsidR="00547F05">
        <w:rPr>
          <w:rFonts w:cs="Times New Roman"/>
          <w:spacing w:val="-1"/>
          <w:lang w:val="sk-SK"/>
        </w:rPr>
        <w:t>g</w:t>
      </w:r>
      <w:r w:rsidR="003C1EF3" w:rsidRPr="00D45D95">
        <w:rPr>
          <w:rFonts w:cs="Times New Roman"/>
          <w:spacing w:val="-1"/>
          <w:lang w:val="sk-SK"/>
        </w:rPr>
        <w:t>efitinib</w:t>
      </w:r>
      <w:r w:rsidRPr="00D45D9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>placebo bola približne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lang w:val="sk-SK"/>
        </w:rPr>
        <w:t>3</w:t>
      </w:r>
      <w:r w:rsidR="00547F05">
        <w:rPr>
          <w:rFonts w:cs="Times New Roman"/>
          <w:lang w:val="sk-SK"/>
        </w:rPr>
        <w:t> </w:t>
      </w:r>
      <w:r w:rsidRPr="00D45D95">
        <w:rPr>
          <w:rFonts w:cs="Times New Roman"/>
          <w:lang w:val="sk-SK"/>
        </w:rPr>
        <w:t>% a</w:t>
      </w:r>
      <w:r w:rsidR="00547F05">
        <w:rPr>
          <w:rFonts w:cs="Times New Roman"/>
          <w:lang w:val="sk-SK"/>
        </w:rPr>
        <w:t> </w:t>
      </w:r>
      <w:r w:rsidRPr="00D45D95">
        <w:rPr>
          <w:rFonts w:cs="Times New Roman"/>
          <w:spacing w:val="-1"/>
          <w:lang w:val="sk-SK"/>
        </w:rPr>
        <w:t>4</w:t>
      </w:r>
      <w:r w:rsidR="00547F05">
        <w:rPr>
          <w:rFonts w:cs="Times New Roman"/>
          <w:spacing w:val="-1"/>
          <w:lang w:val="sk-SK"/>
        </w:rPr>
        <w:t> </w:t>
      </w:r>
      <w:r w:rsidRPr="00D45D95">
        <w:rPr>
          <w:rFonts w:cs="Times New Roman"/>
          <w:spacing w:val="-1"/>
          <w:lang w:val="sk-SK"/>
        </w:rPr>
        <w:t>%</w:t>
      </w:r>
      <w:r w:rsidR="00547F05">
        <w:rPr>
          <w:rFonts w:cs="Times New Roman"/>
          <w:spacing w:val="-1"/>
          <w:lang w:val="sk-SK"/>
        </w:rPr>
        <w:t>, v uvedenom poradí</w:t>
      </w:r>
      <w:r w:rsidRPr="00D45D95">
        <w:rPr>
          <w:rFonts w:cs="Times New Roman"/>
          <w:spacing w:val="-1"/>
          <w:lang w:val="sk-SK"/>
        </w:rPr>
        <w:t xml:space="preserve">. Jeden prípad ILD sa skončil fatálne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to u </w:t>
      </w:r>
      <w:r w:rsidRPr="00D45D95">
        <w:rPr>
          <w:rFonts w:cs="Times New Roman"/>
          <w:spacing w:val="-1"/>
          <w:lang w:val="sk-SK"/>
        </w:rPr>
        <w:t>pacienta užívajúceho placebo.</w:t>
      </w:r>
    </w:p>
    <w:p w14:paraId="12F35388" w14:textId="77777777" w:rsidR="00AF2C33" w:rsidRPr="00D45D95" w:rsidRDefault="00AF2C33" w:rsidP="004568C3">
      <w:pPr>
        <w:tabs>
          <w:tab w:val="left" w:pos="0"/>
        </w:tabs>
        <w:spacing w:before="10"/>
        <w:rPr>
          <w:rFonts w:ascii="Times New Roman" w:eastAsia="Times New Roman" w:hAnsi="Times New Roman" w:cs="Times New Roman"/>
          <w:lang w:val="sk-SK"/>
        </w:rPr>
      </w:pPr>
    </w:p>
    <w:p w14:paraId="1BD8366A" w14:textId="3173FC65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štúdii, </w:t>
      </w:r>
      <w:r w:rsidR="00547F05" w:rsidRPr="00547F05">
        <w:rPr>
          <w:rFonts w:cs="Times New Roman"/>
          <w:spacing w:val="-1"/>
          <w:lang w:val="sk-SK"/>
        </w:rPr>
        <w:t>v ktorej sa sledoval gefitinib po uvedení na trh</w:t>
      </w:r>
      <w:r w:rsidR="00547F05">
        <w:rPr>
          <w:rFonts w:cs="Times New Roman"/>
          <w:spacing w:val="-1"/>
          <w:lang w:val="sk-SK"/>
        </w:rPr>
        <w:t>,</w:t>
      </w:r>
      <w:r w:rsidR="00547F05" w:rsidRPr="00547F0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uskutočnenej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4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Japonsku (3350 </w:t>
      </w:r>
      <w:r w:rsidRPr="00D45D95">
        <w:rPr>
          <w:rFonts w:cs="Times New Roman"/>
          <w:spacing w:val="-1"/>
          <w:lang w:val="sk-SK"/>
        </w:rPr>
        <w:t>pacientov), bol hlásený</w:t>
      </w:r>
      <w:r w:rsidRPr="00D45D95">
        <w:rPr>
          <w:rFonts w:cs="Times New Roman"/>
          <w:spacing w:val="26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výskyt prípadov typu ILD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pacientov užívajúcich gefitinib 5,8</w:t>
      </w:r>
      <w:r w:rsidR="00547F0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%. Podiel udalostí typu ILD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fatálnym</w:t>
      </w:r>
      <w:r w:rsidRPr="00D45D95">
        <w:rPr>
          <w:rFonts w:cs="Times New Roman"/>
          <w:spacing w:val="24"/>
          <w:lang w:val="sk-SK"/>
        </w:rPr>
        <w:t xml:space="preserve"> </w:t>
      </w:r>
      <w:r w:rsidR="00547F05">
        <w:rPr>
          <w:rFonts w:cs="Times New Roman"/>
          <w:spacing w:val="-1"/>
          <w:lang w:val="sk-SK"/>
        </w:rPr>
        <w:t>koncom</w:t>
      </w:r>
      <w:r w:rsidRPr="00D45D95">
        <w:rPr>
          <w:rFonts w:cs="Times New Roman"/>
          <w:spacing w:val="-1"/>
          <w:lang w:val="sk-SK"/>
        </w:rPr>
        <w:t xml:space="preserve"> bol 38,6</w:t>
      </w:r>
      <w:r w:rsidR="00547F0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%.</w:t>
      </w:r>
    </w:p>
    <w:p w14:paraId="50AC4837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7C5B394C" w14:textId="49A67666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otvorenej časti klinického skúšania vo fáze III (IPASS)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lang w:val="sk-SK"/>
        </w:rPr>
        <w:t>1217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pacientov porovnávajúcich </w:t>
      </w:r>
      <w:r w:rsidR="00D45D95">
        <w:rPr>
          <w:rFonts w:cs="Times New Roman"/>
          <w:spacing w:val="-1"/>
          <w:lang w:val="sk-SK"/>
        </w:rPr>
        <w:t>g</w:t>
      </w:r>
      <w:r w:rsidR="003C1EF3" w:rsidRPr="00D45D95">
        <w:rPr>
          <w:rFonts w:cs="Times New Roman"/>
          <w:spacing w:val="-1"/>
          <w:lang w:val="sk-SK"/>
        </w:rPr>
        <w:t xml:space="preserve">efitinib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 xml:space="preserve">kombinovanú chemoterapiu karboplatina/paklitaxel ako prvú líniu liečby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vybraných pacientov</w:t>
      </w:r>
    </w:p>
    <w:p w14:paraId="52B21836" w14:textId="634A0E1D" w:rsidR="00AF2C33" w:rsidRPr="004568C3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 xml:space="preserve">pokročilým NSCLC </w:t>
      </w:r>
      <w:r w:rsidRPr="00D45D95">
        <w:rPr>
          <w:rFonts w:cs="Times New Roman"/>
          <w:lang w:val="sk-SK"/>
        </w:rPr>
        <w:t xml:space="preserve">v </w:t>
      </w:r>
      <w:r w:rsidRPr="00D45D95">
        <w:rPr>
          <w:rFonts w:cs="Times New Roman"/>
          <w:spacing w:val="-1"/>
          <w:lang w:val="sk-SK"/>
        </w:rPr>
        <w:t>Ázii bol výskyt nežiaducich udalostí typu ILD 2,6</w:t>
      </w:r>
      <w:r w:rsidR="00547F05">
        <w:rPr>
          <w:rFonts w:cs="Times New Roman"/>
          <w:spacing w:val="-1"/>
          <w:lang w:val="sk-SK"/>
        </w:rPr>
        <w:t> </w:t>
      </w:r>
      <w:r w:rsidRPr="00D45D95">
        <w:rPr>
          <w:rFonts w:cs="Times New Roman"/>
          <w:spacing w:val="-1"/>
          <w:lang w:val="sk-SK"/>
        </w:rPr>
        <w:t xml:space="preserve">%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="00547F05">
        <w:rPr>
          <w:rFonts w:cs="Times New Roman"/>
          <w:spacing w:val="-1"/>
          <w:lang w:val="sk-SK"/>
        </w:rPr>
        <w:t>skupine</w:t>
      </w:r>
      <w:r w:rsidRPr="00D45D9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2"/>
          <w:lang w:val="sk-SK"/>
        </w:rPr>
        <w:t xml:space="preserve"> </w:t>
      </w:r>
      <w:r w:rsidR="00D45D95">
        <w:rPr>
          <w:rFonts w:cs="Times New Roman"/>
          <w:spacing w:val="-2"/>
          <w:lang w:val="sk-SK"/>
        </w:rPr>
        <w:t>g</w:t>
      </w:r>
      <w:r w:rsidR="003C1EF3" w:rsidRPr="00D45D95">
        <w:rPr>
          <w:rFonts w:cs="Times New Roman"/>
          <w:spacing w:val="-2"/>
          <w:lang w:val="sk-SK"/>
        </w:rPr>
        <w:t>efitinib</w:t>
      </w:r>
      <w:r w:rsidR="00547F05">
        <w:rPr>
          <w:rFonts w:cs="Times New Roman"/>
          <w:spacing w:val="-2"/>
          <w:lang w:val="sk-SK"/>
        </w:rPr>
        <w:t>om</w:t>
      </w:r>
      <w:r w:rsidR="003C1EF3"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ver</w:t>
      </w:r>
      <w:r w:rsidR="004568C3">
        <w:rPr>
          <w:rFonts w:cs="Times New Roman"/>
          <w:spacing w:val="-1"/>
          <w:lang w:val="sk-SK"/>
        </w:rPr>
        <w:t>z</w:t>
      </w:r>
      <w:r w:rsidRPr="00D45D95">
        <w:rPr>
          <w:rFonts w:cs="Times New Roman"/>
          <w:spacing w:val="-1"/>
          <w:lang w:val="sk-SK"/>
        </w:rPr>
        <w:t xml:space="preserve">us </w:t>
      </w:r>
      <w:r w:rsidRPr="004568C3">
        <w:rPr>
          <w:rFonts w:cs="Times New Roman"/>
          <w:spacing w:val="-1"/>
          <w:lang w:val="sk-SK"/>
        </w:rPr>
        <w:t xml:space="preserve">1,4% </w:t>
      </w:r>
      <w:r w:rsidRPr="004568C3">
        <w:rPr>
          <w:rFonts w:cs="Times New Roman"/>
          <w:lang w:val="sk-SK"/>
        </w:rPr>
        <w:t>v</w:t>
      </w:r>
      <w:r w:rsidRPr="004568C3">
        <w:rPr>
          <w:rFonts w:cs="Times New Roman"/>
          <w:spacing w:val="-1"/>
          <w:lang w:val="sk-SK"/>
        </w:rPr>
        <w:t xml:space="preserve"> </w:t>
      </w:r>
      <w:r w:rsidR="00547F05">
        <w:rPr>
          <w:rFonts w:cs="Times New Roman"/>
          <w:spacing w:val="-1"/>
          <w:lang w:val="sk-SK"/>
        </w:rPr>
        <w:t>skupine</w:t>
      </w:r>
      <w:r w:rsidRPr="004568C3">
        <w:rPr>
          <w:rFonts w:cs="Times New Roman"/>
          <w:spacing w:val="-1"/>
          <w:lang w:val="sk-SK"/>
        </w:rPr>
        <w:t xml:space="preserve"> karboplatina/paklitaxel.</w:t>
      </w:r>
    </w:p>
    <w:p w14:paraId="1557B659" w14:textId="77777777" w:rsidR="00AF2C33" w:rsidRPr="004568C3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60FB28EE" w14:textId="77777777" w:rsidR="004568C3" w:rsidRPr="004568C3" w:rsidRDefault="004568C3" w:rsidP="004568C3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u w:val="single"/>
          <w:lang w:val="sk-SK"/>
        </w:rPr>
      </w:pPr>
      <w:r w:rsidRPr="004568C3">
        <w:rPr>
          <w:rFonts w:ascii="Times New Roman" w:hAnsi="Times New Roman" w:cs="Times New Roman"/>
          <w:u w:val="single"/>
          <w:lang w:val="sk-SK"/>
        </w:rPr>
        <w:t>Hlásenie podozrení na nežiaduce reakcie</w:t>
      </w:r>
    </w:p>
    <w:p w14:paraId="1E5E1FEF" w14:textId="77777777" w:rsidR="004568C3" w:rsidRPr="004568C3" w:rsidRDefault="004568C3" w:rsidP="004568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ascii="Times New Roman" w:hAnsi="Times New Roman" w:cs="Times New Roman"/>
          <w:lang w:val="sk-SK"/>
        </w:rPr>
      </w:pPr>
      <w:r w:rsidRPr="004568C3">
        <w:rPr>
          <w:rFonts w:ascii="Times New Roman" w:hAnsi="Times New Roman" w:cs="Times New Roman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4568C3">
        <w:rPr>
          <w:rFonts w:ascii="Times New Roman" w:hAnsi="Times New Roman" w:cs="Times New Roman"/>
          <w:shd w:val="clear" w:color="auto" w:fill="C0C0C0"/>
          <w:lang w:val="sk-SK"/>
        </w:rPr>
        <w:t>národné centrum hlásenia uvedené v </w:t>
      </w:r>
      <w:hyperlink r:id="rId9" w:history="1">
        <w:r w:rsidRPr="004568C3">
          <w:rPr>
            <w:rStyle w:val="Hypertextovprepojenie"/>
            <w:rFonts w:ascii="Times New Roman" w:hAnsi="Times New Roman" w:cs="Times New Roman"/>
            <w:shd w:val="clear" w:color="auto" w:fill="C0C0C0"/>
            <w:lang w:val="sk-SK"/>
          </w:rPr>
          <w:t>Prílohe V</w:t>
        </w:r>
      </w:hyperlink>
      <w:r w:rsidRPr="004568C3">
        <w:rPr>
          <w:rStyle w:val="Hypertextovprepojenie"/>
          <w:rFonts w:ascii="Times New Roman" w:hAnsi="Times New Roman" w:cs="Times New Roman"/>
          <w:lang w:val="sk-SK"/>
        </w:rPr>
        <w:t>.</w:t>
      </w:r>
    </w:p>
    <w:p w14:paraId="1BFBD5C3" w14:textId="77777777" w:rsidR="00AF2C33" w:rsidRPr="004568C3" w:rsidRDefault="00AF2C33" w:rsidP="004568C3">
      <w:pPr>
        <w:tabs>
          <w:tab w:val="left" w:pos="0"/>
        </w:tabs>
        <w:spacing w:before="2"/>
        <w:rPr>
          <w:rFonts w:ascii="Times New Roman" w:eastAsia="Times New Roman" w:hAnsi="Times New Roman" w:cs="Times New Roman"/>
          <w:lang w:val="sk-SK"/>
        </w:rPr>
      </w:pPr>
    </w:p>
    <w:p w14:paraId="27446DB0" w14:textId="77777777" w:rsidR="00AF2C33" w:rsidRPr="004568C3" w:rsidRDefault="008174E0" w:rsidP="004568C3">
      <w:pPr>
        <w:pStyle w:val="Nadpis1"/>
        <w:numPr>
          <w:ilvl w:val="1"/>
          <w:numId w:val="13"/>
        </w:numPr>
        <w:tabs>
          <w:tab w:val="left" w:pos="0"/>
          <w:tab w:val="left" w:pos="920"/>
        </w:tabs>
        <w:spacing w:before="72"/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4568C3">
        <w:rPr>
          <w:rFonts w:cs="Times New Roman"/>
          <w:spacing w:val="-1"/>
          <w:lang w:val="sk-SK"/>
        </w:rPr>
        <w:t>Predávkovanie</w:t>
      </w:r>
    </w:p>
    <w:p w14:paraId="0730B63C" w14:textId="77777777" w:rsidR="00AF2C33" w:rsidRPr="00D45D95" w:rsidRDefault="00AF2C33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D745DC8" w14:textId="2B0C5530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Pre prípady predávkovania gefitinibom neexistuje žiadna špecifická liečba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možné symptómy</w:t>
      </w:r>
      <w:r w:rsidRPr="00D45D95">
        <w:rPr>
          <w:rFonts w:cs="Times New Roman"/>
          <w:spacing w:val="29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predávkovania neboli stanovené. </w:t>
      </w:r>
      <w:r w:rsidRPr="00D45D95">
        <w:rPr>
          <w:rFonts w:cs="Times New Roman"/>
          <w:lang w:val="sk-SK"/>
        </w:rPr>
        <w:t xml:space="preserve">V </w:t>
      </w:r>
      <w:r w:rsidRPr="00D45D95">
        <w:rPr>
          <w:rFonts w:cs="Times New Roman"/>
          <w:spacing w:val="-1"/>
          <w:lang w:val="sk-SK"/>
        </w:rPr>
        <w:t>I. fáze klinického skúšania bol však obmedzený počet pacientov</w:t>
      </w:r>
      <w:r w:rsidRPr="00D45D95">
        <w:rPr>
          <w:rFonts w:cs="Times New Roman"/>
          <w:spacing w:val="26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liečený dennými dávkami až do 1000 mg. Bolo pozorované zvýšenie frekvencie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závažnosti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niektorých nežiaducich účinkov, predovšetkým hnačky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kožnej vyrážky. </w:t>
      </w:r>
      <w:r w:rsidRPr="00D45D95">
        <w:rPr>
          <w:rFonts w:cs="Times New Roman"/>
          <w:spacing w:val="-2"/>
          <w:lang w:val="sk-SK"/>
        </w:rPr>
        <w:t>Nežiaduce</w:t>
      </w:r>
      <w:r w:rsidRPr="00D45D95">
        <w:rPr>
          <w:rFonts w:cs="Times New Roman"/>
          <w:spacing w:val="-1"/>
          <w:lang w:val="sk-SK"/>
        </w:rPr>
        <w:t xml:space="preserve"> účinky spôsobené</w:t>
      </w:r>
      <w:r w:rsidRPr="00D45D95">
        <w:rPr>
          <w:rFonts w:cs="Times New Roman"/>
          <w:spacing w:val="3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predávkovaním sa majú liečiť symptomaticky, </w:t>
      </w:r>
      <w:r w:rsidR="00547F05">
        <w:rPr>
          <w:rFonts w:cs="Times New Roman"/>
          <w:spacing w:val="-1"/>
          <w:lang w:val="sk-SK"/>
        </w:rPr>
        <w:t xml:space="preserve">najmä </w:t>
      </w:r>
      <w:r w:rsidRPr="00D45D95">
        <w:rPr>
          <w:rFonts w:cs="Times New Roman"/>
          <w:spacing w:val="-1"/>
          <w:lang w:val="sk-SK"/>
        </w:rPr>
        <w:t>závažnú formu hnačky treba liečiť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podľa klinickej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situácie.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jednej štúdii bol obmedzený počet pacientov liečených týždenne dávkami 1500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mg</w:t>
      </w:r>
      <w:r w:rsidRPr="00D45D95">
        <w:rPr>
          <w:rFonts w:cs="Times New Roman"/>
          <w:spacing w:val="-2"/>
          <w:lang w:val="sk-SK"/>
        </w:rPr>
        <w:t xml:space="preserve"> až</w:t>
      </w:r>
      <w:r w:rsidR="00547F05">
        <w:rPr>
          <w:rFonts w:cs="Times New Roman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3500 </w:t>
      </w:r>
      <w:r w:rsidRPr="00D45D95">
        <w:rPr>
          <w:rFonts w:cs="Times New Roman"/>
          <w:spacing w:val="-1"/>
          <w:lang w:val="sk-SK"/>
        </w:rPr>
        <w:t xml:space="preserve">mg.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tejto štúdii sa expozícia </w:t>
      </w:r>
      <w:r w:rsidR="00D45D95">
        <w:rPr>
          <w:rFonts w:cs="Times New Roman"/>
          <w:spacing w:val="-1"/>
          <w:lang w:val="sk-SK"/>
        </w:rPr>
        <w:t>g</w:t>
      </w:r>
      <w:r w:rsidR="003C1EF3" w:rsidRPr="00D45D95">
        <w:rPr>
          <w:rFonts w:cs="Times New Roman"/>
          <w:spacing w:val="-1"/>
          <w:lang w:val="sk-SK"/>
        </w:rPr>
        <w:t>efitinib</w:t>
      </w:r>
      <w:r w:rsidR="00D45D95">
        <w:rPr>
          <w:rFonts w:cs="Times New Roman"/>
          <w:spacing w:val="-1"/>
          <w:lang w:val="sk-SK"/>
        </w:rPr>
        <w:t>u</w:t>
      </w:r>
      <w:r w:rsidR="003C1EF3" w:rsidRPr="00D45D9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nezvýšila so zvyšujúcou sa dávkou, nežiaduce účinky</w:t>
      </w:r>
      <w:r w:rsidRPr="00D45D95">
        <w:rPr>
          <w:rFonts w:cs="Times New Roman"/>
          <w:spacing w:val="2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boli väčšinou mierne až stredne závažné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boli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súlade so známym bezpečnostným profilom</w:t>
      </w:r>
      <w:r w:rsidRPr="00D45D95">
        <w:rPr>
          <w:rFonts w:cs="Times New Roman"/>
          <w:spacing w:val="-2"/>
          <w:lang w:val="sk-SK"/>
        </w:rPr>
        <w:t xml:space="preserve"> </w:t>
      </w:r>
      <w:r w:rsidR="00D45D95">
        <w:rPr>
          <w:rFonts w:cs="Times New Roman"/>
          <w:spacing w:val="-1"/>
          <w:lang w:val="sk-SK"/>
        </w:rPr>
        <w:t>g</w:t>
      </w:r>
      <w:r w:rsidR="003C1EF3" w:rsidRPr="00D45D95">
        <w:rPr>
          <w:rFonts w:cs="Times New Roman"/>
          <w:spacing w:val="-1"/>
          <w:lang w:val="sk-SK"/>
        </w:rPr>
        <w:t>efitinib</w:t>
      </w:r>
      <w:r w:rsidR="00D45D95">
        <w:rPr>
          <w:rFonts w:cs="Times New Roman"/>
          <w:spacing w:val="-1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>.</w:t>
      </w:r>
    </w:p>
    <w:p w14:paraId="443E743C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2AFDEC94" w14:textId="77777777" w:rsidR="00AF2C33" w:rsidRPr="00D45D95" w:rsidRDefault="00AF2C33" w:rsidP="004568C3">
      <w:pPr>
        <w:tabs>
          <w:tab w:val="left" w:pos="0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14:paraId="6A69A7E1" w14:textId="77777777" w:rsidR="00AF2C33" w:rsidRPr="00D45D95" w:rsidRDefault="008174E0" w:rsidP="004568C3">
      <w:pPr>
        <w:pStyle w:val="Nadpis1"/>
        <w:numPr>
          <w:ilvl w:val="0"/>
          <w:numId w:val="13"/>
        </w:numPr>
        <w:tabs>
          <w:tab w:val="left" w:pos="0"/>
          <w:tab w:val="left" w:pos="920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>FARMAKOLOGICKÉ VLASTNOSTI</w:t>
      </w:r>
    </w:p>
    <w:p w14:paraId="725A52D4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b/>
          <w:bCs/>
          <w:lang w:val="sk-SK"/>
        </w:rPr>
      </w:pPr>
    </w:p>
    <w:p w14:paraId="0E288508" w14:textId="77777777" w:rsidR="00AF2C33" w:rsidRPr="00D45D95" w:rsidRDefault="008174E0" w:rsidP="004568C3">
      <w:pPr>
        <w:numPr>
          <w:ilvl w:val="1"/>
          <w:numId w:val="13"/>
        </w:numPr>
        <w:tabs>
          <w:tab w:val="left" w:pos="0"/>
          <w:tab w:val="left" w:pos="920"/>
        </w:tabs>
        <w:ind w:left="0" w:firstLine="0"/>
        <w:jc w:val="left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b/>
          <w:spacing w:val="-1"/>
          <w:lang w:val="sk-SK"/>
        </w:rPr>
        <w:t>Farmakodynamické vlastnosti</w:t>
      </w:r>
    </w:p>
    <w:p w14:paraId="43843AAE" w14:textId="77777777" w:rsidR="004568C3" w:rsidRDefault="008174E0" w:rsidP="004568C3">
      <w:pPr>
        <w:pStyle w:val="Zkladntext"/>
        <w:tabs>
          <w:tab w:val="left" w:pos="0"/>
        </w:tabs>
        <w:spacing w:before="49" w:line="506" w:lineRule="exact"/>
        <w:ind w:left="0"/>
        <w:rPr>
          <w:rFonts w:cs="Times New Roman"/>
          <w:spacing w:val="27"/>
          <w:lang w:val="sk-SK"/>
        </w:rPr>
      </w:pPr>
      <w:r w:rsidRPr="00D45D95">
        <w:rPr>
          <w:rFonts w:cs="Times New Roman"/>
          <w:spacing w:val="-1"/>
          <w:lang w:val="sk-SK"/>
        </w:rPr>
        <w:t>Farmakoterapeutická skupina: Cytostatiká,</w:t>
      </w:r>
      <w:bookmarkStart w:id="0" w:name="_GoBack"/>
      <w:bookmarkEnd w:id="0"/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inhibítory proteínkinázy, ATC kód: L01XE02</w:t>
      </w:r>
      <w:r w:rsidRPr="00D45D95">
        <w:rPr>
          <w:rFonts w:cs="Times New Roman"/>
          <w:spacing w:val="27"/>
          <w:lang w:val="sk-SK"/>
        </w:rPr>
        <w:t xml:space="preserve"> </w:t>
      </w:r>
    </w:p>
    <w:p w14:paraId="42CBF695" w14:textId="77777777" w:rsidR="00AF2C33" w:rsidRPr="00D45D95" w:rsidRDefault="008174E0" w:rsidP="004568C3">
      <w:pPr>
        <w:pStyle w:val="Zkladntext"/>
        <w:tabs>
          <w:tab w:val="left" w:pos="0"/>
        </w:tabs>
        <w:spacing w:before="49" w:line="506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u w:val="single" w:color="000000"/>
          <w:lang w:val="sk-SK"/>
        </w:rPr>
        <w:t xml:space="preserve">Mechanizmus účinku </w:t>
      </w:r>
      <w:r w:rsidRPr="00D45D95">
        <w:rPr>
          <w:rFonts w:cs="Times New Roman"/>
          <w:u w:val="single" w:color="000000"/>
          <w:lang w:val="sk-SK"/>
        </w:rPr>
        <w:t xml:space="preserve">a </w:t>
      </w:r>
      <w:r w:rsidRPr="00D45D95">
        <w:rPr>
          <w:rFonts w:cs="Times New Roman"/>
          <w:spacing w:val="-1"/>
          <w:u w:val="single" w:color="000000"/>
          <w:lang w:val="sk-SK"/>
        </w:rPr>
        <w:t>farmakodynamické účinky</w:t>
      </w:r>
    </w:p>
    <w:p w14:paraId="25BF9603" w14:textId="77777777" w:rsidR="00AF2C33" w:rsidRPr="00D45D95" w:rsidRDefault="008174E0" w:rsidP="004568C3">
      <w:pPr>
        <w:pStyle w:val="Zkladntext"/>
        <w:tabs>
          <w:tab w:val="left" w:pos="0"/>
        </w:tabs>
        <w:spacing w:line="198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Epidermálny rastový faktor (EGF)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jeho receptor (EGFR [HER1; ErbB1]) boli identifikované ako</w:t>
      </w:r>
    </w:p>
    <w:p w14:paraId="41EAA970" w14:textId="77777777" w:rsidR="00AF2C33" w:rsidRPr="00D45D95" w:rsidRDefault="008174E0" w:rsidP="004568C3">
      <w:pPr>
        <w:pStyle w:val="Zkladntext"/>
        <w:tabs>
          <w:tab w:val="left" w:pos="0"/>
        </w:tabs>
        <w:spacing w:line="252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kľúčové </w:t>
      </w:r>
      <w:r w:rsidRPr="00D45D95">
        <w:rPr>
          <w:rFonts w:cs="Times New Roman"/>
          <w:lang w:val="sk-SK"/>
        </w:rPr>
        <w:t>faktory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procese bunkového rastu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 xml:space="preserve">proliferácie normálnych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nádorových buniek.</w:t>
      </w:r>
    </w:p>
    <w:p w14:paraId="6272F7F1" w14:textId="132CE66F" w:rsidR="00AF2C33" w:rsidRPr="00D45D95" w:rsidRDefault="008174E0" w:rsidP="004568C3">
      <w:pPr>
        <w:pStyle w:val="Zkladntext"/>
        <w:tabs>
          <w:tab w:val="left" w:pos="0"/>
        </w:tabs>
        <w:spacing w:before="49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lastRenderedPageBreak/>
        <w:t xml:space="preserve">Aktivujúca EGFR mutácia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rámci rakovinovej bunky je dôležitým faktorom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podpore rastu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nádorovej bunky, blokujúcim apoptózu, zvyšujúci produkciu angiogénnych faktorov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</w:t>
      </w:r>
      <w:r w:rsidR="00547F05">
        <w:rPr>
          <w:rFonts w:cs="Times New Roman"/>
          <w:spacing w:val="-1"/>
          <w:lang w:val="sk-SK"/>
        </w:rPr>
        <w:t>uľahčujúci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proces metastázovania.</w:t>
      </w:r>
    </w:p>
    <w:p w14:paraId="6F9EB29D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3637179D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Gefitinib je selektívny </w:t>
      </w:r>
      <w:r w:rsidRPr="00D45D95">
        <w:rPr>
          <w:rFonts w:cs="Times New Roman"/>
          <w:spacing w:val="-2"/>
          <w:lang w:val="sk-SK"/>
        </w:rPr>
        <w:t>malomolekulový</w:t>
      </w:r>
      <w:r w:rsidRPr="00D45D95">
        <w:rPr>
          <w:rFonts w:cs="Times New Roman"/>
          <w:spacing w:val="-1"/>
          <w:lang w:val="sk-SK"/>
        </w:rPr>
        <w:t xml:space="preserve"> inhibítor tyrozínkinázy receptora epidermálneho rastového</w:t>
      </w:r>
      <w:r w:rsidRPr="00D45D95">
        <w:rPr>
          <w:rFonts w:cs="Times New Roman"/>
          <w:spacing w:val="38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faktora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je účinnou liečbou pre pacientov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 xml:space="preserve">tumormi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>aktivujúcimi mutáciami tyrozínkinázovej</w:t>
      </w:r>
      <w:r w:rsidRPr="00D45D95">
        <w:rPr>
          <w:rFonts w:cs="Times New Roman"/>
          <w:spacing w:val="29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domény EGFR bez ohľadu na líniu liečby. Nebola preukázaná klinicky relevantná aktivita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5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pacientov</w:t>
      </w:r>
      <w:r w:rsidRPr="00D45D95">
        <w:rPr>
          <w:rFonts w:cs="Times New Roman"/>
          <w:spacing w:val="27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>tumormi so známou negativitou EGFR mutácie.</w:t>
      </w:r>
    </w:p>
    <w:p w14:paraId="7A91AF22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41F8A808" w14:textId="3C90FB8E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Bežné EGFR aktivujúce mutácie (delécie exónu 19, L858R) majú robustné údaje </w:t>
      </w:r>
      <w:r w:rsidRPr="00D45D95">
        <w:rPr>
          <w:rFonts w:cs="Times New Roman"/>
          <w:lang w:val="sk-SK"/>
        </w:rPr>
        <w:t>o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odpovedi, ktoré</w:t>
      </w:r>
      <w:r w:rsidRPr="00D45D95">
        <w:rPr>
          <w:rFonts w:cs="Times New Roman"/>
          <w:spacing w:val="2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podporujú citlivosť na gefitinib; napríklad prežívanie bez progresie HR (95% I</w:t>
      </w:r>
      <w:r w:rsidR="00150229">
        <w:rPr>
          <w:rFonts w:cs="Times New Roman"/>
          <w:spacing w:val="-1"/>
          <w:lang w:val="sk-SK"/>
        </w:rPr>
        <w:t>S</w:t>
      </w:r>
      <w:r w:rsidRPr="00D45D95">
        <w:rPr>
          <w:rFonts w:cs="Times New Roman"/>
          <w:spacing w:val="-1"/>
          <w:lang w:val="sk-SK"/>
        </w:rPr>
        <w:t>) 0,489 (0,336; 0,710)</w:t>
      </w:r>
      <w:r w:rsidRPr="00D45D95">
        <w:rPr>
          <w:rFonts w:cs="Times New Roman"/>
          <w:spacing w:val="26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pre gefitinib oproti kombinovanej chemoterapii [WJTOG3405]. Údajov </w:t>
      </w:r>
      <w:r w:rsidRPr="00D45D95">
        <w:rPr>
          <w:rFonts w:cs="Times New Roman"/>
          <w:lang w:val="sk-SK"/>
        </w:rPr>
        <w:t>o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odpovedi na gefitinib je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menej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pacientov, ktorých nádory obsahujú menej časté mutácie; dostupné údaje naznačujú, že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G719X, L861Q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 xml:space="preserve">S7681 sú senzibilizujúcimi mutáciami;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samotná prítomnosť mutácie T790M alebo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inzercie exónu 20 sú mechanizmami rezistencie.</w:t>
      </w:r>
    </w:p>
    <w:p w14:paraId="7B531E55" w14:textId="77777777" w:rsidR="00AF2C33" w:rsidRPr="00D45D95" w:rsidRDefault="00AF2C33" w:rsidP="004568C3">
      <w:pPr>
        <w:tabs>
          <w:tab w:val="left" w:pos="0"/>
        </w:tabs>
        <w:spacing w:before="10"/>
        <w:rPr>
          <w:rFonts w:ascii="Times New Roman" w:eastAsia="Times New Roman" w:hAnsi="Times New Roman" w:cs="Times New Roman"/>
          <w:lang w:val="sk-SK"/>
        </w:rPr>
      </w:pPr>
    </w:p>
    <w:p w14:paraId="3EBFA481" w14:textId="77777777" w:rsidR="00AF2C33" w:rsidRPr="00D45D95" w:rsidRDefault="008174E0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i/>
          <w:lang w:val="sk-SK"/>
        </w:rPr>
        <w:t>Rezistencia</w:t>
      </w:r>
    </w:p>
    <w:p w14:paraId="5916CBFE" w14:textId="210F3827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 xml:space="preserve">Pri </w:t>
      </w:r>
      <w:r w:rsidRPr="00D45D95">
        <w:rPr>
          <w:rFonts w:cs="Times New Roman"/>
          <w:spacing w:val="-1"/>
          <w:lang w:val="sk-SK"/>
        </w:rPr>
        <w:t>väčšine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NSCLC nádorov so senz</w:t>
      </w:r>
      <w:r w:rsidR="00150229">
        <w:rPr>
          <w:rFonts w:cs="Times New Roman"/>
          <w:spacing w:val="-1"/>
          <w:lang w:val="sk-SK"/>
        </w:rPr>
        <w:t>i</w:t>
      </w:r>
      <w:r w:rsidR="00150229" w:rsidRPr="00150229">
        <w:rPr>
          <w:rFonts w:cs="Times New Roman"/>
          <w:spacing w:val="-1"/>
          <w:lang w:val="sk-SK"/>
        </w:rPr>
        <w:t>bilizujúcimi</w:t>
      </w:r>
      <w:r w:rsidRPr="00D45D95">
        <w:rPr>
          <w:rFonts w:cs="Times New Roman"/>
          <w:spacing w:val="-1"/>
          <w:lang w:val="sk-SK"/>
        </w:rPr>
        <w:t xml:space="preserve"> mutáciami EGFR kinázy sa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neskôr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vyvinie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rezistencia</w:t>
      </w:r>
      <w:r w:rsidRPr="00D45D95">
        <w:rPr>
          <w:rFonts w:cs="Times New Roman"/>
          <w:spacing w:val="3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na liečbu </w:t>
      </w:r>
      <w:r w:rsidR="00D45D95">
        <w:rPr>
          <w:rFonts w:cs="Times New Roman"/>
          <w:spacing w:val="-2"/>
          <w:lang w:val="sk-SK"/>
        </w:rPr>
        <w:t>g</w:t>
      </w:r>
      <w:r w:rsidR="003C1EF3" w:rsidRPr="00D45D95">
        <w:rPr>
          <w:rFonts w:cs="Times New Roman"/>
          <w:spacing w:val="-2"/>
          <w:lang w:val="sk-SK"/>
        </w:rPr>
        <w:t>efitinib</w:t>
      </w:r>
      <w:r w:rsidR="00D45D95">
        <w:rPr>
          <w:rFonts w:cs="Times New Roman"/>
          <w:spacing w:val="-2"/>
          <w:lang w:val="sk-SK"/>
        </w:rPr>
        <w:t>om</w:t>
      </w:r>
      <w:r w:rsidRPr="00D45D9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mediánom času do progresie ochorenia</w:t>
      </w:r>
      <w:r w:rsidRPr="00D45D95">
        <w:rPr>
          <w:rFonts w:cs="Times New Roman"/>
          <w:lang w:val="sk-SK"/>
        </w:rPr>
        <w:t xml:space="preserve"> 1</w:t>
      </w:r>
      <w:r w:rsidRPr="00D45D95">
        <w:rPr>
          <w:rFonts w:cs="Times New Roman"/>
          <w:spacing w:val="-1"/>
          <w:lang w:val="sk-SK"/>
        </w:rPr>
        <w:t xml:space="preserve"> rok. Asi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lang w:val="sk-SK"/>
        </w:rPr>
        <w:t>60 %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prípadov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1"/>
          <w:lang w:val="sk-SK"/>
        </w:rPr>
        <w:t>je</w:t>
      </w:r>
      <w:r w:rsidRPr="00D45D95">
        <w:rPr>
          <w:rFonts w:cs="Times New Roman"/>
          <w:spacing w:val="-1"/>
          <w:lang w:val="sk-SK"/>
        </w:rPr>
        <w:t xml:space="preserve"> rezistencia</w:t>
      </w:r>
      <w:r w:rsidRPr="00D45D95">
        <w:rPr>
          <w:rFonts w:cs="Times New Roman"/>
          <w:spacing w:val="26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spojená so sekundárnou mutáciou T790M,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týchto prípadoch je možné zvážiť</w:t>
      </w:r>
      <w:r w:rsidRPr="00D45D95">
        <w:rPr>
          <w:rFonts w:cs="Times New Roman"/>
          <w:spacing w:val="-18"/>
          <w:lang w:val="sk-SK"/>
        </w:rPr>
        <w:t xml:space="preserve"> </w:t>
      </w:r>
      <w:r w:rsidRPr="00D45D95">
        <w:rPr>
          <w:rFonts w:cs="Times New Roman"/>
          <w:lang w:val="sk-SK"/>
        </w:rPr>
        <w:t>inhibítory</w:t>
      </w:r>
    </w:p>
    <w:p w14:paraId="5A9CB506" w14:textId="5FE9E12B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2"/>
          <w:lang w:val="sk-SK"/>
        </w:rPr>
        <w:t>tyrozínkinázy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EGFR </w:t>
      </w:r>
      <w:r w:rsidR="00150229">
        <w:rPr>
          <w:rFonts w:cs="Times New Roman"/>
          <w:spacing w:val="-1"/>
          <w:lang w:val="sk-SK"/>
        </w:rPr>
        <w:t>cielené</w:t>
      </w:r>
      <w:r w:rsidRPr="00D45D95">
        <w:rPr>
          <w:rFonts w:cs="Times New Roman"/>
          <w:spacing w:val="-1"/>
          <w:lang w:val="sk-SK"/>
        </w:rPr>
        <w:t xml:space="preserve"> na T790M ako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možnú liečbu</w:t>
      </w:r>
      <w:r w:rsidRPr="00D45D95">
        <w:rPr>
          <w:rFonts w:cs="Times New Roman"/>
          <w:lang w:val="sk-SK"/>
        </w:rPr>
        <w:t xml:space="preserve"> 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ďalšej línii. Ďalšie potenciálne</w:t>
      </w:r>
      <w:r w:rsidRPr="00D45D95">
        <w:rPr>
          <w:rFonts w:cs="Times New Roman"/>
          <w:spacing w:val="5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mechanizmy rezistencie, ktoré boli hlásené po liečbe liekmi blokujúcimi EGFR </w:t>
      </w:r>
      <w:r w:rsidRPr="00D45D95">
        <w:rPr>
          <w:rFonts w:cs="Times New Roman"/>
          <w:spacing w:val="-2"/>
          <w:lang w:val="sk-SK"/>
        </w:rPr>
        <w:t>signály,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zahŕňajú:</w:t>
      </w:r>
      <w:r w:rsidRPr="00D45D95">
        <w:rPr>
          <w:rFonts w:cs="Times New Roman"/>
          <w:spacing w:val="3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bypassovú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signalizáciu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ako je génová amplifikácia HER2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MET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>mutácie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PIK3CA.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5-10</w:t>
      </w:r>
      <w:r w:rsidRPr="00D45D95">
        <w:rPr>
          <w:rFonts w:cs="Times New Roman"/>
          <w:lang w:val="sk-SK"/>
        </w:rPr>
        <w:t xml:space="preserve"> %</w:t>
      </w:r>
      <w:r w:rsidRPr="00D45D95">
        <w:rPr>
          <w:rFonts w:cs="Times New Roman"/>
          <w:spacing w:val="27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prípadov sa zaznamenala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fenotypová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premena </w:t>
      </w:r>
      <w:r w:rsidRPr="00D45D95">
        <w:rPr>
          <w:rFonts w:cs="Times New Roman"/>
          <w:lang w:val="sk-SK"/>
        </w:rPr>
        <w:t xml:space="preserve">na </w:t>
      </w:r>
      <w:r w:rsidRPr="00D45D95">
        <w:rPr>
          <w:rFonts w:cs="Times New Roman"/>
          <w:spacing w:val="-1"/>
          <w:lang w:val="sk-SK"/>
        </w:rPr>
        <w:t>malobunkový karcinóm pľúc.</w:t>
      </w:r>
    </w:p>
    <w:p w14:paraId="48D99AA5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5F0E8242" w14:textId="77777777" w:rsidR="00AF2C33" w:rsidRPr="00D45D95" w:rsidRDefault="008174E0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i/>
          <w:spacing w:val="-1"/>
          <w:lang w:val="sk-SK"/>
        </w:rPr>
        <w:t>Cirkulujúca nádorová DNA (ctDNA)</w:t>
      </w:r>
    </w:p>
    <w:p w14:paraId="4AA80168" w14:textId="77777777" w:rsidR="00AF2C33" w:rsidRPr="00D45D95" w:rsidRDefault="008174E0" w:rsidP="004568C3">
      <w:pPr>
        <w:pStyle w:val="Zkladntext"/>
        <w:tabs>
          <w:tab w:val="left" w:pos="0"/>
        </w:tabs>
        <w:spacing w:before="1" w:line="252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štúdii IFUM sa stav mutácie hodnotil vo vzorkách nádorového tkaniva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ctDNA izolovanej</w:t>
      </w:r>
    </w:p>
    <w:p w14:paraId="12CF5EFB" w14:textId="060666B9" w:rsidR="00AF2C33" w:rsidRPr="00D45D95" w:rsidRDefault="008174E0" w:rsidP="00BB53F4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z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plazmy, pomocou sady Therascreen EGFR RGQ PCR (Qiagen). Obe vzorky ctDNA aj nádorového</w:t>
      </w:r>
      <w:r w:rsidRPr="00D45D95">
        <w:rPr>
          <w:rFonts w:cs="Times New Roman"/>
          <w:spacing w:val="2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tkaniva boli hodnotiteľné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652 pacientov </w:t>
      </w:r>
      <w:r w:rsidRPr="00D45D95">
        <w:rPr>
          <w:rFonts w:cs="Times New Roman"/>
          <w:lang w:val="sk-SK"/>
        </w:rPr>
        <w:t>z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1060 pacientov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skríningu. </w:t>
      </w:r>
      <w:r w:rsidR="00352016">
        <w:rPr>
          <w:rFonts w:cs="Times New Roman"/>
          <w:spacing w:val="-1"/>
          <w:lang w:val="sk-SK"/>
        </w:rPr>
        <w:t>M</w:t>
      </w:r>
      <w:r w:rsidR="00150229" w:rsidRPr="00150229">
        <w:rPr>
          <w:rFonts w:cs="Times New Roman"/>
          <w:spacing w:val="-1"/>
          <w:lang w:val="sk-SK"/>
        </w:rPr>
        <w:t xml:space="preserve">iera </w:t>
      </w:r>
      <w:r w:rsidR="00352016">
        <w:rPr>
          <w:rFonts w:cs="Times New Roman"/>
          <w:spacing w:val="-1"/>
          <w:lang w:val="sk-SK"/>
        </w:rPr>
        <w:t xml:space="preserve">objektívnej </w:t>
      </w:r>
      <w:r w:rsidR="00150229" w:rsidRPr="00150229">
        <w:rPr>
          <w:rFonts w:cs="Times New Roman"/>
          <w:spacing w:val="-1"/>
          <w:lang w:val="sk-SK"/>
        </w:rPr>
        <w:t xml:space="preserve">odpovede </w:t>
      </w:r>
      <w:r w:rsidR="00150229">
        <w:rPr>
          <w:rFonts w:cs="Times New Roman"/>
          <w:spacing w:val="-1"/>
          <w:lang w:val="sk-SK"/>
        </w:rPr>
        <w:t>(</w:t>
      </w:r>
      <w:r w:rsidRPr="00D45D95">
        <w:rPr>
          <w:rFonts w:cs="Times New Roman"/>
          <w:spacing w:val="-1"/>
          <w:lang w:val="sk-SK"/>
        </w:rPr>
        <w:t>ORR</w:t>
      </w:r>
      <w:r w:rsidR="00150229">
        <w:rPr>
          <w:rFonts w:cs="Times New Roman"/>
          <w:spacing w:val="-1"/>
          <w:lang w:val="sk-SK"/>
        </w:rPr>
        <w:t>)</w:t>
      </w:r>
      <w:r w:rsidRPr="00D45D9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tejto populáci</w:t>
      </w:r>
      <w:r w:rsidR="00150229">
        <w:rPr>
          <w:rFonts w:cs="Times New Roman"/>
          <w:spacing w:val="-1"/>
          <w:lang w:val="sk-SK"/>
        </w:rPr>
        <w:t>e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pacientov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 xml:space="preserve">pozitívnou mutáciou nádorového tkaniva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ctDNA bola 77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lang w:val="sk-SK"/>
        </w:rPr>
        <w:t>%</w:t>
      </w:r>
      <w:r w:rsidRPr="00D45D95">
        <w:rPr>
          <w:rFonts w:cs="Times New Roman"/>
          <w:spacing w:val="-1"/>
          <w:lang w:val="sk-SK"/>
        </w:rPr>
        <w:t xml:space="preserve"> (95</w:t>
      </w:r>
      <w:r w:rsidRPr="00D45D95">
        <w:rPr>
          <w:rFonts w:cs="Times New Roman"/>
          <w:lang w:val="sk-SK"/>
        </w:rPr>
        <w:t xml:space="preserve"> %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I</w:t>
      </w:r>
      <w:r w:rsidR="00150229">
        <w:rPr>
          <w:rFonts w:cs="Times New Roman"/>
          <w:spacing w:val="-1"/>
          <w:lang w:val="sk-SK"/>
        </w:rPr>
        <w:t>S</w:t>
      </w:r>
      <w:r w:rsidRPr="00D45D95">
        <w:rPr>
          <w:rFonts w:cs="Times New Roman"/>
          <w:spacing w:val="-1"/>
          <w:lang w:val="sk-SK"/>
        </w:rPr>
        <w:t>: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66</w:t>
      </w:r>
      <w:r w:rsidRPr="00D45D95">
        <w:rPr>
          <w:rFonts w:cs="Times New Roman"/>
          <w:lang w:val="sk-SK"/>
        </w:rPr>
        <w:t xml:space="preserve"> %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až 86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%)</w:t>
      </w:r>
      <w:r w:rsidR="00150229">
        <w:rPr>
          <w:rFonts w:cs="Times New Roman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a u </w:t>
      </w:r>
      <w:r w:rsidRPr="00D45D95">
        <w:rPr>
          <w:rFonts w:cs="Times New Roman"/>
          <w:spacing w:val="-1"/>
          <w:lang w:val="sk-SK"/>
        </w:rPr>
        <w:t xml:space="preserve">pacientov len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>pozitívnou mutáciou nádorového tkaniva 60</w:t>
      </w:r>
      <w:r w:rsidR="00150229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% (95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lang w:val="sk-SK"/>
        </w:rPr>
        <w:t>%</w:t>
      </w:r>
      <w:r w:rsidRPr="00D45D95">
        <w:rPr>
          <w:rFonts w:cs="Times New Roman"/>
          <w:spacing w:val="-1"/>
          <w:lang w:val="sk-SK"/>
        </w:rPr>
        <w:t xml:space="preserve"> I</w:t>
      </w:r>
      <w:r w:rsidR="00150229">
        <w:rPr>
          <w:rFonts w:cs="Times New Roman"/>
          <w:spacing w:val="-1"/>
          <w:lang w:val="sk-SK"/>
        </w:rPr>
        <w:t>S</w:t>
      </w:r>
      <w:r w:rsidRPr="00D45D95">
        <w:rPr>
          <w:rFonts w:cs="Times New Roman"/>
          <w:spacing w:val="-1"/>
          <w:lang w:val="sk-SK"/>
        </w:rPr>
        <w:t>: 44</w:t>
      </w:r>
      <w:r w:rsidRPr="00D45D95">
        <w:rPr>
          <w:rFonts w:cs="Times New Roman"/>
          <w:lang w:val="sk-SK"/>
        </w:rPr>
        <w:t xml:space="preserve"> %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lang w:val="sk-SK"/>
        </w:rPr>
        <w:t>až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74</w:t>
      </w:r>
      <w:r w:rsidRPr="00D45D95">
        <w:rPr>
          <w:rFonts w:cs="Times New Roman"/>
          <w:lang w:val="sk-SK"/>
        </w:rPr>
        <w:t xml:space="preserve"> %).</w:t>
      </w:r>
    </w:p>
    <w:p w14:paraId="387B74A3" w14:textId="77777777" w:rsidR="00AF2C33" w:rsidRPr="00D45D95" w:rsidRDefault="00AF2C33" w:rsidP="004568C3">
      <w:pPr>
        <w:tabs>
          <w:tab w:val="left" w:pos="0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7336668E" w14:textId="77777777" w:rsidR="00AF2C33" w:rsidRPr="00D45D95" w:rsidRDefault="008174E0" w:rsidP="004568C3">
      <w:pPr>
        <w:pStyle w:val="Nadpis1"/>
        <w:tabs>
          <w:tab w:val="left" w:pos="0"/>
        </w:tabs>
        <w:ind w:left="0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>Tabuľka 2: Súhrn východiskového stavu mutácie pre vzorky nádorov</w:t>
      </w:r>
      <w:r w:rsidR="00150229">
        <w:rPr>
          <w:rFonts w:cs="Times New Roman"/>
          <w:spacing w:val="-1"/>
          <w:lang w:val="sk-SK"/>
        </w:rPr>
        <w:t>ého tkaniva</w:t>
      </w:r>
      <w:r w:rsidRPr="00D45D9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ctDNA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všetkých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pacientov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skríningu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>obidvoma hodnotiteľnými vzorkami.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3490"/>
        <w:gridCol w:w="2292"/>
        <w:gridCol w:w="1392"/>
      </w:tblGrid>
      <w:tr w:rsidR="00AF2C33" w:rsidRPr="00D45D95" w14:paraId="569045FB" w14:textId="77777777">
        <w:trPr>
          <w:trHeight w:hRule="exact" w:val="516"/>
        </w:trPr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95185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Meranie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91F93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Definícia</w:t>
            </w:r>
          </w:p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3673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5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Miera IFUM</w:t>
            </w:r>
          </w:p>
          <w:p w14:paraId="1C6EB0C6" w14:textId="360840D9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%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 (I</w:t>
            </w:r>
            <w:r w:rsidR="00150229">
              <w:rPr>
                <w:rFonts w:ascii="Times New Roman" w:hAnsi="Times New Roman" w:cs="Times New Roman"/>
                <w:spacing w:val="-1"/>
                <w:lang w:val="sk-SK"/>
              </w:rPr>
              <w:t>S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)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04AFC" w14:textId="77777777" w:rsidR="00150229" w:rsidRDefault="008174E0" w:rsidP="004568C3">
            <w:pPr>
              <w:pStyle w:val="TableParagraph"/>
              <w:tabs>
                <w:tab w:val="left" w:pos="0"/>
              </w:tabs>
              <w:spacing w:line="239" w:lineRule="auto"/>
              <w:rPr>
                <w:rFonts w:ascii="Times New Roman" w:hAnsi="Times New Roman" w:cs="Times New Roman"/>
                <w:spacing w:val="19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IFUM</w:t>
            </w:r>
            <w:r w:rsidRPr="00D45D95">
              <w:rPr>
                <w:rFonts w:ascii="Times New Roman" w:hAnsi="Times New Roman" w:cs="Times New Roman"/>
                <w:spacing w:val="19"/>
                <w:lang w:val="sk-SK"/>
              </w:rPr>
              <w:t xml:space="preserve"> </w:t>
            </w:r>
          </w:p>
          <w:p w14:paraId="1DC98216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39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N</w:t>
            </w:r>
          </w:p>
        </w:tc>
      </w:tr>
      <w:tr w:rsidR="00AF2C33" w:rsidRPr="00D45D95" w14:paraId="2D5DCE59" w14:textId="77777777">
        <w:trPr>
          <w:trHeight w:hRule="exact" w:val="516"/>
        </w:trPr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98CAA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Citlivosť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657D5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39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Podiel nádorov </w:t>
            </w:r>
            <w:r w:rsidRPr="00D45D95">
              <w:rPr>
                <w:rFonts w:ascii="Times New Roman" w:hAnsi="Times New Roman" w:cs="Times New Roman"/>
                <w:lang w:val="sk-SK"/>
              </w:rPr>
              <w:t>s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 M+, ktoré sú M+</w:t>
            </w:r>
            <w:r w:rsidRPr="00D45D95">
              <w:rPr>
                <w:rFonts w:ascii="Times New Roman" w:hAnsi="Times New Roman" w:cs="Times New Roman"/>
                <w:spacing w:val="25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podľa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ctDNA</w:t>
            </w:r>
          </w:p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46CCE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65,7 (55,8; 74,7)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F005D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105</w:t>
            </w:r>
          </w:p>
        </w:tc>
      </w:tr>
      <w:tr w:rsidR="00AF2C33" w:rsidRPr="00D45D95" w14:paraId="3C9E0D9C" w14:textId="77777777">
        <w:trPr>
          <w:trHeight w:hRule="exact" w:val="516"/>
        </w:trPr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1E8A7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Špecificita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70A9C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39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Podiel nádorov 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s 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>M-,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 ktoré sú </w:t>
            </w:r>
            <w:r w:rsidRPr="00D45D95">
              <w:rPr>
                <w:rFonts w:ascii="Times New Roman" w:hAnsi="Times New Roman" w:cs="Times New Roman"/>
                <w:lang w:val="sk-SK"/>
              </w:rPr>
              <w:t>M-</w:t>
            </w:r>
            <w:r w:rsidRPr="00D45D95">
              <w:rPr>
                <w:rFonts w:ascii="Times New Roman" w:hAnsi="Times New Roman" w:cs="Times New Roman"/>
                <w:spacing w:val="27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podľa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ctDNA</w:t>
            </w:r>
          </w:p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EE880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99,8 (99,0; 100,0)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A6193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547</w:t>
            </w:r>
          </w:p>
        </w:tc>
      </w:tr>
    </w:tbl>
    <w:p w14:paraId="167CDEE9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b/>
          <w:bCs/>
          <w:lang w:val="sk-SK"/>
        </w:rPr>
      </w:pPr>
    </w:p>
    <w:p w14:paraId="4F803DD3" w14:textId="77DD5A59" w:rsidR="00AF2C33" w:rsidRPr="00D45D95" w:rsidRDefault="008174E0" w:rsidP="004568C3">
      <w:pPr>
        <w:pStyle w:val="Zkladntext"/>
        <w:tabs>
          <w:tab w:val="left" w:pos="0"/>
        </w:tabs>
        <w:spacing w:before="72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Tieto údaje sú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súlade s </w:t>
      </w:r>
      <w:r w:rsidRPr="00D45D95">
        <w:rPr>
          <w:rFonts w:cs="Times New Roman"/>
          <w:spacing w:val="-1"/>
          <w:lang w:val="sk-SK"/>
        </w:rPr>
        <w:t xml:space="preserve">vopred naplánovanou exploračnou analýzou podskupiny Japoncov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sk</w:t>
      </w:r>
      <w:r w:rsidR="00150229">
        <w:rPr>
          <w:rFonts w:cs="Times New Roman"/>
          <w:spacing w:val="-1"/>
          <w:lang w:val="sk-SK"/>
        </w:rPr>
        <w:t>úšaní</w:t>
      </w:r>
      <w:r w:rsidRPr="00D45D95">
        <w:rPr>
          <w:rFonts w:cs="Times New Roman"/>
          <w:spacing w:val="29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IPASS (Goto 2012).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tejto štúdii bola použitá na analýzu mutácie EGFR pomocou sady EGFR</w:t>
      </w:r>
      <w:r w:rsidRPr="00D45D95">
        <w:rPr>
          <w:rFonts w:cs="Times New Roman"/>
          <w:spacing w:val="26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Mutation Test Kit (DxS) ctDNA získaná zo séra, nie </w:t>
      </w:r>
      <w:r w:rsidRPr="00D45D95">
        <w:rPr>
          <w:rFonts w:cs="Times New Roman"/>
          <w:lang w:val="sk-SK"/>
        </w:rPr>
        <w:t>z</w:t>
      </w:r>
      <w:r w:rsidRPr="00D45D95">
        <w:rPr>
          <w:rFonts w:cs="Times New Roman"/>
          <w:spacing w:val="-1"/>
          <w:lang w:val="sk-SK"/>
        </w:rPr>
        <w:t xml:space="preserve"> plazmy (N=86).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tejto štúdii bol</w:t>
      </w:r>
      <w:r w:rsidR="00150229">
        <w:rPr>
          <w:rFonts w:cs="Times New Roman"/>
          <w:spacing w:val="-1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citlivosť</w:t>
      </w:r>
      <w:r w:rsidRPr="00D45D95">
        <w:rPr>
          <w:rFonts w:cs="Times New Roman"/>
          <w:spacing w:val="30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43,1 </w:t>
      </w:r>
      <w:r w:rsidRPr="00D45D95">
        <w:rPr>
          <w:rFonts w:cs="Times New Roman"/>
          <w:spacing w:val="-1"/>
          <w:lang w:val="sk-SK"/>
        </w:rPr>
        <w:t>%, špecificita 100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lang w:val="sk-SK"/>
        </w:rPr>
        <w:t>%.</w:t>
      </w:r>
    </w:p>
    <w:p w14:paraId="05D0B5CD" w14:textId="77777777" w:rsidR="00AF2C33" w:rsidRPr="00D45D95" w:rsidRDefault="00AF2C33" w:rsidP="004568C3">
      <w:pPr>
        <w:tabs>
          <w:tab w:val="left" w:pos="0"/>
        </w:tabs>
        <w:spacing w:before="10"/>
        <w:rPr>
          <w:rFonts w:ascii="Times New Roman" w:eastAsia="Times New Roman" w:hAnsi="Times New Roman" w:cs="Times New Roman"/>
          <w:lang w:val="sk-SK"/>
        </w:rPr>
      </w:pPr>
    </w:p>
    <w:p w14:paraId="32DB2D66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u w:val="single" w:color="000000"/>
          <w:lang w:val="sk-SK"/>
        </w:rPr>
        <w:t xml:space="preserve">Klinická účinnosť </w:t>
      </w:r>
      <w:r w:rsidRPr="00D45D95">
        <w:rPr>
          <w:rFonts w:cs="Times New Roman"/>
          <w:u w:val="single" w:color="000000"/>
          <w:lang w:val="sk-SK"/>
        </w:rPr>
        <w:t>a</w:t>
      </w:r>
      <w:r w:rsidRPr="00D45D95">
        <w:rPr>
          <w:rFonts w:cs="Times New Roman"/>
          <w:spacing w:val="-3"/>
          <w:u w:val="single" w:color="000000"/>
          <w:lang w:val="sk-SK"/>
        </w:rPr>
        <w:t xml:space="preserve"> </w:t>
      </w:r>
      <w:r w:rsidRPr="00D45D95">
        <w:rPr>
          <w:rFonts w:cs="Times New Roman"/>
          <w:spacing w:val="-1"/>
          <w:u w:val="single" w:color="000000"/>
          <w:lang w:val="sk-SK"/>
        </w:rPr>
        <w:t>bezpečnosť</w:t>
      </w:r>
    </w:p>
    <w:p w14:paraId="1D69772D" w14:textId="77777777" w:rsidR="00AF2C33" w:rsidRPr="00D45D95" w:rsidRDefault="008174E0" w:rsidP="004568C3">
      <w:pPr>
        <w:tabs>
          <w:tab w:val="left" w:pos="0"/>
        </w:tabs>
        <w:spacing w:before="1" w:line="240" w:lineRule="exact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i/>
          <w:spacing w:val="-1"/>
          <w:lang w:val="sk-SK"/>
        </w:rPr>
        <w:t>Prvá línia liečby</w:t>
      </w:r>
    </w:p>
    <w:p w14:paraId="13A5D591" w14:textId="73FEF6E4" w:rsidR="00AF2C33" w:rsidRPr="00D45D95" w:rsidRDefault="008174E0" w:rsidP="00BB53F4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Randomizované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klinické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skúšanie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IPASS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fáz</w:t>
      </w:r>
      <w:r w:rsidR="00150229">
        <w:rPr>
          <w:rFonts w:cs="Times New Roman"/>
          <w:spacing w:val="-1"/>
          <w:lang w:val="sk-SK"/>
        </w:rPr>
        <w:t>y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III,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prvá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línia,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bolo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hodnotené</w:t>
      </w:r>
      <w:r w:rsidRPr="00D45D95">
        <w:rPr>
          <w:rFonts w:cs="Times New Roman"/>
          <w:lang w:val="sk-SK"/>
        </w:rPr>
        <w:t xml:space="preserve"> </w:t>
      </w:r>
      <w:r w:rsidR="00150229">
        <w:rPr>
          <w:rFonts w:cs="Times New Roman"/>
          <w:spacing w:val="-1"/>
          <w:lang w:val="sk-SK"/>
        </w:rPr>
        <w:t>u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paciento</w:t>
      </w:r>
      <w:r w:rsidR="00150229">
        <w:rPr>
          <w:rFonts w:cs="Times New Roman"/>
          <w:spacing w:val="-1"/>
          <w:lang w:val="sk-SK"/>
        </w:rPr>
        <w:t>v</w:t>
      </w:r>
      <w:r w:rsidRPr="00D45D95">
        <w:rPr>
          <w:rFonts w:cs="Times New Roman"/>
          <w:lang w:val="sk-SK"/>
        </w:rPr>
        <w:t xml:space="preserve"> z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Ázie</w:t>
      </w:r>
      <w:r w:rsidRPr="00BB53F4">
        <w:rPr>
          <w:rFonts w:cs="Times New Roman"/>
          <w:spacing w:val="-1"/>
          <w:position w:val="10"/>
          <w:vertAlign w:val="superscript"/>
          <w:lang w:val="sk-SK"/>
        </w:rPr>
        <w:t>1</w:t>
      </w:r>
      <w:r w:rsidRPr="00D45D95">
        <w:rPr>
          <w:rFonts w:cs="Times New Roman"/>
          <w:spacing w:val="31"/>
          <w:w w:val="99"/>
          <w:position w:val="10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 xml:space="preserve">pokročilým (štádium IIIB alebo IV) NSCLC, </w:t>
      </w:r>
      <w:r w:rsidRPr="00D45D95">
        <w:rPr>
          <w:rFonts w:cs="Times New Roman"/>
          <w:spacing w:val="-2"/>
          <w:lang w:val="sk-SK"/>
        </w:rPr>
        <w:t>histologicky</w:t>
      </w:r>
      <w:r w:rsidRPr="00D45D95">
        <w:rPr>
          <w:rFonts w:cs="Times New Roman"/>
          <w:spacing w:val="-1"/>
          <w:lang w:val="sk-SK"/>
        </w:rPr>
        <w:t xml:space="preserve"> potvrdeným adenokarcinómom, ktorí boli</w:t>
      </w:r>
      <w:r w:rsidRPr="00D45D95">
        <w:rPr>
          <w:rFonts w:cs="Times New Roman"/>
          <w:spacing w:val="4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mierni fajčiari (zanechali fajčenie pred </w:t>
      </w:r>
      <w:r w:rsidRPr="00D45D95">
        <w:rPr>
          <w:rFonts w:cs="Times New Roman"/>
          <w:lang w:val="sk-SK"/>
        </w:rPr>
        <w:t xml:space="preserve">≥ </w:t>
      </w:r>
      <w:r w:rsidRPr="00D45D95">
        <w:rPr>
          <w:rFonts w:cs="Times New Roman"/>
          <w:spacing w:val="-2"/>
          <w:lang w:val="sk-SK"/>
        </w:rPr>
        <w:t>15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rokmi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 xml:space="preserve">fajčili </w:t>
      </w:r>
      <w:r w:rsidRPr="00D45D95">
        <w:rPr>
          <w:rFonts w:cs="Times New Roman"/>
          <w:lang w:val="sk-SK"/>
        </w:rPr>
        <w:t>≤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lang w:val="sk-SK"/>
        </w:rPr>
        <w:t>10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rokov) alebo nikdy nefajčili</w:t>
      </w:r>
      <w:r w:rsidR="00876B62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(pozri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Tabuľka 3).</w:t>
      </w:r>
    </w:p>
    <w:p w14:paraId="5BFED272" w14:textId="77777777" w:rsidR="00AF2C33" w:rsidRPr="00D45D95" w:rsidRDefault="00AF2C33" w:rsidP="004568C3">
      <w:pPr>
        <w:tabs>
          <w:tab w:val="left" w:pos="0"/>
        </w:tabs>
        <w:spacing w:before="10"/>
        <w:rPr>
          <w:rFonts w:ascii="Times New Roman" w:eastAsia="Times New Roman" w:hAnsi="Times New Roman" w:cs="Times New Roman"/>
          <w:lang w:val="sk-SK"/>
        </w:rPr>
      </w:pPr>
    </w:p>
    <w:p w14:paraId="59DC5726" w14:textId="52BC1C89" w:rsidR="00876B62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BB53F4">
        <w:rPr>
          <w:rFonts w:cs="Times New Roman"/>
          <w:spacing w:val="-1"/>
          <w:position w:val="10"/>
          <w:vertAlign w:val="superscript"/>
          <w:lang w:val="sk-SK"/>
        </w:rPr>
        <w:t>1</w:t>
      </w:r>
      <w:r w:rsidRPr="00D45D95">
        <w:rPr>
          <w:rFonts w:cs="Times New Roman"/>
          <w:spacing w:val="-1"/>
          <w:lang w:val="sk-SK"/>
        </w:rPr>
        <w:t xml:space="preserve">Čína, </w:t>
      </w:r>
      <w:r w:rsidRPr="00D45D95">
        <w:rPr>
          <w:rFonts w:cs="Times New Roman"/>
          <w:spacing w:val="-2"/>
          <w:lang w:val="sk-SK"/>
        </w:rPr>
        <w:t>Hong-Kong,</w:t>
      </w:r>
      <w:r w:rsidRPr="00D45D95">
        <w:rPr>
          <w:rFonts w:cs="Times New Roman"/>
          <w:spacing w:val="-1"/>
          <w:lang w:val="sk-SK"/>
        </w:rPr>
        <w:t xml:space="preserve"> Indonézia, Japonsko, Malajzia, Filipíny, Singapur, Tajvan</w:t>
      </w:r>
      <w:r w:rsidR="00876B62">
        <w:rPr>
          <w:rFonts w:cs="Times New Roman"/>
          <w:spacing w:val="-1"/>
          <w:lang w:val="sk-SK"/>
        </w:rPr>
        <w:t xml:space="preserve"> a</w:t>
      </w:r>
      <w:r w:rsidRPr="00D45D95">
        <w:rPr>
          <w:rFonts w:cs="Times New Roman"/>
          <w:spacing w:val="-1"/>
          <w:lang w:val="sk-SK"/>
        </w:rPr>
        <w:t xml:space="preserve"> Thajsko.</w:t>
      </w:r>
      <w:r w:rsidR="00A81743" w:rsidRPr="00D45D95">
        <w:rPr>
          <w:rFonts w:cs="Times New Roman"/>
          <w:lang w:val="sk-SK"/>
        </w:rPr>
        <w:t xml:space="preserve"> </w:t>
      </w:r>
    </w:p>
    <w:p w14:paraId="750830AE" w14:textId="77777777" w:rsidR="00876B62" w:rsidRDefault="00876B62" w:rsidP="004568C3">
      <w:pPr>
        <w:pStyle w:val="Zkladntext"/>
        <w:tabs>
          <w:tab w:val="left" w:pos="0"/>
        </w:tabs>
        <w:ind w:left="0"/>
        <w:rPr>
          <w:rFonts w:cs="Times New Roman"/>
          <w:spacing w:val="-1"/>
          <w:lang w:val="sk-SK"/>
        </w:rPr>
      </w:pPr>
    </w:p>
    <w:p w14:paraId="56408848" w14:textId="77777777" w:rsidR="00AF2C33" w:rsidRPr="00876B62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b/>
          <w:bCs/>
          <w:lang w:val="sk-SK"/>
        </w:rPr>
      </w:pPr>
      <w:r w:rsidRPr="00BB53F4">
        <w:rPr>
          <w:rFonts w:cs="Times New Roman"/>
          <w:b/>
          <w:spacing w:val="-1"/>
          <w:lang w:val="sk-SK"/>
        </w:rPr>
        <w:t xml:space="preserve">Tabuľka </w:t>
      </w:r>
      <w:r w:rsidRPr="00BB53F4">
        <w:rPr>
          <w:rFonts w:cs="Times New Roman"/>
          <w:b/>
          <w:lang w:val="sk-SK"/>
        </w:rPr>
        <w:t>3</w:t>
      </w:r>
      <w:r w:rsidRPr="00BB53F4">
        <w:rPr>
          <w:rFonts w:cs="Times New Roman"/>
          <w:b/>
          <w:spacing w:val="-1"/>
          <w:lang w:val="sk-SK"/>
        </w:rPr>
        <w:t xml:space="preserve"> Výsledky účinnosti pre gefitinib versus karboplatina/paklitaxel </w:t>
      </w:r>
      <w:r w:rsidRPr="00BB53F4">
        <w:rPr>
          <w:rFonts w:cs="Times New Roman"/>
          <w:b/>
          <w:lang w:val="sk-SK"/>
        </w:rPr>
        <w:t>z</w:t>
      </w:r>
      <w:r w:rsidRPr="00BB53F4">
        <w:rPr>
          <w:rFonts w:cs="Times New Roman"/>
          <w:b/>
          <w:spacing w:val="-3"/>
          <w:lang w:val="sk-SK"/>
        </w:rPr>
        <w:t xml:space="preserve"> </w:t>
      </w:r>
      <w:r w:rsidRPr="00BB53F4">
        <w:rPr>
          <w:rFonts w:cs="Times New Roman"/>
          <w:b/>
          <w:spacing w:val="-1"/>
          <w:lang w:val="sk-SK"/>
        </w:rPr>
        <w:t>klinického skúšania</w:t>
      </w:r>
      <w:r w:rsidRPr="00BB53F4">
        <w:rPr>
          <w:rFonts w:cs="Times New Roman"/>
          <w:b/>
          <w:spacing w:val="28"/>
          <w:lang w:val="sk-SK"/>
        </w:rPr>
        <w:t xml:space="preserve"> </w:t>
      </w:r>
      <w:r w:rsidRPr="00BB53F4">
        <w:rPr>
          <w:rFonts w:cs="Times New Roman"/>
          <w:b/>
          <w:lang w:val="sk-SK"/>
        </w:rPr>
        <w:t>IPASS</w:t>
      </w:r>
    </w:p>
    <w:p w14:paraId="04B922C7" w14:textId="77777777" w:rsidR="00AF2C33" w:rsidRPr="00D45D95" w:rsidRDefault="00AF2C33" w:rsidP="004568C3">
      <w:pPr>
        <w:tabs>
          <w:tab w:val="left" w:pos="0"/>
        </w:tabs>
        <w:spacing w:before="10"/>
        <w:rPr>
          <w:rFonts w:ascii="Times New Roman" w:eastAsia="Times New Roman" w:hAnsi="Times New Roman" w:cs="Times New Roman"/>
          <w:b/>
          <w:bCs/>
          <w:lang w:val="sk-SK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7"/>
        <w:gridCol w:w="740"/>
        <w:gridCol w:w="1988"/>
        <w:gridCol w:w="2709"/>
        <w:gridCol w:w="1956"/>
      </w:tblGrid>
      <w:tr w:rsidR="00AF2C33" w:rsidRPr="00D45D95" w14:paraId="50EF32F3" w14:textId="77777777" w:rsidTr="00BB53F4">
        <w:trPr>
          <w:trHeight w:hRule="exact" w:val="632"/>
        </w:trPr>
        <w:tc>
          <w:tcPr>
            <w:tcW w:w="19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D77DFFE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Populácia</w:t>
            </w:r>
          </w:p>
        </w:tc>
        <w:tc>
          <w:tcPr>
            <w:tcW w:w="74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AD8F9DB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b/>
                <w:lang w:val="sk-SK"/>
              </w:rPr>
              <w:t>N</w:t>
            </w:r>
          </w:p>
        </w:tc>
        <w:tc>
          <w:tcPr>
            <w:tcW w:w="19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0F5ED39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Miera objektívnej</w:t>
            </w:r>
            <w:r w:rsidRPr="00D45D95">
              <w:rPr>
                <w:rFonts w:ascii="Times New Roman" w:hAnsi="Times New Roman" w:cs="Times New Roman"/>
                <w:b/>
                <w:spacing w:val="21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odpovede</w:t>
            </w:r>
            <w:r w:rsidRPr="00D45D95">
              <w:rPr>
                <w:rFonts w:ascii="Times New Roman" w:hAnsi="Times New Roman" w:cs="Times New Roman"/>
                <w:b/>
                <w:lang w:val="sk-SK"/>
              </w:rPr>
              <w:t xml:space="preserve"> a</w:t>
            </w:r>
            <w:r w:rsidRPr="00D45D95">
              <w:rPr>
                <w:rFonts w:ascii="Times New Roman" w:hAnsi="Times New Roman" w:cs="Times New Roman"/>
                <w:b/>
                <w:spacing w:val="-3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b/>
                <w:lang w:val="sk-SK"/>
              </w:rPr>
              <w:t>95 %</w:t>
            </w:r>
          </w:p>
        </w:tc>
        <w:tc>
          <w:tcPr>
            <w:tcW w:w="270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59A730F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39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Primárny</w:t>
            </w:r>
            <w:r w:rsidRPr="00D45D95"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cieľ</w:t>
            </w:r>
            <w:r w:rsidR="00876B62">
              <w:rPr>
                <w:rFonts w:ascii="Times New Roman" w:hAnsi="Times New Roman" w:cs="Times New Roman"/>
                <w:b/>
                <w:spacing w:val="-1"/>
                <w:lang w:val="sk-SK"/>
              </w:rPr>
              <w:t>ový ukazovateľ</w:t>
            </w:r>
          </w:p>
          <w:p w14:paraId="013CC7A4" w14:textId="79256070" w:rsidR="00AF2C33" w:rsidRPr="00D45D95" w:rsidRDefault="00AF2C33" w:rsidP="00876B62">
            <w:pPr>
              <w:pStyle w:val="TableParagraph"/>
              <w:tabs>
                <w:tab w:val="left" w:pos="0"/>
              </w:tabs>
              <w:spacing w:line="266" w:lineRule="exact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195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3C3931B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17" w:line="217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b/>
                <w:lang w:val="sk-SK"/>
              </w:rPr>
              <w:t xml:space="preserve">Celkové </w:t>
            </w: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prežívanie</w:t>
            </w:r>
            <w:r w:rsidRPr="00BB53F4">
              <w:rPr>
                <w:rFonts w:ascii="Times New Roman" w:hAnsi="Times New Roman" w:cs="Times New Roman"/>
                <w:b/>
                <w:spacing w:val="-1"/>
                <w:position w:val="10"/>
                <w:vertAlign w:val="superscript"/>
                <w:lang w:val="sk-SK"/>
              </w:rPr>
              <w:t>ab</w:t>
            </w:r>
          </w:p>
        </w:tc>
      </w:tr>
      <w:tr w:rsidR="00AF2C33" w:rsidRPr="00D45D95" w14:paraId="1F8A794E" w14:textId="77777777">
        <w:trPr>
          <w:trHeight w:hRule="exact" w:val="525"/>
        </w:trPr>
        <w:tc>
          <w:tcPr>
            <w:tcW w:w="190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38265D7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C89A4E6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87E373" w14:textId="29F19663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9" w:line="215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I</w:t>
            </w:r>
            <w:r w:rsidR="00876B62">
              <w:rPr>
                <w:rFonts w:ascii="Times New Roman" w:hAnsi="Times New Roman" w:cs="Times New Roman"/>
                <w:b/>
                <w:spacing w:val="-1"/>
                <w:lang w:val="sk-SK"/>
              </w:rPr>
              <w:t>S</w:t>
            </w: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 xml:space="preserve"> pre rozdiel</w:t>
            </w:r>
            <w:r w:rsidRPr="00D45D95">
              <w:rPr>
                <w:rFonts w:ascii="Times New Roman" w:hAnsi="Times New Roman" w:cs="Times New Roman"/>
                <w:b/>
                <w:spacing w:val="2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medzi</w:t>
            </w:r>
            <w:r w:rsidRPr="00D45D95">
              <w:rPr>
                <w:rFonts w:ascii="Times New Roman" w:hAnsi="Times New Roman" w:cs="Times New Roman"/>
                <w:b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liečbami</w:t>
            </w:r>
            <w:r w:rsidRPr="00BB53F4">
              <w:rPr>
                <w:rFonts w:ascii="Times New Roman" w:hAnsi="Times New Roman" w:cs="Times New Roman"/>
                <w:b/>
                <w:spacing w:val="-1"/>
                <w:position w:val="10"/>
                <w:vertAlign w:val="superscript"/>
                <w:lang w:val="sk-SK"/>
              </w:rPr>
              <w:t>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32D68BB" w14:textId="77777777" w:rsidR="00AF2C33" w:rsidRPr="00D45D95" w:rsidRDefault="00876B62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Prežívanie</w:t>
            </w:r>
            <w:r w:rsidRPr="00D45D95">
              <w:rPr>
                <w:rFonts w:ascii="Times New Roman" w:hAnsi="Times New Roman" w:cs="Times New Roman"/>
                <w:b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bez progresie</w:t>
            </w:r>
            <w:r w:rsidR="008479D7">
              <w:rPr>
                <w:rFonts w:ascii="Times New Roman" w:hAnsi="Times New Roman" w:cs="Times New Roman"/>
                <w:b/>
                <w:spacing w:val="-1"/>
                <w:lang w:val="sk-SK"/>
              </w:rPr>
              <w:t xml:space="preserve"> (PFS)</w:t>
            </w:r>
            <w:r w:rsidRPr="00876B62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sk-SK"/>
              </w:rPr>
              <w:t xml:space="preserve"> </w:t>
            </w:r>
            <w:r w:rsidR="008479D7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sk-SK"/>
              </w:rPr>
              <w:t xml:space="preserve">a </w:t>
            </w:r>
            <w:r w:rsidRPr="00876B62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sk-SK"/>
              </w:rPr>
              <w:t>b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0177906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F2C33" w:rsidRPr="00D45D95" w14:paraId="47F34809" w14:textId="77777777">
        <w:trPr>
          <w:trHeight w:hRule="exact" w:val="258"/>
        </w:trPr>
        <w:tc>
          <w:tcPr>
            <w:tcW w:w="19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E5C7090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Celková</w:t>
            </w:r>
          </w:p>
        </w:tc>
        <w:tc>
          <w:tcPr>
            <w:tcW w:w="74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B56F4E7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1217</w:t>
            </w:r>
          </w:p>
        </w:tc>
        <w:tc>
          <w:tcPr>
            <w:tcW w:w="19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1FE2709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43,0%</w:t>
            </w:r>
            <w:r w:rsidRPr="00D45D95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32,2%</w:t>
            </w:r>
          </w:p>
        </w:tc>
        <w:tc>
          <w:tcPr>
            <w:tcW w:w="270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E2C4FA5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0,74</w:t>
            </w:r>
          </w:p>
        </w:tc>
        <w:tc>
          <w:tcPr>
            <w:tcW w:w="195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4F862CF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0,90</w:t>
            </w:r>
          </w:p>
        </w:tc>
      </w:tr>
      <w:tr w:rsidR="00AF2C33" w:rsidRPr="00D45D95" w14:paraId="70211534" w14:textId="77777777">
        <w:trPr>
          <w:trHeight w:hRule="exact" w:val="253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5B1F5AE2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5CEE733B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42C78430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[5,3%;</w:t>
            </w:r>
            <w:r w:rsidRPr="00D45D95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16,1%]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7B26F289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[0,65, 0,85]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20336E74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[0,79; 1,02]</w:t>
            </w:r>
          </w:p>
        </w:tc>
      </w:tr>
      <w:tr w:rsidR="00AF2C33" w:rsidRPr="00D45D95" w14:paraId="01382D0F" w14:textId="77777777">
        <w:trPr>
          <w:trHeight w:hRule="exact" w:val="253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40376D84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29714416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794DBF61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36B3DFB4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5,7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5,8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2D99D2C9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18,8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17,4</w:t>
            </w:r>
            <w:r w:rsidRPr="00D45D95">
              <w:rPr>
                <w:rFonts w:ascii="Times New Roman" w:hAnsi="Times New Roman" w:cs="Times New Roman"/>
                <w:spacing w:val="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>m</w:t>
            </w:r>
          </w:p>
        </w:tc>
      </w:tr>
      <w:tr w:rsidR="00AF2C33" w:rsidRPr="00D45D95" w14:paraId="1CF8B1AE" w14:textId="77777777">
        <w:trPr>
          <w:trHeight w:hRule="exact" w:val="510"/>
        </w:trPr>
        <w:tc>
          <w:tcPr>
            <w:tcW w:w="190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325493A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877196E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C174A5A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48C6425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p&lt;0,0001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8EAA640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p=0,1087</w:t>
            </w:r>
          </w:p>
        </w:tc>
      </w:tr>
      <w:tr w:rsidR="00AF2C33" w:rsidRPr="00D45D95" w14:paraId="26D11CD9" w14:textId="77777777">
        <w:trPr>
          <w:trHeight w:hRule="exact" w:val="259"/>
        </w:trPr>
        <w:tc>
          <w:tcPr>
            <w:tcW w:w="190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BC51E2E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8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Pozitivita mutácie</w:t>
            </w:r>
          </w:p>
        </w:tc>
        <w:tc>
          <w:tcPr>
            <w:tcW w:w="7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4238681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8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261</w:t>
            </w:r>
          </w:p>
        </w:tc>
        <w:tc>
          <w:tcPr>
            <w:tcW w:w="19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1EBDAC2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8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71,2% vs 47,3%</w:t>
            </w:r>
          </w:p>
        </w:tc>
        <w:tc>
          <w:tcPr>
            <w:tcW w:w="270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033FA6D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8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0,48</w:t>
            </w:r>
          </w:p>
        </w:tc>
        <w:tc>
          <w:tcPr>
            <w:tcW w:w="195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51AF90B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8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1,00</w:t>
            </w:r>
          </w:p>
        </w:tc>
      </w:tr>
      <w:tr w:rsidR="00AF2C33" w:rsidRPr="00D45D95" w14:paraId="6C4F304A" w14:textId="77777777">
        <w:trPr>
          <w:trHeight w:hRule="exact" w:val="252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3F4C826E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EGFR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5348861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7B60E9F2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[12,0%; 34,9%]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4FFBDABB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[0,36; 0,64]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0C030E7B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[0,76;</w:t>
            </w:r>
            <w:r w:rsidRPr="00D45D95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1,33]</w:t>
            </w:r>
          </w:p>
        </w:tc>
      </w:tr>
      <w:tr w:rsidR="00AF2C33" w:rsidRPr="00D45D95" w14:paraId="019BDB68" w14:textId="77777777">
        <w:trPr>
          <w:trHeight w:hRule="exact" w:val="253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34FC7C26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55337B9F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331A56FB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1487BB52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9,5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6,3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3629EDFD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21,6 m</w:t>
            </w:r>
            <w:r w:rsidRPr="00D45D95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</w:t>
            </w:r>
            <w:r w:rsidRPr="00D45D95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21,9</w:t>
            </w:r>
            <w:r w:rsidRPr="00D45D95">
              <w:rPr>
                <w:rFonts w:ascii="Times New Roman" w:hAnsi="Times New Roman" w:cs="Times New Roman"/>
                <w:spacing w:val="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>m</w:t>
            </w:r>
          </w:p>
        </w:tc>
      </w:tr>
      <w:tr w:rsidR="00AF2C33" w:rsidRPr="00D45D95" w14:paraId="784E033C" w14:textId="77777777">
        <w:trPr>
          <w:trHeight w:hRule="exact" w:val="512"/>
        </w:trPr>
        <w:tc>
          <w:tcPr>
            <w:tcW w:w="190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33CC5C0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D7B2D97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990F32A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8CD6F05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p&lt;0,0001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C28E7B5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F2C33" w:rsidRPr="00D45D95" w14:paraId="44A17DD8" w14:textId="77777777">
        <w:trPr>
          <w:trHeight w:hRule="exact" w:val="257"/>
        </w:trPr>
        <w:tc>
          <w:tcPr>
            <w:tcW w:w="190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3DF17FF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Negativita mutácie</w:t>
            </w:r>
          </w:p>
        </w:tc>
        <w:tc>
          <w:tcPr>
            <w:tcW w:w="7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0A86D94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176</w:t>
            </w:r>
          </w:p>
        </w:tc>
        <w:tc>
          <w:tcPr>
            <w:tcW w:w="19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880755F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1,1% vs 23,5%</w:t>
            </w:r>
          </w:p>
        </w:tc>
        <w:tc>
          <w:tcPr>
            <w:tcW w:w="270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323969A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2,85</w:t>
            </w:r>
          </w:p>
        </w:tc>
        <w:tc>
          <w:tcPr>
            <w:tcW w:w="195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7557621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1,18</w:t>
            </w:r>
          </w:p>
        </w:tc>
      </w:tr>
      <w:tr w:rsidR="00AF2C33" w:rsidRPr="00D45D95" w14:paraId="6A993FB7" w14:textId="77777777">
        <w:trPr>
          <w:trHeight w:hRule="exact" w:val="253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0265A79B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EGFR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0DB9A83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53C345B8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[-32,5%;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-13,3%]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0556822F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[2,05;</w:t>
            </w:r>
            <w:r w:rsidRPr="00D45D95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3,98]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62CCEC7C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[0,86;</w:t>
            </w:r>
            <w:r w:rsidRPr="00D45D95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1,63]</w:t>
            </w:r>
          </w:p>
        </w:tc>
      </w:tr>
      <w:tr w:rsidR="00AF2C33" w:rsidRPr="00D45D95" w14:paraId="5C18535A" w14:textId="77777777">
        <w:trPr>
          <w:trHeight w:hRule="exact" w:val="253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142E3430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4B94CDB5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26A48268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102B879B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1,5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5,5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70FE0525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11,2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12,7</w:t>
            </w:r>
            <w:r w:rsidRPr="00D45D95">
              <w:rPr>
                <w:rFonts w:ascii="Times New Roman" w:hAnsi="Times New Roman" w:cs="Times New Roman"/>
                <w:spacing w:val="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>m</w:t>
            </w:r>
          </w:p>
        </w:tc>
      </w:tr>
      <w:tr w:rsidR="00AF2C33" w:rsidRPr="00D45D95" w14:paraId="3D8C541D" w14:textId="77777777">
        <w:trPr>
          <w:trHeight w:hRule="exact" w:val="511"/>
        </w:trPr>
        <w:tc>
          <w:tcPr>
            <w:tcW w:w="190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C4287BA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F5DB0DB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8568393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A0252DA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p&lt;0,0001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63154BA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F2C33" w:rsidRPr="00D45D95" w14:paraId="6186C64C" w14:textId="77777777">
        <w:trPr>
          <w:trHeight w:hRule="exact" w:val="257"/>
        </w:trPr>
        <w:tc>
          <w:tcPr>
            <w:tcW w:w="190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B83AFA1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Neznáma mutácia</w:t>
            </w:r>
          </w:p>
        </w:tc>
        <w:tc>
          <w:tcPr>
            <w:tcW w:w="7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5F59E30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780</w:t>
            </w:r>
          </w:p>
        </w:tc>
        <w:tc>
          <w:tcPr>
            <w:tcW w:w="19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AC26418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43,3% vs 29,2%</w:t>
            </w:r>
          </w:p>
        </w:tc>
        <w:tc>
          <w:tcPr>
            <w:tcW w:w="270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E86993A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0,68</w:t>
            </w:r>
          </w:p>
        </w:tc>
        <w:tc>
          <w:tcPr>
            <w:tcW w:w="195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CB11BDC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0,82</w:t>
            </w:r>
          </w:p>
        </w:tc>
      </w:tr>
      <w:tr w:rsidR="00AF2C33" w:rsidRPr="00D45D95" w14:paraId="5D8238AC" w14:textId="77777777">
        <w:trPr>
          <w:trHeight w:hRule="exact" w:val="253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0A7249B9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EGFR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5D82F833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0478AD00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[7,3%; 20,6%]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24917EC4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[0,58 až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0,81]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7CB8EDA8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[0,70 až 0,96]</w:t>
            </w:r>
          </w:p>
        </w:tc>
      </w:tr>
      <w:tr w:rsidR="00AF2C33" w:rsidRPr="00D45D95" w14:paraId="7EE94DF5" w14:textId="77777777">
        <w:trPr>
          <w:trHeight w:hRule="exact" w:val="253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67C4F506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09F8DF85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2BA399DB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3E52244D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6,6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5,8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70476B39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18,9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vs.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17,2</w:t>
            </w:r>
            <w:r w:rsidRPr="00D45D95">
              <w:rPr>
                <w:rFonts w:ascii="Times New Roman" w:hAnsi="Times New Roman" w:cs="Times New Roman"/>
                <w:spacing w:val="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>m</w:t>
            </w:r>
          </w:p>
        </w:tc>
      </w:tr>
      <w:tr w:rsidR="00AF2C33" w:rsidRPr="00D45D95" w14:paraId="2AECF384" w14:textId="77777777">
        <w:trPr>
          <w:trHeight w:hRule="exact" w:val="259"/>
        </w:trPr>
        <w:tc>
          <w:tcPr>
            <w:tcW w:w="190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760B1B4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38E306A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0E42D2B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CA5C294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p&lt;0,0001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E26A09F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5F46DD40" w14:textId="77777777" w:rsidR="00AF2C33" w:rsidRPr="00D45D95" w:rsidRDefault="008174E0" w:rsidP="004568C3">
      <w:pPr>
        <w:numPr>
          <w:ilvl w:val="0"/>
          <w:numId w:val="12"/>
        </w:numPr>
        <w:tabs>
          <w:tab w:val="left" w:pos="0"/>
          <w:tab w:val="left" w:pos="940"/>
        </w:tabs>
        <w:spacing w:line="211" w:lineRule="exact"/>
        <w:ind w:left="0" w:firstLine="0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lang w:val="sk-SK"/>
        </w:rPr>
        <w:t>Uvedené</w:t>
      </w:r>
      <w:r w:rsidRPr="00D45D95">
        <w:rPr>
          <w:rFonts w:ascii="Times New Roman" w:hAnsi="Times New Roman" w:cs="Times New Roman"/>
          <w:spacing w:val="-9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hodnoty</w:t>
      </w:r>
      <w:r w:rsidRPr="00D45D95">
        <w:rPr>
          <w:rFonts w:ascii="Times New Roman" w:hAnsi="Times New Roman" w:cs="Times New Roman"/>
          <w:spacing w:val="-8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sú</w:t>
      </w:r>
      <w:r w:rsidRPr="00D45D95">
        <w:rPr>
          <w:rFonts w:ascii="Times New Roman" w:hAnsi="Times New Roman" w:cs="Times New Roman"/>
          <w:spacing w:val="-8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pre</w:t>
      </w:r>
      <w:r w:rsidRPr="00D45D95">
        <w:rPr>
          <w:rFonts w:ascii="Times New Roman" w:hAnsi="Times New Roman" w:cs="Times New Roman"/>
          <w:spacing w:val="-8"/>
          <w:lang w:val="sk-SK"/>
        </w:rPr>
        <w:t xml:space="preserve"> </w:t>
      </w:r>
      <w:r w:rsidR="00D45D95">
        <w:rPr>
          <w:rFonts w:ascii="Times New Roman" w:hAnsi="Times New Roman" w:cs="Times New Roman"/>
          <w:lang w:val="sk-SK"/>
        </w:rPr>
        <w:t>g</w:t>
      </w:r>
      <w:r w:rsidR="003C1EF3" w:rsidRPr="00D45D95">
        <w:rPr>
          <w:rFonts w:ascii="Times New Roman" w:hAnsi="Times New Roman" w:cs="Times New Roman"/>
          <w:lang w:val="sk-SK"/>
        </w:rPr>
        <w:t xml:space="preserve">efitinib </w:t>
      </w:r>
      <w:r w:rsidRPr="00D45D95">
        <w:rPr>
          <w:rFonts w:ascii="Times New Roman" w:hAnsi="Times New Roman" w:cs="Times New Roman"/>
          <w:lang w:val="sk-SK"/>
        </w:rPr>
        <w:t>versus</w:t>
      </w:r>
      <w:r w:rsidRPr="00D45D95">
        <w:rPr>
          <w:rFonts w:ascii="Times New Roman" w:hAnsi="Times New Roman" w:cs="Times New Roman"/>
          <w:spacing w:val="-8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karboplatina/paklitaxel.</w:t>
      </w:r>
    </w:p>
    <w:p w14:paraId="3CA2D956" w14:textId="40963811" w:rsidR="00AF2C33" w:rsidRPr="00D45D95" w:rsidRDefault="0037611A" w:rsidP="004568C3">
      <w:pPr>
        <w:numPr>
          <w:ilvl w:val="0"/>
          <w:numId w:val="12"/>
        </w:numPr>
        <w:tabs>
          <w:tab w:val="left" w:pos="0"/>
          <w:tab w:val="left" w:pos="940"/>
        </w:tabs>
        <w:ind w:left="0" w:firstLine="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spacing w:val="-1"/>
          <w:lang w:val="sk-SK"/>
        </w:rPr>
        <w:t>„</w:t>
      </w:r>
      <w:r w:rsidR="008174E0" w:rsidRPr="00D45D95"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-1"/>
          <w:lang w:val="sk-SK"/>
        </w:rPr>
        <w:t>“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je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medián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v</w:t>
      </w:r>
      <w:r w:rsidR="008174E0" w:rsidRPr="00D45D95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mesiacoch.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Čísla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v</w:t>
      </w:r>
      <w:r w:rsidR="008174E0" w:rsidRPr="00D45D95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hranatých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zátvorkách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sú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95%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interval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spoľahlivosti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pre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HR</w:t>
      </w:r>
      <w:r w:rsidR="008174E0" w:rsidRPr="00D45D95">
        <w:rPr>
          <w:rFonts w:ascii="Times New Roman" w:eastAsia="Times New Roman" w:hAnsi="Times New Roman" w:cs="Times New Roman"/>
          <w:spacing w:val="21"/>
          <w:w w:val="99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w w:val="95"/>
          <w:lang w:val="sk-SK"/>
        </w:rPr>
        <w:t>N</w:t>
      </w:r>
      <w:r w:rsidR="008174E0" w:rsidRPr="00D45D95">
        <w:rPr>
          <w:rFonts w:ascii="Times New Roman" w:eastAsia="Times New Roman" w:hAnsi="Times New Roman" w:cs="Times New Roman"/>
          <w:w w:val="95"/>
          <w:lang w:val="sk-SK"/>
        </w:rPr>
        <w:tab/>
      </w:r>
      <w:r w:rsidR="008174E0" w:rsidRPr="00D45D95">
        <w:rPr>
          <w:rFonts w:ascii="Times New Roman" w:eastAsia="Times New Roman" w:hAnsi="Times New Roman" w:cs="Times New Roman"/>
          <w:lang w:val="sk-SK"/>
        </w:rPr>
        <w:t>Počet</w:t>
      </w:r>
      <w:r w:rsidR="008174E0" w:rsidRPr="00D45D95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randomizovaných</w:t>
      </w:r>
      <w:r w:rsidR="008174E0" w:rsidRPr="00D45D95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pacientov</w:t>
      </w:r>
    </w:p>
    <w:p w14:paraId="4E788019" w14:textId="77777777" w:rsidR="00AF2C33" w:rsidRPr="00D45D95" w:rsidRDefault="008174E0" w:rsidP="004568C3">
      <w:pPr>
        <w:tabs>
          <w:tab w:val="left" w:pos="0"/>
          <w:tab w:val="left" w:pos="939"/>
        </w:tabs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w w:val="95"/>
          <w:lang w:val="sk-SK"/>
        </w:rPr>
        <w:t>HR</w:t>
      </w:r>
      <w:r w:rsidRPr="00D45D95">
        <w:rPr>
          <w:rFonts w:ascii="Times New Roman" w:hAnsi="Times New Roman" w:cs="Times New Roman"/>
          <w:w w:val="95"/>
          <w:lang w:val="sk-SK"/>
        </w:rPr>
        <w:tab/>
      </w:r>
      <w:r w:rsidRPr="00D45D95">
        <w:rPr>
          <w:rFonts w:ascii="Times New Roman" w:hAnsi="Times New Roman" w:cs="Times New Roman"/>
          <w:spacing w:val="-1"/>
          <w:lang w:val="sk-SK"/>
        </w:rPr>
        <w:t>Pomer</w:t>
      </w:r>
      <w:r w:rsidRPr="00D45D95">
        <w:rPr>
          <w:rFonts w:ascii="Times New Roman" w:hAnsi="Times New Roman" w:cs="Times New Roman"/>
          <w:spacing w:val="-5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rizika</w:t>
      </w:r>
      <w:r w:rsidRPr="00D45D95">
        <w:rPr>
          <w:rFonts w:ascii="Times New Roman" w:hAnsi="Times New Roman" w:cs="Times New Roman"/>
          <w:spacing w:val="-5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(pomer</w:t>
      </w:r>
      <w:r w:rsidRPr="00D45D95">
        <w:rPr>
          <w:rFonts w:ascii="Times New Roman" w:hAnsi="Times New Roman" w:cs="Times New Roman"/>
          <w:spacing w:val="-5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rizika</w:t>
      </w:r>
      <w:r w:rsidRPr="00D45D95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&lt;</w:t>
      </w:r>
      <w:r w:rsidRPr="00D45D95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1</w:t>
      </w:r>
      <w:r w:rsidRPr="00D45D95">
        <w:rPr>
          <w:rFonts w:ascii="Times New Roman" w:hAnsi="Times New Roman" w:cs="Times New Roman"/>
          <w:spacing w:val="-5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v</w:t>
      </w:r>
      <w:r w:rsidRPr="00D45D95">
        <w:rPr>
          <w:rFonts w:ascii="Times New Roman" w:hAnsi="Times New Roman" w:cs="Times New Roman"/>
          <w:spacing w:val="-5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prospech</w:t>
      </w:r>
      <w:r w:rsidRPr="00D45D95">
        <w:rPr>
          <w:rFonts w:ascii="Times New Roman" w:hAnsi="Times New Roman" w:cs="Times New Roman"/>
          <w:spacing w:val="-4"/>
          <w:lang w:val="sk-SK"/>
        </w:rPr>
        <w:t xml:space="preserve"> </w:t>
      </w:r>
      <w:r w:rsidR="00D45D95">
        <w:rPr>
          <w:rFonts w:ascii="Times New Roman" w:hAnsi="Times New Roman" w:cs="Times New Roman"/>
          <w:lang w:val="sk-SK"/>
        </w:rPr>
        <w:t>g</w:t>
      </w:r>
      <w:r w:rsidR="003C1EF3" w:rsidRPr="00D45D95">
        <w:rPr>
          <w:rFonts w:ascii="Times New Roman" w:hAnsi="Times New Roman" w:cs="Times New Roman"/>
          <w:lang w:val="sk-SK"/>
        </w:rPr>
        <w:t>efitinib</w:t>
      </w:r>
      <w:r w:rsidR="00D45D95">
        <w:rPr>
          <w:rFonts w:ascii="Times New Roman" w:hAnsi="Times New Roman" w:cs="Times New Roman"/>
          <w:lang w:val="sk-SK"/>
        </w:rPr>
        <w:t>u</w:t>
      </w:r>
      <w:r w:rsidRPr="00D45D95">
        <w:rPr>
          <w:rFonts w:ascii="Times New Roman" w:hAnsi="Times New Roman" w:cs="Times New Roman"/>
          <w:lang w:val="sk-SK"/>
        </w:rPr>
        <w:t>)</w:t>
      </w:r>
    </w:p>
    <w:p w14:paraId="7FD72056" w14:textId="77777777" w:rsidR="00AF2C33" w:rsidRPr="00D45D95" w:rsidRDefault="00AF2C33" w:rsidP="004568C3">
      <w:pPr>
        <w:tabs>
          <w:tab w:val="left" w:pos="0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14:paraId="7B007A9A" w14:textId="5DF1B0FA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Kvalita života bola rozdielna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závislosti od stavu mutácie EGFR.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pacientov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-1"/>
          <w:lang w:val="sk-SK"/>
        </w:rPr>
        <w:t xml:space="preserve"> aktivujúcou mutáciou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EGFR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došlo</w:t>
      </w:r>
      <w:r w:rsidRPr="00D45D95">
        <w:rPr>
          <w:rFonts w:cs="Times New Roman"/>
          <w:lang w:val="sk-SK"/>
        </w:rPr>
        <w:t xml:space="preserve"> u </w:t>
      </w:r>
      <w:r w:rsidRPr="00D45D95">
        <w:rPr>
          <w:rFonts w:cs="Times New Roman"/>
          <w:spacing w:val="-1"/>
          <w:lang w:val="sk-SK"/>
        </w:rPr>
        <w:t xml:space="preserve">významne väčšieho počtu pacientov liečených </w:t>
      </w:r>
      <w:r w:rsidR="00D45D95">
        <w:rPr>
          <w:rFonts w:cs="Times New Roman"/>
          <w:spacing w:val="-1"/>
          <w:lang w:val="sk-SK"/>
        </w:rPr>
        <w:t>g</w:t>
      </w:r>
      <w:r w:rsidR="003C1EF3" w:rsidRPr="00D45D95">
        <w:rPr>
          <w:rFonts w:cs="Times New Roman"/>
          <w:spacing w:val="-1"/>
          <w:lang w:val="sk-SK"/>
        </w:rPr>
        <w:t>efitinib</w:t>
      </w:r>
      <w:r w:rsidR="00D45D95">
        <w:rPr>
          <w:rFonts w:cs="Times New Roman"/>
          <w:spacing w:val="-1"/>
          <w:lang w:val="sk-SK"/>
        </w:rPr>
        <w:t>om</w:t>
      </w:r>
      <w:r w:rsidRPr="00D45D9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lang w:val="sk-SK"/>
        </w:rPr>
        <w:t>k</w:t>
      </w:r>
      <w:r w:rsidRPr="00D45D95">
        <w:rPr>
          <w:rFonts w:cs="Times New Roman"/>
          <w:spacing w:val="-1"/>
          <w:lang w:val="sk-SK"/>
        </w:rPr>
        <w:t xml:space="preserve"> zlepšeniu kvality života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25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príznakov karcinómu pľúc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porovnaní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-1"/>
          <w:lang w:val="sk-SK"/>
        </w:rPr>
        <w:t xml:space="preserve"> karboplatinou/paklitaxel</w:t>
      </w:r>
      <w:r w:rsidR="0037611A">
        <w:rPr>
          <w:rFonts w:cs="Times New Roman"/>
          <w:spacing w:val="-1"/>
          <w:lang w:val="sk-SK"/>
        </w:rPr>
        <w:t>o</w:t>
      </w:r>
      <w:r w:rsidRPr="00D45D95">
        <w:rPr>
          <w:rFonts w:cs="Times New Roman"/>
          <w:spacing w:val="-1"/>
          <w:lang w:val="sk-SK"/>
        </w:rPr>
        <w:t>m (pozri Tabuľka 4).</w:t>
      </w:r>
    </w:p>
    <w:p w14:paraId="5C6C4D6B" w14:textId="77777777" w:rsidR="00AF2C33" w:rsidRPr="00D45D95" w:rsidRDefault="00AF2C33" w:rsidP="004568C3">
      <w:pPr>
        <w:tabs>
          <w:tab w:val="left" w:pos="0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41E2FC3B" w14:textId="770BB909" w:rsidR="00AF2C33" w:rsidRPr="00D45D95" w:rsidRDefault="00AC2922" w:rsidP="004568C3">
      <w:pPr>
        <w:pStyle w:val="Nadpis1"/>
        <w:tabs>
          <w:tab w:val="left" w:pos="0"/>
        </w:tabs>
        <w:ind w:left="0"/>
        <w:rPr>
          <w:rFonts w:cs="Times New Roman"/>
          <w:b w:val="0"/>
          <w:bCs w:val="0"/>
          <w:lang w:val="sk-SK"/>
        </w:rPr>
      </w:pPr>
      <w:r>
        <w:rPr>
          <w:rFonts w:cs="Times New Roman"/>
          <w:lang w:val="sk-SK"/>
        </w:rPr>
        <w:pict w14:anchorId="2F1DB56A">
          <v:group id="_x0000_s1096" style="position:absolute;margin-left:65.15pt;margin-top:26.1pt;width:354.25pt;height:.1pt;z-index:1120;mso-position-horizontal-relative:page" coordorigin="1303,522" coordsize="7085,2">
            <v:shape id="_x0000_s1097" style="position:absolute;left:1303;top:522;width:7085;height:2" coordorigin="1303,522" coordsize="7085,0" path="m1303,522r7085,e" filled="f" strokeweight="1.54pt">
              <v:path arrowok="t"/>
            </v:shape>
            <w10:wrap anchorx="page"/>
          </v:group>
        </w:pict>
      </w:r>
      <w:r w:rsidR="008174E0" w:rsidRPr="00D45D95">
        <w:rPr>
          <w:rFonts w:cs="Times New Roman"/>
          <w:spacing w:val="-1"/>
          <w:lang w:val="sk-SK"/>
        </w:rPr>
        <w:t xml:space="preserve">Tabuľka </w:t>
      </w:r>
      <w:r w:rsidR="008174E0" w:rsidRPr="00D45D95">
        <w:rPr>
          <w:rFonts w:cs="Times New Roman"/>
          <w:lang w:val="sk-SK"/>
        </w:rPr>
        <w:t>4</w:t>
      </w:r>
      <w:r w:rsidR="008174E0" w:rsidRPr="00D45D95">
        <w:rPr>
          <w:rFonts w:cs="Times New Roman"/>
          <w:spacing w:val="-1"/>
          <w:lang w:val="sk-SK"/>
        </w:rPr>
        <w:t xml:space="preserve"> </w:t>
      </w:r>
      <w:r w:rsidR="0037611A">
        <w:rPr>
          <w:rFonts w:cs="Times New Roman"/>
          <w:spacing w:val="-1"/>
          <w:lang w:val="sk-SK"/>
        </w:rPr>
        <w:t>Výsledky hodnotenia k</w:t>
      </w:r>
      <w:r w:rsidR="008174E0" w:rsidRPr="00D45D95">
        <w:rPr>
          <w:rFonts w:cs="Times New Roman"/>
          <w:spacing w:val="-1"/>
          <w:lang w:val="sk-SK"/>
        </w:rPr>
        <w:t>valit</w:t>
      </w:r>
      <w:r w:rsidR="0037611A">
        <w:rPr>
          <w:rFonts w:cs="Times New Roman"/>
          <w:spacing w:val="-1"/>
          <w:lang w:val="sk-SK"/>
        </w:rPr>
        <w:t>y</w:t>
      </w:r>
      <w:r w:rsidR="008174E0" w:rsidRPr="00D45D95">
        <w:rPr>
          <w:rFonts w:cs="Times New Roman"/>
          <w:spacing w:val="-1"/>
          <w:lang w:val="sk-SK"/>
        </w:rPr>
        <w:t xml:space="preserve"> života pre gefitinib versus karboplatina/paklitaxel </w:t>
      </w:r>
      <w:r w:rsidR="008174E0" w:rsidRPr="00D45D95">
        <w:rPr>
          <w:rFonts w:cs="Times New Roman"/>
          <w:lang w:val="sk-SK"/>
        </w:rPr>
        <w:t>v</w:t>
      </w:r>
      <w:r w:rsidR="008174E0" w:rsidRPr="00D45D95">
        <w:rPr>
          <w:rFonts w:cs="Times New Roman"/>
          <w:spacing w:val="-1"/>
          <w:lang w:val="sk-SK"/>
        </w:rPr>
        <w:t xml:space="preserve"> klinickom skúšaní</w:t>
      </w:r>
      <w:r w:rsidR="008174E0" w:rsidRPr="00D45D95">
        <w:rPr>
          <w:rFonts w:cs="Times New Roman"/>
          <w:spacing w:val="28"/>
          <w:lang w:val="sk-SK"/>
        </w:rPr>
        <w:t xml:space="preserve"> </w:t>
      </w:r>
      <w:r w:rsidR="008174E0" w:rsidRPr="00D45D95">
        <w:rPr>
          <w:rFonts w:cs="Times New Roman"/>
          <w:lang w:val="sk-SK"/>
        </w:rPr>
        <w:t>IPASS</w:t>
      </w:r>
    </w:p>
    <w:p w14:paraId="3BF32EAA" w14:textId="77777777" w:rsidR="00AF2C33" w:rsidRPr="00D45D95" w:rsidRDefault="00AF2C33" w:rsidP="004568C3">
      <w:pPr>
        <w:tabs>
          <w:tab w:val="left" w:pos="0"/>
        </w:tabs>
        <w:rPr>
          <w:rFonts w:ascii="Times New Roman" w:hAnsi="Times New Roman" w:cs="Times New Roman"/>
          <w:lang w:val="sk-SK"/>
        </w:rPr>
        <w:sectPr w:rsidR="00AF2C33" w:rsidRPr="00D45D95" w:rsidSect="008C7076">
          <w:footerReference w:type="default" r:id="rId10"/>
          <w:pgSz w:w="11910" w:h="16840"/>
          <w:pgMar w:top="1340" w:right="1200" w:bottom="920" w:left="1180" w:header="737" w:footer="739" w:gutter="0"/>
          <w:cols w:space="720"/>
          <w:docGrid w:linePitch="299"/>
        </w:sectPr>
      </w:pPr>
    </w:p>
    <w:p w14:paraId="7B51F151" w14:textId="17C68E66" w:rsidR="00AF2C33" w:rsidRPr="00D45D95" w:rsidRDefault="008174E0" w:rsidP="0042688B">
      <w:pPr>
        <w:tabs>
          <w:tab w:val="left" w:pos="0"/>
          <w:tab w:val="left" w:pos="2731"/>
          <w:tab w:val="left" w:pos="3504"/>
        </w:tabs>
        <w:spacing w:before="30" w:line="254" w:lineRule="exact"/>
        <w:jc w:val="right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b/>
          <w:spacing w:val="-1"/>
          <w:w w:val="95"/>
          <w:lang w:val="sk-SK"/>
        </w:rPr>
        <w:t>Populácia</w:t>
      </w:r>
      <w:r w:rsidRPr="00D45D95">
        <w:rPr>
          <w:rFonts w:ascii="Times New Roman" w:hAnsi="Times New Roman" w:cs="Times New Roman"/>
          <w:b/>
          <w:spacing w:val="-1"/>
          <w:w w:val="95"/>
          <w:lang w:val="sk-SK"/>
        </w:rPr>
        <w:tab/>
      </w:r>
      <w:r w:rsidRPr="00D45D95">
        <w:rPr>
          <w:rFonts w:ascii="Times New Roman" w:hAnsi="Times New Roman" w:cs="Times New Roman"/>
          <w:b/>
          <w:lang w:val="sk-SK"/>
        </w:rPr>
        <w:t>N</w:t>
      </w:r>
      <w:r w:rsidRPr="00D45D95">
        <w:rPr>
          <w:rFonts w:ascii="Times New Roman" w:hAnsi="Times New Roman" w:cs="Times New Roman"/>
          <w:b/>
          <w:lang w:val="sk-SK"/>
        </w:rPr>
        <w:tab/>
      </w:r>
      <w:r w:rsidRPr="00D45D95">
        <w:rPr>
          <w:rFonts w:ascii="Times New Roman" w:hAnsi="Times New Roman" w:cs="Times New Roman"/>
          <w:b/>
          <w:spacing w:val="-1"/>
          <w:lang w:val="sk-SK"/>
        </w:rPr>
        <w:t>FACT-L miera</w:t>
      </w:r>
      <w:r w:rsidRPr="00D45D95">
        <w:rPr>
          <w:rFonts w:ascii="Times New Roman" w:hAnsi="Times New Roman" w:cs="Times New Roman"/>
          <w:b/>
          <w:spacing w:val="23"/>
          <w:lang w:val="sk-SK"/>
        </w:rPr>
        <w:t xml:space="preserve"> </w:t>
      </w:r>
      <w:r w:rsidRPr="00D45D95">
        <w:rPr>
          <w:rFonts w:ascii="Times New Roman" w:hAnsi="Times New Roman" w:cs="Times New Roman"/>
          <w:b/>
          <w:spacing w:val="-1"/>
          <w:lang w:val="sk-SK"/>
        </w:rPr>
        <w:t>zlepšenia QoL</w:t>
      </w:r>
      <w:r w:rsidR="0042688B" w:rsidRPr="00BB53F4">
        <w:rPr>
          <w:rFonts w:ascii="Times New Roman" w:hAnsi="Times New Roman" w:cs="Times New Roman"/>
          <w:b/>
          <w:spacing w:val="-1"/>
          <w:vertAlign w:val="superscript"/>
          <w:lang w:val="sk-SK"/>
        </w:rPr>
        <w:t>a</w:t>
      </w:r>
    </w:p>
    <w:p w14:paraId="11A3AE29" w14:textId="77777777" w:rsidR="00AF2C33" w:rsidRPr="00D45D95" w:rsidRDefault="008174E0" w:rsidP="00BB53F4">
      <w:pPr>
        <w:tabs>
          <w:tab w:val="left" w:pos="0"/>
        </w:tabs>
        <w:spacing w:line="249" w:lineRule="exact"/>
        <w:ind w:right="701"/>
        <w:jc w:val="right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b/>
          <w:lang w:val="sk-SK"/>
        </w:rPr>
        <w:t>%</w:t>
      </w:r>
    </w:p>
    <w:p w14:paraId="4F5D0694" w14:textId="77777777" w:rsidR="00AF2C33" w:rsidRPr="00D45D95" w:rsidRDefault="00AF2C33" w:rsidP="004568C3">
      <w:pPr>
        <w:tabs>
          <w:tab w:val="left" w:pos="0"/>
        </w:tabs>
        <w:spacing w:before="4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3ED231A2" w14:textId="77777777" w:rsidR="00AF2C33" w:rsidRPr="00D45D95" w:rsidRDefault="00AC2922" w:rsidP="00BB53F4">
      <w:pPr>
        <w:pStyle w:val="Zkladntext"/>
        <w:tabs>
          <w:tab w:val="left" w:pos="0"/>
          <w:tab w:val="left" w:pos="2731"/>
          <w:tab w:val="left" w:pos="3504"/>
        </w:tabs>
        <w:ind w:left="4111" w:hanging="4111"/>
        <w:rPr>
          <w:rFonts w:cs="Times New Roman"/>
          <w:lang w:val="sk-SK"/>
        </w:rPr>
      </w:pPr>
      <w:r>
        <w:rPr>
          <w:rFonts w:cs="Times New Roman"/>
          <w:lang w:val="sk-SK"/>
        </w:rPr>
        <w:pict w14:anchorId="21C5655F">
          <v:group id="_x0000_s1094" style="position:absolute;left:0;text-align:left;margin-left:65.15pt;margin-top:-.55pt;width:354.25pt;height:.1pt;z-index:1144;mso-position-horizontal-relative:page" coordorigin="1303,-11" coordsize="7085,2">
            <v:shape id="_x0000_s1095" style="position:absolute;left:1303;top:-11;width:7085;height:2" coordorigin="1303,-11" coordsize="7085,0" path="m1303,-11r7085,e" filled="f" strokeweight="1.54pt">
              <v:path arrowok="t"/>
            </v:shape>
            <w10:wrap anchorx="page"/>
          </v:group>
        </w:pict>
      </w:r>
      <w:r w:rsidR="008174E0" w:rsidRPr="00D45D95">
        <w:rPr>
          <w:rFonts w:cs="Times New Roman"/>
          <w:spacing w:val="-1"/>
          <w:lang w:val="sk-SK"/>
        </w:rPr>
        <w:t>Celková</w:t>
      </w:r>
      <w:r w:rsidR="008174E0" w:rsidRPr="00D45D95">
        <w:rPr>
          <w:rFonts w:cs="Times New Roman"/>
          <w:spacing w:val="-1"/>
          <w:lang w:val="sk-SK"/>
        </w:rPr>
        <w:tab/>
      </w:r>
      <w:r w:rsidR="008174E0" w:rsidRPr="00D45D95">
        <w:rPr>
          <w:rFonts w:cs="Times New Roman"/>
          <w:lang w:val="sk-SK"/>
        </w:rPr>
        <w:t>1151</w:t>
      </w:r>
      <w:r w:rsidR="008174E0" w:rsidRPr="00D45D95">
        <w:rPr>
          <w:rFonts w:cs="Times New Roman"/>
          <w:lang w:val="sk-SK"/>
        </w:rPr>
        <w:tab/>
      </w:r>
      <w:r w:rsidR="008174E0" w:rsidRPr="00D45D95">
        <w:rPr>
          <w:rFonts w:cs="Times New Roman"/>
          <w:spacing w:val="-1"/>
          <w:lang w:val="sk-SK"/>
        </w:rPr>
        <w:t>(48,0% vs 40,8%)</w:t>
      </w:r>
      <w:r w:rsidR="008174E0" w:rsidRPr="00D45D95">
        <w:rPr>
          <w:rFonts w:cs="Times New Roman"/>
          <w:spacing w:val="23"/>
          <w:lang w:val="sk-SK"/>
        </w:rPr>
        <w:t xml:space="preserve"> </w:t>
      </w:r>
      <w:r w:rsidR="008174E0" w:rsidRPr="00D45D95">
        <w:rPr>
          <w:rFonts w:cs="Times New Roman"/>
          <w:lang w:val="sk-SK"/>
        </w:rPr>
        <w:t>p=0,0148</w:t>
      </w:r>
    </w:p>
    <w:p w14:paraId="70DCBC06" w14:textId="77777777" w:rsidR="0042688B" w:rsidRDefault="008174E0" w:rsidP="004568C3">
      <w:pPr>
        <w:pStyle w:val="Nadpis1"/>
        <w:tabs>
          <w:tab w:val="left" w:pos="0"/>
        </w:tabs>
        <w:spacing w:before="38" w:line="228" w:lineRule="auto"/>
        <w:ind w:left="0"/>
        <w:rPr>
          <w:rFonts w:cs="Times New Roman"/>
          <w:spacing w:val="20"/>
          <w:lang w:val="sk-SK"/>
        </w:rPr>
      </w:pPr>
      <w:r w:rsidRPr="00D45D95">
        <w:rPr>
          <w:rFonts w:cs="Times New Roman"/>
          <w:b w:val="0"/>
          <w:lang w:val="sk-SK"/>
        </w:rPr>
        <w:br w:type="column"/>
      </w:r>
      <w:r w:rsidRPr="00D45D95">
        <w:rPr>
          <w:rFonts w:cs="Times New Roman"/>
          <w:spacing w:val="-1"/>
          <w:lang w:val="sk-SK"/>
        </w:rPr>
        <w:t>LCS miera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zlepšenia</w:t>
      </w:r>
      <w:r w:rsidRPr="00D45D95">
        <w:rPr>
          <w:rFonts w:cs="Times New Roman"/>
          <w:spacing w:val="20"/>
          <w:lang w:val="sk-SK"/>
        </w:rPr>
        <w:t xml:space="preserve"> </w:t>
      </w:r>
    </w:p>
    <w:p w14:paraId="20C6F3D6" w14:textId="3751A9E9" w:rsidR="00AF2C33" w:rsidRPr="00D45D95" w:rsidRDefault="008174E0" w:rsidP="004568C3">
      <w:pPr>
        <w:pStyle w:val="Nadpis1"/>
        <w:tabs>
          <w:tab w:val="left" w:pos="0"/>
        </w:tabs>
        <w:spacing w:before="38" w:line="228" w:lineRule="auto"/>
        <w:ind w:left="0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>symptómov</w:t>
      </w:r>
      <w:r w:rsidR="0042688B" w:rsidRPr="00352737">
        <w:rPr>
          <w:rFonts w:cs="Times New Roman"/>
          <w:spacing w:val="-1"/>
          <w:vertAlign w:val="superscript"/>
          <w:lang w:val="sk-SK"/>
        </w:rPr>
        <w:t>a</w:t>
      </w:r>
    </w:p>
    <w:p w14:paraId="0B85265F" w14:textId="77777777" w:rsidR="00AF2C33" w:rsidRPr="00D45D95" w:rsidRDefault="008174E0" w:rsidP="00BB53F4">
      <w:pPr>
        <w:tabs>
          <w:tab w:val="left" w:pos="0"/>
        </w:tabs>
        <w:spacing w:before="3"/>
        <w:ind w:firstLine="426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b/>
          <w:lang w:val="sk-SK"/>
        </w:rPr>
        <w:t>%</w:t>
      </w:r>
    </w:p>
    <w:p w14:paraId="06C0917B" w14:textId="77777777" w:rsidR="0042688B" w:rsidRDefault="0042688B" w:rsidP="004568C3">
      <w:pPr>
        <w:pStyle w:val="Zkladntext"/>
        <w:tabs>
          <w:tab w:val="left" w:pos="0"/>
        </w:tabs>
        <w:spacing w:before="25"/>
        <w:ind w:left="0"/>
        <w:rPr>
          <w:rFonts w:cs="Times New Roman"/>
          <w:spacing w:val="-1"/>
          <w:lang w:val="sk-SK"/>
        </w:rPr>
      </w:pPr>
    </w:p>
    <w:p w14:paraId="559E9FD6" w14:textId="77777777" w:rsidR="0042688B" w:rsidRDefault="008174E0" w:rsidP="004568C3">
      <w:pPr>
        <w:pStyle w:val="Zkladntext"/>
        <w:tabs>
          <w:tab w:val="left" w:pos="0"/>
        </w:tabs>
        <w:spacing w:before="25"/>
        <w:ind w:left="0"/>
        <w:rPr>
          <w:rFonts w:cs="Times New Roman"/>
          <w:spacing w:val="22"/>
          <w:lang w:val="sk-SK"/>
        </w:rPr>
      </w:pPr>
      <w:r w:rsidRPr="00D45D95">
        <w:rPr>
          <w:rFonts w:cs="Times New Roman"/>
          <w:spacing w:val="-1"/>
          <w:lang w:val="sk-SK"/>
        </w:rPr>
        <w:t>(51,5% vs 48,5%)</w:t>
      </w:r>
      <w:r w:rsidRPr="00D45D95">
        <w:rPr>
          <w:rFonts w:cs="Times New Roman"/>
          <w:spacing w:val="22"/>
          <w:lang w:val="sk-SK"/>
        </w:rPr>
        <w:t xml:space="preserve"> </w:t>
      </w:r>
    </w:p>
    <w:p w14:paraId="0E1DC4E2" w14:textId="4166B134" w:rsidR="00AF2C33" w:rsidRPr="00D45D95" w:rsidRDefault="008174E0" w:rsidP="004568C3">
      <w:pPr>
        <w:pStyle w:val="Zkladntext"/>
        <w:tabs>
          <w:tab w:val="left" w:pos="0"/>
        </w:tabs>
        <w:spacing w:before="25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p=0,3037</w:t>
      </w:r>
    </w:p>
    <w:p w14:paraId="2716D8B0" w14:textId="77777777" w:rsidR="00AF2C33" w:rsidRPr="00D45D95" w:rsidRDefault="00AF2C33" w:rsidP="004568C3">
      <w:pPr>
        <w:tabs>
          <w:tab w:val="left" w:pos="0"/>
        </w:tabs>
        <w:rPr>
          <w:rFonts w:ascii="Times New Roman" w:hAnsi="Times New Roman" w:cs="Times New Roman"/>
          <w:lang w:val="sk-SK"/>
        </w:rPr>
        <w:sectPr w:rsidR="00AF2C33" w:rsidRPr="00D45D95">
          <w:type w:val="continuous"/>
          <w:pgSz w:w="11910" w:h="16840"/>
          <w:pgMar w:top="1580" w:right="1200" w:bottom="920" w:left="1180" w:header="720" w:footer="720" w:gutter="0"/>
          <w:cols w:num="2" w:space="720" w:equalWidth="0">
            <w:col w:w="5096" w:space="127"/>
            <w:col w:w="4307"/>
          </w:cols>
        </w:sectPr>
      </w:pPr>
    </w:p>
    <w:p w14:paraId="32838F76" w14:textId="77777777" w:rsidR="00AF2C33" w:rsidRPr="00D45D95" w:rsidRDefault="00AF2C33" w:rsidP="004568C3">
      <w:pPr>
        <w:tabs>
          <w:tab w:val="left" w:pos="0"/>
        </w:tabs>
        <w:spacing w:before="6"/>
        <w:rPr>
          <w:rFonts w:ascii="Times New Roman" w:eastAsia="Times New Roman" w:hAnsi="Times New Roman" w:cs="Times New Roman"/>
          <w:lang w:val="sk-SK"/>
        </w:rPr>
      </w:pPr>
    </w:p>
    <w:p w14:paraId="7C236C31" w14:textId="77777777" w:rsidR="00AF2C33" w:rsidRPr="00D45D95" w:rsidRDefault="00AC2922" w:rsidP="004568C3">
      <w:pPr>
        <w:tabs>
          <w:tab w:val="left" w:pos="0"/>
        </w:tabs>
        <w:spacing w:line="20" w:lineRule="atLeast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</w:r>
      <w:r>
        <w:rPr>
          <w:rFonts w:ascii="Times New Roman" w:eastAsia="Times New Roman" w:hAnsi="Times New Roman" w:cs="Times New Roman"/>
          <w:lang w:val="sk-SK"/>
        </w:rPr>
        <w:pict w14:anchorId="11D14FBE">
          <v:group id="_x0000_s1091" style="width:354.85pt;height:.6pt;mso-position-horizontal-relative:char;mso-position-vertical-relative:line" coordsize="7097,12">
            <v:group id="_x0000_s1092" style="position:absolute;left:6;top:6;width:7085;height:2" coordorigin="6,6" coordsize="7085,2">
              <v:shape id="_x0000_s1093" style="position:absolute;left:6;top:6;width:7085;height:2" coordorigin="6,6" coordsize="7085,0" path="m6,6r7085,e" filled="f" strokeweight=".58pt">
                <v:path arrowok="t"/>
              </v:shape>
            </v:group>
            <w10:wrap type="none"/>
            <w10:anchorlock/>
          </v:group>
        </w:pict>
      </w:r>
    </w:p>
    <w:p w14:paraId="75FA9B31" w14:textId="77777777" w:rsidR="00AF2C33" w:rsidRPr="00D45D95" w:rsidRDefault="00AF2C33" w:rsidP="004568C3">
      <w:pPr>
        <w:tabs>
          <w:tab w:val="left" w:pos="0"/>
        </w:tabs>
        <w:spacing w:line="20" w:lineRule="atLeast"/>
        <w:rPr>
          <w:rFonts w:ascii="Times New Roman" w:eastAsia="Times New Roman" w:hAnsi="Times New Roman" w:cs="Times New Roman"/>
          <w:lang w:val="sk-SK"/>
        </w:rPr>
        <w:sectPr w:rsidR="00AF2C33" w:rsidRPr="00D45D95">
          <w:type w:val="continuous"/>
          <w:pgSz w:w="11910" w:h="16840"/>
          <w:pgMar w:top="1580" w:right="1200" w:bottom="920" w:left="1180" w:header="720" w:footer="720" w:gutter="0"/>
          <w:cols w:space="720"/>
        </w:sectPr>
      </w:pPr>
    </w:p>
    <w:p w14:paraId="2A20AFB2" w14:textId="77777777" w:rsidR="00AF2C33" w:rsidRPr="00D45D95" w:rsidRDefault="008174E0" w:rsidP="004568C3">
      <w:pPr>
        <w:pStyle w:val="Zkladntext"/>
        <w:tabs>
          <w:tab w:val="left" w:pos="0"/>
          <w:tab w:val="left" w:pos="2731"/>
          <w:tab w:val="left" w:pos="3504"/>
        </w:tabs>
        <w:spacing w:line="228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Pozitivita mutácie EGFR</w:t>
      </w:r>
      <w:r w:rsidRPr="00D45D95">
        <w:rPr>
          <w:rFonts w:cs="Times New Roman"/>
          <w:spacing w:val="-1"/>
          <w:lang w:val="sk-SK"/>
        </w:rPr>
        <w:tab/>
      </w:r>
      <w:r w:rsidRPr="00D45D95">
        <w:rPr>
          <w:rFonts w:cs="Times New Roman"/>
          <w:w w:val="95"/>
          <w:lang w:val="sk-SK"/>
        </w:rPr>
        <w:t>259</w:t>
      </w:r>
      <w:r w:rsidRPr="00D45D95">
        <w:rPr>
          <w:rFonts w:cs="Times New Roman"/>
          <w:w w:val="95"/>
          <w:lang w:val="sk-SK"/>
        </w:rPr>
        <w:tab/>
      </w:r>
      <w:r w:rsidRPr="00D45D95">
        <w:rPr>
          <w:rFonts w:cs="Times New Roman"/>
          <w:spacing w:val="-1"/>
          <w:lang w:val="sk-SK"/>
        </w:rPr>
        <w:t>(70,2% vs 44,5%)</w:t>
      </w:r>
    </w:p>
    <w:p w14:paraId="4301141C" w14:textId="77777777" w:rsidR="00AF2C33" w:rsidRPr="00D45D95" w:rsidRDefault="008174E0" w:rsidP="004568C3">
      <w:pPr>
        <w:pStyle w:val="Zkladntext"/>
        <w:tabs>
          <w:tab w:val="left" w:pos="0"/>
        </w:tabs>
        <w:spacing w:line="252" w:lineRule="exact"/>
        <w:ind w:left="0"/>
        <w:jc w:val="right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p&lt;0,0001</w:t>
      </w:r>
    </w:p>
    <w:p w14:paraId="1B6D44D9" w14:textId="77777777" w:rsidR="00AF2C33" w:rsidRPr="00D45D95" w:rsidRDefault="008174E0" w:rsidP="004568C3">
      <w:pPr>
        <w:pStyle w:val="Zkladntext"/>
        <w:tabs>
          <w:tab w:val="left" w:pos="0"/>
        </w:tabs>
        <w:spacing w:line="228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br w:type="column"/>
      </w:r>
      <w:r w:rsidRPr="00D45D95">
        <w:rPr>
          <w:rFonts w:cs="Times New Roman"/>
          <w:spacing w:val="-1"/>
          <w:lang w:val="sk-SK"/>
        </w:rPr>
        <w:t>(75,6% vs 53,9%)</w:t>
      </w:r>
    </w:p>
    <w:p w14:paraId="49F70808" w14:textId="77777777" w:rsidR="00AF2C33" w:rsidRPr="00D45D95" w:rsidRDefault="008174E0" w:rsidP="004568C3">
      <w:pPr>
        <w:pStyle w:val="Zkladntext"/>
        <w:tabs>
          <w:tab w:val="left" w:pos="0"/>
        </w:tabs>
        <w:spacing w:line="252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p=0,0003</w:t>
      </w:r>
    </w:p>
    <w:p w14:paraId="24FBF486" w14:textId="77777777" w:rsidR="00AF2C33" w:rsidRPr="00D45D95" w:rsidRDefault="00AF2C33" w:rsidP="004568C3">
      <w:pPr>
        <w:tabs>
          <w:tab w:val="left" w:pos="0"/>
        </w:tabs>
        <w:spacing w:line="252" w:lineRule="exact"/>
        <w:rPr>
          <w:rFonts w:ascii="Times New Roman" w:hAnsi="Times New Roman" w:cs="Times New Roman"/>
          <w:lang w:val="sk-SK"/>
        </w:rPr>
        <w:sectPr w:rsidR="00AF2C33" w:rsidRPr="00D45D95">
          <w:type w:val="continuous"/>
          <w:pgSz w:w="11910" w:h="16840"/>
          <w:pgMar w:top="1580" w:right="1200" w:bottom="920" w:left="1180" w:header="720" w:footer="720" w:gutter="0"/>
          <w:cols w:num="2" w:space="720" w:equalWidth="0">
            <w:col w:w="5096" w:space="127"/>
            <w:col w:w="4307"/>
          </w:cols>
        </w:sectPr>
      </w:pPr>
    </w:p>
    <w:p w14:paraId="70E07572" w14:textId="77777777" w:rsidR="00AF2C33" w:rsidRPr="00D45D95" w:rsidRDefault="00AF2C33" w:rsidP="004568C3">
      <w:pPr>
        <w:tabs>
          <w:tab w:val="left" w:pos="0"/>
        </w:tabs>
        <w:spacing w:before="6"/>
        <w:rPr>
          <w:rFonts w:ascii="Times New Roman" w:eastAsia="Times New Roman" w:hAnsi="Times New Roman" w:cs="Times New Roman"/>
          <w:lang w:val="sk-SK"/>
        </w:rPr>
      </w:pPr>
    </w:p>
    <w:p w14:paraId="6E067C2A" w14:textId="77777777" w:rsidR="00AF2C33" w:rsidRPr="00D45D95" w:rsidRDefault="00AC2922" w:rsidP="004568C3">
      <w:pPr>
        <w:tabs>
          <w:tab w:val="left" w:pos="0"/>
        </w:tabs>
        <w:spacing w:line="20" w:lineRule="atLeast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</w:r>
      <w:r>
        <w:rPr>
          <w:rFonts w:ascii="Times New Roman" w:eastAsia="Times New Roman" w:hAnsi="Times New Roman" w:cs="Times New Roman"/>
          <w:lang w:val="sk-SK"/>
        </w:rPr>
        <w:pict w14:anchorId="0E913D48">
          <v:group id="_x0000_s1088" style="width:354.85pt;height:.6pt;mso-position-horizontal-relative:char;mso-position-vertical-relative:line" coordsize="7097,12">
            <v:group id="_x0000_s1089" style="position:absolute;left:6;top:6;width:7085;height:2" coordorigin="6,6" coordsize="7085,2">
              <v:shape id="_x0000_s1090" style="position:absolute;left:6;top:6;width:7085;height:2" coordorigin="6,6" coordsize="7085,0" path="m6,6r7085,e" filled="f" strokeweight=".58pt">
                <v:path arrowok="t"/>
              </v:shape>
            </v:group>
            <w10:wrap type="none"/>
            <w10:anchorlock/>
          </v:group>
        </w:pict>
      </w:r>
    </w:p>
    <w:p w14:paraId="09D64AE0" w14:textId="77777777" w:rsidR="00AF2C33" w:rsidRPr="00D45D95" w:rsidRDefault="00AF2C33" w:rsidP="004568C3">
      <w:pPr>
        <w:tabs>
          <w:tab w:val="left" w:pos="0"/>
        </w:tabs>
        <w:spacing w:line="20" w:lineRule="atLeast"/>
        <w:rPr>
          <w:rFonts w:ascii="Times New Roman" w:eastAsia="Times New Roman" w:hAnsi="Times New Roman" w:cs="Times New Roman"/>
          <w:lang w:val="sk-SK"/>
        </w:rPr>
        <w:sectPr w:rsidR="00AF2C33" w:rsidRPr="00D45D95">
          <w:type w:val="continuous"/>
          <w:pgSz w:w="11910" w:h="16840"/>
          <w:pgMar w:top="1580" w:right="1200" w:bottom="920" w:left="1180" w:header="720" w:footer="720" w:gutter="0"/>
          <w:cols w:space="720"/>
        </w:sectPr>
      </w:pPr>
    </w:p>
    <w:p w14:paraId="7D033156" w14:textId="77777777" w:rsidR="00AF2C33" w:rsidRPr="00D45D95" w:rsidRDefault="008174E0" w:rsidP="004568C3">
      <w:pPr>
        <w:pStyle w:val="Zkladntext"/>
        <w:tabs>
          <w:tab w:val="left" w:pos="0"/>
          <w:tab w:val="left" w:pos="2731"/>
          <w:tab w:val="left" w:pos="3504"/>
        </w:tabs>
        <w:spacing w:line="228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Negativita mutácie EGFR</w:t>
      </w:r>
      <w:r w:rsidRPr="00D45D95">
        <w:rPr>
          <w:rFonts w:cs="Times New Roman"/>
          <w:spacing w:val="-1"/>
          <w:lang w:val="sk-SK"/>
        </w:rPr>
        <w:tab/>
      </w:r>
      <w:r w:rsidRPr="00D45D95">
        <w:rPr>
          <w:rFonts w:cs="Times New Roman"/>
          <w:w w:val="95"/>
          <w:lang w:val="sk-SK"/>
        </w:rPr>
        <w:t>169</w:t>
      </w:r>
      <w:r w:rsidRPr="00D45D95">
        <w:rPr>
          <w:rFonts w:cs="Times New Roman"/>
          <w:w w:val="95"/>
          <w:lang w:val="sk-SK"/>
        </w:rPr>
        <w:tab/>
      </w:r>
      <w:r w:rsidRPr="00D45D95">
        <w:rPr>
          <w:rFonts w:cs="Times New Roman"/>
          <w:spacing w:val="-1"/>
          <w:lang w:val="sk-SK"/>
        </w:rPr>
        <w:t>(14,6% vs 36,3%)</w:t>
      </w:r>
    </w:p>
    <w:p w14:paraId="7E88B8C2" w14:textId="77777777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jc w:val="right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p=0,0021</w:t>
      </w:r>
    </w:p>
    <w:p w14:paraId="5E24E8E1" w14:textId="77777777" w:rsidR="00AF2C33" w:rsidRPr="00D45D95" w:rsidRDefault="008174E0" w:rsidP="004568C3">
      <w:pPr>
        <w:pStyle w:val="Zkladntext"/>
        <w:tabs>
          <w:tab w:val="left" w:pos="0"/>
        </w:tabs>
        <w:spacing w:line="228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br w:type="column"/>
      </w:r>
      <w:r w:rsidRPr="00D45D95">
        <w:rPr>
          <w:rFonts w:cs="Times New Roman"/>
          <w:spacing w:val="-1"/>
          <w:lang w:val="sk-SK"/>
        </w:rPr>
        <w:t>(20,2% vs 47,5%)</w:t>
      </w:r>
    </w:p>
    <w:p w14:paraId="4906EA10" w14:textId="77777777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p=0,0002</w:t>
      </w:r>
    </w:p>
    <w:p w14:paraId="294E37FD" w14:textId="77777777" w:rsidR="00AF2C33" w:rsidRPr="00D45D95" w:rsidRDefault="00AF2C33" w:rsidP="004568C3">
      <w:pPr>
        <w:tabs>
          <w:tab w:val="left" w:pos="0"/>
        </w:tabs>
        <w:rPr>
          <w:rFonts w:ascii="Times New Roman" w:hAnsi="Times New Roman" w:cs="Times New Roman"/>
          <w:lang w:val="sk-SK"/>
        </w:rPr>
        <w:sectPr w:rsidR="00AF2C33" w:rsidRPr="00D45D95">
          <w:type w:val="continuous"/>
          <w:pgSz w:w="11910" w:h="16840"/>
          <w:pgMar w:top="1580" w:right="1200" w:bottom="920" w:left="1180" w:header="720" w:footer="720" w:gutter="0"/>
          <w:cols w:num="2" w:space="720" w:equalWidth="0">
            <w:col w:w="5096" w:space="127"/>
            <w:col w:w="4307"/>
          </w:cols>
        </w:sectPr>
      </w:pPr>
    </w:p>
    <w:p w14:paraId="38C6A606" w14:textId="77777777" w:rsidR="00AF2C33" w:rsidRPr="00D45D95" w:rsidRDefault="00AF2C33" w:rsidP="004568C3">
      <w:pPr>
        <w:tabs>
          <w:tab w:val="left" w:pos="0"/>
        </w:tabs>
        <w:spacing w:before="6"/>
        <w:rPr>
          <w:rFonts w:ascii="Times New Roman" w:eastAsia="Times New Roman" w:hAnsi="Times New Roman" w:cs="Times New Roman"/>
          <w:lang w:val="sk-SK"/>
        </w:rPr>
      </w:pPr>
    </w:p>
    <w:p w14:paraId="37DC081A" w14:textId="77777777" w:rsidR="00AF2C33" w:rsidRPr="00D45D95" w:rsidRDefault="00AC2922" w:rsidP="004568C3">
      <w:pPr>
        <w:tabs>
          <w:tab w:val="left" w:pos="0"/>
        </w:tabs>
        <w:spacing w:line="20" w:lineRule="atLeast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</w:r>
      <w:r>
        <w:rPr>
          <w:rFonts w:ascii="Times New Roman" w:eastAsia="Times New Roman" w:hAnsi="Times New Roman" w:cs="Times New Roman"/>
          <w:lang w:val="sk-SK"/>
        </w:rPr>
        <w:pict w14:anchorId="1F416483">
          <v:group id="_x0000_s1085" style="width:355.55pt;height:.6pt;mso-position-horizontal-relative:char;mso-position-vertical-relative:line" coordsize="7111,12">
            <v:group id="_x0000_s1086" style="position:absolute;left:6;top:6;width:7100;height:2" coordorigin="6,6" coordsize="7100,2">
              <v:shape id="_x0000_s1087" style="position:absolute;left:6;top:6;width:7100;height:2" coordorigin="6,6" coordsize="7100,0" path="m6,6r7099,e" filled="f" strokeweight=".58pt">
                <v:path arrowok="t"/>
              </v:shape>
            </v:group>
            <w10:wrap type="none"/>
            <w10:anchorlock/>
          </v:group>
        </w:pict>
      </w:r>
    </w:p>
    <w:p w14:paraId="0F2F91B5" w14:textId="5F580F8A" w:rsidR="00AF2C33" w:rsidRPr="00D45D95" w:rsidRDefault="008174E0" w:rsidP="004568C3">
      <w:pPr>
        <w:tabs>
          <w:tab w:val="left" w:pos="0"/>
        </w:tabs>
        <w:spacing w:line="193" w:lineRule="exact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eastAsia="Times New Roman" w:hAnsi="Times New Roman" w:cs="Times New Roman"/>
          <w:spacing w:val="-1"/>
          <w:lang w:val="sk-SK"/>
        </w:rPr>
        <w:t>Výsledky</w:t>
      </w:r>
      <w:r w:rsidRPr="00D45D95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37611A" w:rsidRPr="0037611A">
        <w:rPr>
          <w:rFonts w:ascii="Times New Roman" w:eastAsia="Times New Roman" w:hAnsi="Times New Roman" w:cs="Times New Roman"/>
          <w:spacing w:val="-7"/>
          <w:lang w:val="sk-SK"/>
        </w:rPr>
        <w:t>na základe indexu výsledku skúšania</w:t>
      </w:r>
      <w:r w:rsidR="0037611A">
        <w:rPr>
          <w:rFonts w:ascii="Times New Roman" w:eastAsia="Times New Roman" w:hAnsi="Times New Roman" w:cs="Times New Roman"/>
          <w:spacing w:val="-7"/>
          <w:lang w:val="sk-SK"/>
        </w:rPr>
        <w:t xml:space="preserve"> (</w:t>
      </w:r>
      <w:r w:rsidR="0037611A">
        <w:rPr>
          <w:rFonts w:ascii="Times New Roman" w:eastAsia="Times New Roman" w:hAnsi="Times New Roman" w:cs="Times New Roman"/>
          <w:lang w:val="sk-SK"/>
        </w:rPr>
        <w:t>„</w:t>
      </w:r>
      <w:r w:rsidRPr="00D45D95">
        <w:rPr>
          <w:rFonts w:ascii="Times New Roman" w:eastAsia="Times New Roman" w:hAnsi="Times New Roman" w:cs="Times New Roman"/>
          <w:lang w:val="sk-SK"/>
        </w:rPr>
        <w:t>Trial</w:t>
      </w:r>
      <w:r w:rsidRPr="00D45D95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outcome</w:t>
      </w:r>
      <w:r w:rsidRPr="00D45D95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index</w:t>
      </w:r>
      <w:r w:rsidR="0037611A">
        <w:rPr>
          <w:rFonts w:ascii="Times New Roman" w:eastAsia="Times New Roman" w:hAnsi="Times New Roman" w:cs="Times New Roman"/>
          <w:lang w:val="sk-SK"/>
        </w:rPr>
        <w:t>“)</w:t>
      </w:r>
      <w:r w:rsidRPr="00D45D95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podporovali</w:t>
      </w:r>
      <w:r w:rsidRPr="00D45D95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výsledky</w:t>
      </w:r>
      <w:r w:rsidRPr="00D45D95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FACT-L</w:t>
      </w:r>
      <w:r w:rsidRPr="00D45D95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a</w:t>
      </w:r>
      <w:r w:rsidRPr="00D45D95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LCS</w:t>
      </w:r>
    </w:p>
    <w:p w14:paraId="2EF59270" w14:textId="77777777" w:rsidR="00D45D95" w:rsidRDefault="008174E0" w:rsidP="004568C3">
      <w:pPr>
        <w:tabs>
          <w:tab w:val="left" w:pos="0"/>
          <w:tab w:val="left" w:pos="939"/>
        </w:tabs>
        <w:spacing w:before="17" w:line="228" w:lineRule="exact"/>
        <w:rPr>
          <w:rFonts w:ascii="Times New Roman" w:hAnsi="Times New Roman" w:cs="Times New Roman"/>
          <w:w w:val="99"/>
          <w:lang w:val="sk-SK"/>
        </w:rPr>
      </w:pPr>
      <w:r w:rsidRPr="00D45D95">
        <w:rPr>
          <w:rFonts w:ascii="Times New Roman" w:hAnsi="Times New Roman" w:cs="Times New Roman"/>
          <w:w w:val="95"/>
          <w:position w:val="9"/>
          <w:lang w:val="sk-SK"/>
        </w:rPr>
        <w:t>a</w:t>
      </w:r>
      <w:r w:rsidRPr="00D45D95">
        <w:rPr>
          <w:rFonts w:ascii="Times New Roman" w:hAnsi="Times New Roman" w:cs="Times New Roman"/>
          <w:w w:val="95"/>
          <w:position w:val="9"/>
          <w:lang w:val="sk-SK"/>
        </w:rPr>
        <w:tab/>
      </w:r>
      <w:r w:rsidRPr="00D45D95">
        <w:rPr>
          <w:rFonts w:ascii="Times New Roman" w:hAnsi="Times New Roman" w:cs="Times New Roman"/>
          <w:lang w:val="sk-SK"/>
        </w:rPr>
        <w:t>Uvedené</w:t>
      </w:r>
      <w:r w:rsidRPr="00D45D95">
        <w:rPr>
          <w:rFonts w:ascii="Times New Roman" w:hAnsi="Times New Roman" w:cs="Times New Roman"/>
          <w:spacing w:val="-9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hodnoty</w:t>
      </w:r>
      <w:r w:rsidRPr="00D45D95">
        <w:rPr>
          <w:rFonts w:ascii="Times New Roman" w:hAnsi="Times New Roman" w:cs="Times New Roman"/>
          <w:spacing w:val="-8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sú</w:t>
      </w:r>
      <w:r w:rsidRPr="00D45D95">
        <w:rPr>
          <w:rFonts w:ascii="Times New Roman" w:hAnsi="Times New Roman" w:cs="Times New Roman"/>
          <w:spacing w:val="-8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pre</w:t>
      </w:r>
      <w:r w:rsidRPr="00D45D95">
        <w:rPr>
          <w:rFonts w:ascii="Times New Roman" w:hAnsi="Times New Roman" w:cs="Times New Roman"/>
          <w:spacing w:val="-8"/>
          <w:lang w:val="sk-SK"/>
        </w:rPr>
        <w:t xml:space="preserve"> </w:t>
      </w:r>
      <w:r w:rsidR="00D45D95">
        <w:rPr>
          <w:rFonts w:ascii="Times New Roman" w:hAnsi="Times New Roman" w:cs="Times New Roman"/>
          <w:lang w:val="sk-SK"/>
        </w:rPr>
        <w:t>g</w:t>
      </w:r>
      <w:r w:rsidR="003C1EF3" w:rsidRPr="00D45D95">
        <w:rPr>
          <w:rFonts w:ascii="Times New Roman" w:hAnsi="Times New Roman" w:cs="Times New Roman"/>
          <w:lang w:val="sk-SK"/>
        </w:rPr>
        <w:t xml:space="preserve">efitinib </w:t>
      </w:r>
      <w:r w:rsidRPr="00D45D95">
        <w:rPr>
          <w:rFonts w:ascii="Times New Roman" w:hAnsi="Times New Roman" w:cs="Times New Roman"/>
          <w:lang w:val="sk-SK"/>
        </w:rPr>
        <w:t>versus</w:t>
      </w:r>
      <w:r w:rsidRPr="00D45D95">
        <w:rPr>
          <w:rFonts w:ascii="Times New Roman" w:hAnsi="Times New Roman" w:cs="Times New Roman"/>
          <w:spacing w:val="-8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karboplatina/paklitaxel</w:t>
      </w:r>
      <w:r w:rsidRPr="00D45D95">
        <w:rPr>
          <w:rFonts w:ascii="Times New Roman" w:hAnsi="Times New Roman" w:cs="Times New Roman"/>
          <w:w w:val="99"/>
          <w:lang w:val="sk-SK"/>
        </w:rPr>
        <w:t xml:space="preserve"> </w:t>
      </w:r>
    </w:p>
    <w:p w14:paraId="1DFFA9AF" w14:textId="77777777" w:rsidR="00AF2C33" w:rsidRPr="00D45D95" w:rsidRDefault="008174E0" w:rsidP="004568C3">
      <w:pPr>
        <w:tabs>
          <w:tab w:val="left" w:pos="0"/>
          <w:tab w:val="left" w:pos="939"/>
        </w:tabs>
        <w:spacing w:before="17" w:line="228" w:lineRule="exact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w w:val="95"/>
          <w:lang w:val="sk-SK"/>
        </w:rPr>
        <w:t>N</w:t>
      </w:r>
      <w:r w:rsidRPr="00D45D95">
        <w:rPr>
          <w:rFonts w:ascii="Times New Roman" w:hAnsi="Times New Roman" w:cs="Times New Roman"/>
          <w:w w:val="95"/>
          <w:lang w:val="sk-SK"/>
        </w:rPr>
        <w:tab/>
      </w:r>
      <w:r w:rsidRPr="00D45D95">
        <w:rPr>
          <w:rFonts w:ascii="Times New Roman" w:hAnsi="Times New Roman" w:cs="Times New Roman"/>
          <w:lang w:val="sk-SK"/>
        </w:rPr>
        <w:t>Počet</w:t>
      </w:r>
      <w:r w:rsidRPr="00D45D95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pacientov</w:t>
      </w:r>
      <w:r w:rsidRPr="00D45D95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hodnotených</w:t>
      </w:r>
      <w:r w:rsidRPr="00D45D95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v</w:t>
      </w:r>
      <w:r w:rsidRPr="00D45D95">
        <w:rPr>
          <w:rFonts w:ascii="Times New Roman" w:hAnsi="Times New Roman" w:cs="Times New Roman"/>
          <w:spacing w:val="-8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analýze</w:t>
      </w:r>
      <w:r w:rsidRPr="00D45D95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kvality</w:t>
      </w:r>
      <w:r w:rsidRPr="00D45D95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života</w:t>
      </w:r>
    </w:p>
    <w:p w14:paraId="741D4DA0" w14:textId="77777777" w:rsidR="00AF2C33" w:rsidRPr="00D45D95" w:rsidRDefault="008174E0" w:rsidP="004568C3">
      <w:pPr>
        <w:tabs>
          <w:tab w:val="left" w:pos="0"/>
          <w:tab w:val="left" w:pos="939"/>
        </w:tabs>
        <w:spacing w:line="228" w:lineRule="exact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w w:val="95"/>
          <w:lang w:val="sk-SK"/>
        </w:rPr>
        <w:t>QoL</w:t>
      </w:r>
      <w:r w:rsidRPr="00D45D95">
        <w:rPr>
          <w:rFonts w:ascii="Times New Roman" w:hAnsi="Times New Roman" w:cs="Times New Roman"/>
          <w:w w:val="95"/>
          <w:lang w:val="sk-SK"/>
        </w:rPr>
        <w:tab/>
      </w:r>
      <w:r w:rsidRPr="00D45D95">
        <w:rPr>
          <w:rFonts w:ascii="Times New Roman" w:hAnsi="Times New Roman" w:cs="Times New Roman"/>
          <w:lang w:val="sk-SK"/>
        </w:rPr>
        <w:t>Kvalita</w:t>
      </w:r>
      <w:r w:rsidRPr="00D45D95">
        <w:rPr>
          <w:rFonts w:ascii="Times New Roman" w:hAnsi="Times New Roman" w:cs="Times New Roman"/>
          <w:spacing w:val="-11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života</w:t>
      </w:r>
    </w:p>
    <w:p w14:paraId="2337F607" w14:textId="77777777" w:rsidR="00D45D95" w:rsidRDefault="008174E0" w:rsidP="0037611A">
      <w:pPr>
        <w:tabs>
          <w:tab w:val="left" w:pos="0"/>
          <w:tab w:val="left" w:pos="939"/>
        </w:tabs>
        <w:rPr>
          <w:rFonts w:ascii="Times New Roman" w:eastAsia="Times New Roman" w:hAnsi="Times New Roman" w:cs="Times New Roman"/>
          <w:w w:val="99"/>
          <w:lang w:val="sk-SK"/>
        </w:rPr>
      </w:pPr>
      <w:r w:rsidRPr="00D45D95">
        <w:rPr>
          <w:rFonts w:ascii="Times New Roman" w:eastAsia="Times New Roman" w:hAnsi="Times New Roman" w:cs="Times New Roman"/>
          <w:lang w:val="sk-SK"/>
        </w:rPr>
        <w:t>FACT-L</w:t>
      </w:r>
      <w:r w:rsidRPr="00D45D95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Funkčné</w:t>
      </w:r>
      <w:r w:rsidRPr="00D45D95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hodnotenie</w:t>
      </w:r>
      <w:r w:rsidRPr="00D45D95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protinádorovej</w:t>
      </w:r>
      <w:r w:rsidRPr="00D45D95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liečby</w:t>
      </w:r>
      <w:r w:rsidRPr="00D45D95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–</w:t>
      </w:r>
      <w:r w:rsidRPr="00D45D95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pľúca</w:t>
      </w:r>
      <w:r w:rsidRPr="00D45D95">
        <w:rPr>
          <w:rFonts w:ascii="Times New Roman" w:eastAsia="Times New Roman" w:hAnsi="Times New Roman" w:cs="Times New Roman"/>
          <w:w w:val="99"/>
          <w:lang w:val="sk-SK"/>
        </w:rPr>
        <w:t xml:space="preserve"> </w:t>
      </w:r>
    </w:p>
    <w:p w14:paraId="34E62A9C" w14:textId="77777777" w:rsidR="00AF2C33" w:rsidRPr="00D45D95" w:rsidRDefault="008174E0" w:rsidP="004568C3">
      <w:pPr>
        <w:tabs>
          <w:tab w:val="left" w:pos="0"/>
          <w:tab w:val="left" w:pos="939"/>
        </w:tabs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eastAsia="Times New Roman" w:hAnsi="Times New Roman" w:cs="Times New Roman"/>
          <w:spacing w:val="-1"/>
          <w:w w:val="95"/>
          <w:lang w:val="sk-SK"/>
        </w:rPr>
        <w:t>LCS</w:t>
      </w:r>
      <w:r w:rsidRPr="00D45D95">
        <w:rPr>
          <w:rFonts w:ascii="Times New Roman" w:eastAsia="Times New Roman" w:hAnsi="Times New Roman" w:cs="Times New Roman"/>
          <w:spacing w:val="-1"/>
          <w:w w:val="95"/>
          <w:lang w:val="sk-SK"/>
        </w:rPr>
        <w:tab/>
      </w:r>
      <w:r w:rsidRPr="00D45D95">
        <w:rPr>
          <w:rFonts w:ascii="Times New Roman" w:eastAsia="Times New Roman" w:hAnsi="Times New Roman" w:cs="Times New Roman"/>
          <w:lang w:val="sk-SK"/>
        </w:rPr>
        <w:t>Podškála</w:t>
      </w:r>
      <w:r w:rsidRPr="00D45D95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pre</w:t>
      </w:r>
      <w:r w:rsidRPr="00D45D95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rakovi</w:t>
      </w:r>
      <w:r w:rsidR="00D45D95">
        <w:rPr>
          <w:rFonts w:ascii="Times New Roman" w:eastAsia="Times New Roman" w:hAnsi="Times New Roman" w:cs="Times New Roman"/>
          <w:lang w:val="sk-SK"/>
        </w:rPr>
        <w:t>n</w:t>
      </w:r>
      <w:r w:rsidRPr="00D45D95">
        <w:rPr>
          <w:rFonts w:ascii="Times New Roman" w:eastAsia="Times New Roman" w:hAnsi="Times New Roman" w:cs="Times New Roman"/>
          <w:lang w:val="sk-SK"/>
        </w:rPr>
        <w:t>u</w:t>
      </w:r>
      <w:r w:rsidRPr="00D45D95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pľúc</w:t>
      </w:r>
    </w:p>
    <w:p w14:paraId="7CFD61C2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  <w:sectPr w:rsidR="00AF2C33" w:rsidRPr="00D45D95">
          <w:type w:val="continuous"/>
          <w:pgSz w:w="11910" w:h="16840"/>
          <w:pgMar w:top="1580" w:right="1200" w:bottom="920" w:left="1180" w:header="720" w:footer="720" w:gutter="0"/>
          <w:cols w:space="720"/>
        </w:sectPr>
      </w:pPr>
    </w:p>
    <w:p w14:paraId="1F9C4D6F" w14:textId="50591785" w:rsidR="00AF2C33" w:rsidRPr="00D45D95" w:rsidRDefault="00AC2922" w:rsidP="004568C3">
      <w:pPr>
        <w:pStyle w:val="Zkladntext"/>
        <w:tabs>
          <w:tab w:val="left" w:pos="0"/>
        </w:tabs>
        <w:spacing w:before="61"/>
        <w:ind w:left="0"/>
        <w:rPr>
          <w:rFonts w:cs="Times New Roman"/>
          <w:lang w:val="sk-SK"/>
        </w:rPr>
      </w:pPr>
      <w:r>
        <w:rPr>
          <w:rFonts w:cs="Times New Roman"/>
          <w:highlight w:val="green"/>
          <w:lang w:val="sk-SK"/>
        </w:rPr>
        <w:lastRenderedPageBreak/>
        <w:pict w14:anchorId="2AB9C564">
          <v:group id="_x0000_s1083" style="position:absolute;margin-left:65.15pt;margin-top:466.9pt;width:465pt;height:.1pt;z-index:-61096;mso-position-horizontal-relative:page;mso-position-vertical-relative:page" coordorigin="1303,9338" coordsize="9300,2">
            <v:shape id="_x0000_s1084" style="position:absolute;left:1303;top:9338;width:9300;height:2" coordorigin="1303,9338" coordsize="9300,0" path="m1303,9338r9300,e" filled="f" strokeweight=".82pt">
              <v:path arrowok="t"/>
            </v:shape>
            <w10:wrap anchorx="page" anchory="page"/>
          </v:group>
        </w:pict>
      </w:r>
      <w:r w:rsidR="003C1EF3" w:rsidRPr="005E7A85">
        <w:rPr>
          <w:rFonts w:cs="Times New Roman"/>
          <w:spacing w:val="-1"/>
          <w:lang w:val="sk-SK"/>
        </w:rPr>
        <w:t>Gefitin</w:t>
      </w:r>
      <w:r w:rsidR="003C1EF3" w:rsidRPr="00D45D95">
        <w:rPr>
          <w:rFonts w:cs="Times New Roman"/>
          <w:spacing w:val="-1"/>
          <w:lang w:val="sk-SK"/>
        </w:rPr>
        <w:t xml:space="preserve">ib </w:t>
      </w:r>
      <w:r w:rsidR="00D45D95">
        <w:rPr>
          <w:rFonts w:cs="Times New Roman"/>
          <w:spacing w:val="-1"/>
          <w:lang w:val="sk-SK"/>
        </w:rPr>
        <w:t xml:space="preserve">preukázal </w:t>
      </w:r>
      <w:r w:rsidR="008174E0" w:rsidRPr="00D45D95">
        <w:rPr>
          <w:rFonts w:cs="Times New Roman"/>
          <w:lang w:val="sk-SK"/>
        </w:rPr>
        <w:t>v</w:t>
      </w:r>
      <w:r w:rsidR="008174E0" w:rsidRPr="00D45D95">
        <w:rPr>
          <w:rFonts w:cs="Times New Roman"/>
          <w:spacing w:val="-1"/>
          <w:lang w:val="sk-SK"/>
        </w:rPr>
        <w:t xml:space="preserve"> štúdii IPASS </w:t>
      </w:r>
      <w:r w:rsidR="00C17A5E">
        <w:rPr>
          <w:rFonts w:cs="Times New Roman"/>
          <w:spacing w:val="-1"/>
          <w:lang w:val="sk-SK"/>
        </w:rPr>
        <w:t>lepšie</w:t>
      </w:r>
      <w:r w:rsidR="008174E0" w:rsidRPr="00D45D95">
        <w:rPr>
          <w:rFonts w:cs="Times New Roman"/>
          <w:spacing w:val="-1"/>
          <w:lang w:val="sk-SK"/>
        </w:rPr>
        <w:t xml:space="preserve"> PFS, ORR, QoL </w:t>
      </w:r>
      <w:r w:rsidR="008174E0" w:rsidRPr="00D45D95">
        <w:rPr>
          <w:rFonts w:cs="Times New Roman"/>
          <w:lang w:val="sk-SK"/>
        </w:rPr>
        <w:t>a</w:t>
      </w:r>
      <w:r w:rsidR="008174E0" w:rsidRPr="00D45D95">
        <w:rPr>
          <w:rFonts w:cs="Times New Roman"/>
          <w:spacing w:val="-1"/>
          <w:lang w:val="sk-SK"/>
        </w:rPr>
        <w:t xml:space="preserve"> zmiernenie symptómov bez</w:t>
      </w:r>
      <w:r w:rsidR="008174E0" w:rsidRPr="00D45D95">
        <w:rPr>
          <w:rFonts w:cs="Times New Roman"/>
          <w:spacing w:val="20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 xml:space="preserve">signifikantného rozdielu </w:t>
      </w:r>
      <w:r w:rsidR="008174E0" w:rsidRPr="00D45D95">
        <w:rPr>
          <w:rFonts w:cs="Times New Roman"/>
          <w:lang w:val="sk-SK"/>
        </w:rPr>
        <w:t>v</w:t>
      </w:r>
      <w:r w:rsidR="008174E0" w:rsidRPr="00D45D95">
        <w:rPr>
          <w:rFonts w:cs="Times New Roman"/>
          <w:spacing w:val="-1"/>
          <w:lang w:val="sk-SK"/>
        </w:rPr>
        <w:t xml:space="preserve"> celkovom prežívaní </w:t>
      </w:r>
      <w:r w:rsidR="008174E0" w:rsidRPr="00D45D95">
        <w:rPr>
          <w:rFonts w:cs="Times New Roman"/>
          <w:lang w:val="sk-SK"/>
        </w:rPr>
        <w:t>v</w:t>
      </w:r>
      <w:r w:rsidR="008174E0" w:rsidRPr="00D45D95">
        <w:rPr>
          <w:rFonts w:cs="Times New Roman"/>
          <w:spacing w:val="-1"/>
          <w:lang w:val="sk-SK"/>
        </w:rPr>
        <w:t xml:space="preserve"> porovnaní </w:t>
      </w:r>
      <w:r w:rsidR="008174E0" w:rsidRPr="00D45D95">
        <w:rPr>
          <w:rFonts w:cs="Times New Roman"/>
          <w:lang w:val="sk-SK"/>
        </w:rPr>
        <w:t>s</w:t>
      </w:r>
      <w:r w:rsidR="008174E0" w:rsidRPr="00D45D95">
        <w:rPr>
          <w:rFonts w:cs="Times New Roman"/>
          <w:spacing w:val="-1"/>
          <w:lang w:val="sk-SK"/>
        </w:rPr>
        <w:t xml:space="preserve"> karboplatínou/paklitaxelom </w:t>
      </w:r>
      <w:r w:rsidR="008174E0" w:rsidRPr="00D45D95">
        <w:rPr>
          <w:rFonts w:cs="Times New Roman"/>
          <w:lang w:val="sk-SK"/>
        </w:rPr>
        <w:t>u</w:t>
      </w:r>
      <w:r w:rsidR="008174E0" w:rsidRPr="00D45D95">
        <w:rPr>
          <w:rFonts w:cs="Times New Roman"/>
          <w:spacing w:val="-1"/>
          <w:lang w:val="sk-SK"/>
        </w:rPr>
        <w:t xml:space="preserve"> predtým</w:t>
      </w:r>
      <w:r w:rsidR="008174E0" w:rsidRPr="00D45D95">
        <w:rPr>
          <w:rFonts w:cs="Times New Roman"/>
          <w:spacing w:val="27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 xml:space="preserve">neliečených pacientov </w:t>
      </w:r>
      <w:r w:rsidR="008174E0" w:rsidRPr="00D45D95">
        <w:rPr>
          <w:rFonts w:cs="Times New Roman"/>
          <w:lang w:val="sk-SK"/>
        </w:rPr>
        <w:t>s</w:t>
      </w:r>
      <w:r w:rsidR="008174E0" w:rsidRPr="00D45D95">
        <w:rPr>
          <w:rFonts w:cs="Times New Roman"/>
          <w:spacing w:val="-1"/>
          <w:lang w:val="sk-SK"/>
        </w:rPr>
        <w:t xml:space="preserve"> lokálne pokročilým alebo metastatickým NSCLC, ktorých nádory mali</w:t>
      </w:r>
      <w:r w:rsidR="008174E0" w:rsidRPr="00D45D95">
        <w:rPr>
          <w:rFonts w:cs="Times New Roman"/>
          <w:spacing w:val="29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>aktivujúce mutácie EGFR tyrozínkinázy.</w:t>
      </w:r>
    </w:p>
    <w:p w14:paraId="4A535BD6" w14:textId="77777777" w:rsidR="00AF2C33" w:rsidRPr="00D45D95" w:rsidRDefault="00AF2C33" w:rsidP="004568C3">
      <w:pPr>
        <w:tabs>
          <w:tab w:val="left" w:pos="0"/>
        </w:tabs>
        <w:spacing w:before="10"/>
        <w:rPr>
          <w:rFonts w:ascii="Times New Roman" w:eastAsia="Times New Roman" w:hAnsi="Times New Roman" w:cs="Times New Roman"/>
          <w:lang w:val="sk-SK"/>
        </w:rPr>
      </w:pPr>
    </w:p>
    <w:p w14:paraId="7AF709A3" w14:textId="77777777" w:rsidR="00AF2C33" w:rsidRPr="00D45D95" w:rsidRDefault="008174E0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i/>
          <w:spacing w:val="-1"/>
          <w:lang w:val="sk-SK"/>
        </w:rPr>
        <w:t>Predliečení pacienti</w:t>
      </w:r>
    </w:p>
    <w:p w14:paraId="7239BDCE" w14:textId="588E07B8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randomizovanom klinickom skúšaní INTEREST fáz</w:t>
      </w:r>
      <w:r w:rsidR="005E7A85">
        <w:rPr>
          <w:rFonts w:cs="Times New Roman"/>
          <w:spacing w:val="-1"/>
          <w:lang w:val="sk-SK"/>
        </w:rPr>
        <w:t>y</w:t>
      </w:r>
      <w:r w:rsidRPr="00D45D95">
        <w:rPr>
          <w:rFonts w:cs="Times New Roman"/>
          <w:spacing w:val="-1"/>
          <w:lang w:val="sk-SK"/>
        </w:rPr>
        <w:t xml:space="preserve"> III boli hodnotení pacienti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-1"/>
          <w:lang w:val="sk-SK"/>
        </w:rPr>
        <w:t xml:space="preserve"> lokálne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pokročilým alebo metastatickým NSCLC, ktorí najskôr podstúpili chemoterapiu na základe platiny.</w:t>
      </w:r>
    </w:p>
    <w:p w14:paraId="2C3370F6" w14:textId="16F3EA93" w:rsidR="00AF2C33" w:rsidRPr="00D45D95" w:rsidRDefault="008174E0" w:rsidP="00BB53F4">
      <w:pPr>
        <w:pStyle w:val="Zkladntext"/>
        <w:tabs>
          <w:tab w:val="left" w:pos="0"/>
        </w:tabs>
        <w:spacing w:before="5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celkovej populácii sa nepozoroval štatisticky signifikantný rozdiel medzi gefitinibom</w:t>
      </w:r>
      <w:r w:rsidRPr="00D45D95">
        <w:rPr>
          <w:rFonts w:cs="Times New Roman"/>
          <w:spacing w:val="-5"/>
          <w:lang w:val="sk-SK"/>
        </w:rPr>
        <w:t xml:space="preserve">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docetaxelom</w:t>
      </w:r>
      <w:r w:rsidRPr="00D45D95">
        <w:rPr>
          <w:rFonts w:cs="Times New Roman"/>
          <w:spacing w:val="29"/>
          <w:lang w:val="sk-SK"/>
        </w:rPr>
        <w:t xml:space="preserve"> </w:t>
      </w:r>
      <w:r w:rsidRPr="00D45D95">
        <w:rPr>
          <w:rFonts w:cs="Times New Roman"/>
          <w:lang w:val="sk-SK"/>
        </w:rPr>
        <w:t>(75</w:t>
      </w:r>
      <w:r w:rsidR="005E7A85">
        <w:rPr>
          <w:rFonts w:cs="Times New Roman"/>
          <w:spacing w:val="-1"/>
          <w:lang w:val="sk-SK"/>
        </w:rPr>
        <w:t> </w:t>
      </w:r>
      <w:r w:rsidRPr="00D45D95">
        <w:rPr>
          <w:rFonts w:cs="Times New Roman"/>
          <w:spacing w:val="-2"/>
          <w:lang w:val="sk-SK"/>
        </w:rPr>
        <w:t>mg/m</w:t>
      </w:r>
      <w:r w:rsidR="005E7A85" w:rsidRPr="00BB53F4">
        <w:rPr>
          <w:rFonts w:cs="Times New Roman"/>
          <w:spacing w:val="-2"/>
          <w:vertAlign w:val="superscript"/>
          <w:lang w:val="sk-SK"/>
        </w:rPr>
        <w:t>2</w:t>
      </w:r>
      <w:r w:rsidRPr="00D45D95">
        <w:rPr>
          <w:rFonts w:cs="Times New Roman"/>
          <w:spacing w:val="-2"/>
          <w:lang w:val="sk-SK"/>
        </w:rPr>
        <w:t>)</w:t>
      </w:r>
      <w:r w:rsidRPr="00D45D95">
        <w:rPr>
          <w:rFonts w:cs="Times New Roman"/>
          <w:spacing w:val="-1"/>
          <w:lang w:val="sk-SK"/>
        </w:rPr>
        <w:t xml:space="preserve"> pokiaľ ide </w:t>
      </w:r>
      <w:r w:rsidRPr="00D45D95">
        <w:rPr>
          <w:rFonts w:cs="Times New Roman"/>
          <w:lang w:val="sk-SK"/>
        </w:rPr>
        <w:t>o</w:t>
      </w:r>
      <w:r w:rsidRPr="00D45D95">
        <w:rPr>
          <w:rFonts w:cs="Times New Roman"/>
          <w:spacing w:val="-1"/>
          <w:lang w:val="sk-SK"/>
        </w:rPr>
        <w:t xml:space="preserve"> celkové prežívanie, prežívanie bez progresie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mieru objektívnej odpovede</w:t>
      </w:r>
      <w:r w:rsidRPr="00D45D95">
        <w:rPr>
          <w:rFonts w:cs="Times New Roman"/>
          <w:spacing w:val="2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(pozri Tabuľka 5).</w:t>
      </w:r>
    </w:p>
    <w:p w14:paraId="4C816136" w14:textId="77777777" w:rsidR="00AF2C33" w:rsidRPr="00D45D95" w:rsidRDefault="00AF2C33" w:rsidP="004568C3">
      <w:pPr>
        <w:tabs>
          <w:tab w:val="left" w:pos="0"/>
        </w:tabs>
        <w:spacing w:before="2"/>
        <w:rPr>
          <w:rFonts w:ascii="Times New Roman" w:eastAsia="Times New Roman" w:hAnsi="Times New Roman" w:cs="Times New Roman"/>
          <w:lang w:val="sk-SK"/>
        </w:rPr>
      </w:pPr>
    </w:p>
    <w:p w14:paraId="1A7B3846" w14:textId="77777777" w:rsidR="00AF2C33" w:rsidRPr="00D45D95" w:rsidRDefault="008174E0" w:rsidP="004568C3">
      <w:pPr>
        <w:pStyle w:val="Nadpis1"/>
        <w:tabs>
          <w:tab w:val="left" w:pos="0"/>
        </w:tabs>
        <w:ind w:left="0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Tabuľka </w:t>
      </w:r>
      <w:r w:rsidRPr="00D45D95">
        <w:rPr>
          <w:rFonts w:cs="Times New Roman"/>
          <w:lang w:val="sk-SK"/>
        </w:rPr>
        <w:t>5</w:t>
      </w:r>
      <w:r w:rsidRPr="00D45D95">
        <w:rPr>
          <w:rFonts w:cs="Times New Roman"/>
          <w:spacing w:val="-1"/>
          <w:lang w:val="sk-SK"/>
        </w:rPr>
        <w:t xml:space="preserve"> Výsledky účinnosti pre gefitinib versus docetaxel </w:t>
      </w:r>
      <w:r w:rsidRPr="00D45D95">
        <w:rPr>
          <w:rFonts w:cs="Times New Roman"/>
          <w:lang w:val="sk-SK"/>
        </w:rPr>
        <w:t>z</w:t>
      </w:r>
      <w:r w:rsidRPr="00D45D95">
        <w:rPr>
          <w:rFonts w:cs="Times New Roman"/>
          <w:spacing w:val="-1"/>
          <w:lang w:val="sk-SK"/>
        </w:rPr>
        <w:t xml:space="preserve"> klinického skúšania INTEREST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7"/>
        <w:gridCol w:w="740"/>
        <w:gridCol w:w="1900"/>
        <w:gridCol w:w="2751"/>
        <w:gridCol w:w="2003"/>
      </w:tblGrid>
      <w:tr w:rsidR="00AF2C33" w:rsidRPr="00D45D95" w14:paraId="20475FCC" w14:textId="77777777" w:rsidTr="00BB53F4">
        <w:trPr>
          <w:trHeight w:hRule="exact" w:val="1200"/>
        </w:trPr>
        <w:tc>
          <w:tcPr>
            <w:tcW w:w="19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42A9F3D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8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Populácia</w:t>
            </w:r>
          </w:p>
        </w:tc>
        <w:tc>
          <w:tcPr>
            <w:tcW w:w="74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22B9769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8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b/>
                <w:lang w:val="sk-SK"/>
              </w:rPr>
              <w:t>N</w:t>
            </w:r>
          </w:p>
        </w:tc>
        <w:tc>
          <w:tcPr>
            <w:tcW w:w="190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D5C9673" w14:textId="5F19E451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8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b/>
                <w:lang w:val="sk-SK"/>
              </w:rPr>
              <w:t xml:space="preserve">Miera </w:t>
            </w: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objektívnej</w:t>
            </w:r>
            <w:r w:rsidR="005E7A85">
              <w:t xml:space="preserve"> </w:t>
            </w:r>
            <w:r w:rsidR="005E7A85" w:rsidRPr="005E7A85">
              <w:rPr>
                <w:rFonts w:ascii="Times New Roman" w:hAnsi="Times New Roman" w:cs="Times New Roman"/>
                <w:b/>
                <w:spacing w:val="-1"/>
                <w:lang w:val="sk-SK"/>
              </w:rPr>
              <w:t>odpovede a 95 %</w:t>
            </w:r>
            <w:r w:rsidR="00D4531E">
              <w:rPr>
                <w:rFonts w:ascii="Times New Roman" w:hAnsi="Times New Roman" w:cs="Times New Roman"/>
                <w:b/>
                <w:spacing w:val="-1"/>
                <w:lang w:val="sk-SK"/>
              </w:rPr>
              <w:t xml:space="preserve"> </w:t>
            </w:r>
            <w:r w:rsidR="00D4531E" w:rsidRPr="00D4531E">
              <w:rPr>
                <w:rFonts w:ascii="Times New Roman" w:hAnsi="Times New Roman" w:cs="Times New Roman"/>
                <w:b/>
                <w:spacing w:val="-1"/>
                <w:lang w:val="sk-SK"/>
              </w:rPr>
              <w:t>IS pre rozdiel medzi liečbami</w:t>
            </w:r>
            <w:r w:rsidR="00D4531E" w:rsidRPr="00BB53F4">
              <w:rPr>
                <w:rFonts w:ascii="Times New Roman" w:hAnsi="Times New Roman" w:cs="Times New Roman"/>
                <w:b/>
                <w:spacing w:val="-1"/>
                <w:vertAlign w:val="superscript"/>
                <w:lang w:val="sk-SK"/>
              </w:rPr>
              <w:t>a</w:t>
            </w:r>
          </w:p>
        </w:tc>
        <w:tc>
          <w:tcPr>
            <w:tcW w:w="275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40484A2" w14:textId="267ABCE1" w:rsidR="00AF2C33" w:rsidRPr="00D45D95" w:rsidRDefault="008174E0" w:rsidP="00BB53F4">
            <w:pPr>
              <w:pStyle w:val="TableParagraph"/>
              <w:tabs>
                <w:tab w:val="left" w:pos="0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Prežívanie</w:t>
            </w:r>
            <w:r w:rsidRPr="00D45D95">
              <w:rPr>
                <w:rFonts w:ascii="Times New Roman" w:hAnsi="Times New Roman" w:cs="Times New Roman"/>
                <w:b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bez progresie</w:t>
            </w:r>
            <w:r w:rsidR="005E7A85" w:rsidRPr="00BB53F4">
              <w:rPr>
                <w:rFonts w:ascii="Times New Roman" w:hAnsi="Times New Roman" w:cs="Times New Roman"/>
                <w:b/>
                <w:spacing w:val="-1"/>
                <w:vertAlign w:val="superscript"/>
                <w:lang w:val="sk-SK"/>
              </w:rPr>
              <w:t>ab</w:t>
            </w:r>
          </w:p>
        </w:tc>
        <w:tc>
          <w:tcPr>
            <w:tcW w:w="20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3A0FA40" w14:textId="77777777" w:rsidR="00D4531E" w:rsidRDefault="008174E0" w:rsidP="004568C3">
            <w:pPr>
              <w:pStyle w:val="TableParagraph"/>
              <w:tabs>
                <w:tab w:val="left" w:pos="0"/>
              </w:tabs>
              <w:spacing w:before="8"/>
              <w:rPr>
                <w:rFonts w:ascii="Times New Roman" w:hAnsi="Times New Roman" w:cs="Times New Roman"/>
                <w:b/>
                <w:spacing w:val="-1"/>
                <w:lang w:val="sk-SK"/>
              </w:rPr>
            </w:pP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Primárny</w:t>
            </w:r>
            <w:r w:rsidRPr="00D45D95"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cieľ</w:t>
            </w:r>
            <w:r w:rsidR="005E7A85">
              <w:rPr>
                <w:rFonts w:ascii="Times New Roman" w:hAnsi="Times New Roman" w:cs="Times New Roman"/>
                <w:b/>
                <w:spacing w:val="-1"/>
                <w:lang w:val="sk-SK"/>
              </w:rPr>
              <w:t>ový ukazovateľ</w:t>
            </w:r>
          </w:p>
          <w:p w14:paraId="035DE426" w14:textId="77777777" w:rsidR="00D4531E" w:rsidRPr="00D4531E" w:rsidRDefault="00D4531E" w:rsidP="00D4531E">
            <w:pPr>
              <w:widowControl/>
              <w:autoSpaceDE w:val="0"/>
              <w:autoSpaceDN w:val="0"/>
              <w:adjustRightInd w:val="0"/>
              <w:ind w:left="-1184"/>
              <w:jc w:val="center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D4531E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Celkové</w:t>
            </w:r>
          </w:p>
          <w:p w14:paraId="2C60FFF0" w14:textId="7A83F688" w:rsidR="00AF2C33" w:rsidRPr="00D45D95" w:rsidRDefault="00D4531E" w:rsidP="00BB53F4">
            <w:pPr>
              <w:pStyle w:val="TableParagraph"/>
              <w:tabs>
                <w:tab w:val="left" w:pos="0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</w:t>
            </w:r>
            <w:r w:rsidRPr="00D4531E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režívanie</w:t>
            </w:r>
            <w:r w:rsidR="00AC6328" w:rsidRPr="00352737">
              <w:rPr>
                <w:rFonts w:ascii="Times New Roman" w:hAnsi="Times New Roman" w:cs="Times New Roman"/>
                <w:b/>
                <w:spacing w:val="-1"/>
                <w:vertAlign w:val="superscript"/>
                <w:lang w:val="sk-SK"/>
              </w:rPr>
              <w:t>ab</w:t>
            </w:r>
          </w:p>
        </w:tc>
      </w:tr>
      <w:tr w:rsidR="00AF2C33" w:rsidRPr="00D45D95" w14:paraId="1DF87FB2" w14:textId="77777777">
        <w:trPr>
          <w:trHeight w:hRule="exact" w:val="511"/>
        </w:trPr>
        <w:tc>
          <w:tcPr>
            <w:tcW w:w="190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97FD313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Celková</w:t>
            </w:r>
          </w:p>
        </w:tc>
        <w:tc>
          <w:tcPr>
            <w:tcW w:w="74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7D16D86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1466</w:t>
            </w:r>
          </w:p>
        </w:tc>
        <w:tc>
          <w:tcPr>
            <w:tcW w:w="190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8637D8D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91,1% vs 7,6%</w:t>
            </w:r>
          </w:p>
          <w:p w14:paraId="7BD47C2F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1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[-1,5%;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4,5%]</w:t>
            </w:r>
          </w:p>
        </w:tc>
        <w:tc>
          <w:tcPr>
            <w:tcW w:w="275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1AD21D8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1,04</w:t>
            </w:r>
          </w:p>
          <w:p w14:paraId="09F81E3C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1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[0,93; 1,18]</w:t>
            </w:r>
          </w:p>
        </w:tc>
        <w:tc>
          <w:tcPr>
            <w:tcW w:w="200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EAC9135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3"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1,020</w:t>
            </w:r>
          </w:p>
          <w:p w14:paraId="0D4B5495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6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[0,905;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1,150]</w:t>
            </w:r>
            <w:r w:rsidRPr="00D45D95">
              <w:rPr>
                <w:rFonts w:ascii="Times New Roman" w:hAnsi="Times New Roman" w:cs="Times New Roman"/>
                <w:spacing w:val="-1"/>
                <w:position w:val="10"/>
                <w:lang w:val="sk-SK"/>
              </w:rPr>
              <w:t>c</w:t>
            </w:r>
          </w:p>
        </w:tc>
      </w:tr>
      <w:tr w:rsidR="00AF2C33" w:rsidRPr="00D45D95" w14:paraId="242A41D3" w14:textId="77777777">
        <w:trPr>
          <w:trHeight w:hRule="exact" w:val="253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61477F8B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0EF4D3F6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61743D63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14:paraId="4363E192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2,2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2,7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69D17960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7,6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8,0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</w:p>
        </w:tc>
      </w:tr>
      <w:tr w:rsidR="00AF2C33" w:rsidRPr="00D45D95" w14:paraId="02D6F467" w14:textId="77777777">
        <w:trPr>
          <w:trHeight w:hRule="exact" w:val="263"/>
        </w:trPr>
        <w:tc>
          <w:tcPr>
            <w:tcW w:w="190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42C0F5A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9559F0D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4C387C5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C3C666F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p=0,4658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432904E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p=0,7332</w:t>
            </w:r>
          </w:p>
        </w:tc>
      </w:tr>
      <w:tr w:rsidR="00AF2C33" w:rsidRPr="00D45D95" w14:paraId="31B60E29" w14:textId="77777777">
        <w:trPr>
          <w:trHeight w:hRule="exact" w:val="258"/>
        </w:trPr>
        <w:tc>
          <w:tcPr>
            <w:tcW w:w="190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B6AD4C2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Pozitivita mutácie</w:t>
            </w:r>
          </w:p>
        </w:tc>
        <w:tc>
          <w:tcPr>
            <w:tcW w:w="74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C70D8F1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44</w:t>
            </w:r>
          </w:p>
        </w:tc>
        <w:tc>
          <w:tcPr>
            <w:tcW w:w="190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03F6471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42,1%vs 21,1%</w:t>
            </w:r>
          </w:p>
        </w:tc>
        <w:tc>
          <w:tcPr>
            <w:tcW w:w="275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AFD17E9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0,16</w:t>
            </w:r>
          </w:p>
        </w:tc>
        <w:tc>
          <w:tcPr>
            <w:tcW w:w="200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A8B011A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0,83</w:t>
            </w:r>
          </w:p>
        </w:tc>
      </w:tr>
      <w:tr w:rsidR="00AF2C33" w:rsidRPr="00D45D95" w14:paraId="3ABC9E43" w14:textId="77777777">
        <w:trPr>
          <w:trHeight w:hRule="exact" w:val="253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304A1692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EGFR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2550AECD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234EC2CE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[-8,2%;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46,0%]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14:paraId="1F94303E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[0,05; 0,49]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130B7CBA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[0,41; 1,67]</w:t>
            </w:r>
          </w:p>
        </w:tc>
      </w:tr>
      <w:tr w:rsidR="00AF2C33" w:rsidRPr="00D45D95" w14:paraId="51A2A385" w14:textId="77777777">
        <w:trPr>
          <w:trHeight w:hRule="exact" w:val="253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71103263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569F169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1C5EFCEC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14:paraId="0319B0EC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7,0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4,1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0BA4F048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14,2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16,6</w:t>
            </w:r>
            <w:r w:rsidRPr="00D45D95">
              <w:rPr>
                <w:rFonts w:ascii="Times New Roman" w:hAnsi="Times New Roman" w:cs="Times New Roman"/>
                <w:spacing w:val="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>m</w:t>
            </w:r>
          </w:p>
        </w:tc>
      </w:tr>
      <w:tr w:rsidR="00AF2C33" w:rsidRPr="00D45D95" w14:paraId="3E1B6B84" w14:textId="77777777">
        <w:trPr>
          <w:trHeight w:hRule="exact" w:val="263"/>
        </w:trPr>
        <w:tc>
          <w:tcPr>
            <w:tcW w:w="190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767F9F9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AEDC01E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DEFFFA3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B2EE7A7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p=0,0012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179F0E6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p=0,6043</w:t>
            </w:r>
          </w:p>
        </w:tc>
      </w:tr>
      <w:tr w:rsidR="00AF2C33" w:rsidRPr="00D45D95" w14:paraId="5D934576" w14:textId="77777777">
        <w:trPr>
          <w:trHeight w:hRule="exact" w:val="258"/>
        </w:trPr>
        <w:tc>
          <w:tcPr>
            <w:tcW w:w="190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CF87721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Negativita mutácie</w:t>
            </w:r>
          </w:p>
        </w:tc>
        <w:tc>
          <w:tcPr>
            <w:tcW w:w="74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2FEF991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253</w:t>
            </w:r>
          </w:p>
        </w:tc>
        <w:tc>
          <w:tcPr>
            <w:tcW w:w="190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AB8FB94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6,6% vs 9,8%</w:t>
            </w:r>
          </w:p>
        </w:tc>
        <w:tc>
          <w:tcPr>
            <w:tcW w:w="275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59836AF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1,24</w:t>
            </w:r>
          </w:p>
        </w:tc>
        <w:tc>
          <w:tcPr>
            <w:tcW w:w="200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B7689DB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1,02</w:t>
            </w:r>
          </w:p>
        </w:tc>
      </w:tr>
      <w:tr w:rsidR="00AF2C33" w:rsidRPr="00D45D95" w14:paraId="4A17C9B4" w14:textId="77777777">
        <w:trPr>
          <w:trHeight w:hRule="exact" w:val="253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75DCB4D4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EGFR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2F12179C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64209968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[-10,5%;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4,4</w:t>
            </w:r>
            <w:r w:rsidRPr="00D45D95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>%]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14:paraId="51AA0D89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[0,94; 1,64]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03D62A0C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[0,78;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1,33]</w:t>
            </w:r>
          </w:p>
        </w:tc>
      </w:tr>
      <w:tr w:rsidR="00AF2C33" w:rsidRPr="00D45D95" w14:paraId="6D53A65C" w14:textId="77777777">
        <w:trPr>
          <w:trHeight w:hRule="exact" w:val="252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0DA1D2D7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4222A6B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7DC21A11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14:paraId="1A6EFE28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1,7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2,6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2F19014D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6,4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6,0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</w:p>
        </w:tc>
      </w:tr>
      <w:tr w:rsidR="00AF2C33" w:rsidRPr="00D45D95" w14:paraId="20BDBD68" w14:textId="77777777">
        <w:trPr>
          <w:trHeight w:hRule="exact" w:val="243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3D220AE3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5E087CDB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06AAC7F6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14:paraId="60C5D925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p=0,1353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212843CC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p=0,9131</w:t>
            </w:r>
          </w:p>
        </w:tc>
      </w:tr>
      <w:tr w:rsidR="00AF2C33" w:rsidRPr="00D45D95" w14:paraId="418CCA54" w14:textId="77777777">
        <w:trPr>
          <w:trHeight w:hRule="exact" w:val="278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2A17FF85" w14:textId="3395B3FF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77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Ázijská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populácia</w:t>
            </w:r>
            <w:r w:rsidR="00D4531E" w:rsidRPr="00BB53F4">
              <w:rPr>
                <w:rFonts w:ascii="Times New Roman" w:hAnsi="Times New Roman" w:cs="Times New Roman"/>
                <w:spacing w:val="-1"/>
                <w:vertAlign w:val="superscript"/>
                <w:lang w:val="sk-SK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5B268C1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24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323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5869B357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24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19,7% vs 8,7%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14:paraId="6A11FAED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24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0,83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4ED44CA2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24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1,04</w:t>
            </w:r>
          </w:p>
        </w:tc>
      </w:tr>
      <w:tr w:rsidR="00AF2C33" w:rsidRPr="00D45D95" w14:paraId="0096E1A6" w14:textId="77777777">
        <w:trPr>
          <w:trHeight w:hRule="exact" w:val="253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513ACC6F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57C1A8F2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3B7B37F6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[3,1%; 19,2%]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14:paraId="011EAF5D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[0,64; 1,08]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113A31D8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[0,80; 1,35]</w:t>
            </w:r>
          </w:p>
        </w:tc>
      </w:tr>
      <w:tr w:rsidR="00AF2C33" w:rsidRPr="00D45D95" w14:paraId="6DEBA8B3" w14:textId="77777777">
        <w:trPr>
          <w:trHeight w:hRule="exact" w:val="253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375B426F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43106318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66B67758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14:paraId="010D4CD4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2,9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2,8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76491D08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10,4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12,2</w:t>
            </w:r>
            <w:r w:rsidRPr="00D45D95">
              <w:rPr>
                <w:rFonts w:ascii="Times New Roman" w:hAnsi="Times New Roman" w:cs="Times New Roman"/>
                <w:spacing w:val="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>m</w:t>
            </w:r>
          </w:p>
        </w:tc>
      </w:tr>
      <w:tr w:rsidR="00AF2C33" w:rsidRPr="00D45D95" w14:paraId="0CD4203B" w14:textId="77777777">
        <w:trPr>
          <w:trHeight w:hRule="exact" w:val="264"/>
        </w:trPr>
        <w:tc>
          <w:tcPr>
            <w:tcW w:w="190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4B3DCE2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32D7557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1FB36AB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D6CEA1C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p=0,1746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65DF02F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p=0,7711</w:t>
            </w:r>
          </w:p>
        </w:tc>
      </w:tr>
      <w:tr w:rsidR="00AF2C33" w:rsidRPr="00D45D95" w14:paraId="3D23103C" w14:textId="77777777">
        <w:trPr>
          <w:trHeight w:hRule="exact" w:val="257"/>
        </w:trPr>
        <w:tc>
          <w:tcPr>
            <w:tcW w:w="190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40E5334D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Neázijská</w:t>
            </w:r>
          </w:p>
        </w:tc>
        <w:tc>
          <w:tcPr>
            <w:tcW w:w="74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3EDEFD5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1143</w:t>
            </w:r>
          </w:p>
        </w:tc>
        <w:tc>
          <w:tcPr>
            <w:tcW w:w="190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4A169692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6,2% vs 7,3%</w:t>
            </w:r>
          </w:p>
        </w:tc>
        <w:tc>
          <w:tcPr>
            <w:tcW w:w="275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F9B30DC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1,12</w:t>
            </w:r>
          </w:p>
        </w:tc>
        <w:tc>
          <w:tcPr>
            <w:tcW w:w="200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FAE4F3F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1,01</w:t>
            </w:r>
          </w:p>
        </w:tc>
      </w:tr>
      <w:tr w:rsidR="00AF2C33" w:rsidRPr="00D45D95" w14:paraId="5EC421C6" w14:textId="77777777">
        <w:trPr>
          <w:trHeight w:hRule="exact" w:val="253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05329A4D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populácia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015640E9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6504E250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[-4,3%;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2,0%]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14:paraId="076B15B2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[0,98; 1,28]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322C0B8E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[0,89; 1,14]</w:t>
            </w:r>
          </w:p>
        </w:tc>
      </w:tr>
      <w:tr w:rsidR="00AF2C33" w:rsidRPr="00D45D95" w14:paraId="236C258B" w14:textId="77777777">
        <w:trPr>
          <w:trHeight w:hRule="exact" w:val="253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255084F2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D08ED7E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7A8BA960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14:paraId="5AEDC754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2,0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2,7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6F04BA4E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6,9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6,9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</w:p>
        </w:tc>
      </w:tr>
      <w:tr w:rsidR="00AF2C33" w:rsidRPr="00D45D95" w14:paraId="10C92BF3" w14:textId="77777777">
        <w:trPr>
          <w:trHeight w:hRule="exact" w:val="278"/>
        </w:trPr>
        <w:tc>
          <w:tcPr>
            <w:tcW w:w="190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6E90BDC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578998A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EA719D3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B969390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p=0,1041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AA7C1F7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p=0,9259</w:t>
            </w:r>
          </w:p>
        </w:tc>
      </w:tr>
    </w:tbl>
    <w:p w14:paraId="10A7CFA3" w14:textId="77777777" w:rsidR="00AF2C33" w:rsidRPr="00D45D95" w:rsidRDefault="008174E0" w:rsidP="004568C3">
      <w:pPr>
        <w:tabs>
          <w:tab w:val="left" w:pos="0"/>
          <w:tab w:val="left" w:pos="939"/>
        </w:tabs>
        <w:spacing w:line="247" w:lineRule="exact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lang w:val="sk-SK"/>
        </w:rPr>
        <w:t>a</w:t>
      </w:r>
      <w:r w:rsidRPr="00D45D95">
        <w:rPr>
          <w:rFonts w:ascii="Times New Roman" w:hAnsi="Times New Roman" w:cs="Times New Roman"/>
          <w:lang w:val="sk-SK"/>
        </w:rPr>
        <w:tab/>
        <w:t>Uvedené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hodnoty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sú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pre</w:t>
      </w:r>
      <w:r w:rsidRPr="00D45D95">
        <w:rPr>
          <w:rFonts w:ascii="Times New Roman" w:hAnsi="Times New Roman" w:cs="Times New Roman"/>
          <w:spacing w:val="-6"/>
          <w:lang w:val="sk-SK"/>
        </w:rPr>
        <w:t xml:space="preserve"> </w:t>
      </w:r>
      <w:r w:rsidR="00D45D95">
        <w:rPr>
          <w:rFonts w:ascii="Times New Roman" w:hAnsi="Times New Roman" w:cs="Times New Roman"/>
          <w:lang w:val="sk-SK"/>
        </w:rPr>
        <w:t>g</w:t>
      </w:r>
      <w:r w:rsidR="003C1EF3" w:rsidRPr="00D45D95">
        <w:rPr>
          <w:rFonts w:ascii="Times New Roman" w:hAnsi="Times New Roman" w:cs="Times New Roman"/>
          <w:lang w:val="sk-SK"/>
        </w:rPr>
        <w:t xml:space="preserve">efitinib </w:t>
      </w:r>
      <w:r w:rsidRPr="00D45D95">
        <w:rPr>
          <w:rFonts w:ascii="Times New Roman" w:hAnsi="Times New Roman" w:cs="Times New Roman"/>
          <w:lang w:val="sk-SK"/>
        </w:rPr>
        <w:t>vs.</w:t>
      </w:r>
      <w:r w:rsidRPr="00D45D95">
        <w:rPr>
          <w:rFonts w:ascii="Times New Roman" w:hAnsi="Times New Roman" w:cs="Times New Roman"/>
          <w:spacing w:val="-5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docetaxel</w:t>
      </w:r>
    </w:p>
    <w:p w14:paraId="10D56933" w14:textId="21A00D4F" w:rsidR="00AF2C33" w:rsidRPr="00D45D95" w:rsidRDefault="00D4531E" w:rsidP="00D4531E">
      <w:pPr>
        <w:numPr>
          <w:ilvl w:val="0"/>
          <w:numId w:val="11"/>
        </w:numPr>
        <w:tabs>
          <w:tab w:val="left" w:pos="0"/>
          <w:tab w:val="left" w:pos="940"/>
        </w:tabs>
        <w:ind w:hanging="939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spacing w:val="-1"/>
          <w:lang w:val="sk-SK"/>
        </w:rPr>
        <w:t>„</w:t>
      </w:r>
      <w:r w:rsidR="008174E0" w:rsidRPr="00D45D95"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-1"/>
          <w:lang w:val="sk-SK"/>
        </w:rPr>
        <w:t>“</w:t>
      </w:r>
      <w:r w:rsidR="008174E0" w:rsidRPr="00D45D95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je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medián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v</w:t>
      </w:r>
      <w:r w:rsidR="008174E0" w:rsidRPr="00D45D95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mesiacoch.</w:t>
      </w:r>
      <w:r w:rsidR="008174E0" w:rsidRPr="00D45D95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Čísla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v</w:t>
      </w:r>
      <w:r w:rsidR="008174E0" w:rsidRPr="00D45D95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hranatých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zátvorkách</w:t>
      </w:r>
      <w:r w:rsidR="008174E0" w:rsidRPr="00D45D95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sú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96%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interval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spoľahlivosti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pre</w:t>
      </w:r>
      <w:r w:rsidR="008174E0" w:rsidRPr="00D45D95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celkové</w:t>
      </w:r>
      <w:r w:rsidR="008174E0" w:rsidRPr="00D45D95">
        <w:rPr>
          <w:rFonts w:ascii="Times New Roman" w:eastAsia="Times New Roman" w:hAnsi="Times New Roman" w:cs="Times New Roman"/>
          <w:spacing w:val="21"/>
          <w:w w:val="99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prežívanie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pre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HR</w:t>
      </w:r>
      <w:r w:rsidR="008174E0" w:rsidRPr="00D45D95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v</w:t>
      </w:r>
      <w:r w:rsidR="008174E0" w:rsidRPr="00D45D95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celkovej</w:t>
      </w:r>
      <w:r w:rsidR="008174E0" w:rsidRPr="00D45D95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populácii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a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95</w:t>
      </w:r>
      <w:r w:rsidR="008174E0" w:rsidRPr="00D45D95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%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interval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spoľahlivosti</w:t>
      </w:r>
      <w:r w:rsidR="008174E0" w:rsidRPr="00D45D95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pre</w:t>
      </w:r>
      <w:r w:rsidR="008174E0" w:rsidRPr="00D45D9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8174E0" w:rsidRPr="00D45D95">
        <w:rPr>
          <w:rFonts w:ascii="Times New Roman" w:eastAsia="Times New Roman" w:hAnsi="Times New Roman" w:cs="Times New Roman"/>
          <w:lang w:val="sk-SK"/>
        </w:rPr>
        <w:t>HR</w:t>
      </w:r>
      <w:r w:rsidRPr="00D4531E">
        <w:t xml:space="preserve"> </w:t>
      </w:r>
      <w:r w:rsidRPr="00D4531E">
        <w:rPr>
          <w:rFonts w:ascii="Times New Roman" w:eastAsia="Times New Roman" w:hAnsi="Times New Roman" w:cs="Times New Roman"/>
          <w:lang w:val="sk-SK"/>
        </w:rPr>
        <w:t>pre ostatné prípady</w:t>
      </w:r>
    </w:p>
    <w:p w14:paraId="5C6E9AA5" w14:textId="5BCB1ADD" w:rsidR="00D4531E" w:rsidRPr="00BB53F4" w:rsidRDefault="008174E0" w:rsidP="00D4531E">
      <w:pPr>
        <w:numPr>
          <w:ilvl w:val="0"/>
          <w:numId w:val="11"/>
        </w:numPr>
        <w:tabs>
          <w:tab w:val="left" w:pos="940"/>
        </w:tabs>
        <w:ind w:left="993" w:hanging="993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eastAsia="Times New Roman" w:hAnsi="Times New Roman" w:cs="Times New Roman"/>
          <w:lang w:val="sk-SK"/>
        </w:rPr>
        <w:t>Interval</w:t>
      </w:r>
      <w:r w:rsidRPr="00D45D95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spoľahlivosti</w:t>
      </w:r>
      <w:r w:rsidRPr="00D45D95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úplne</w:t>
      </w:r>
      <w:r w:rsidRPr="00D45D95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pod</w:t>
      </w:r>
      <w:r w:rsidRPr="00D45D95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hranicou</w:t>
      </w:r>
      <w:r w:rsidRPr="00D45D95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D4531E">
        <w:rPr>
          <w:rFonts w:ascii="Times New Roman" w:eastAsia="Times New Roman" w:hAnsi="Times New Roman" w:cs="Times New Roman"/>
          <w:lang w:val="sk-SK"/>
        </w:rPr>
        <w:t>„</w:t>
      </w:r>
      <w:r w:rsidRPr="00D45D95">
        <w:rPr>
          <w:rFonts w:ascii="Times New Roman" w:eastAsia="Times New Roman" w:hAnsi="Times New Roman" w:cs="Times New Roman"/>
          <w:lang w:val="sk-SK"/>
        </w:rPr>
        <w:t>non</w:t>
      </w:r>
      <w:r w:rsidRPr="00D45D95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inferiority</w:t>
      </w:r>
      <w:r w:rsidR="00D4531E">
        <w:rPr>
          <w:rFonts w:ascii="Times New Roman" w:eastAsia="Times New Roman" w:hAnsi="Times New Roman" w:cs="Times New Roman"/>
          <w:lang w:val="sk-SK"/>
        </w:rPr>
        <w:t>“</w:t>
      </w:r>
      <w:r w:rsidRPr="00D45D95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1,154</w:t>
      </w:r>
      <w:r w:rsidRPr="00D45D95">
        <w:rPr>
          <w:rFonts w:ascii="Times New Roman" w:eastAsia="Times New Roman" w:hAnsi="Times New Roman" w:cs="Times New Roman"/>
          <w:w w:val="99"/>
          <w:lang w:val="sk-SK"/>
        </w:rPr>
        <w:t xml:space="preserve"> </w:t>
      </w:r>
    </w:p>
    <w:p w14:paraId="663179DB" w14:textId="1A2F808A" w:rsidR="00AF2C33" w:rsidRPr="00D45D95" w:rsidRDefault="008174E0" w:rsidP="00BB53F4">
      <w:pPr>
        <w:tabs>
          <w:tab w:val="left" w:pos="940"/>
        </w:tabs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eastAsia="Times New Roman" w:hAnsi="Times New Roman" w:cs="Times New Roman"/>
          <w:w w:val="95"/>
          <w:lang w:val="sk-SK"/>
        </w:rPr>
        <w:t>N</w:t>
      </w:r>
      <w:r w:rsidRPr="00D45D95">
        <w:rPr>
          <w:rFonts w:ascii="Times New Roman" w:eastAsia="Times New Roman" w:hAnsi="Times New Roman" w:cs="Times New Roman"/>
          <w:w w:val="95"/>
          <w:lang w:val="sk-SK"/>
        </w:rPr>
        <w:tab/>
      </w:r>
      <w:r w:rsidRPr="00D45D95">
        <w:rPr>
          <w:rFonts w:ascii="Times New Roman" w:eastAsia="Times New Roman" w:hAnsi="Times New Roman" w:cs="Times New Roman"/>
          <w:lang w:val="sk-SK"/>
        </w:rPr>
        <w:t>Počet</w:t>
      </w:r>
      <w:r w:rsidRPr="00D45D95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randomizovaných</w:t>
      </w:r>
      <w:r w:rsidRPr="00D45D95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D45D95">
        <w:rPr>
          <w:rFonts w:ascii="Times New Roman" w:eastAsia="Times New Roman" w:hAnsi="Times New Roman" w:cs="Times New Roman"/>
          <w:lang w:val="sk-SK"/>
        </w:rPr>
        <w:t>pacientov</w:t>
      </w:r>
    </w:p>
    <w:p w14:paraId="131CA678" w14:textId="77777777" w:rsidR="00AF2C33" w:rsidRPr="00D45D95" w:rsidRDefault="008174E0" w:rsidP="004568C3">
      <w:pPr>
        <w:tabs>
          <w:tab w:val="left" w:pos="0"/>
          <w:tab w:val="left" w:pos="939"/>
        </w:tabs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w w:val="95"/>
          <w:lang w:val="sk-SK"/>
        </w:rPr>
        <w:t>HR</w:t>
      </w:r>
      <w:r w:rsidRPr="00D45D95">
        <w:rPr>
          <w:rFonts w:ascii="Times New Roman" w:hAnsi="Times New Roman" w:cs="Times New Roman"/>
          <w:w w:val="95"/>
          <w:lang w:val="sk-SK"/>
        </w:rPr>
        <w:tab/>
      </w:r>
      <w:r w:rsidRPr="00D45D95">
        <w:rPr>
          <w:rFonts w:ascii="Times New Roman" w:hAnsi="Times New Roman" w:cs="Times New Roman"/>
          <w:spacing w:val="-1"/>
          <w:lang w:val="sk-SK"/>
        </w:rPr>
        <w:t>Pomer</w:t>
      </w:r>
      <w:r w:rsidRPr="00D45D95">
        <w:rPr>
          <w:rFonts w:ascii="Times New Roman" w:hAnsi="Times New Roman" w:cs="Times New Roman"/>
          <w:spacing w:val="-5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rizika</w:t>
      </w:r>
      <w:r w:rsidRPr="00D45D95">
        <w:rPr>
          <w:rFonts w:ascii="Times New Roman" w:hAnsi="Times New Roman" w:cs="Times New Roman"/>
          <w:spacing w:val="-5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(pomer</w:t>
      </w:r>
      <w:r w:rsidRPr="00D45D95">
        <w:rPr>
          <w:rFonts w:ascii="Times New Roman" w:hAnsi="Times New Roman" w:cs="Times New Roman"/>
          <w:spacing w:val="-5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rizika</w:t>
      </w:r>
      <w:r w:rsidRPr="00D45D95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&lt;</w:t>
      </w:r>
      <w:r w:rsidRPr="00D45D95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1</w:t>
      </w:r>
      <w:r w:rsidRPr="00D45D95">
        <w:rPr>
          <w:rFonts w:ascii="Times New Roman" w:hAnsi="Times New Roman" w:cs="Times New Roman"/>
          <w:spacing w:val="-5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v</w:t>
      </w:r>
      <w:r w:rsidRPr="00D45D95">
        <w:rPr>
          <w:rFonts w:ascii="Times New Roman" w:hAnsi="Times New Roman" w:cs="Times New Roman"/>
          <w:spacing w:val="-5"/>
          <w:lang w:val="sk-SK"/>
        </w:rPr>
        <w:t xml:space="preserve"> </w:t>
      </w:r>
      <w:r w:rsidRPr="00D45D95">
        <w:rPr>
          <w:rFonts w:ascii="Times New Roman" w:hAnsi="Times New Roman" w:cs="Times New Roman"/>
          <w:lang w:val="sk-SK"/>
        </w:rPr>
        <w:t>prospech</w:t>
      </w:r>
      <w:r w:rsidRPr="00D45D95">
        <w:rPr>
          <w:rFonts w:ascii="Times New Roman" w:hAnsi="Times New Roman" w:cs="Times New Roman"/>
          <w:spacing w:val="-4"/>
          <w:lang w:val="sk-SK"/>
        </w:rPr>
        <w:t xml:space="preserve"> </w:t>
      </w:r>
      <w:r w:rsidR="00D45D95">
        <w:rPr>
          <w:rFonts w:ascii="Times New Roman" w:hAnsi="Times New Roman" w:cs="Times New Roman"/>
          <w:lang w:val="sk-SK"/>
        </w:rPr>
        <w:t>g</w:t>
      </w:r>
      <w:r w:rsidR="003C1EF3" w:rsidRPr="00D45D95">
        <w:rPr>
          <w:rFonts w:ascii="Times New Roman" w:hAnsi="Times New Roman" w:cs="Times New Roman"/>
          <w:lang w:val="sk-SK"/>
        </w:rPr>
        <w:t>efitinib</w:t>
      </w:r>
      <w:r w:rsidR="00D45D95">
        <w:rPr>
          <w:rFonts w:ascii="Times New Roman" w:hAnsi="Times New Roman" w:cs="Times New Roman"/>
          <w:lang w:val="sk-SK"/>
        </w:rPr>
        <w:t>u</w:t>
      </w:r>
      <w:r w:rsidRPr="00D45D95">
        <w:rPr>
          <w:rFonts w:ascii="Times New Roman" w:hAnsi="Times New Roman" w:cs="Times New Roman"/>
          <w:lang w:val="sk-SK"/>
        </w:rPr>
        <w:t>)</w:t>
      </w:r>
    </w:p>
    <w:p w14:paraId="4D2B1040" w14:textId="77777777" w:rsidR="00AF2C33" w:rsidRPr="00D45D95" w:rsidRDefault="00AF2C33" w:rsidP="004568C3">
      <w:pPr>
        <w:tabs>
          <w:tab w:val="left" w:pos="0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14:paraId="4605F4DB" w14:textId="77777777" w:rsidR="00D36FCC" w:rsidRDefault="00D36FCC" w:rsidP="00D36FCC">
      <w:pPr>
        <w:pStyle w:val="HeadingStrong"/>
      </w:pPr>
      <w:r>
        <w:t>Obrázky 1 a 2 – Výstupy týkajúce sa účinnosti v podskupinách neázijských pacientov v štúdii INTEREST (počet pacientov N = počet randomizovaných pacientov)</w:t>
      </w:r>
    </w:p>
    <w:p w14:paraId="1A436E05" w14:textId="77777777" w:rsidR="00AF2C33" w:rsidRPr="00D45D95" w:rsidRDefault="00AF2C33" w:rsidP="004568C3">
      <w:pPr>
        <w:tabs>
          <w:tab w:val="left" w:pos="0"/>
        </w:tabs>
        <w:spacing w:before="6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27E070DD" w14:textId="2B5F0AD4" w:rsidR="00AF2C33" w:rsidRDefault="00AF2C33" w:rsidP="004568C3">
      <w:pPr>
        <w:tabs>
          <w:tab w:val="left" w:pos="0"/>
        </w:tabs>
        <w:spacing w:line="200" w:lineRule="atLeast"/>
        <w:rPr>
          <w:rFonts w:ascii="Times New Roman" w:eastAsia="Times New Roman" w:hAnsi="Times New Roman" w:cs="Times New Roman"/>
          <w:noProof/>
          <w:lang w:val="sk-SK" w:eastAsia="sk-SK"/>
        </w:rPr>
      </w:pPr>
    </w:p>
    <w:p w14:paraId="782F20A2" w14:textId="77777777" w:rsidR="00D36FCC" w:rsidRDefault="00D36FCC" w:rsidP="004568C3">
      <w:pPr>
        <w:tabs>
          <w:tab w:val="left" w:pos="0"/>
        </w:tabs>
        <w:spacing w:line="200" w:lineRule="atLeast"/>
        <w:rPr>
          <w:rFonts w:ascii="Times New Roman" w:eastAsia="Times New Roman" w:hAnsi="Times New Roman" w:cs="Times New Roman"/>
          <w:noProof/>
          <w:lang w:val="sk-SK" w:eastAsia="sk-SK"/>
        </w:rPr>
      </w:pPr>
    </w:p>
    <w:p w14:paraId="4303DAD7" w14:textId="77777777" w:rsidR="00D36FCC" w:rsidRDefault="00D36FCC" w:rsidP="004568C3">
      <w:pPr>
        <w:tabs>
          <w:tab w:val="left" w:pos="0"/>
        </w:tabs>
        <w:spacing w:line="200" w:lineRule="atLeast"/>
        <w:rPr>
          <w:rFonts w:ascii="Times New Roman" w:eastAsia="Times New Roman" w:hAnsi="Times New Roman" w:cs="Times New Roman"/>
          <w:noProof/>
          <w:lang w:val="sk-SK" w:eastAsia="sk-SK"/>
        </w:rPr>
      </w:pPr>
    </w:p>
    <w:p w14:paraId="72DC0C7E" w14:textId="77777777" w:rsidR="00D36FCC" w:rsidRPr="00D36FCC" w:rsidRDefault="00D36FCC" w:rsidP="00D36FCC">
      <w:pPr>
        <w:pStyle w:val="NormalKeep"/>
        <w:rPr>
          <w:szCs w:val="22"/>
        </w:rPr>
      </w:pPr>
    </w:p>
    <w:tbl>
      <w:tblPr>
        <w:tblW w:w="9403" w:type="dxa"/>
        <w:tblLook w:val="04A0" w:firstRow="1" w:lastRow="0" w:firstColumn="1" w:lastColumn="0" w:noHBand="0" w:noVBand="1"/>
      </w:tblPr>
      <w:tblGrid>
        <w:gridCol w:w="51"/>
        <w:gridCol w:w="633"/>
        <w:gridCol w:w="700"/>
        <w:gridCol w:w="1026"/>
        <w:gridCol w:w="392"/>
        <w:gridCol w:w="184"/>
        <w:gridCol w:w="1629"/>
        <w:gridCol w:w="104"/>
        <w:gridCol w:w="776"/>
        <w:gridCol w:w="226"/>
        <w:gridCol w:w="57"/>
        <w:gridCol w:w="519"/>
        <w:gridCol w:w="48"/>
        <w:gridCol w:w="993"/>
        <w:gridCol w:w="504"/>
        <w:gridCol w:w="488"/>
        <w:gridCol w:w="1073"/>
      </w:tblGrid>
      <w:tr w:rsidR="00D36FCC" w:rsidRPr="00D36FCC" w14:paraId="495B4B28" w14:textId="77777777" w:rsidTr="00196BC3">
        <w:tc>
          <w:tcPr>
            <w:tcW w:w="9403" w:type="dxa"/>
            <w:gridSpan w:val="17"/>
            <w:shd w:val="clear" w:color="auto" w:fill="auto"/>
            <w:vAlign w:val="center"/>
          </w:tcPr>
          <w:p w14:paraId="7ED841A5" w14:textId="77777777" w:rsidR="00D36FCC" w:rsidRPr="00D36FCC" w:rsidRDefault="00D36FCC" w:rsidP="00E426F2">
            <w:pPr>
              <w:pStyle w:val="HeadingStrong"/>
              <w:spacing w:afterLines="100" w:after="240"/>
              <w:jc w:val="center"/>
              <w:rPr>
                <w:szCs w:val="22"/>
              </w:rPr>
            </w:pPr>
            <w:r w:rsidRPr="00D36FCC">
              <w:rPr>
                <w:szCs w:val="22"/>
              </w:rPr>
              <w:t>Celkové prežívanie</w:t>
            </w:r>
          </w:p>
        </w:tc>
      </w:tr>
      <w:tr w:rsidR="00D36FCC" w:rsidRPr="00D36FCC" w14:paraId="0F1E20C6" w14:textId="77777777" w:rsidTr="00196BC3">
        <w:tc>
          <w:tcPr>
            <w:tcW w:w="2986" w:type="dxa"/>
            <w:gridSpan w:val="6"/>
            <w:shd w:val="clear" w:color="auto" w:fill="auto"/>
          </w:tcPr>
          <w:p w14:paraId="4E5F0CE1" w14:textId="77777777" w:rsidR="00D36FCC" w:rsidRPr="00D36FCC" w:rsidRDefault="00D36FCC" w:rsidP="00E426F2">
            <w:pPr>
              <w:keepNext/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Počet pacientov N</w:t>
            </w:r>
          </w:p>
        </w:tc>
        <w:tc>
          <w:tcPr>
            <w:tcW w:w="6417" w:type="dxa"/>
            <w:gridSpan w:val="11"/>
            <w:vMerge w:val="restart"/>
            <w:shd w:val="clear" w:color="auto" w:fill="auto"/>
          </w:tcPr>
          <w:p w14:paraId="2F7DFB4A" w14:textId="1225688A" w:rsidR="00D36FCC" w:rsidRPr="00D36FCC" w:rsidRDefault="00D36FCC" w:rsidP="00E426F2">
            <w:pPr>
              <w:spacing w:beforeLines="150" w:before="360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inline distT="0" distB="0" distL="0" distR="0" wp14:anchorId="19913647" wp14:editId="1F4E1918">
                  <wp:extent cx="3331845" cy="2957830"/>
                  <wp:effectExtent l="0" t="0" r="0" b="0"/>
                  <wp:docPr id="2" name="Obrázok 2" descr="figure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igur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1845" cy="295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FCC" w:rsidRPr="00D36FCC" w14:paraId="1F1B6AE7" w14:textId="77777777" w:rsidTr="00196BC3">
        <w:tc>
          <w:tcPr>
            <w:tcW w:w="684" w:type="dxa"/>
            <w:gridSpan w:val="2"/>
            <w:shd w:val="clear" w:color="auto" w:fill="auto"/>
          </w:tcPr>
          <w:p w14:paraId="11DC0C12" w14:textId="77777777" w:rsidR="00D36FCC" w:rsidRPr="00D36FCC" w:rsidRDefault="00D36FCC" w:rsidP="00E426F2">
            <w:pPr>
              <w:keepNext/>
              <w:spacing w:afterLines="100" w:after="240"/>
              <w:jc w:val="right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1143</w:t>
            </w:r>
          </w:p>
        </w:tc>
        <w:tc>
          <w:tcPr>
            <w:tcW w:w="2302" w:type="dxa"/>
            <w:gridSpan w:val="4"/>
            <w:shd w:val="clear" w:color="auto" w:fill="auto"/>
          </w:tcPr>
          <w:p w14:paraId="41C7D499" w14:textId="77777777" w:rsidR="00D36FCC" w:rsidRPr="00D36FCC" w:rsidRDefault="00D36FCC" w:rsidP="00E426F2">
            <w:pPr>
              <w:keepNext/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Celkovo</w:t>
            </w:r>
          </w:p>
        </w:tc>
        <w:tc>
          <w:tcPr>
            <w:tcW w:w="6417" w:type="dxa"/>
            <w:gridSpan w:val="11"/>
            <w:vMerge/>
            <w:shd w:val="clear" w:color="auto" w:fill="auto"/>
          </w:tcPr>
          <w:p w14:paraId="2A33C50E" w14:textId="77777777" w:rsidR="00D36FCC" w:rsidRPr="00D36FCC" w:rsidRDefault="00D36FCC" w:rsidP="00E426F2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36FCC" w:rsidRPr="00D36FCC" w14:paraId="1E2940D1" w14:textId="77777777" w:rsidTr="00196BC3">
        <w:tc>
          <w:tcPr>
            <w:tcW w:w="684" w:type="dxa"/>
            <w:gridSpan w:val="2"/>
            <w:shd w:val="clear" w:color="auto" w:fill="auto"/>
          </w:tcPr>
          <w:p w14:paraId="79E0D7F6" w14:textId="77777777" w:rsidR="00D36FCC" w:rsidRPr="00D36FCC" w:rsidRDefault="00D36FCC" w:rsidP="00E426F2">
            <w:pPr>
              <w:keepNext/>
              <w:spacing w:afterLines="100" w:after="240"/>
              <w:jc w:val="right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27</w:t>
            </w:r>
          </w:p>
        </w:tc>
        <w:tc>
          <w:tcPr>
            <w:tcW w:w="2302" w:type="dxa"/>
            <w:gridSpan w:val="4"/>
            <w:shd w:val="clear" w:color="auto" w:fill="auto"/>
          </w:tcPr>
          <w:p w14:paraId="41C9F379" w14:textId="77777777" w:rsidR="00D36FCC" w:rsidRPr="00D36FCC" w:rsidRDefault="00D36FCC" w:rsidP="00E426F2">
            <w:pPr>
              <w:keepNext/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EGFR mutácia +</w:t>
            </w:r>
          </w:p>
        </w:tc>
        <w:tc>
          <w:tcPr>
            <w:tcW w:w="6417" w:type="dxa"/>
            <w:gridSpan w:val="11"/>
            <w:vMerge/>
            <w:shd w:val="clear" w:color="auto" w:fill="auto"/>
          </w:tcPr>
          <w:p w14:paraId="7B8E5394" w14:textId="77777777" w:rsidR="00D36FCC" w:rsidRPr="00D36FCC" w:rsidRDefault="00D36FCC" w:rsidP="00E426F2">
            <w:pPr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36FCC" w:rsidRPr="00D36FCC" w14:paraId="454026E8" w14:textId="77777777" w:rsidTr="00196BC3">
        <w:tc>
          <w:tcPr>
            <w:tcW w:w="684" w:type="dxa"/>
            <w:gridSpan w:val="2"/>
            <w:shd w:val="clear" w:color="auto" w:fill="auto"/>
          </w:tcPr>
          <w:p w14:paraId="2FA8428E" w14:textId="77777777" w:rsidR="00D36FCC" w:rsidRPr="00D36FCC" w:rsidRDefault="00D36FCC" w:rsidP="00E426F2">
            <w:pPr>
              <w:keepNext/>
              <w:spacing w:afterLines="100" w:after="240"/>
              <w:jc w:val="right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222</w:t>
            </w:r>
          </w:p>
        </w:tc>
        <w:tc>
          <w:tcPr>
            <w:tcW w:w="2302" w:type="dxa"/>
            <w:gridSpan w:val="4"/>
            <w:shd w:val="clear" w:color="auto" w:fill="auto"/>
          </w:tcPr>
          <w:p w14:paraId="650E1701" w14:textId="77777777" w:rsidR="00D36FCC" w:rsidRPr="00D36FCC" w:rsidRDefault="00D36FCC" w:rsidP="00E426F2">
            <w:pPr>
              <w:keepNext/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EGFR mutácia -</w:t>
            </w:r>
          </w:p>
        </w:tc>
        <w:tc>
          <w:tcPr>
            <w:tcW w:w="6417" w:type="dxa"/>
            <w:gridSpan w:val="11"/>
            <w:vMerge/>
            <w:shd w:val="clear" w:color="auto" w:fill="auto"/>
          </w:tcPr>
          <w:p w14:paraId="68955DE6" w14:textId="77777777" w:rsidR="00D36FCC" w:rsidRPr="00D36FCC" w:rsidRDefault="00D36FCC" w:rsidP="00E426F2">
            <w:pPr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36FCC" w:rsidRPr="00D36FCC" w14:paraId="3E54FCC7" w14:textId="77777777" w:rsidTr="00196BC3">
        <w:tc>
          <w:tcPr>
            <w:tcW w:w="684" w:type="dxa"/>
            <w:gridSpan w:val="2"/>
            <w:shd w:val="clear" w:color="auto" w:fill="auto"/>
          </w:tcPr>
          <w:p w14:paraId="492170C4" w14:textId="77777777" w:rsidR="00D36FCC" w:rsidRPr="00D36FCC" w:rsidRDefault="00D36FCC" w:rsidP="00E426F2">
            <w:pPr>
              <w:keepNext/>
              <w:spacing w:afterLines="100" w:after="240"/>
              <w:jc w:val="right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133</w:t>
            </w:r>
          </w:p>
        </w:tc>
        <w:tc>
          <w:tcPr>
            <w:tcW w:w="2302" w:type="dxa"/>
            <w:gridSpan w:val="4"/>
            <w:shd w:val="clear" w:color="auto" w:fill="auto"/>
          </w:tcPr>
          <w:p w14:paraId="22EFEAEB" w14:textId="054F72FA" w:rsidR="00D36FCC" w:rsidRPr="00D36FCC" w:rsidRDefault="00D36FCC" w:rsidP="00E426F2">
            <w:pPr>
              <w:keepNext/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Nefajči</w:t>
            </w:r>
            <w:r w:rsidR="00E426F2">
              <w:rPr>
                <w:rFonts w:ascii="Times New Roman" w:hAnsi="Times New Roman" w:cs="Times New Roman"/>
                <w:lang w:val="sk-SK"/>
              </w:rPr>
              <w:t>ari</w:t>
            </w:r>
          </w:p>
        </w:tc>
        <w:tc>
          <w:tcPr>
            <w:tcW w:w="6417" w:type="dxa"/>
            <w:gridSpan w:val="11"/>
            <w:vMerge/>
            <w:shd w:val="clear" w:color="auto" w:fill="auto"/>
          </w:tcPr>
          <w:p w14:paraId="6913F96F" w14:textId="77777777" w:rsidR="00D36FCC" w:rsidRPr="00D36FCC" w:rsidRDefault="00D36FCC" w:rsidP="00E426F2">
            <w:pPr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36FCC" w:rsidRPr="00D36FCC" w14:paraId="5E577E2E" w14:textId="77777777" w:rsidTr="00196BC3">
        <w:tc>
          <w:tcPr>
            <w:tcW w:w="684" w:type="dxa"/>
            <w:gridSpan w:val="2"/>
            <w:shd w:val="clear" w:color="auto" w:fill="auto"/>
          </w:tcPr>
          <w:p w14:paraId="5D7235E2" w14:textId="77777777" w:rsidR="00D36FCC" w:rsidRPr="00D36FCC" w:rsidRDefault="00D36FCC" w:rsidP="00E426F2">
            <w:pPr>
              <w:keepNext/>
              <w:spacing w:afterLines="100" w:after="240"/>
              <w:jc w:val="right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1010</w:t>
            </w:r>
          </w:p>
        </w:tc>
        <w:tc>
          <w:tcPr>
            <w:tcW w:w="2302" w:type="dxa"/>
            <w:gridSpan w:val="4"/>
            <w:shd w:val="clear" w:color="auto" w:fill="auto"/>
          </w:tcPr>
          <w:p w14:paraId="018A05E8" w14:textId="53FA95A5" w:rsidR="00D36FCC" w:rsidRPr="00D36FCC" w:rsidRDefault="00D36FCC" w:rsidP="00E426F2">
            <w:pPr>
              <w:keepNext/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Fajči</w:t>
            </w:r>
            <w:r w:rsidR="00E426F2">
              <w:rPr>
                <w:rFonts w:ascii="Times New Roman" w:hAnsi="Times New Roman" w:cs="Times New Roman"/>
                <w:lang w:val="sk-SK"/>
              </w:rPr>
              <w:t>ari</w:t>
            </w:r>
          </w:p>
        </w:tc>
        <w:tc>
          <w:tcPr>
            <w:tcW w:w="6417" w:type="dxa"/>
            <w:gridSpan w:val="11"/>
            <w:vMerge/>
            <w:shd w:val="clear" w:color="auto" w:fill="auto"/>
          </w:tcPr>
          <w:p w14:paraId="271150DA" w14:textId="77777777" w:rsidR="00D36FCC" w:rsidRPr="00D36FCC" w:rsidRDefault="00D36FCC" w:rsidP="00E426F2">
            <w:pPr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36FCC" w:rsidRPr="00D36FCC" w14:paraId="6C304E92" w14:textId="77777777" w:rsidTr="00196BC3">
        <w:tc>
          <w:tcPr>
            <w:tcW w:w="684" w:type="dxa"/>
            <w:gridSpan w:val="2"/>
            <w:shd w:val="clear" w:color="auto" w:fill="auto"/>
          </w:tcPr>
          <w:p w14:paraId="5D909EE3" w14:textId="77777777" w:rsidR="00D36FCC" w:rsidRPr="00D36FCC" w:rsidRDefault="00D36FCC" w:rsidP="00E426F2">
            <w:pPr>
              <w:keepNext/>
              <w:spacing w:afterLines="100" w:after="240"/>
              <w:jc w:val="right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600</w:t>
            </w:r>
          </w:p>
        </w:tc>
        <w:tc>
          <w:tcPr>
            <w:tcW w:w="2302" w:type="dxa"/>
            <w:gridSpan w:val="4"/>
            <w:shd w:val="clear" w:color="auto" w:fill="auto"/>
          </w:tcPr>
          <w:p w14:paraId="102C497A" w14:textId="77777777" w:rsidR="00D36FCC" w:rsidRPr="00D36FCC" w:rsidRDefault="00D36FCC" w:rsidP="00E426F2">
            <w:pPr>
              <w:keepNext/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S adenokarcinómom</w:t>
            </w:r>
          </w:p>
        </w:tc>
        <w:tc>
          <w:tcPr>
            <w:tcW w:w="6417" w:type="dxa"/>
            <w:gridSpan w:val="11"/>
            <w:vMerge/>
            <w:shd w:val="clear" w:color="auto" w:fill="auto"/>
          </w:tcPr>
          <w:p w14:paraId="0E0B8D16" w14:textId="77777777" w:rsidR="00D36FCC" w:rsidRPr="00D36FCC" w:rsidRDefault="00D36FCC" w:rsidP="00E426F2">
            <w:pPr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36FCC" w:rsidRPr="00D36FCC" w14:paraId="77094868" w14:textId="77777777" w:rsidTr="00196BC3">
        <w:tc>
          <w:tcPr>
            <w:tcW w:w="684" w:type="dxa"/>
            <w:gridSpan w:val="2"/>
            <w:shd w:val="clear" w:color="auto" w:fill="auto"/>
          </w:tcPr>
          <w:p w14:paraId="14431F1E" w14:textId="77777777" w:rsidR="00D36FCC" w:rsidRPr="00D36FCC" w:rsidRDefault="00D36FCC" w:rsidP="00E426F2">
            <w:pPr>
              <w:keepNext/>
              <w:spacing w:afterLines="100" w:after="240"/>
              <w:jc w:val="right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543</w:t>
            </w:r>
          </w:p>
        </w:tc>
        <w:tc>
          <w:tcPr>
            <w:tcW w:w="2302" w:type="dxa"/>
            <w:gridSpan w:val="4"/>
            <w:shd w:val="clear" w:color="auto" w:fill="auto"/>
          </w:tcPr>
          <w:p w14:paraId="6E0D80E9" w14:textId="77777777" w:rsidR="00D36FCC" w:rsidRPr="00D36FCC" w:rsidRDefault="00D36FCC" w:rsidP="00E426F2">
            <w:pPr>
              <w:keepNext/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Bez adenokarcinómu</w:t>
            </w:r>
          </w:p>
        </w:tc>
        <w:tc>
          <w:tcPr>
            <w:tcW w:w="6417" w:type="dxa"/>
            <w:gridSpan w:val="11"/>
            <w:vMerge/>
            <w:shd w:val="clear" w:color="auto" w:fill="auto"/>
          </w:tcPr>
          <w:p w14:paraId="171761A2" w14:textId="77777777" w:rsidR="00D36FCC" w:rsidRPr="00D36FCC" w:rsidRDefault="00D36FCC" w:rsidP="00E426F2">
            <w:pPr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36FCC" w:rsidRPr="00D36FCC" w14:paraId="5FDD1668" w14:textId="77777777" w:rsidTr="00196BC3">
        <w:tc>
          <w:tcPr>
            <w:tcW w:w="684" w:type="dxa"/>
            <w:gridSpan w:val="2"/>
            <w:shd w:val="clear" w:color="auto" w:fill="auto"/>
          </w:tcPr>
          <w:p w14:paraId="3A2BC5B4" w14:textId="77777777" w:rsidR="00D36FCC" w:rsidRPr="00D36FCC" w:rsidRDefault="00D36FCC" w:rsidP="00E426F2">
            <w:pPr>
              <w:keepNext/>
              <w:spacing w:afterLines="100" w:after="240"/>
              <w:jc w:val="right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369</w:t>
            </w:r>
          </w:p>
        </w:tc>
        <w:tc>
          <w:tcPr>
            <w:tcW w:w="2302" w:type="dxa"/>
            <w:gridSpan w:val="4"/>
            <w:shd w:val="clear" w:color="auto" w:fill="auto"/>
          </w:tcPr>
          <w:p w14:paraId="3C4C50E6" w14:textId="77777777" w:rsidR="00D36FCC" w:rsidRPr="00D36FCC" w:rsidRDefault="00D36FCC" w:rsidP="00E426F2">
            <w:pPr>
              <w:keepNext/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Ženy</w:t>
            </w:r>
          </w:p>
        </w:tc>
        <w:tc>
          <w:tcPr>
            <w:tcW w:w="6417" w:type="dxa"/>
            <w:gridSpan w:val="11"/>
            <w:vMerge/>
            <w:shd w:val="clear" w:color="auto" w:fill="auto"/>
          </w:tcPr>
          <w:p w14:paraId="56C85E78" w14:textId="77777777" w:rsidR="00D36FCC" w:rsidRPr="00D36FCC" w:rsidRDefault="00D36FCC" w:rsidP="00E426F2">
            <w:pPr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36FCC" w:rsidRPr="00D36FCC" w14:paraId="2C761A29" w14:textId="77777777" w:rsidTr="00196BC3">
        <w:tc>
          <w:tcPr>
            <w:tcW w:w="684" w:type="dxa"/>
            <w:gridSpan w:val="2"/>
            <w:shd w:val="clear" w:color="auto" w:fill="auto"/>
          </w:tcPr>
          <w:p w14:paraId="3FB17470" w14:textId="77777777" w:rsidR="00D36FCC" w:rsidRPr="00D36FCC" w:rsidRDefault="00D36FCC" w:rsidP="00E426F2">
            <w:pPr>
              <w:keepNext/>
              <w:jc w:val="right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774</w:t>
            </w:r>
          </w:p>
        </w:tc>
        <w:tc>
          <w:tcPr>
            <w:tcW w:w="230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5CCD2AB" w14:textId="77777777" w:rsidR="00D36FCC" w:rsidRPr="00D36FCC" w:rsidRDefault="00D36FCC" w:rsidP="00E426F2">
            <w:pPr>
              <w:keepNext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Muži</w:t>
            </w:r>
          </w:p>
        </w:tc>
        <w:tc>
          <w:tcPr>
            <w:tcW w:w="641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</w:tcPr>
          <w:p w14:paraId="6DBAA5C3" w14:textId="77777777" w:rsidR="00D36FCC" w:rsidRPr="00D36FCC" w:rsidRDefault="00D36FCC" w:rsidP="00E426F2">
            <w:pPr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36FCC" w:rsidRPr="00D36FCC" w14:paraId="113491C5" w14:textId="77777777" w:rsidTr="00196BC3">
        <w:tc>
          <w:tcPr>
            <w:tcW w:w="684" w:type="dxa"/>
            <w:gridSpan w:val="2"/>
            <w:shd w:val="clear" w:color="auto" w:fill="auto"/>
          </w:tcPr>
          <w:p w14:paraId="49D65529" w14:textId="77777777" w:rsidR="00D36FCC" w:rsidRPr="00D36FCC" w:rsidRDefault="00D36FCC" w:rsidP="00E426F2">
            <w:pPr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30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E8DDD90" w14:textId="77777777" w:rsidR="00D36FCC" w:rsidRPr="00D36FCC" w:rsidRDefault="00D36FCC" w:rsidP="00E426F2">
            <w:pPr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79A4B8" w14:textId="77777777" w:rsidR="00D36FCC" w:rsidRPr="00D36FCC" w:rsidRDefault="00D36FCC" w:rsidP="00E426F2">
            <w:pPr>
              <w:spacing w:afterLines="100" w:after="2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0,5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CB104A7" w14:textId="77777777" w:rsidR="00D36FCC" w:rsidRPr="00D36FCC" w:rsidRDefault="00D36FCC" w:rsidP="00E426F2">
            <w:pPr>
              <w:spacing w:afterLines="100" w:after="2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1,0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E0C6464" w14:textId="77777777" w:rsidR="00D36FCC" w:rsidRPr="00D36FCC" w:rsidRDefault="00D36FCC" w:rsidP="00E426F2">
            <w:pPr>
              <w:spacing w:afterLines="100" w:after="2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1,5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C74357A" w14:textId="77777777" w:rsidR="00D36FCC" w:rsidRPr="00D36FCC" w:rsidRDefault="00D36FCC" w:rsidP="00E426F2">
            <w:pPr>
              <w:spacing w:afterLines="100" w:after="24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2,0</w:t>
            </w:r>
          </w:p>
        </w:tc>
      </w:tr>
      <w:tr w:rsidR="00D36FCC" w:rsidRPr="00D36FCC" w14:paraId="3CDAD4EE" w14:textId="77777777" w:rsidTr="00196BC3">
        <w:tc>
          <w:tcPr>
            <w:tcW w:w="9403" w:type="dxa"/>
            <w:gridSpan w:val="17"/>
            <w:shd w:val="clear" w:color="auto" w:fill="auto"/>
          </w:tcPr>
          <w:p w14:paraId="28C8DD34" w14:textId="77777777" w:rsidR="00D36FCC" w:rsidRPr="00D36FCC" w:rsidRDefault="00D36FCC" w:rsidP="00E426F2">
            <w:pPr>
              <w:jc w:val="center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D36FCC">
              <w:rPr>
                <w:rFonts w:ascii="Times New Roman" w:hAnsi="Times New Roman" w:cs="Times New Roman"/>
                <w:b/>
                <w:lang w:val="sk-SK"/>
              </w:rPr>
              <w:t>Pomer rizika (gefitinib a docetaxel) a 95 % interval spoľahlivosti</w:t>
            </w:r>
          </w:p>
        </w:tc>
      </w:tr>
      <w:tr w:rsidR="00D36FCC" w:rsidRPr="00D36FCC" w14:paraId="6FA02A3A" w14:textId="77777777" w:rsidTr="00196BC3">
        <w:tc>
          <w:tcPr>
            <w:tcW w:w="2410" w:type="dxa"/>
            <w:gridSpan w:val="4"/>
            <w:shd w:val="clear" w:color="auto" w:fill="auto"/>
          </w:tcPr>
          <w:p w14:paraId="32277B6A" w14:textId="77777777" w:rsidR="00D36FCC" w:rsidRPr="00196BC3" w:rsidRDefault="00D36FCC" w:rsidP="00E426F2">
            <w:pPr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  <w:r w:rsidRPr="00196BC3">
              <w:rPr>
                <w:rFonts w:ascii="Times New Roman" w:hAnsi="Times New Roman" w:cs="Times New Roman"/>
                <w:lang w:val="sk-SK"/>
              </w:rPr>
              <w:t>Neupravená analýza</w:t>
            </w:r>
          </w:p>
        </w:tc>
        <w:tc>
          <w:tcPr>
            <w:tcW w:w="3311" w:type="dxa"/>
            <w:gridSpan w:val="6"/>
            <w:shd w:val="clear" w:color="auto" w:fill="auto"/>
          </w:tcPr>
          <w:p w14:paraId="2FB659E4" w14:textId="77777777" w:rsidR="00D36FCC" w:rsidRPr="00196BC3" w:rsidRDefault="00D36FCC" w:rsidP="00E426F2">
            <w:pPr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  <w:r w:rsidRPr="00196BC3">
              <w:rPr>
                <w:rFonts w:ascii="Times New Roman" w:hAnsi="Times New Roman" w:cs="Times New Roman"/>
                <w:lang w:val="sk-SK"/>
              </w:rPr>
              <w:t>Populácia PP pre klinické faktory</w:t>
            </w:r>
          </w:p>
        </w:tc>
        <w:tc>
          <w:tcPr>
            <w:tcW w:w="3682" w:type="dxa"/>
            <w:gridSpan w:val="7"/>
            <w:shd w:val="clear" w:color="auto" w:fill="auto"/>
          </w:tcPr>
          <w:p w14:paraId="01A34524" w14:textId="77777777" w:rsidR="00D36FCC" w:rsidRPr="00196BC3" w:rsidRDefault="00D36FCC" w:rsidP="00E426F2">
            <w:pPr>
              <w:spacing w:afterLines="100" w:after="240"/>
              <w:rPr>
                <w:rFonts w:ascii="Times New Roman" w:hAnsi="Times New Roman" w:cs="Times New Roman"/>
                <w:lang w:val="sk-SK"/>
              </w:rPr>
            </w:pPr>
            <w:r w:rsidRPr="00196BC3">
              <w:rPr>
                <w:rFonts w:ascii="Times New Roman" w:hAnsi="Times New Roman" w:cs="Times New Roman"/>
                <w:lang w:val="sk-SK"/>
              </w:rPr>
              <w:t>Populácia ITT pre biomarkerové faktory</w:t>
            </w:r>
          </w:p>
        </w:tc>
      </w:tr>
      <w:tr w:rsidR="00196BC3" w:rsidRPr="00A84579" w14:paraId="1F31A0AC" w14:textId="77777777" w:rsidTr="00E426F2">
        <w:tblPrEx>
          <w:tblCellMar>
            <w:left w:w="57" w:type="dxa"/>
            <w:right w:w="57" w:type="dxa"/>
          </w:tblCellMar>
        </w:tblPrEx>
        <w:trPr>
          <w:gridBefore w:val="1"/>
          <w:wBefore w:w="51" w:type="dxa"/>
          <w:cantSplit/>
        </w:trPr>
        <w:tc>
          <w:tcPr>
            <w:tcW w:w="9352" w:type="dxa"/>
            <w:gridSpan w:val="16"/>
            <w:shd w:val="clear" w:color="auto" w:fill="auto"/>
          </w:tcPr>
          <w:p w14:paraId="7A7CC229" w14:textId="77777777" w:rsidR="00196BC3" w:rsidRPr="00196BC3" w:rsidRDefault="00196BC3" w:rsidP="00E426F2">
            <w:pPr>
              <w:pStyle w:val="HeadingStrong"/>
              <w:spacing w:afterLines="100" w:after="240"/>
              <w:jc w:val="center"/>
              <w:rPr>
                <w:szCs w:val="22"/>
              </w:rPr>
            </w:pPr>
            <w:r w:rsidRPr="00196BC3">
              <w:rPr>
                <w:szCs w:val="22"/>
              </w:rPr>
              <w:lastRenderedPageBreak/>
              <w:t>Prežitie bez progresie ochorenia</w:t>
            </w:r>
          </w:p>
        </w:tc>
      </w:tr>
      <w:tr w:rsidR="00196BC3" w:rsidRPr="00A84579" w14:paraId="61ABEBDB" w14:textId="77777777" w:rsidTr="00E426F2">
        <w:tblPrEx>
          <w:tblCellMar>
            <w:left w:w="57" w:type="dxa"/>
            <w:right w:w="57" w:type="dxa"/>
          </w:tblCellMar>
        </w:tblPrEx>
        <w:trPr>
          <w:gridBefore w:val="1"/>
          <w:wBefore w:w="51" w:type="dxa"/>
          <w:cantSplit/>
        </w:trPr>
        <w:tc>
          <w:tcPr>
            <w:tcW w:w="1333" w:type="dxa"/>
            <w:gridSpan w:val="2"/>
            <w:shd w:val="clear" w:color="auto" w:fill="auto"/>
          </w:tcPr>
          <w:p w14:paraId="4DEDB10A" w14:textId="77777777" w:rsidR="00196BC3" w:rsidRPr="00196BC3" w:rsidRDefault="00196BC3" w:rsidP="00E426F2">
            <w:pPr>
              <w:pStyle w:val="HeadingStrong"/>
              <w:spacing w:afterLines="100" w:after="240"/>
              <w:jc w:val="center"/>
              <w:rPr>
                <w:szCs w:val="22"/>
              </w:rPr>
            </w:pPr>
          </w:p>
        </w:tc>
        <w:tc>
          <w:tcPr>
            <w:tcW w:w="3231" w:type="dxa"/>
            <w:gridSpan w:val="4"/>
            <w:shd w:val="clear" w:color="auto" w:fill="auto"/>
          </w:tcPr>
          <w:p w14:paraId="32AD9C35" w14:textId="77777777" w:rsidR="00196BC3" w:rsidRPr="00196BC3" w:rsidRDefault="00196BC3" w:rsidP="00E426F2">
            <w:pPr>
              <w:pStyle w:val="HeadingStrong"/>
              <w:spacing w:afterLines="100" w:after="240"/>
              <w:ind w:firstLine="650"/>
              <w:rPr>
                <w:szCs w:val="22"/>
              </w:rPr>
            </w:pPr>
            <w:r w:rsidRPr="00196BC3">
              <w:rPr>
                <w:szCs w:val="22"/>
              </w:rPr>
              <w:t>ORR (%)</w:t>
            </w:r>
          </w:p>
        </w:tc>
        <w:tc>
          <w:tcPr>
            <w:tcW w:w="4788" w:type="dxa"/>
            <w:gridSpan w:val="10"/>
            <w:shd w:val="clear" w:color="auto" w:fill="auto"/>
          </w:tcPr>
          <w:p w14:paraId="494E7359" w14:textId="77777777" w:rsidR="00196BC3" w:rsidRPr="00196BC3" w:rsidRDefault="00196BC3" w:rsidP="00E426F2">
            <w:pPr>
              <w:pStyle w:val="HeadingStrong"/>
              <w:spacing w:afterLines="100" w:after="240"/>
              <w:jc w:val="center"/>
              <w:rPr>
                <w:szCs w:val="22"/>
              </w:rPr>
            </w:pPr>
          </w:p>
        </w:tc>
      </w:tr>
      <w:tr w:rsidR="00196BC3" w14:paraId="40CCC4E7" w14:textId="77777777" w:rsidTr="00E426F2">
        <w:tblPrEx>
          <w:tblCellMar>
            <w:left w:w="57" w:type="dxa"/>
            <w:right w:w="57" w:type="dxa"/>
          </w:tblCellMar>
        </w:tblPrEx>
        <w:trPr>
          <w:gridBefore w:val="1"/>
          <w:wBefore w:w="51" w:type="dxa"/>
          <w:cantSplit/>
        </w:trPr>
        <w:tc>
          <w:tcPr>
            <w:tcW w:w="1333" w:type="dxa"/>
            <w:gridSpan w:val="2"/>
            <w:shd w:val="clear" w:color="auto" w:fill="auto"/>
          </w:tcPr>
          <w:p w14:paraId="1B841830" w14:textId="77777777" w:rsidR="00196BC3" w:rsidRPr="00196BC3" w:rsidRDefault="00196BC3" w:rsidP="00E426F2">
            <w:pPr>
              <w:pStyle w:val="HeadingStrong"/>
              <w:rPr>
                <w:szCs w:val="22"/>
              </w:rPr>
            </w:pPr>
            <w:r w:rsidRPr="00196BC3">
              <w:rPr>
                <w:szCs w:val="22"/>
              </w:rPr>
              <w:t>Počet pacientov N</w:t>
            </w:r>
          </w:p>
        </w:tc>
        <w:tc>
          <w:tcPr>
            <w:tcW w:w="3231" w:type="dxa"/>
            <w:gridSpan w:val="4"/>
            <w:shd w:val="clear" w:color="auto" w:fill="auto"/>
          </w:tcPr>
          <w:p w14:paraId="35A0A4EE" w14:textId="77777777" w:rsidR="00196BC3" w:rsidRPr="00196BC3" w:rsidRDefault="00196BC3" w:rsidP="00E426F2">
            <w:pPr>
              <w:pStyle w:val="HeadingStrong"/>
              <w:rPr>
                <w:szCs w:val="22"/>
              </w:rPr>
            </w:pPr>
            <w:r w:rsidRPr="00196BC3">
              <w:rPr>
                <w:szCs w:val="22"/>
              </w:rPr>
              <w:t>Gefitinib verzus docetaxel</w:t>
            </w:r>
          </w:p>
        </w:tc>
        <w:tc>
          <w:tcPr>
            <w:tcW w:w="4788" w:type="dxa"/>
            <w:gridSpan w:val="10"/>
            <w:vMerge w:val="restart"/>
            <w:shd w:val="clear" w:color="auto" w:fill="auto"/>
          </w:tcPr>
          <w:p w14:paraId="6EE420D7" w14:textId="240FC9A9" w:rsidR="00196BC3" w:rsidRPr="00196BC3" w:rsidRDefault="00196BC3" w:rsidP="00E426F2">
            <w:pPr>
              <w:spacing w:beforeLines="100" w:before="240"/>
              <w:rPr>
                <w:lang w:val="sk-SK"/>
              </w:rPr>
            </w:pPr>
            <w:r w:rsidRPr="00196BC3">
              <w:rPr>
                <w:noProof/>
                <w:lang w:val="sk-SK" w:eastAsia="sk-SK"/>
              </w:rPr>
              <w:drawing>
                <wp:inline distT="0" distB="0" distL="0" distR="0" wp14:anchorId="66E857CA" wp14:editId="7E5F2B5F">
                  <wp:extent cx="2576195" cy="3466465"/>
                  <wp:effectExtent l="0" t="0" r="0" b="0"/>
                  <wp:docPr id="1" name="Obrázok 1" descr="figure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igure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195" cy="346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BC3" w:rsidRPr="00B20CB2" w14:paraId="1F168960" w14:textId="77777777" w:rsidTr="00E426F2">
        <w:tblPrEx>
          <w:tblCellMar>
            <w:left w:w="57" w:type="dxa"/>
            <w:right w:w="57" w:type="dxa"/>
          </w:tblCellMar>
        </w:tblPrEx>
        <w:trPr>
          <w:gridBefore w:val="1"/>
          <w:wBefore w:w="51" w:type="dxa"/>
          <w:cantSplit/>
        </w:trPr>
        <w:tc>
          <w:tcPr>
            <w:tcW w:w="1333" w:type="dxa"/>
            <w:gridSpan w:val="2"/>
            <w:shd w:val="clear" w:color="auto" w:fill="auto"/>
            <w:vAlign w:val="center"/>
          </w:tcPr>
          <w:p w14:paraId="0AAAA1DF" w14:textId="77777777" w:rsidR="00196BC3" w:rsidRPr="00196BC3" w:rsidRDefault="00196BC3" w:rsidP="00E426F2">
            <w:pPr>
              <w:keepNext/>
              <w:spacing w:afterLines="100" w:after="240"/>
              <w:jc w:val="center"/>
              <w:rPr>
                <w:rFonts w:ascii="Calibri" w:hAnsi="Calibri" w:cs="Arial"/>
                <w:lang w:val="sk-SK"/>
              </w:rPr>
            </w:pPr>
            <w:r w:rsidRPr="00196BC3">
              <w:rPr>
                <w:rFonts w:ascii="Calibri" w:hAnsi="Calibri"/>
                <w:lang w:val="sk-SK"/>
              </w:rPr>
              <w:t>1143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F109438" w14:textId="77777777" w:rsidR="00196BC3" w:rsidRPr="00196BC3" w:rsidRDefault="00196BC3" w:rsidP="00E426F2">
            <w:pPr>
              <w:keepNext/>
              <w:spacing w:afterLines="100" w:after="240"/>
              <w:rPr>
                <w:rFonts w:ascii="Calibri" w:hAnsi="Calibri" w:cs="Arial"/>
                <w:sz w:val="20"/>
                <w:szCs w:val="20"/>
                <w:lang w:val="sk-SK"/>
              </w:rPr>
            </w:pPr>
            <w:r w:rsidRPr="00196BC3">
              <w:rPr>
                <w:rFonts w:ascii="Calibri" w:hAnsi="Calibri"/>
                <w:sz w:val="20"/>
                <w:szCs w:val="20"/>
                <w:lang w:val="sk-SK"/>
              </w:rPr>
              <w:t>6,2 verzus 7,3</w:t>
            </w:r>
          </w:p>
        </w:tc>
        <w:tc>
          <w:tcPr>
            <w:tcW w:w="1813" w:type="dxa"/>
            <w:gridSpan w:val="2"/>
            <w:shd w:val="clear" w:color="auto" w:fill="auto"/>
          </w:tcPr>
          <w:p w14:paraId="4A1308A0" w14:textId="77777777" w:rsidR="00196BC3" w:rsidRPr="00196BC3" w:rsidRDefault="00196BC3" w:rsidP="00E426F2">
            <w:pPr>
              <w:keepNext/>
              <w:spacing w:afterLines="100" w:after="240"/>
              <w:rPr>
                <w:rFonts w:ascii="Calibri" w:hAnsi="Calibri" w:cs="Arial"/>
                <w:sz w:val="20"/>
                <w:szCs w:val="20"/>
                <w:lang w:val="sk-SK"/>
              </w:rPr>
            </w:pPr>
            <w:r w:rsidRPr="00196BC3">
              <w:rPr>
                <w:rFonts w:ascii="Calibri" w:hAnsi="Calibri"/>
                <w:sz w:val="20"/>
                <w:szCs w:val="20"/>
                <w:lang w:val="sk-SK"/>
              </w:rPr>
              <w:t>Celkovo</w:t>
            </w:r>
          </w:p>
        </w:tc>
        <w:tc>
          <w:tcPr>
            <w:tcW w:w="4788" w:type="dxa"/>
            <w:gridSpan w:val="10"/>
            <w:vMerge/>
            <w:shd w:val="clear" w:color="auto" w:fill="auto"/>
          </w:tcPr>
          <w:p w14:paraId="573ECB9F" w14:textId="77777777" w:rsidR="00196BC3" w:rsidRPr="00196BC3" w:rsidRDefault="00196BC3" w:rsidP="00E426F2">
            <w:pPr>
              <w:rPr>
                <w:rFonts w:ascii="Calibri" w:hAnsi="Calibri" w:cs="Arial"/>
                <w:lang w:val="sk-SK"/>
              </w:rPr>
            </w:pPr>
          </w:p>
        </w:tc>
      </w:tr>
      <w:tr w:rsidR="00196BC3" w:rsidRPr="00B20CB2" w14:paraId="20EFF3A7" w14:textId="77777777" w:rsidTr="00E426F2">
        <w:tblPrEx>
          <w:tblCellMar>
            <w:left w:w="57" w:type="dxa"/>
            <w:right w:w="57" w:type="dxa"/>
          </w:tblCellMar>
        </w:tblPrEx>
        <w:trPr>
          <w:gridBefore w:val="1"/>
          <w:wBefore w:w="51" w:type="dxa"/>
          <w:cantSplit/>
        </w:trPr>
        <w:tc>
          <w:tcPr>
            <w:tcW w:w="1333" w:type="dxa"/>
            <w:gridSpan w:val="2"/>
            <w:shd w:val="clear" w:color="auto" w:fill="auto"/>
            <w:vAlign w:val="center"/>
          </w:tcPr>
          <w:p w14:paraId="3EA0EFF5" w14:textId="77777777" w:rsidR="00196BC3" w:rsidRPr="00196BC3" w:rsidRDefault="00196BC3" w:rsidP="00E426F2">
            <w:pPr>
              <w:keepNext/>
              <w:spacing w:afterLines="100" w:after="240"/>
              <w:jc w:val="center"/>
              <w:rPr>
                <w:rFonts w:ascii="Calibri" w:hAnsi="Calibri" w:cs="Arial"/>
                <w:lang w:val="sk-SK"/>
              </w:rPr>
            </w:pPr>
            <w:r w:rsidRPr="00196BC3">
              <w:rPr>
                <w:rFonts w:ascii="Calibri" w:hAnsi="Calibri"/>
                <w:lang w:val="sk-SK"/>
              </w:rPr>
              <w:t>27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F2259CE" w14:textId="77777777" w:rsidR="00196BC3" w:rsidRPr="00196BC3" w:rsidRDefault="00196BC3" w:rsidP="00E426F2">
            <w:pPr>
              <w:keepNext/>
              <w:spacing w:afterLines="100" w:after="240"/>
              <w:rPr>
                <w:rFonts w:ascii="Calibri" w:hAnsi="Calibri" w:cs="Arial"/>
                <w:sz w:val="20"/>
                <w:szCs w:val="20"/>
                <w:lang w:val="sk-SK"/>
              </w:rPr>
            </w:pPr>
            <w:r w:rsidRPr="00196BC3">
              <w:rPr>
                <w:rFonts w:ascii="Calibri" w:hAnsi="Calibri"/>
                <w:sz w:val="20"/>
                <w:szCs w:val="20"/>
                <w:lang w:val="sk-SK"/>
              </w:rPr>
              <w:t>42,9 verzus 20,0</w:t>
            </w:r>
          </w:p>
        </w:tc>
        <w:tc>
          <w:tcPr>
            <w:tcW w:w="1813" w:type="dxa"/>
            <w:gridSpan w:val="2"/>
            <w:shd w:val="clear" w:color="auto" w:fill="auto"/>
          </w:tcPr>
          <w:p w14:paraId="23DBF879" w14:textId="77777777" w:rsidR="00196BC3" w:rsidRPr="00196BC3" w:rsidRDefault="00196BC3" w:rsidP="00E426F2">
            <w:pPr>
              <w:keepNext/>
              <w:spacing w:afterLines="100" w:after="240"/>
              <w:rPr>
                <w:rFonts w:ascii="Calibri" w:hAnsi="Calibri" w:cs="Arial"/>
                <w:sz w:val="20"/>
                <w:szCs w:val="20"/>
                <w:lang w:val="sk-SK"/>
              </w:rPr>
            </w:pPr>
            <w:r w:rsidRPr="00196BC3">
              <w:rPr>
                <w:rFonts w:ascii="Calibri" w:hAnsi="Calibri"/>
                <w:sz w:val="20"/>
                <w:szCs w:val="20"/>
                <w:lang w:val="sk-SK"/>
              </w:rPr>
              <w:t>EGFR mutácia +</w:t>
            </w:r>
          </w:p>
        </w:tc>
        <w:tc>
          <w:tcPr>
            <w:tcW w:w="4788" w:type="dxa"/>
            <w:gridSpan w:val="10"/>
            <w:vMerge/>
            <w:shd w:val="clear" w:color="auto" w:fill="auto"/>
          </w:tcPr>
          <w:p w14:paraId="48D7FC1E" w14:textId="77777777" w:rsidR="00196BC3" w:rsidRPr="00196BC3" w:rsidRDefault="00196BC3" w:rsidP="00E426F2">
            <w:pPr>
              <w:spacing w:afterLines="100" w:after="240"/>
              <w:rPr>
                <w:rFonts w:ascii="Calibri" w:hAnsi="Calibri" w:cs="Arial"/>
                <w:lang w:val="sk-SK"/>
              </w:rPr>
            </w:pPr>
          </w:p>
        </w:tc>
      </w:tr>
      <w:tr w:rsidR="00196BC3" w:rsidRPr="00B20CB2" w14:paraId="4461865C" w14:textId="77777777" w:rsidTr="00E426F2">
        <w:tblPrEx>
          <w:tblCellMar>
            <w:left w:w="57" w:type="dxa"/>
            <w:right w:w="57" w:type="dxa"/>
          </w:tblCellMar>
        </w:tblPrEx>
        <w:trPr>
          <w:gridBefore w:val="1"/>
          <w:wBefore w:w="51" w:type="dxa"/>
          <w:cantSplit/>
        </w:trPr>
        <w:tc>
          <w:tcPr>
            <w:tcW w:w="1333" w:type="dxa"/>
            <w:gridSpan w:val="2"/>
            <w:shd w:val="clear" w:color="auto" w:fill="auto"/>
            <w:vAlign w:val="center"/>
          </w:tcPr>
          <w:p w14:paraId="3062FE99" w14:textId="77777777" w:rsidR="00196BC3" w:rsidRPr="00196BC3" w:rsidRDefault="00196BC3" w:rsidP="00E426F2">
            <w:pPr>
              <w:keepNext/>
              <w:spacing w:afterLines="100" w:after="240"/>
              <w:jc w:val="center"/>
              <w:rPr>
                <w:rFonts w:ascii="Calibri" w:hAnsi="Calibri" w:cs="Arial"/>
                <w:lang w:val="sk-SK"/>
              </w:rPr>
            </w:pPr>
            <w:r w:rsidRPr="00196BC3">
              <w:rPr>
                <w:rFonts w:ascii="Calibri" w:hAnsi="Calibri"/>
                <w:lang w:val="sk-SK"/>
              </w:rPr>
              <w:t>222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0CDFE82" w14:textId="77777777" w:rsidR="00196BC3" w:rsidRPr="00196BC3" w:rsidRDefault="00196BC3" w:rsidP="00E426F2">
            <w:pPr>
              <w:keepNext/>
              <w:spacing w:afterLines="100" w:after="240"/>
              <w:rPr>
                <w:rFonts w:ascii="Calibri" w:hAnsi="Calibri" w:cs="Arial"/>
                <w:sz w:val="20"/>
                <w:szCs w:val="20"/>
                <w:lang w:val="sk-SK"/>
              </w:rPr>
            </w:pPr>
            <w:r w:rsidRPr="00196BC3">
              <w:rPr>
                <w:rFonts w:ascii="Calibri" w:hAnsi="Calibri"/>
                <w:sz w:val="20"/>
                <w:szCs w:val="20"/>
                <w:lang w:val="sk-SK"/>
              </w:rPr>
              <w:t>5,5 verzus 9,1</w:t>
            </w:r>
          </w:p>
        </w:tc>
        <w:tc>
          <w:tcPr>
            <w:tcW w:w="1813" w:type="dxa"/>
            <w:gridSpan w:val="2"/>
            <w:shd w:val="clear" w:color="auto" w:fill="auto"/>
          </w:tcPr>
          <w:p w14:paraId="59A9B3A4" w14:textId="77777777" w:rsidR="00196BC3" w:rsidRPr="00196BC3" w:rsidRDefault="00196BC3" w:rsidP="00E426F2">
            <w:pPr>
              <w:keepNext/>
              <w:spacing w:afterLines="100" w:after="240"/>
              <w:rPr>
                <w:rFonts w:ascii="Calibri" w:hAnsi="Calibri" w:cs="Arial"/>
                <w:sz w:val="20"/>
                <w:szCs w:val="20"/>
                <w:lang w:val="sk-SK"/>
              </w:rPr>
            </w:pPr>
            <w:r w:rsidRPr="00196BC3">
              <w:rPr>
                <w:rFonts w:ascii="Calibri" w:hAnsi="Calibri"/>
                <w:sz w:val="20"/>
                <w:szCs w:val="20"/>
                <w:lang w:val="sk-SK"/>
              </w:rPr>
              <w:t>EGFR mutácia -</w:t>
            </w:r>
          </w:p>
        </w:tc>
        <w:tc>
          <w:tcPr>
            <w:tcW w:w="4788" w:type="dxa"/>
            <w:gridSpan w:val="10"/>
            <w:vMerge/>
            <w:shd w:val="clear" w:color="auto" w:fill="auto"/>
          </w:tcPr>
          <w:p w14:paraId="5E5D826D" w14:textId="77777777" w:rsidR="00196BC3" w:rsidRPr="00196BC3" w:rsidRDefault="00196BC3" w:rsidP="00E426F2">
            <w:pPr>
              <w:spacing w:afterLines="100" w:after="240"/>
              <w:rPr>
                <w:rFonts w:ascii="Calibri" w:hAnsi="Calibri" w:cs="Arial"/>
                <w:lang w:val="sk-SK"/>
              </w:rPr>
            </w:pPr>
          </w:p>
        </w:tc>
      </w:tr>
      <w:tr w:rsidR="00196BC3" w:rsidRPr="00B20CB2" w14:paraId="67901D78" w14:textId="77777777" w:rsidTr="00E426F2">
        <w:tblPrEx>
          <w:tblCellMar>
            <w:left w:w="57" w:type="dxa"/>
            <w:right w:w="57" w:type="dxa"/>
          </w:tblCellMar>
        </w:tblPrEx>
        <w:trPr>
          <w:gridBefore w:val="1"/>
          <w:wBefore w:w="51" w:type="dxa"/>
          <w:cantSplit/>
        </w:trPr>
        <w:tc>
          <w:tcPr>
            <w:tcW w:w="1333" w:type="dxa"/>
            <w:gridSpan w:val="2"/>
            <w:shd w:val="clear" w:color="auto" w:fill="auto"/>
            <w:vAlign w:val="center"/>
          </w:tcPr>
          <w:p w14:paraId="6C6C4D70" w14:textId="77777777" w:rsidR="00196BC3" w:rsidRPr="00196BC3" w:rsidRDefault="00196BC3" w:rsidP="00E426F2">
            <w:pPr>
              <w:keepNext/>
              <w:spacing w:afterLines="100" w:after="240"/>
              <w:jc w:val="center"/>
              <w:rPr>
                <w:rFonts w:ascii="Calibri" w:hAnsi="Calibri" w:cs="Arial"/>
                <w:lang w:val="sk-SK"/>
              </w:rPr>
            </w:pPr>
            <w:r w:rsidRPr="00196BC3">
              <w:rPr>
                <w:rFonts w:ascii="Calibri" w:hAnsi="Calibri"/>
                <w:lang w:val="sk-SK"/>
              </w:rPr>
              <w:t>133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1E3AF9C" w14:textId="77777777" w:rsidR="00196BC3" w:rsidRPr="00196BC3" w:rsidRDefault="00196BC3" w:rsidP="00E426F2">
            <w:pPr>
              <w:keepNext/>
              <w:spacing w:afterLines="100" w:after="240"/>
              <w:rPr>
                <w:rFonts w:ascii="Calibri" w:hAnsi="Calibri" w:cs="Arial"/>
                <w:sz w:val="20"/>
                <w:szCs w:val="20"/>
                <w:lang w:val="sk-SK"/>
              </w:rPr>
            </w:pPr>
            <w:r w:rsidRPr="00196BC3">
              <w:rPr>
                <w:rFonts w:ascii="Calibri" w:hAnsi="Calibri"/>
                <w:sz w:val="20"/>
                <w:szCs w:val="20"/>
                <w:lang w:val="sk-SK"/>
              </w:rPr>
              <w:t>23,7 verzus 13,3</w:t>
            </w:r>
          </w:p>
        </w:tc>
        <w:tc>
          <w:tcPr>
            <w:tcW w:w="1813" w:type="dxa"/>
            <w:gridSpan w:val="2"/>
            <w:shd w:val="clear" w:color="auto" w:fill="auto"/>
          </w:tcPr>
          <w:p w14:paraId="66D4B921" w14:textId="26B68A94" w:rsidR="00196BC3" w:rsidRPr="00196BC3" w:rsidRDefault="00196BC3" w:rsidP="00E426F2">
            <w:pPr>
              <w:keepNext/>
              <w:spacing w:afterLines="100" w:after="240"/>
              <w:rPr>
                <w:rFonts w:ascii="Calibri" w:hAnsi="Calibri" w:cs="Arial"/>
                <w:sz w:val="20"/>
                <w:szCs w:val="20"/>
                <w:lang w:val="sk-SK"/>
              </w:rPr>
            </w:pPr>
            <w:r w:rsidRPr="00196BC3">
              <w:rPr>
                <w:rFonts w:ascii="Calibri" w:hAnsi="Calibri"/>
                <w:sz w:val="20"/>
                <w:szCs w:val="20"/>
                <w:lang w:val="sk-SK"/>
              </w:rPr>
              <w:t>Nefajči</w:t>
            </w:r>
            <w:r w:rsidR="00E426F2">
              <w:rPr>
                <w:rFonts w:ascii="Calibri" w:hAnsi="Calibri"/>
                <w:sz w:val="20"/>
                <w:szCs w:val="20"/>
                <w:lang w:val="sk-SK"/>
              </w:rPr>
              <w:t>ari</w:t>
            </w:r>
          </w:p>
        </w:tc>
        <w:tc>
          <w:tcPr>
            <w:tcW w:w="4788" w:type="dxa"/>
            <w:gridSpan w:val="10"/>
            <w:vMerge/>
            <w:shd w:val="clear" w:color="auto" w:fill="auto"/>
          </w:tcPr>
          <w:p w14:paraId="09CF0F71" w14:textId="77777777" w:rsidR="00196BC3" w:rsidRPr="00196BC3" w:rsidRDefault="00196BC3" w:rsidP="00E426F2">
            <w:pPr>
              <w:spacing w:afterLines="100" w:after="240"/>
              <w:rPr>
                <w:rFonts w:ascii="Calibri" w:hAnsi="Calibri" w:cs="Arial"/>
                <w:lang w:val="sk-SK"/>
              </w:rPr>
            </w:pPr>
          </w:p>
        </w:tc>
      </w:tr>
      <w:tr w:rsidR="00196BC3" w:rsidRPr="00B20CB2" w14:paraId="70A8BB11" w14:textId="77777777" w:rsidTr="00E426F2">
        <w:tblPrEx>
          <w:tblCellMar>
            <w:left w:w="57" w:type="dxa"/>
            <w:right w:w="57" w:type="dxa"/>
          </w:tblCellMar>
        </w:tblPrEx>
        <w:trPr>
          <w:gridBefore w:val="1"/>
          <w:wBefore w:w="51" w:type="dxa"/>
          <w:cantSplit/>
        </w:trPr>
        <w:tc>
          <w:tcPr>
            <w:tcW w:w="1333" w:type="dxa"/>
            <w:gridSpan w:val="2"/>
            <w:shd w:val="clear" w:color="auto" w:fill="auto"/>
            <w:vAlign w:val="center"/>
          </w:tcPr>
          <w:p w14:paraId="1EC76002" w14:textId="77777777" w:rsidR="00196BC3" w:rsidRPr="00196BC3" w:rsidRDefault="00196BC3" w:rsidP="00E426F2">
            <w:pPr>
              <w:keepNext/>
              <w:spacing w:afterLines="100" w:after="240"/>
              <w:jc w:val="center"/>
              <w:rPr>
                <w:rFonts w:ascii="Calibri" w:hAnsi="Calibri" w:cs="Arial"/>
                <w:lang w:val="sk-SK"/>
              </w:rPr>
            </w:pPr>
            <w:r w:rsidRPr="00196BC3">
              <w:rPr>
                <w:rFonts w:ascii="Calibri" w:hAnsi="Calibri"/>
                <w:lang w:val="sk-SK"/>
              </w:rPr>
              <w:t>1010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1BAF747" w14:textId="77777777" w:rsidR="00196BC3" w:rsidRPr="00196BC3" w:rsidRDefault="00196BC3" w:rsidP="00E426F2">
            <w:pPr>
              <w:keepNext/>
              <w:spacing w:afterLines="100" w:after="240"/>
              <w:rPr>
                <w:rFonts w:ascii="Calibri" w:hAnsi="Calibri" w:cs="Arial"/>
                <w:sz w:val="20"/>
                <w:szCs w:val="20"/>
                <w:lang w:val="sk-SK"/>
              </w:rPr>
            </w:pPr>
            <w:r w:rsidRPr="00196BC3">
              <w:rPr>
                <w:rFonts w:ascii="Calibri" w:hAnsi="Calibri"/>
                <w:sz w:val="20"/>
                <w:szCs w:val="20"/>
                <w:lang w:val="sk-SK"/>
              </w:rPr>
              <w:t>3,9 verzus 6,5</w:t>
            </w:r>
          </w:p>
        </w:tc>
        <w:tc>
          <w:tcPr>
            <w:tcW w:w="1813" w:type="dxa"/>
            <w:gridSpan w:val="2"/>
            <w:shd w:val="clear" w:color="auto" w:fill="auto"/>
          </w:tcPr>
          <w:p w14:paraId="5CAD54BB" w14:textId="43EF24BC" w:rsidR="00196BC3" w:rsidRPr="00196BC3" w:rsidRDefault="00196BC3" w:rsidP="00E426F2">
            <w:pPr>
              <w:keepNext/>
              <w:spacing w:afterLines="100" w:after="240"/>
              <w:rPr>
                <w:rFonts w:ascii="Calibri" w:hAnsi="Calibri" w:cs="Arial"/>
                <w:sz w:val="20"/>
                <w:szCs w:val="20"/>
                <w:lang w:val="sk-SK"/>
              </w:rPr>
            </w:pPr>
            <w:r w:rsidRPr="00196BC3">
              <w:rPr>
                <w:rFonts w:ascii="Calibri" w:hAnsi="Calibri"/>
                <w:sz w:val="20"/>
                <w:szCs w:val="20"/>
                <w:lang w:val="sk-SK"/>
              </w:rPr>
              <w:t>Fajči</w:t>
            </w:r>
            <w:r w:rsidR="00E426F2">
              <w:rPr>
                <w:rFonts w:ascii="Calibri" w:hAnsi="Calibri"/>
                <w:sz w:val="20"/>
                <w:szCs w:val="20"/>
                <w:lang w:val="sk-SK"/>
              </w:rPr>
              <w:t>ari</w:t>
            </w:r>
          </w:p>
        </w:tc>
        <w:tc>
          <w:tcPr>
            <w:tcW w:w="4788" w:type="dxa"/>
            <w:gridSpan w:val="10"/>
            <w:vMerge/>
            <w:shd w:val="clear" w:color="auto" w:fill="auto"/>
          </w:tcPr>
          <w:p w14:paraId="00986008" w14:textId="77777777" w:rsidR="00196BC3" w:rsidRPr="00196BC3" w:rsidRDefault="00196BC3" w:rsidP="00E426F2">
            <w:pPr>
              <w:spacing w:afterLines="100" w:after="240"/>
              <w:rPr>
                <w:rFonts w:ascii="Calibri" w:hAnsi="Calibri" w:cs="Arial"/>
                <w:lang w:val="sk-SK"/>
              </w:rPr>
            </w:pPr>
          </w:p>
        </w:tc>
      </w:tr>
      <w:tr w:rsidR="00196BC3" w:rsidRPr="00B20CB2" w14:paraId="18320DE2" w14:textId="77777777" w:rsidTr="00E426F2">
        <w:tblPrEx>
          <w:tblCellMar>
            <w:left w:w="57" w:type="dxa"/>
            <w:right w:w="57" w:type="dxa"/>
          </w:tblCellMar>
        </w:tblPrEx>
        <w:trPr>
          <w:gridBefore w:val="1"/>
          <w:wBefore w:w="51" w:type="dxa"/>
          <w:cantSplit/>
        </w:trPr>
        <w:tc>
          <w:tcPr>
            <w:tcW w:w="1333" w:type="dxa"/>
            <w:gridSpan w:val="2"/>
            <w:shd w:val="clear" w:color="auto" w:fill="auto"/>
            <w:vAlign w:val="center"/>
          </w:tcPr>
          <w:p w14:paraId="141D62CE" w14:textId="77777777" w:rsidR="00196BC3" w:rsidRPr="00196BC3" w:rsidRDefault="00196BC3" w:rsidP="00E426F2">
            <w:pPr>
              <w:keepNext/>
              <w:spacing w:afterLines="100" w:after="240"/>
              <w:jc w:val="center"/>
              <w:rPr>
                <w:rFonts w:ascii="Calibri" w:hAnsi="Calibri" w:cs="Arial"/>
                <w:lang w:val="sk-SK"/>
              </w:rPr>
            </w:pPr>
            <w:r w:rsidRPr="00196BC3">
              <w:rPr>
                <w:rFonts w:ascii="Calibri" w:hAnsi="Calibri"/>
                <w:lang w:val="sk-SK"/>
              </w:rPr>
              <w:t>600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6643FCB" w14:textId="77777777" w:rsidR="00196BC3" w:rsidRPr="00196BC3" w:rsidRDefault="00196BC3" w:rsidP="00E426F2">
            <w:pPr>
              <w:keepNext/>
              <w:spacing w:afterLines="100" w:after="240"/>
              <w:rPr>
                <w:rFonts w:ascii="Calibri" w:hAnsi="Calibri" w:cs="Arial"/>
                <w:sz w:val="20"/>
                <w:szCs w:val="20"/>
                <w:lang w:val="sk-SK"/>
              </w:rPr>
            </w:pPr>
            <w:r w:rsidRPr="00196BC3">
              <w:rPr>
                <w:rFonts w:ascii="Calibri" w:hAnsi="Calibri"/>
                <w:sz w:val="20"/>
                <w:szCs w:val="20"/>
                <w:lang w:val="sk-SK"/>
              </w:rPr>
              <w:t>9,4 verzus 9,4</w:t>
            </w:r>
          </w:p>
        </w:tc>
        <w:tc>
          <w:tcPr>
            <w:tcW w:w="1813" w:type="dxa"/>
            <w:gridSpan w:val="2"/>
            <w:shd w:val="clear" w:color="auto" w:fill="auto"/>
          </w:tcPr>
          <w:p w14:paraId="0EF0291D" w14:textId="77777777" w:rsidR="00196BC3" w:rsidRPr="00196BC3" w:rsidRDefault="00196BC3" w:rsidP="00E426F2">
            <w:pPr>
              <w:keepNext/>
              <w:spacing w:afterLines="100" w:after="240"/>
              <w:rPr>
                <w:rFonts w:ascii="Calibri" w:hAnsi="Calibri" w:cs="Arial"/>
                <w:sz w:val="20"/>
                <w:szCs w:val="20"/>
                <w:lang w:val="sk-SK"/>
              </w:rPr>
            </w:pPr>
            <w:r w:rsidRPr="00196BC3">
              <w:rPr>
                <w:rFonts w:ascii="Calibri" w:hAnsi="Calibri"/>
                <w:sz w:val="20"/>
                <w:szCs w:val="20"/>
                <w:lang w:val="sk-SK"/>
              </w:rPr>
              <w:t>S adenokarcinómom</w:t>
            </w:r>
          </w:p>
        </w:tc>
        <w:tc>
          <w:tcPr>
            <w:tcW w:w="4788" w:type="dxa"/>
            <w:gridSpan w:val="10"/>
            <w:vMerge/>
            <w:shd w:val="clear" w:color="auto" w:fill="auto"/>
          </w:tcPr>
          <w:p w14:paraId="2E65F343" w14:textId="77777777" w:rsidR="00196BC3" w:rsidRPr="00196BC3" w:rsidRDefault="00196BC3" w:rsidP="00E426F2">
            <w:pPr>
              <w:spacing w:afterLines="100" w:after="240"/>
              <w:rPr>
                <w:rFonts w:ascii="Calibri" w:hAnsi="Calibri" w:cs="Arial"/>
                <w:lang w:val="sk-SK"/>
              </w:rPr>
            </w:pPr>
          </w:p>
        </w:tc>
      </w:tr>
      <w:tr w:rsidR="00196BC3" w:rsidRPr="00B20CB2" w14:paraId="0E97862D" w14:textId="77777777" w:rsidTr="00E426F2">
        <w:tblPrEx>
          <w:tblCellMar>
            <w:left w:w="57" w:type="dxa"/>
            <w:right w:w="57" w:type="dxa"/>
          </w:tblCellMar>
        </w:tblPrEx>
        <w:trPr>
          <w:gridBefore w:val="1"/>
          <w:wBefore w:w="51" w:type="dxa"/>
          <w:cantSplit/>
        </w:trPr>
        <w:tc>
          <w:tcPr>
            <w:tcW w:w="1333" w:type="dxa"/>
            <w:gridSpan w:val="2"/>
            <w:shd w:val="clear" w:color="auto" w:fill="auto"/>
            <w:vAlign w:val="center"/>
          </w:tcPr>
          <w:p w14:paraId="534B67F3" w14:textId="77777777" w:rsidR="00196BC3" w:rsidRPr="00196BC3" w:rsidRDefault="00196BC3" w:rsidP="00E426F2">
            <w:pPr>
              <w:keepNext/>
              <w:spacing w:afterLines="100" w:after="240"/>
              <w:jc w:val="center"/>
              <w:rPr>
                <w:rFonts w:ascii="Calibri" w:hAnsi="Calibri" w:cs="Arial"/>
                <w:lang w:val="sk-SK"/>
              </w:rPr>
            </w:pPr>
            <w:r w:rsidRPr="00196BC3">
              <w:rPr>
                <w:rFonts w:ascii="Calibri" w:hAnsi="Calibri"/>
                <w:lang w:val="sk-SK"/>
              </w:rPr>
              <w:t>543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EDFAEBF" w14:textId="77777777" w:rsidR="00196BC3" w:rsidRPr="00196BC3" w:rsidRDefault="00196BC3" w:rsidP="00E426F2">
            <w:pPr>
              <w:keepNext/>
              <w:spacing w:afterLines="100" w:after="240"/>
              <w:rPr>
                <w:rFonts w:ascii="Calibri" w:hAnsi="Calibri" w:cs="Arial"/>
                <w:sz w:val="20"/>
                <w:szCs w:val="20"/>
                <w:lang w:val="sk-SK"/>
              </w:rPr>
            </w:pPr>
            <w:r w:rsidRPr="00196BC3">
              <w:rPr>
                <w:rFonts w:ascii="Calibri" w:hAnsi="Calibri"/>
                <w:sz w:val="20"/>
                <w:szCs w:val="20"/>
                <w:lang w:val="sk-SK"/>
              </w:rPr>
              <w:t>2,8 verzus 5,0</w:t>
            </w:r>
          </w:p>
        </w:tc>
        <w:tc>
          <w:tcPr>
            <w:tcW w:w="1813" w:type="dxa"/>
            <w:gridSpan w:val="2"/>
            <w:shd w:val="clear" w:color="auto" w:fill="auto"/>
          </w:tcPr>
          <w:p w14:paraId="363F8438" w14:textId="77777777" w:rsidR="00196BC3" w:rsidRPr="00196BC3" w:rsidRDefault="00196BC3" w:rsidP="00E426F2">
            <w:pPr>
              <w:keepNext/>
              <w:spacing w:afterLines="100" w:after="240"/>
              <w:rPr>
                <w:rFonts w:ascii="Calibri" w:hAnsi="Calibri" w:cs="Arial"/>
                <w:sz w:val="20"/>
                <w:szCs w:val="20"/>
                <w:lang w:val="sk-SK"/>
              </w:rPr>
            </w:pPr>
            <w:r w:rsidRPr="00196BC3">
              <w:rPr>
                <w:rFonts w:ascii="Calibri" w:hAnsi="Calibri"/>
                <w:sz w:val="20"/>
                <w:szCs w:val="20"/>
                <w:lang w:val="sk-SK"/>
              </w:rPr>
              <w:t>Bez adenokarcinómu</w:t>
            </w:r>
          </w:p>
        </w:tc>
        <w:tc>
          <w:tcPr>
            <w:tcW w:w="4788" w:type="dxa"/>
            <w:gridSpan w:val="10"/>
            <w:vMerge/>
            <w:shd w:val="clear" w:color="auto" w:fill="auto"/>
          </w:tcPr>
          <w:p w14:paraId="3DC01FFA" w14:textId="77777777" w:rsidR="00196BC3" w:rsidRPr="00196BC3" w:rsidRDefault="00196BC3" w:rsidP="00E426F2">
            <w:pPr>
              <w:spacing w:afterLines="100" w:after="240"/>
              <w:rPr>
                <w:rFonts w:ascii="Calibri" w:hAnsi="Calibri" w:cs="Arial"/>
                <w:lang w:val="sk-SK"/>
              </w:rPr>
            </w:pPr>
          </w:p>
        </w:tc>
      </w:tr>
      <w:tr w:rsidR="00196BC3" w:rsidRPr="00B20CB2" w14:paraId="0E16B94E" w14:textId="77777777" w:rsidTr="00E426F2">
        <w:tblPrEx>
          <w:tblCellMar>
            <w:left w:w="57" w:type="dxa"/>
            <w:right w:w="57" w:type="dxa"/>
          </w:tblCellMar>
        </w:tblPrEx>
        <w:trPr>
          <w:gridBefore w:val="1"/>
          <w:wBefore w:w="51" w:type="dxa"/>
          <w:cantSplit/>
        </w:trPr>
        <w:tc>
          <w:tcPr>
            <w:tcW w:w="1333" w:type="dxa"/>
            <w:gridSpan w:val="2"/>
            <w:shd w:val="clear" w:color="auto" w:fill="auto"/>
            <w:vAlign w:val="center"/>
          </w:tcPr>
          <w:p w14:paraId="66032358" w14:textId="77777777" w:rsidR="00196BC3" w:rsidRPr="00196BC3" w:rsidRDefault="00196BC3" w:rsidP="00E426F2">
            <w:pPr>
              <w:keepNext/>
              <w:spacing w:afterLines="100" w:after="240"/>
              <w:jc w:val="center"/>
              <w:rPr>
                <w:rFonts w:ascii="Calibri" w:hAnsi="Calibri" w:cs="Arial"/>
                <w:lang w:val="sk-SK"/>
              </w:rPr>
            </w:pPr>
            <w:r w:rsidRPr="00196BC3">
              <w:rPr>
                <w:rFonts w:ascii="Calibri" w:hAnsi="Calibri"/>
                <w:lang w:val="sk-SK"/>
              </w:rPr>
              <w:t>369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16FCD40" w14:textId="77777777" w:rsidR="00196BC3" w:rsidRPr="00196BC3" w:rsidRDefault="00196BC3" w:rsidP="00E426F2">
            <w:pPr>
              <w:keepNext/>
              <w:spacing w:afterLines="100" w:after="240"/>
              <w:rPr>
                <w:rFonts w:ascii="Calibri" w:hAnsi="Calibri" w:cs="Arial"/>
                <w:sz w:val="20"/>
                <w:szCs w:val="20"/>
                <w:lang w:val="sk-SK"/>
              </w:rPr>
            </w:pPr>
            <w:r w:rsidRPr="00196BC3">
              <w:rPr>
                <w:rFonts w:ascii="Calibri" w:hAnsi="Calibri"/>
                <w:sz w:val="20"/>
                <w:szCs w:val="20"/>
                <w:lang w:val="sk-SK"/>
              </w:rPr>
              <w:t>9,8 verzus 13,1</w:t>
            </w:r>
          </w:p>
        </w:tc>
        <w:tc>
          <w:tcPr>
            <w:tcW w:w="1813" w:type="dxa"/>
            <w:gridSpan w:val="2"/>
            <w:shd w:val="clear" w:color="auto" w:fill="auto"/>
          </w:tcPr>
          <w:p w14:paraId="5921C167" w14:textId="77777777" w:rsidR="00196BC3" w:rsidRPr="00196BC3" w:rsidRDefault="00196BC3" w:rsidP="00E426F2">
            <w:pPr>
              <w:keepNext/>
              <w:spacing w:afterLines="100" w:after="240"/>
              <w:rPr>
                <w:rFonts w:ascii="Calibri" w:hAnsi="Calibri" w:cs="Arial"/>
                <w:sz w:val="20"/>
                <w:szCs w:val="20"/>
                <w:lang w:val="sk-SK"/>
              </w:rPr>
            </w:pPr>
            <w:r w:rsidRPr="00196BC3">
              <w:rPr>
                <w:rFonts w:ascii="Calibri" w:hAnsi="Calibri"/>
                <w:sz w:val="20"/>
                <w:szCs w:val="20"/>
                <w:lang w:val="sk-SK"/>
              </w:rPr>
              <w:t>Ženy</w:t>
            </w:r>
          </w:p>
        </w:tc>
        <w:tc>
          <w:tcPr>
            <w:tcW w:w="4788" w:type="dxa"/>
            <w:gridSpan w:val="10"/>
            <w:vMerge/>
            <w:shd w:val="clear" w:color="auto" w:fill="auto"/>
          </w:tcPr>
          <w:p w14:paraId="7F056C3F" w14:textId="77777777" w:rsidR="00196BC3" w:rsidRPr="00196BC3" w:rsidRDefault="00196BC3" w:rsidP="00E426F2">
            <w:pPr>
              <w:spacing w:afterLines="100" w:after="240"/>
              <w:rPr>
                <w:rFonts w:ascii="Calibri" w:hAnsi="Calibri" w:cs="Arial"/>
                <w:lang w:val="sk-SK"/>
              </w:rPr>
            </w:pPr>
          </w:p>
        </w:tc>
      </w:tr>
      <w:tr w:rsidR="00196BC3" w:rsidRPr="00B20CB2" w14:paraId="253890EC" w14:textId="77777777" w:rsidTr="00E426F2">
        <w:tblPrEx>
          <w:tblCellMar>
            <w:left w:w="57" w:type="dxa"/>
            <w:right w:w="57" w:type="dxa"/>
          </w:tblCellMar>
        </w:tblPrEx>
        <w:trPr>
          <w:gridBefore w:val="1"/>
          <w:wBefore w:w="51" w:type="dxa"/>
          <w:cantSplit/>
        </w:trPr>
        <w:tc>
          <w:tcPr>
            <w:tcW w:w="1333" w:type="dxa"/>
            <w:gridSpan w:val="2"/>
            <w:shd w:val="clear" w:color="auto" w:fill="auto"/>
          </w:tcPr>
          <w:p w14:paraId="18CFA7F3" w14:textId="77777777" w:rsidR="00196BC3" w:rsidRPr="00196BC3" w:rsidRDefault="00196BC3" w:rsidP="00E426F2">
            <w:pPr>
              <w:keepNext/>
              <w:jc w:val="center"/>
              <w:rPr>
                <w:rFonts w:ascii="Calibri" w:hAnsi="Calibri" w:cs="Arial"/>
                <w:lang w:val="sk-SK"/>
              </w:rPr>
            </w:pPr>
            <w:r w:rsidRPr="00196BC3">
              <w:rPr>
                <w:rFonts w:ascii="Calibri" w:hAnsi="Calibri"/>
                <w:lang w:val="sk-SK"/>
              </w:rPr>
              <w:t>774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6ADB1C" w14:textId="77777777" w:rsidR="00196BC3" w:rsidRPr="00196BC3" w:rsidRDefault="00196BC3" w:rsidP="00E426F2">
            <w:pPr>
              <w:keepNext/>
              <w:rPr>
                <w:rFonts w:ascii="Calibri" w:hAnsi="Calibri" w:cs="Arial"/>
                <w:sz w:val="20"/>
                <w:szCs w:val="20"/>
                <w:lang w:val="sk-SK"/>
              </w:rPr>
            </w:pPr>
            <w:r w:rsidRPr="00196BC3">
              <w:rPr>
                <w:rFonts w:ascii="Calibri" w:hAnsi="Calibri"/>
                <w:sz w:val="20"/>
                <w:szCs w:val="20"/>
                <w:lang w:val="sk-SK"/>
              </w:rPr>
              <w:t>4,4 verzus 4,6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64A61A" w14:textId="77777777" w:rsidR="00196BC3" w:rsidRPr="00196BC3" w:rsidRDefault="00196BC3" w:rsidP="00E426F2">
            <w:pPr>
              <w:keepNext/>
              <w:rPr>
                <w:rFonts w:ascii="Calibri" w:hAnsi="Calibri" w:cs="Arial"/>
                <w:sz w:val="20"/>
                <w:szCs w:val="20"/>
                <w:lang w:val="sk-SK"/>
              </w:rPr>
            </w:pPr>
            <w:r w:rsidRPr="00196BC3">
              <w:rPr>
                <w:rFonts w:ascii="Calibri" w:hAnsi="Calibri"/>
                <w:sz w:val="20"/>
                <w:szCs w:val="20"/>
                <w:lang w:val="sk-SK"/>
              </w:rPr>
              <w:t>Muži</w:t>
            </w:r>
          </w:p>
        </w:tc>
        <w:tc>
          <w:tcPr>
            <w:tcW w:w="478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</w:tcPr>
          <w:p w14:paraId="4F4500B2" w14:textId="77777777" w:rsidR="00196BC3" w:rsidRPr="00196BC3" w:rsidRDefault="00196BC3" w:rsidP="00E426F2">
            <w:pPr>
              <w:spacing w:afterLines="100" w:after="240"/>
              <w:rPr>
                <w:rFonts w:ascii="Calibri" w:hAnsi="Calibri" w:cs="Arial"/>
                <w:lang w:val="sk-SK"/>
              </w:rPr>
            </w:pPr>
          </w:p>
        </w:tc>
      </w:tr>
      <w:tr w:rsidR="00196BC3" w:rsidRPr="00B20CB2" w14:paraId="245DF974" w14:textId="77777777" w:rsidTr="00E426F2">
        <w:tblPrEx>
          <w:tblCellMar>
            <w:left w:w="57" w:type="dxa"/>
            <w:right w:w="57" w:type="dxa"/>
          </w:tblCellMar>
        </w:tblPrEx>
        <w:trPr>
          <w:gridBefore w:val="1"/>
          <w:wBefore w:w="51" w:type="dxa"/>
          <w:cantSplit/>
        </w:trPr>
        <w:tc>
          <w:tcPr>
            <w:tcW w:w="1333" w:type="dxa"/>
            <w:gridSpan w:val="2"/>
            <w:shd w:val="clear" w:color="auto" w:fill="auto"/>
          </w:tcPr>
          <w:p w14:paraId="061C6290" w14:textId="77777777" w:rsidR="00196BC3" w:rsidRPr="00196BC3" w:rsidRDefault="00196BC3" w:rsidP="00E426F2">
            <w:pPr>
              <w:keepNext/>
              <w:spacing w:afterLines="100" w:after="240"/>
              <w:jc w:val="center"/>
              <w:rPr>
                <w:rFonts w:ascii="Calibri" w:hAnsi="Calibri" w:cs="Arial"/>
                <w:lang w:val="sk-SK"/>
              </w:rPr>
            </w:pPr>
          </w:p>
        </w:tc>
        <w:tc>
          <w:tcPr>
            <w:tcW w:w="32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9FDE3F7" w14:textId="77777777" w:rsidR="00196BC3" w:rsidRPr="00196BC3" w:rsidRDefault="00196BC3" w:rsidP="00E426F2">
            <w:pPr>
              <w:keepNext/>
              <w:rPr>
                <w:rFonts w:ascii="Calibri" w:hAnsi="Calibri" w:cs="Arial"/>
                <w:lang w:val="sk-SK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1F304D" w14:textId="77777777" w:rsidR="00196BC3" w:rsidRPr="00196BC3" w:rsidRDefault="00196BC3" w:rsidP="00E426F2">
            <w:pPr>
              <w:keepNext/>
              <w:rPr>
                <w:rFonts w:ascii="Calibri" w:hAnsi="Calibri" w:cs="Arial"/>
                <w:lang w:val="sk-SK"/>
              </w:rPr>
            </w:pPr>
            <w:r w:rsidRPr="00196BC3">
              <w:rPr>
                <w:rFonts w:ascii="Calibri" w:hAnsi="Calibri"/>
                <w:lang w:val="sk-SK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38CF54F" w14:textId="77777777" w:rsidR="00196BC3" w:rsidRPr="00196BC3" w:rsidRDefault="00196BC3" w:rsidP="00E426F2">
            <w:pPr>
              <w:spacing w:afterLines="100" w:after="240"/>
              <w:rPr>
                <w:rFonts w:ascii="Calibri" w:hAnsi="Calibri" w:cs="Arial"/>
                <w:lang w:val="sk-SK"/>
              </w:rPr>
            </w:pPr>
            <w:r w:rsidRPr="00196BC3">
              <w:rPr>
                <w:rFonts w:ascii="Calibri" w:hAnsi="Calibri"/>
                <w:lang w:val="sk-SK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51AB8A6D" w14:textId="77777777" w:rsidR="00196BC3" w:rsidRPr="00196BC3" w:rsidRDefault="00196BC3" w:rsidP="00E426F2">
            <w:pPr>
              <w:spacing w:afterLines="100" w:after="240"/>
              <w:jc w:val="center"/>
              <w:rPr>
                <w:rFonts w:ascii="Calibri" w:hAnsi="Calibri" w:cs="Arial"/>
                <w:lang w:val="sk-SK"/>
              </w:rPr>
            </w:pPr>
            <w:r w:rsidRPr="00196BC3">
              <w:rPr>
                <w:rFonts w:ascii="Calibri" w:hAnsi="Calibri"/>
                <w:lang w:val="sk-SK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CEA5050" w14:textId="77777777" w:rsidR="00196BC3" w:rsidRPr="00196BC3" w:rsidRDefault="00196BC3" w:rsidP="00E426F2">
            <w:pPr>
              <w:spacing w:afterLines="100" w:after="240"/>
              <w:jc w:val="right"/>
              <w:rPr>
                <w:rFonts w:ascii="Calibri" w:hAnsi="Calibri" w:cs="Arial"/>
                <w:lang w:val="sk-SK"/>
              </w:rPr>
            </w:pPr>
            <w:r w:rsidRPr="00196BC3">
              <w:rPr>
                <w:rFonts w:ascii="Calibri" w:hAnsi="Calibri"/>
                <w:lang w:val="sk-SK"/>
              </w:rPr>
              <w:t>1,5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</w:tcPr>
          <w:p w14:paraId="0417E94E" w14:textId="77777777" w:rsidR="00196BC3" w:rsidRPr="00196BC3" w:rsidRDefault="00196BC3" w:rsidP="00E426F2">
            <w:pPr>
              <w:spacing w:afterLines="100" w:after="240"/>
              <w:jc w:val="right"/>
              <w:rPr>
                <w:rFonts w:ascii="Calibri" w:hAnsi="Calibri" w:cs="Arial"/>
                <w:lang w:val="sk-SK"/>
              </w:rPr>
            </w:pPr>
            <w:r w:rsidRPr="00196BC3">
              <w:rPr>
                <w:rFonts w:ascii="Calibri" w:hAnsi="Calibri"/>
                <w:lang w:val="sk-SK"/>
              </w:rPr>
              <w:t>2,0</w:t>
            </w:r>
          </w:p>
        </w:tc>
      </w:tr>
      <w:tr w:rsidR="00196BC3" w:rsidRPr="00B20CB2" w14:paraId="6239AE18" w14:textId="77777777" w:rsidTr="00E426F2">
        <w:tblPrEx>
          <w:tblCellMar>
            <w:left w:w="57" w:type="dxa"/>
            <w:right w:w="57" w:type="dxa"/>
          </w:tblCellMar>
        </w:tblPrEx>
        <w:trPr>
          <w:gridBefore w:val="1"/>
          <w:wBefore w:w="51" w:type="dxa"/>
          <w:cantSplit/>
        </w:trPr>
        <w:tc>
          <w:tcPr>
            <w:tcW w:w="1333" w:type="dxa"/>
            <w:gridSpan w:val="2"/>
            <w:shd w:val="clear" w:color="auto" w:fill="auto"/>
          </w:tcPr>
          <w:p w14:paraId="44379FBF" w14:textId="77777777" w:rsidR="00196BC3" w:rsidRPr="00196BC3" w:rsidRDefault="00196BC3" w:rsidP="00E426F2">
            <w:pPr>
              <w:spacing w:afterLines="100" w:after="240"/>
              <w:jc w:val="center"/>
              <w:rPr>
                <w:rFonts w:ascii="Calibri" w:hAnsi="Calibri" w:cs="Arial"/>
                <w:b/>
                <w:bCs/>
                <w:lang w:val="sk-SK"/>
              </w:rPr>
            </w:pPr>
          </w:p>
        </w:tc>
        <w:tc>
          <w:tcPr>
            <w:tcW w:w="8019" w:type="dxa"/>
            <w:gridSpan w:val="14"/>
            <w:shd w:val="clear" w:color="auto" w:fill="auto"/>
          </w:tcPr>
          <w:p w14:paraId="24F83C9A" w14:textId="77777777" w:rsidR="00196BC3" w:rsidRPr="00196BC3" w:rsidRDefault="00196BC3" w:rsidP="00E426F2">
            <w:pPr>
              <w:spacing w:afterLines="100" w:after="240"/>
              <w:jc w:val="center"/>
              <w:rPr>
                <w:rFonts w:ascii="Calibri" w:hAnsi="Calibri" w:cs="Arial"/>
                <w:b/>
                <w:bCs/>
                <w:lang w:val="sk-SK"/>
              </w:rPr>
            </w:pPr>
            <w:r w:rsidRPr="00196BC3">
              <w:rPr>
                <w:rFonts w:ascii="Calibri" w:hAnsi="Calibri"/>
                <w:b/>
                <w:lang w:val="sk-SK"/>
              </w:rPr>
              <w:t>Pomer rizika (gefitinib a docetaxel) a 95 % interval spoľahlivosti</w:t>
            </w:r>
          </w:p>
        </w:tc>
      </w:tr>
      <w:tr w:rsidR="00196BC3" w:rsidRPr="00B20CB2" w14:paraId="76D19D3B" w14:textId="77777777" w:rsidTr="00E426F2">
        <w:tblPrEx>
          <w:tblCellMar>
            <w:left w:w="57" w:type="dxa"/>
            <w:right w:w="57" w:type="dxa"/>
          </w:tblCellMar>
        </w:tblPrEx>
        <w:trPr>
          <w:gridBefore w:val="1"/>
          <w:wBefore w:w="51" w:type="dxa"/>
          <w:cantSplit/>
        </w:trPr>
        <w:tc>
          <w:tcPr>
            <w:tcW w:w="1333" w:type="dxa"/>
            <w:gridSpan w:val="2"/>
            <w:shd w:val="clear" w:color="auto" w:fill="auto"/>
          </w:tcPr>
          <w:p w14:paraId="59D8B9DD" w14:textId="77777777" w:rsidR="00196BC3" w:rsidRPr="00196BC3" w:rsidRDefault="00196BC3" w:rsidP="00E426F2">
            <w:pPr>
              <w:spacing w:afterLines="100" w:after="240"/>
              <w:rPr>
                <w:rFonts w:ascii="Calibri" w:hAnsi="Calibri" w:cs="Arial"/>
                <w:lang w:val="sk-SK"/>
              </w:rPr>
            </w:pPr>
          </w:p>
        </w:tc>
        <w:tc>
          <w:tcPr>
            <w:tcW w:w="4394" w:type="dxa"/>
            <w:gridSpan w:val="8"/>
            <w:shd w:val="clear" w:color="auto" w:fill="auto"/>
          </w:tcPr>
          <w:p w14:paraId="6A5F49BF" w14:textId="77777777" w:rsidR="00196BC3" w:rsidRPr="00196BC3" w:rsidRDefault="00196BC3" w:rsidP="00E426F2">
            <w:pPr>
              <w:spacing w:afterLines="100" w:after="240"/>
              <w:ind w:right="223"/>
              <w:jc w:val="right"/>
              <w:rPr>
                <w:rFonts w:ascii="Calibri" w:hAnsi="Calibri" w:cs="Arial"/>
                <w:lang w:val="sk-SK"/>
              </w:rPr>
            </w:pPr>
            <w:r w:rsidRPr="00196BC3">
              <w:rPr>
                <w:rFonts w:ascii="Calibri" w:hAnsi="Calibri"/>
                <w:lang w:val="sk-SK"/>
              </w:rPr>
              <w:t>Neupravená analýza</w:t>
            </w:r>
          </w:p>
        </w:tc>
        <w:tc>
          <w:tcPr>
            <w:tcW w:w="3625" w:type="dxa"/>
            <w:gridSpan w:val="6"/>
            <w:shd w:val="clear" w:color="auto" w:fill="auto"/>
          </w:tcPr>
          <w:p w14:paraId="649D04E4" w14:textId="77777777" w:rsidR="00196BC3" w:rsidRPr="00196BC3" w:rsidRDefault="00196BC3" w:rsidP="00E426F2">
            <w:pPr>
              <w:spacing w:afterLines="100" w:after="240"/>
              <w:ind w:firstLine="82"/>
              <w:rPr>
                <w:rFonts w:ascii="Calibri" w:hAnsi="Calibri" w:cs="Arial"/>
                <w:lang w:val="sk-SK"/>
              </w:rPr>
            </w:pPr>
            <w:r w:rsidRPr="00196BC3">
              <w:rPr>
                <w:rFonts w:ascii="Calibri" w:hAnsi="Calibri"/>
                <w:lang w:val="sk-SK"/>
              </w:rPr>
              <w:t>Populácia EFR</w:t>
            </w:r>
          </w:p>
        </w:tc>
      </w:tr>
    </w:tbl>
    <w:p w14:paraId="09BE868C" w14:textId="379D268A" w:rsidR="00AF2C33" w:rsidRPr="00D45D95" w:rsidRDefault="008174E0" w:rsidP="004568C3">
      <w:pPr>
        <w:pStyle w:val="Zkladntext"/>
        <w:tabs>
          <w:tab w:val="left" w:pos="0"/>
        </w:tabs>
        <w:spacing w:before="72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randomizovanom klinickom skúšaní ISEL fáz</w:t>
      </w:r>
      <w:r w:rsidR="00D4531E">
        <w:rPr>
          <w:rFonts w:cs="Times New Roman"/>
          <w:spacing w:val="-1"/>
          <w:lang w:val="sk-SK"/>
        </w:rPr>
        <w:t>y</w:t>
      </w:r>
      <w:r w:rsidRPr="00D45D95">
        <w:rPr>
          <w:rFonts w:cs="Times New Roman"/>
          <w:spacing w:val="-1"/>
          <w:lang w:val="sk-SK"/>
        </w:rPr>
        <w:t xml:space="preserve"> III boli hodnotení pacienti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-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pokročilým NSCLC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najprv liečení jedným alebo dvoma režimami chemoterapie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ktorí neodpovedali na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posledný režim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alebo ho netolerovali. Gefitinib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najlepšia podporná starostlivosť boli porovnávané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>placebom plus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najlepšia podporná starostlivosť. </w:t>
      </w:r>
      <w:r w:rsidR="003C1EF3" w:rsidRPr="00D45D95">
        <w:rPr>
          <w:rFonts w:cs="Times New Roman"/>
          <w:spacing w:val="-1"/>
          <w:lang w:val="sk-SK"/>
        </w:rPr>
        <w:t xml:space="preserve">Gefitinib </w:t>
      </w:r>
      <w:r w:rsidRPr="00D45D95">
        <w:rPr>
          <w:rFonts w:cs="Times New Roman"/>
          <w:spacing w:val="-1"/>
          <w:lang w:val="sk-SK"/>
        </w:rPr>
        <w:t xml:space="preserve">nepredĺžil prežívanie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celkovej populácii. Výsledky</w:t>
      </w:r>
      <w:r w:rsidRPr="00D45D95">
        <w:rPr>
          <w:rFonts w:cs="Times New Roman"/>
          <w:spacing w:val="28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prežívania boli rozdielne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závislosti od stavu fajčenia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>rasovej príslušnosti (pozri Tabuľka</w:t>
      </w:r>
      <w:r w:rsidRPr="00D45D95">
        <w:rPr>
          <w:rFonts w:cs="Times New Roman"/>
          <w:lang w:val="sk-SK"/>
        </w:rPr>
        <w:t xml:space="preserve"> 6).</w:t>
      </w:r>
    </w:p>
    <w:p w14:paraId="6D3C6A32" w14:textId="77777777" w:rsidR="00AF2C33" w:rsidRPr="00D45D95" w:rsidRDefault="008174E0" w:rsidP="004568C3">
      <w:pPr>
        <w:pStyle w:val="Nadpis1"/>
        <w:tabs>
          <w:tab w:val="left" w:pos="0"/>
        </w:tabs>
        <w:spacing w:before="54"/>
        <w:ind w:left="0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Tabuľka </w:t>
      </w:r>
      <w:r w:rsidRPr="00D45D95">
        <w:rPr>
          <w:rFonts w:cs="Times New Roman"/>
          <w:lang w:val="sk-SK"/>
        </w:rPr>
        <w:t>6</w:t>
      </w:r>
      <w:r w:rsidRPr="00D45D95">
        <w:rPr>
          <w:rFonts w:cs="Times New Roman"/>
          <w:spacing w:val="-1"/>
          <w:lang w:val="sk-SK"/>
        </w:rPr>
        <w:t xml:space="preserve"> Výsledky účinnosti pre gefitinib versus placebo </w:t>
      </w:r>
      <w:r w:rsidRPr="00D45D95">
        <w:rPr>
          <w:rFonts w:cs="Times New Roman"/>
          <w:lang w:val="sk-SK"/>
        </w:rPr>
        <w:t>z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klinického skúšania ISEL</w:t>
      </w:r>
    </w:p>
    <w:p w14:paraId="41C2E8FD" w14:textId="77777777" w:rsidR="00AF2C33" w:rsidRPr="00D45D95" w:rsidRDefault="00AF2C33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9"/>
        <w:gridCol w:w="743"/>
        <w:gridCol w:w="1762"/>
        <w:gridCol w:w="139"/>
        <w:gridCol w:w="2215"/>
        <w:gridCol w:w="543"/>
        <w:gridCol w:w="1992"/>
      </w:tblGrid>
      <w:tr w:rsidR="00AF2C33" w:rsidRPr="00D45D95" w14:paraId="6EB5248B" w14:textId="77777777" w:rsidTr="00BB53F4">
        <w:trPr>
          <w:trHeight w:hRule="exact" w:val="1094"/>
        </w:trPr>
        <w:tc>
          <w:tcPr>
            <w:tcW w:w="190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D71103E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Populácia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5890EAA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b/>
                <w:lang w:val="sk-SK"/>
              </w:rPr>
              <w:t>N</w:t>
            </w:r>
          </w:p>
        </w:tc>
        <w:tc>
          <w:tcPr>
            <w:tcW w:w="190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5242478" w14:textId="0DDE5702" w:rsidR="00764A81" w:rsidRPr="00764A81" w:rsidRDefault="008174E0" w:rsidP="00764A81">
            <w:pPr>
              <w:autoSpaceDE w:val="0"/>
              <w:autoSpaceDN w:val="0"/>
              <w:adjustRightInd w:val="0"/>
              <w:ind w:left="-59" w:firstLine="59"/>
              <w:jc w:val="center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D45D95">
              <w:rPr>
                <w:rFonts w:ascii="Times New Roman" w:hAnsi="Times New Roman" w:cs="Times New Roman"/>
                <w:b/>
                <w:lang w:val="sk-SK"/>
              </w:rPr>
              <w:t xml:space="preserve">Miera </w:t>
            </w: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objektívnej</w:t>
            </w:r>
            <w:r w:rsidR="00764A81" w:rsidRPr="00764A8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 odpovede a 95 %</w:t>
            </w:r>
          </w:p>
          <w:p w14:paraId="0698175E" w14:textId="77777777" w:rsidR="00764A81" w:rsidRPr="00764A81" w:rsidRDefault="00764A81" w:rsidP="00764A81">
            <w:pPr>
              <w:widowControl/>
              <w:autoSpaceDE w:val="0"/>
              <w:autoSpaceDN w:val="0"/>
              <w:adjustRightInd w:val="0"/>
              <w:ind w:left="-59" w:hanging="284"/>
              <w:jc w:val="center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764A8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IS pre rozdiel</w:t>
            </w:r>
          </w:p>
          <w:p w14:paraId="16045837" w14:textId="13C529B9" w:rsidR="00AF2C33" w:rsidRPr="00D45D95" w:rsidRDefault="00764A81" w:rsidP="00764A81">
            <w:pPr>
              <w:pStyle w:val="TableParagraph"/>
              <w:ind w:left="82" w:firstLine="59"/>
              <w:rPr>
                <w:rFonts w:ascii="Times New Roman" w:eastAsia="Times New Roman" w:hAnsi="Times New Roman" w:cs="Times New Roman"/>
                <w:lang w:val="sk-SK"/>
              </w:rPr>
            </w:pPr>
            <w:r w:rsidRPr="00764A8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medzi liečbami</w:t>
            </w:r>
            <w:r w:rsidRPr="00764A81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sk-SK"/>
              </w:rPr>
              <w:t>a</w:t>
            </w:r>
          </w:p>
        </w:tc>
        <w:tc>
          <w:tcPr>
            <w:tcW w:w="275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FB90242" w14:textId="22DC5620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3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Doba</w:t>
            </w:r>
            <w:r w:rsidRPr="00D45D95">
              <w:rPr>
                <w:rFonts w:ascii="Times New Roman" w:hAnsi="Times New Roman" w:cs="Times New Roman"/>
                <w:b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do zlyhania</w:t>
            </w:r>
            <w:r w:rsidRPr="00D45D95">
              <w:rPr>
                <w:rFonts w:ascii="Times New Roman" w:hAnsi="Times New Roman" w:cs="Times New Roman"/>
                <w:b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liečby</w:t>
            </w:r>
            <w:r w:rsidR="00D4531E" w:rsidRPr="00D4531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sk-SK"/>
              </w:rPr>
              <w:t>ab</w:t>
            </w:r>
          </w:p>
        </w:tc>
        <w:tc>
          <w:tcPr>
            <w:tcW w:w="199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425D3F9" w14:textId="77777777" w:rsidR="00764A81" w:rsidRDefault="008174E0" w:rsidP="00D4531E">
            <w:pPr>
              <w:pStyle w:val="TableParagraph"/>
              <w:tabs>
                <w:tab w:val="left" w:pos="0"/>
              </w:tabs>
            </w:pPr>
            <w:r w:rsidRPr="00D45D95">
              <w:rPr>
                <w:rFonts w:ascii="Times New Roman" w:hAnsi="Times New Roman" w:cs="Times New Roman"/>
                <w:b/>
                <w:spacing w:val="-1"/>
                <w:lang w:val="sk-SK"/>
              </w:rPr>
              <w:t>Primárny cieľ</w:t>
            </w:r>
            <w:r w:rsidR="00D4531E">
              <w:rPr>
                <w:rFonts w:ascii="Times New Roman" w:hAnsi="Times New Roman" w:cs="Times New Roman"/>
                <w:b/>
                <w:spacing w:val="-1"/>
                <w:lang w:val="sk-SK"/>
              </w:rPr>
              <w:t>ový ukazovateľ</w:t>
            </w:r>
            <w:r w:rsidR="00D4531E">
              <w:t xml:space="preserve"> </w:t>
            </w:r>
          </w:p>
          <w:p w14:paraId="7DA326C9" w14:textId="1A41F3B1" w:rsidR="00D4531E" w:rsidRPr="00D4531E" w:rsidRDefault="00D4531E" w:rsidP="00D4531E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pacing w:val="-1"/>
                <w:lang w:val="sk-SK"/>
              </w:rPr>
            </w:pPr>
            <w:r w:rsidRPr="00D4531E">
              <w:rPr>
                <w:rFonts w:ascii="Times New Roman" w:hAnsi="Times New Roman" w:cs="Times New Roman"/>
                <w:b/>
                <w:spacing w:val="-1"/>
                <w:lang w:val="sk-SK"/>
              </w:rPr>
              <w:t>Celkové</w:t>
            </w:r>
          </w:p>
          <w:p w14:paraId="3798745F" w14:textId="367911F2" w:rsidR="00AF2C33" w:rsidRPr="00D45D95" w:rsidRDefault="00D4531E" w:rsidP="00D4531E">
            <w:pPr>
              <w:pStyle w:val="TableParagraph"/>
              <w:tabs>
                <w:tab w:val="left" w:pos="0"/>
              </w:tabs>
              <w:rPr>
                <w:rFonts w:ascii="Times New Roman" w:eastAsia="Times New Roman" w:hAnsi="Times New Roman" w:cs="Times New Roman"/>
                <w:lang w:val="sk-SK"/>
              </w:rPr>
            </w:pPr>
            <w:r w:rsidRPr="00D4531E">
              <w:rPr>
                <w:rFonts w:ascii="Times New Roman" w:hAnsi="Times New Roman" w:cs="Times New Roman"/>
                <w:b/>
                <w:spacing w:val="-1"/>
                <w:lang w:val="sk-SK"/>
              </w:rPr>
              <w:t>prežívanie</w:t>
            </w:r>
            <w:r w:rsidRPr="00BB53F4">
              <w:rPr>
                <w:rFonts w:ascii="Times New Roman" w:hAnsi="Times New Roman" w:cs="Times New Roman"/>
                <w:b/>
                <w:spacing w:val="-1"/>
                <w:vertAlign w:val="superscript"/>
                <w:lang w:val="sk-SK"/>
              </w:rPr>
              <w:t>abc</w:t>
            </w:r>
          </w:p>
        </w:tc>
      </w:tr>
      <w:tr w:rsidR="00AF2C33" w:rsidRPr="00D45D95" w14:paraId="6A1EE6EA" w14:textId="77777777">
        <w:trPr>
          <w:trHeight w:hRule="exact" w:val="258"/>
        </w:trPr>
        <w:tc>
          <w:tcPr>
            <w:tcW w:w="190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217C38E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Celková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4B6174C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1692</w:t>
            </w:r>
          </w:p>
        </w:tc>
        <w:tc>
          <w:tcPr>
            <w:tcW w:w="190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8A88A10" w14:textId="77777777" w:rsidR="00AF2C33" w:rsidRPr="00D45D95" w:rsidRDefault="008174E0" w:rsidP="00BB53F4">
            <w:pPr>
              <w:pStyle w:val="TableParagraph"/>
              <w:tabs>
                <w:tab w:val="left" w:pos="224"/>
              </w:tabs>
              <w:spacing w:line="246" w:lineRule="exact"/>
              <w:ind w:firstLine="82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8,0% vs 1,3%</w:t>
            </w:r>
          </w:p>
        </w:tc>
        <w:tc>
          <w:tcPr>
            <w:tcW w:w="275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4C55E47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0,82</w:t>
            </w:r>
          </w:p>
        </w:tc>
        <w:tc>
          <w:tcPr>
            <w:tcW w:w="199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2BEBB2A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0,89</w:t>
            </w:r>
          </w:p>
        </w:tc>
      </w:tr>
      <w:tr w:rsidR="00AF2C33" w:rsidRPr="00D45D95" w14:paraId="2F2EF7D5" w14:textId="77777777">
        <w:trPr>
          <w:trHeight w:hRule="exact" w:val="253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D82BD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5DD746F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8B61E" w14:textId="77777777" w:rsidR="00AF2C33" w:rsidRPr="00D45D95" w:rsidRDefault="008174E0" w:rsidP="00BB53F4">
            <w:pPr>
              <w:pStyle w:val="TableParagraph"/>
              <w:tabs>
                <w:tab w:val="left" w:pos="224"/>
              </w:tabs>
              <w:spacing w:line="242" w:lineRule="exact"/>
              <w:ind w:firstLine="82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[4,7%; 8,8%]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F7709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[0,73;</w:t>
            </w:r>
            <w:r w:rsidRPr="00D45D95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0,92]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5C8681D0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[0,77;</w:t>
            </w:r>
            <w:r w:rsidRPr="00D45D95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1,02]</w:t>
            </w:r>
          </w:p>
        </w:tc>
      </w:tr>
      <w:tr w:rsidR="00AF2C33" w:rsidRPr="00D45D95" w14:paraId="140C8BFC" w14:textId="77777777">
        <w:trPr>
          <w:trHeight w:hRule="exact" w:val="253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6761A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F4DA77A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EB99B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33153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3,0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2,6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6547F19A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5,6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5,1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</w:p>
        </w:tc>
      </w:tr>
      <w:tr w:rsidR="00AF2C33" w:rsidRPr="00D45D95" w14:paraId="3688BAC7" w14:textId="77777777">
        <w:trPr>
          <w:trHeight w:hRule="exact" w:val="267"/>
        </w:trPr>
        <w:tc>
          <w:tcPr>
            <w:tcW w:w="19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62F50D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5FB789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10C503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5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62A715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p=0,0006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B0A3CC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p=0,0871</w:t>
            </w:r>
          </w:p>
        </w:tc>
      </w:tr>
      <w:tr w:rsidR="00AF2C33" w:rsidRPr="00D45D95" w14:paraId="7BFC5612" w14:textId="77777777">
        <w:trPr>
          <w:trHeight w:hRule="exact" w:val="258"/>
        </w:trPr>
        <w:tc>
          <w:tcPr>
            <w:tcW w:w="190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722CE6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Pozitivita mutácie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314DC4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26</w:t>
            </w: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814CB7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37,5% vs 0%</w:t>
            </w: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68F3A0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0,79</w:t>
            </w:r>
          </w:p>
        </w:tc>
        <w:tc>
          <w:tcPr>
            <w:tcW w:w="19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573797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NC</w:t>
            </w:r>
          </w:p>
        </w:tc>
      </w:tr>
      <w:tr w:rsidR="00AF2C33" w:rsidRPr="00D45D95" w14:paraId="00606574" w14:textId="77777777">
        <w:trPr>
          <w:trHeight w:hRule="exact" w:val="253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EF5EA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EGFR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3ACD1C6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86282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[-15,1%;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61,4%]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7FD4D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[0,20; 3,12]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64ED5846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F2C33" w:rsidRPr="00D45D95" w14:paraId="6FF518C5" w14:textId="77777777">
        <w:trPr>
          <w:trHeight w:hRule="exact" w:val="253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0B576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ADE2AB0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87A57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A5969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10,8 m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 xml:space="preserve"> vs 3,8 </w:t>
            </w:r>
            <w:r w:rsidRPr="00D45D95">
              <w:rPr>
                <w:rFonts w:ascii="Times New Roman" w:hAnsi="Times New Roman" w:cs="Times New Roman"/>
                <w:lang w:val="sk-SK"/>
              </w:rPr>
              <w:t>m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33E4EA16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NR vs 4,3</w:t>
            </w:r>
            <w:r w:rsidRPr="00D45D95">
              <w:rPr>
                <w:rFonts w:ascii="Times New Roman" w:hAnsi="Times New Roman" w:cs="Times New Roman"/>
                <w:spacing w:val="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>m</w:t>
            </w:r>
          </w:p>
        </w:tc>
      </w:tr>
      <w:tr w:rsidR="00AF2C33" w:rsidRPr="00D45D95" w14:paraId="1C1FF45F" w14:textId="77777777">
        <w:trPr>
          <w:trHeight w:hRule="exact" w:val="267"/>
        </w:trPr>
        <w:tc>
          <w:tcPr>
            <w:tcW w:w="19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C4220C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5AF02B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BC51E0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5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9DD751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p=0,7382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5A0934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F2C33" w:rsidRPr="00D45D95" w14:paraId="10826172" w14:textId="77777777">
        <w:trPr>
          <w:trHeight w:hRule="exact" w:val="258"/>
        </w:trPr>
        <w:tc>
          <w:tcPr>
            <w:tcW w:w="190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EEAA3F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Negativita mutácie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05DC2C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189</w:t>
            </w: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DC610C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2,6%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0%</w:t>
            </w: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83D3C4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1,10</w:t>
            </w:r>
          </w:p>
        </w:tc>
        <w:tc>
          <w:tcPr>
            <w:tcW w:w="19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5FC7D7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1,16</w:t>
            </w:r>
          </w:p>
        </w:tc>
      </w:tr>
      <w:tr w:rsidR="00AF2C33" w:rsidRPr="00D45D95" w14:paraId="203C7F3E" w14:textId="77777777">
        <w:trPr>
          <w:trHeight w:hRule="exact" w:val="253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0F9D3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EGFR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5DD0252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EE891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[-5,6%;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7,3%]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CE85A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[0,78; 1,56]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670AB130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[0,79; 1,72]</w:t>
            </w:r>
          </w:p>
        </w:tc>
      </w:tr>
      <w:tr w:rsidR="00AF2C33" w:rsidRPr="00D45D95" w14:paraId="4C7AA77F" w14:textId="77777777">
        <w:trPr>
          <w:trHeight w:hRule="exact" w:val="253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A2A37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1625EC3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A566C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2698B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2,0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2,6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1D07BA16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3,7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5,9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</w:p>
        </w:tc>
      </w:tr>
      <w:tr w:rsidR="00AF2C33" w:rsidRPr="00D45D95" w14:paraId="47296A60" w14:textId="77777777">
        <w:trPr>
          <w:trHeight w:hRule="exact" w:val="267"/>
        </w:trPr>
        <w:tc>
          <w:tcPr>
            <w:tcW w:w="19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78943F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DBF7F2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C3EE8E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5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A3B027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p=0,5771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A99798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p=0,4449</w:t>
            </w:r>
          </w:p>
        </w:tc>
      </w:tr>
      <w:tr w:rsidR="00AF2C33" w:rsidRPr="00D45D95" w14:paraId="44563142" w14:textId="77777777">
        <w:trPr>
          <w:trHeight w:hRule="exact" w:val="258"/>
        </w:trPr>
        <w:tc>
          <w:tcPr>
            <w:tcW w:w="190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E2BBA5" w14:textId="19CB583B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lastRenderedPageBreak/>
              <w:t>Nefajčia</w:t>
            </w:r>
            <w:r w:rsidR="00764A81">
              <w:rPr>
                <w:rFonts w:ascii="Times New Roman" w:hAnsi="Times New Roman" w:cs="Times New Roman"/>
                <w:spacing w:val="-1"/>
                <w:lang w:val="sk-SK"/>
              </w:rPr>
              <w:t>r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i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456975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375</w:t>
            </w: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EB700B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18,1% vs 0%</w:t>
            </w: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3614DC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0,55</w:t>
            </w:r>
          </w:p>
        </w:tc>
        <w:tc>
          <w:tcPr>
            <w:tcW w:w="19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CB24F9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0,67</w:t>
            </w:r>
          </w:p>
        </w:tc>
      </w:tr>
      <w:tr w:rsidR="00AF2C33" w:rsidRPr="00D45D95" w14:paraId="303E42CB" w14:textId="77777777">
        <w:trPr>
          <w:trHeight w:hRule="exact" w:val="253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C91C9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C619992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D4FCE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[12,3%;</w:t>
            </w:r>
            <w:r w:rsidRPr="00D45D95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24,0%]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B5C8A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[0,42; 0,72]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6519F7A4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[0,49; 0,92]</w:t>
            </w:r>
          </w:p>
        </w:tc>
      </w:tr>
      <w:tr w:rsidR="00AF2C33" w:rsidRPr="00D45D95" w14:paraId="62DB2136" w14:textId="77777777">
        <w:trPr>
          <w:trHeight w:hRule="exact" w:val="252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53505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A1FE165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6E511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E7CF0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5,6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2,8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5CEBF321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8,9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6,1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</w:p>
        </w:tc>
      </w:tr>
      <w:tr w:rsidR="00AF2C33" w:rsidRPr="00D45D95" w14:paraId="5A383C9A" w14:textId="77777777">
        <w:trPr>
          <w:trHeight w:hRule="exact" w:val="269"/>
        </w:trPr>
        <w:tc>
          <w:tcPr>
            <w:tcW w:w="19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9607DC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B84456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2260AC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5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E380A0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p&lt;0,0001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CA414F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p=0,0124</w:t>
            </w:r>
          </w:p>
        </w:tc>
      </w:tr>
      <w:tr w:rsidR="00AF2C33" w:rsidRPr="00D45D95" w14:paraId="2F3FEBBF" w14:textId="77777777">
        <w:trPr>
          <w:trHeight w:hRule="exact" w:val="258"/>
        </w:trPr>
        <w:tc>
          <w:tcPr>
            <w:tcW w:w="190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79D608" w14:textId="2ECB430C" w:rsidR="00AF2C33" w:rsidRPr="00D45D95" w:rsidRDefault="00764A81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pacing w:val="-1"/>
                <w:lang w:val="sk-SK"/>
              </w:rPr>
              <w:t>F</w:t>
            </w:r>
            <w:r w:rsidR="008174E0" w:rsidRPr="00D45D95">
              <w:rPr>
                <w:rFonts w:ascii="Times New Roman" w:hAnsi="Times New Roman" w:cs="Times New Roman"/>
                <w:spacing w:val="-1"/>
                <w:lang w:val="sk-SK"/>
              </w:rPr>
              <w:t>ajčia</w:t>
            </w:r>
            <w:r>
              <w:rPr>
                <w:rFonts w:ascii="Times New Roman" w:hAnsi="Times New Roman" w:cs="Times New Roman"/>
                <w:spacing w:val="-1"/>
                <w:lang w:val="sk-SK"/>
              </w:rPr>
              <w:t>r</w:t>
            </w:r>
            <w:r w:rsidR="008174E0" w:rsidRPr="00D45D95">
              <w:rPr>
                <w:rFonts w:ascii="Times New Roman" w:hAnsi="Times New Roman" w:cs="Times New Roman"/>
                <w:spacing w:val="-1"/>
                <w:lang w:val="sk-SK"/>
              </w:rPr>
              <w:t>i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14D4EF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1317</w:t>
            </w: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39C179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5,3% vs 1,6%</w:t>
            </w: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C0011E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0,89</w:t>
            </w:r>
          </w:p>
        </w:tc>
        <w:tc>
          <w:tcPr>
            <w:tcW w:w="19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F7C4A7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6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0,92</w:t>
            </w:r>
          </w:p>
        </w:tc>
      </w:tr>
      <w:tr w:rsidR="00AF2C33" w:rsidRPr="00D45D95" w14:paraId="0D3054EB" w14:textId="77777777">
        <w:trPr>
          <w:trHeight w:hRule="exact" w:val="253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3D740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FA59C6C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EC3D5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[1,4%; 5,7%]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BB218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[0,78; 1,01]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43CC3C41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[0,79; 1,06]</w:t>
            </w:r>
          </w:p>
        </w:tc>
      </w:tr>
      <w:tr w:rsidR="00AF2C33" w:rsidRPr="00D45D95" w14:paraId="1BE5609D" w14:textId="77777777">
        <w:trPr>
          <w:trHeight w:hRule="exact" w:val="252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683E8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06F082A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90587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5F6D0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2,7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2,6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4B8A838C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5,0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4,9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</w:p>
        </w:tc>
      </w:tr>
      <w:tr w:rsidR="00AF2C33" w:rsidRPr="00D45D95" w14:paraId="3CBBE604" w14:textId="77777777">
        <w:trPr>
          <w:trHeight w:hRule="exact" w:val="336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816D7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6510B99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6D016" w14:textId="77777777" w:rsidR="00AF2C33" w:rsidRPr="00D45D95" w:rsidRDefault="00AF2C33" w:rsidP="004568C3">
            <w:pPr>
              <w:tabs>
                <w:tab w:val="left" w:pos="0"/>
              </w:tabs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9BE38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p=0,0707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77636F90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41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p=0,2420</w:t>
            </w:r>
          </w:p>
        </w:tc>
      </w:tr>
      <w:tr w:rsidR="00AF2C33" w:rsidRPr="00D45D95" w14:paraId="4CCA840A" w14:textId="77777777">
        <w:trPr>
          <w:trHeight w:hRule="exact" w:val="1032"/>
        </w:trPr>
        <w:tc>
          <w:tcPr>
            <w:tcW w:w="18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D40705" w14:textId="46D7FC86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8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Ázijská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populácia</w:t>
            </w:r>
            <w:r w:rsidR="00764A81" w:rsidRPr="00764A81">
              <w:rPr>
                <w:rFonts w:ascii="Times New Roman" w:eastAsia="TimesNewRoman" w:hAnsi="Times New Roman" w:cs="Times New Roman"/>
                <w:vertAlign w:val="superscript"/>
                <w:lang w:val="sk-SK"/>
              </w:rPr>
              <w:t>d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1DEA5C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5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342</w:t>
            </w:r>
          </w:p>
        </w:tc>
        <w:tc>
          <w:tcPr>
            <w:tcW w:w="17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B4B752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5" w:line="25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12,4% vs 2,1%</w:t>
            </w:r>
          </w:p>
          <w:p w14:paraId="56E9994F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[4,0%; 15,8%]</w:t>
            </w:r>
          </w:p>
        </w:tc>
        <w:tc>
          <w:tcPr>
            <w:tcW w:w="23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AB4157" w14:textId="77777777" w:rsidR="00AF2C33" w:rsidRPr="00D45D95" w:rsidRDefault="008174E0" w:rsidP="00DD0230">
            <w:pPr>
              <w:pStyle w:val="TableParagraph"/>
              <w:tabs>
                <w:tab w:val="left" w:pos="164"/>
              </w:tabs>
              <w:spacing w:before="5" w:line="252" w:lineRule="exact"/>
              <w:ind w:left="164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0,69</w:t>
            </w:r>
          </w:p>
          <w:p w14:paraId="76F6980B" w14:textId="77777777" w:rsidR="00AF2C33" w:rsidRPr="00D45D95" w:rsidRDefault="008174E0" w:rsidP="00DD0230">
            <w:pPr>
              <w:pStyle w:val="TableParagraph"/>
              <w:tabs>
                <w:tab w:val="left" w:pos="164"/>
              </w:tabs>
              <w:spacing w:line="252" w:lineRule="exact"/>
              <w:ind w:left="164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[0,52;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>0,91]</w:t>
            </w:r>
          </w:p>
          <w:p w14:paraId="6D33DE59" w14:textId="77777777" w:rsidR="00AF2C33" w:rsidRPr="00D45D95" w:rsidRDefault="008174E0" w:rsidP="00DD0230">
            <w:pPr>
              <w:pStyle w:val="TableParagraph"/>
              <w:tabs>
                <w:tab w:val="left" w:pos="164"/>
              </w:tabs>
              <w:ind w:left="164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4,4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2,2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  <w:r w:rsidRPr="00D45D95">
              <w:rPr>
                <w:rFonts w:ascii="Times New Roman" w:hAnsi="Times New Roman" w:cs="Times New Roman"/>
                <w:spacing w:val="2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>p=0,0084</w:t>
            </w:r>
          </w:p>
        </w:tc>
        <w:tc>
          <w:tcPr>
            <w:tcW w:w="25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E5DC03" w14:textId="77777777" w:rsidR="00AF2C33" w:rsidRPr="00D45D95" w:rsidRDefault="008174E0" w:rsidP="00DD0230">
            <w:pPr>
              <w:pStyle w:val="TableParagraph"/>
              <w:spacing w:before="5" w:line="252" w:lineRule="exact"/>
              <w:ind w:left="50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0,66</w:t>
            </w:r>
          </w:p>
          <w:p w14:paraId="02365DA6" w14:textId="77777777" w:rsidR="00AF2C33" w:rsidRPr="00D45D95" w:rsidRDefault="008174E0" w:rsidP="00DD0230">
            <w:pPr>
              <w:pStyle w:val="TableParagraph"/>
              <w:spacing w:line="252" w:lineRule="exact"/>
              <w:ind w:left="50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[0,48;0,91]</w:t>
            </w:r>
          </w:p>
          <w:p w14:paraId="7AB354D6" w14:textId="77777777" w:rsidR="00AF2C33" w:rsidRPr="00D45D95" w:rsidRDefault="008174E0" w:rsidP="00DD023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9,5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5,5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  <w:r w:rsidRPr="00D45D95">
              <w:rPr>
                <w:rFonts w:ascii="Times New Roman" w:hAnsi="Times New Roman" w:cs="Times New Roman"/>
                <w:spacing w:val="2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>p=0,0100</w:t>
            </w:r>
          </w:p>
        </w:tc>
      </w:tr>
      <w:tr w:rsidR="00AF2C33" w:rsidRPr="00D45D95" w14:paraId="1737DE0C" w14:textId="77777777">
        <w:trPr>
          <w:trHeight w:hRule="exact" w:val="1044"/>
        </w:trPr>
        <w:tc>
          <w:tcPr>
            <w:tcW w:w="189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10384C93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5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Neázijská</w:t>
            </w:r>
            <w:r w:rsidRPr="00D45D95">
              <w:rPr>
                <w:rFonts w:ascii="Times New Roman" w:hAnsi="Times New Roman" w:cs="Times New Roman"/>
                <w:spacing w:val="20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populácia</w:t>
            </w:r>
          </w:p>
        </w:tc>
        <w:tc>
          <w:tcPr>
            <w:tcW w:w="751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5ADE6E2E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5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1350</w:t>
            </w:r>
          </w:p>
        </w:tc>
        <w:tc>
          <w:tcPr>
            <w:tcW w:w="1762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2235BF31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before="5" w:line="25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6,8% vs 1,0%</w:t>
            </w:r>
          </w:p>
          <w:p w14:paraId="02F48489" w14:textId="77777777" w:rsidR="00AF2C33" w:rsidRPr="00D45D95" w:rsidRDefault="008174E0" w:rsidP="004568C3">
            <w:pPr>
              <w:pStyle w:val="TableParagraph"/>
              <w:tabs>
                <w:tab w:val="left" w:pos="0"/>
              </w:tabs>
              <w:spacing w:line="25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[3,5%;</w:t>
            </w:r>
            <w:r w:rsidRPr="00D45D95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7,9%]</w:t>
            </w:r>
          </w:p>
        </w:tc>
        <w:tc>
          <w:tcPr>
            <w:tcW w:w="2354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798D250D" w14:textId="77777777" w:rsidR="00AF2C33" w:rsidRPr="00D45D95" w:rsidRDefault="008174E0" w:rsidP="00DD0230">
            <w:pPr>
              <w:pStyle w:val="TableParagraph"/>
              <w:tabs>
                <w:tab w:val="left" w:pos="306"/>
              </w:tabs>
              <w:spacing w:before="5" w:line="252" w:lineRule="exact"/>
              <w:ind w:left="164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0,86</w:t>
            </w:r>
          </w:p>
          <w:p w14:paraId="36D36726" w14:textId="77777777" w:rsidR="00AF2C33" w:rsidRPr="00D45D95" w:rsidRDefault="008174E0" w:rsidP="00DD0230">
            <w:pPr>
              <w:pStyle w:val="TableParagraph"/>
              <w:tabs>
                <w:tab w:val="left" w:pos="306"/>
              </w:tabs>
              <w:spacing w:line="252" w:lineRule="exact"/>
              <w:ind w:left="164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[0,76; 0,98]</w:t>
            </w:r>
          </w:p>
          <w:p w14:paraId="6728FE49" w14:textId="77777777" w:rsidR="00AF2C33" w:rsidRPr="00D45D95" w:rsidRDefault="008174E0" w:rsidP="00DD0230">
            <w:pPr>
              <w:pStyle w:val="TableParagraph"/>
              <w:tabs>
                <w:tab w:val="left" w:pos="306"/>
              </w:tabs>
              <w:ind w:left="164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2,9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2,7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  <w:r w:rsidRPr="00D45D95">
              <w:rPr>
                <w:rFonts w:ascii="Times New Roman" w:hAnsi="Times New Roman" w:cs="Times New Roman"/>
                <w:spacing w:val="2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>p=0,0197</w:t>
            </w:r>
          </w:p>
        </w:tc>
        <w:tc>
          <w:tcPr>
            <w:tcW w:w="2534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2AB01C6C" w14:textId="77777777" w:rsidR="00AF2C33" w:rsidRPr="00D45D95" w:rsidRDefault="008174E0" w:rsidP="00DD0230">
            <w:pPr>
              <w:pStyle w:val="TableParagraph"/>
              <w:tabs>
                <w:tab w:val="left" w:pos="503"/>
              </w:tabs>
              <w:spacing w:before="5" w:line="252" w:lineRule="exact"/>
              <w:ind w:left="50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HR 0,92</w:t>
            </w:r>
          </w:p>
          <w:p w14:paraId="413F3646" w14:textId="77777777" w:rsidR="00AF2C33" w:rsidRPr="00D45D95" w:rsidRDefault="008174E0" w:rsidP="00DD0230">
            <w:pPr>
              <w:pStyle w:val="TableParagraph"/>
              <w:tabs>
                <w:tab w:val="left" w:pos="503"/>
              </w:tabs>
              <w:spacing w:line="252" w:lineRule="exact"/>
              <w:ind w:left="50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[0,80; 1,07]</w:t>
            </w:r>
          </w:p>
          <w:p w14:paraId="3111E982" w14:textId="77777777" w:rsidR="00AF2C33" w:rsidRPr="00D45D95" w:rsidRDefault="008174E0" w:rsidP="00DD0230">
            <w:pPr>
              <w:pStyle w:val="TableParagraph"/>
              <w:tabs>
                <w:tab w:val="left" w:pos="503"/>
              </w:tabs>
              <w:ind w:left="503"/>
              <w:rPr>
                <w:rFonts w:ascii="Times New Roman" w:eastAsia="Times New Roman" w:hAnsi="Times New Roman" w:cs="Times New Roman"/>
                <w:lang w:val="sk-SK"/>
              </w:rPr>
            </w:pPr>
            <w:r w:rsidRPr="00D45D95">
              <w:rPr>
                <w:rFonts w:ascii="Times New Roman" w:hAnsi="Times New Roman" w:cs="Times New Roman"/>
                <w:lang w:val="sk-SK"/>
              </w:rPr>
              <w:t>5,2 m</w:t>
            </w:r>
            <w:r w:rsidRPr="00D45D9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spacing w:val="-1"/>
                <w:lang w:val="sk-SK"/>
              </w:rPr>
              <w:t>vs 5,1</w:t>
            </w:r>
            <w:r w:rsidRPr="00D45D95">
              <w:rPr>
                <w:rFonts w:ascii="Times New Roman" w:hAnsi="Times New Roman" w:cs="Times New Roman"/>
                <w:lang w:val="sk-SK"/>
              </w:rPr>
              <w:t xml:space="preserve"> m</w:t>
            </w:r>
            <w:r w:rsidRPr="00D45D95">
              <w:rPr>
                <w:rFonts w:ascii="Times New Roman" w:hAnsi="Times New Roman" w:cs="Times New Roman"/>
                <w:spacing w:val="22"/>
                <w:lang w:val="sk-SK"/>
              </w:rPr>
              <w:t xml:space="preserve"> </w:t>
            </w:r>
            <w:r w:rsidRPr="00D45D95">
              <w:rPr>
                <w:rFonts w:ascii="Times New Roman" w:hAnsi="Times New Roman" w:cs="Times New Roman"/>
                <w:lang w:val="sk-SK"/>
              </w:rPr>
              <w:t>p=0,2942</w:t>
            </w:r>
          </w:p>
        </w:tc>
      </w:tr>
    </w:tbl>
    <w:p w14:paraId="554E2037" w14:textId="77777777" w:rsidR="00AF2C33" w:rsidRPr="00D45D95" w:rsidRDefault="008174E0" w:rsidP="004568C3">
      <w:pPr>
        <w:pStyle w:val="Zkladntext"/>
        <w:numPr>
          <w:ilvl w:val="0"/>
          <w:numId w:val="2"/>
        </w:numPr>
        <w:tabs>
          <w:tab w:val="left" w:pos="0"/>
          <w:tab w:val="left" w:pos="920"/>
        </w:tabs>
        <w:spacing w:line="225" w:lineRule="exact"/>
        <w:ind w:left="0" w:firstLine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Zobrazené hodnoty sú pre </w:t>
      </w:r>
      <w:r w:rsidR="00D45D95">
        <w:rPr>
          <w:rFonts w:cs="Times New Roman"/>
          <w:spacing w:val="-1"/>
          <w:lang w:val="sk-SK"/>
        </w:rPr>
        <w:t>g</w:t>
      </w:r>
      <w:r w:rsidR="003C1EF3" w:rsidRPr="00D45D95">
        <w:rPr>
          <w:rFonts w:cs="Times New Roman"/>
          <w:spacing w:val="-1"/>
          <w:lang w:val="sk-SK"/>
        </w:rPr>
        <w:t xml:space="preserve">efitinib </w:t>
      </w:r>
      <w:r w:rsidRPr="00D45D95">
        <w:rPr>
          <w:rFonts w:cs="Times New Roman"/>
          <w:spacing w:val="-1"/>
          <w:lang w:val="sk-SK"/>
        </w:rPr>
        <w:t>vs.</w:t>
      </w:r>
      <w:r w:rsidRPr="00D45D95">
        <w:rPr>
          <w:rFonts w:cs="Times New Roman"/>
          <w:lang w:val="sk-SK"/>
        </w:rPr>
        <w:t xml:space="preserve"> placebo.</w:t>
      </w:r>
    </w:p>
    <w:p w14:paraId="3136BE1D" w14:textId="72EC47E6" w:rsidR="00AF2C33" w:rsidRPr="00D45D95" w:rsidRDefault="00764A81" w:rsidP="00460636">
      <w:pPr>
        <w:pStyle w:val="Zkladntext"/>
        <w:numPr>
          <w:ilvl w:val="0"/>
          <w:numId w:val="2"/>
        </w:numPr>
        <w:tabs>
          <w:tab w:val="left" w:pos="920"/>
        </w:tabs>
        <w:ind w:left="993" w:hanging="993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„</w:t>
      </w:r>
      <w:r w:rsidR="008174E0" w:rsidRPr="00D45D95">
        <w:rPr>
          <w:rFonts w:cs="Times New Roman"/>
          <w:spacing w:val="-1"/>
          <w:lang w:val="sk-SK"/>
        </w:rPr>
        <w:t>m</w:t>
      </w:r>
      <w:r>
        <w:rPr>
          <w:rFonts w:cs="Times New Roman"/>
          <w:spacing w:val="-1"/>
          <w:lang w:val="sk-SK"/>
        </w:rPr>
        <w:t>“</w:t>
      </w:r>
      <w:r w:rsidR="008174E0" w:rsidRPr="00D45D95">
        <w:rPr>
          <w:rFonts w:cs="Times New Roman"/>
          <w:spacing w:val="-1"/>
          <w:lang w:val="sk-SK"/>
        </w:rPr>
        <w:t xml:space="preserve"> je medián </w:t>
      </w:r>
      <w:r w:rsidR="008174E0" w:rsidRPr="00D45D95">
        <w:rPr>
          <w:rFonts w:cs="Times New Roman"/>
          <w:lang w:val="sk-SK"/>
        </w:rPr>
        <w:t>v</w:t>
      </w:r>
      <w:r w:rsidR="008174E0" w:rsidRPr="00D45D95">
        <w:rPr>
          <w:rFonts w:cs="Times New Roman"/>
          <w:spacing w:val="-3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 xml:space="preserve">mesiacoch. Čísla </w:t>
      </w:r>
      <w:r w:rsidR="008174E0" w:rsidRPr="00D45D95">
        <w:rPr>
          <w:rFonts w:cs="Times New Roman"/>
          <w:lang w:val="sk-SK"/>
        </w:rPr>
        <w:t>v</w:t>
      </w:r>
      <w:r w:rsidR="008174E0" w:rsidRPr="00D45D95">
        <w:rPr>
          <w:rFonts w:cs="Times New Roman"/>
          <w:spacing w:val="-3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>hranatých zátvorkách sú 95% interval spoľahlivosti pre</w:t>
      </w:r>
      <w:r w:rsidR="008174E0" w:rsidRPr="00D45D95">
        <w:rPr>
          <w:rFonts w:cs="Times New Roman"/>
          <w:spacing w:val="22"/>
          <w:lang w:val="sk-SK"/>
        </w:rPr>
        <w:t xml:space="preserve"> </w:t>
      </w:r>
      <w:r w:rsidR="008174E0" w:rsidRPr="00D45D95">
        <w:rPr>
          <w:rFonts w:cs="Times New Roman"/>
          <w:spacing w:val="-2"/>
          <w:lang w:val="sk-SK"/>
        </w:rPr>
        <w:t>HR</w:t>
      </w:r>
    </w:p>
    <w:p w14:paraId="6E82A021" w14:textId="6D8F33C5" w:rsidR="00764A81" w:rsidRPr="00BB53F4" w:rsidRDefault="008174E0" w:rsidP="00764A81">
      <w:pPr>
        <w:pStyle w:val="Zkladntext"/>
        <w:numPr>
          <w:ilvl w:val="0"/>
          <w:numId w:val="2"/>
        </w:numPr>
        <w:tabs>
          <w:tab w:val="left" w:pos="0"/>
          <w:tab w:val="left" w:pos="920"/>
        </w:tabs>
        <w:ind w:left="0" w:firstLine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Stratifikovaný </w:t>
      </w:r>
      <w:r w:rsidRPr="00D45D95">
        <w:rPr>
          <w:rFonts w:cs="Times New Roman"/>
          <w:spacing w:val="-2"/>
          <w:lang w:val="sk-SK"/>
        </w:rPr>
        <w:t>log-rank</w:t>
      </w:r>
      <w:r w:rsidRPr="00D45D95">
        <w:rPr>
          <w:rFonts w:cs="Times New Roman"/>
          <w:spacing w:val="-1"/>
          <w:lang w:val="sk-SK"/>
        </w:rPr>
        <w:t xml:space="preserve"> test pre celkovú populáciu, inak </w:t>
      </w:r>
      <w:r w:rsidR="00764A81">
        <w:rPr>
          <w:rFonts w:cs="Times New Roman"/>
          <w:spacing w:val="-1"/>
          <w:lang w:val="sk-SK"/>
        </w:rPr>
        <w:t>C</w:t>
      </w:r>
      <w:r w:rsidRPr="00D45D95">
        <w:rPr>
          <w:rFonts w:cs="Times New Roman"/>
          <w:spacing w:val="-1"/>
          <w:lang w:val="sk-SK"/>
        </w:rPr>
        <w:t>ox</w:t>
      </w:r>
      <w:r w:rsidR="00764A81">
        <w:rPr>
          <w:rFonts w:cs="Times New Roman"/>
          <w:spacing w:val="-1"/>
          <w:lang w:val="sk-SK"/>
        </w:rPr>
        <w:t>ov</w:t>
      </w:r>
      <w:r w:rsidRPr="00D45D95">
        <w:rPr>
          <w:rFonts w:cs="Times New Roman"/>
          <w:spacing w:val="-1"/>
          <w:lang w:val="sk-SK"/>
        </w:rPr>
        <w:t xml:space="preserve"> model proporcionálnych rizík</w:t>
      </w:r>
      <w:r w:rsidRPr="00D45D95">
        <w:rPr>
          <w:rFonts w:cs="Times New Roman"/>
          <w:spacing w:val="30"/>
          <w:lang w:val="sk-SK"/>
        </w:rPr>
        <w:t xml:space="preserve"> </w:t>
      </w:r>
    </w:p>
    <w:p w14:paraId="4E49A992" w14:textId="48611963" w:rsidR="00AF2C33" w:rsidRPr="00D45D95" w:rsidRDefault="00764A81" w:rsidP="00BB53F4">
      <w:pPr>
        <w:pStyle w:val="Zkladntext"/>
        <w:ind w:left="851" w:hanging="851"/>
        <w:rPr>
          <w:rFonts w:cs="Times New Roman"/>
          <w:lang w:val="sk-SK"/>
        </w:rPr>
      </w:pPr>
      <w:r>
        <w:rPr>
          <w:rFonts w:cs="Times New Roman"/>
          <w:lang w:val="sk-SK"/>
        </w:rPr>
        <w:t>d</w:t>
      </w:r>
      <w:r>
        <w:rPr>
          <w:rFonts w:cs="Times New Roman"/>
          <w:lang w:val="sk-SK"/>
        </w:rPr>
        <w:tab/>
      </w:r>
      <w:r w:rsidR="008174E0" w:rsidRPr="00D45D95">
        <w:rPr>
          <w:rFonts w:cs="Times New Roman"/>
          <w:spacing w:val="-1"/>
          <w:lang w:val="sk-SK"/>
        </w:rPr>
        <w:t xml:space="preserve">Ázijská populácia </w:t>
      </w:r>
      <w:r w:rsidR="008174E0" w:rsidRPr="00D45D95">
        <w:rPr>
          <w:rFonts w:cs="Times New Roman"/>
          <w:lang w:val="sk-SK"/>
        </w:rPr>
        <w:t xml:space="preserve">s </w:t>
      </w:r>
      <w:r w:rsidR="008174E0" w:rsidRPr="00D45D95">
        <w:rPr>
          <w:rFonts w:cs="Times New Roman"/>
          <w:spacing w:val="-1"/>
          <w:lang w:val="sk-SK"/>
        </w:rPr>
        <w:t>vylúčením pacientov indického pôvodu, vzťahuje sa na rasový pôvod</w:t>
      </w:r>
      <w:r>
        <w:rPr>
          <w:rFonts w:cs="Times New Roman"/>
          <w:lang w:val="sk-SK"/>
        </w:rPr>
        <w:t xml:space="preserve"> </w:t>
      </w:r>
      <w:r w:rsidR="008174E0" w:rsidRPr="00D45D95">
        <w:rPr>
          <w:rFonts w:cs="Times New Roman"/>
          <w:lang w:val="sk-SK"/>
        </w:rPr>
        <w:t xml:space="preserve">a </w:t>
      </w:r>
      <w:r w:rsidR="008174E0" w:rsidRPr="00D45D95">
        <w:rPr>
          <w:rFonts w:cs="Times New Roman"/>
          <w:spacing w:val="-1"/>
          <w:lang w:val="sk-SK"/>
        </w:rPr>
        <w:t>nie na miesto narodenia</w:t>
      </w:r>
    </w:p>
    <w:p w14:paraId="7AFB33BB" w14:textId="77777777" w:rsidR="00AF2C33" w:rsidRPr="00D45D95" w:rsidRDefault="008174E0" w:rsidP="004568C3">
      <w:pPr>
        <w:pStyle w:val="Zkladntext"/>
        <w:tabs>
          <w:tab w:val="left" w:pos="0"/>
          <w:tab w:val="left" w:pos="919"/>
        </w:tabs>
        <w:spacing w:line="252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N</w:t>
      </w:r>
      <w:r w:rsidRPr="00D45D95">
        <w:rPr>
          <w:rFonts w:cs="Times New Roman"/>
          <w:lang w:val="sk-SK"/>
        </w:rPr>
        <w:tab/>
      </w:r>
      <w:r w:rsidRPr="00D45D95">
        <w:rPr>
          <w:rFonts w:cs="Times New Roman"/>
          <w:spacing w:val="-1"/>
          <w:lang w:val="sk-SK"/>
        </w:rPr>
        <w:t>Počet randomizovaných pacientov</w:t>
      </w:r>
    </w:p>
    <w:p w14:paraId="15E45E63" w14:textId="77777777" w:rsidR="00764A81" w:rsidRDefault="008174E0" w:rsidP="004568C3">
      <w:pPr>
        <w:pStyle w:val="Zkladntext"/>
        <w:tabs>
          <w:tab w:val="left" w:pos="0"/>
          <w:tab w:val="left" w:pos="919"/>
        </w:tabs>
        <w:spacing w:before="1"/>
        <w:ind w:left="0"/>
        <w:rPr>
          <w:rFonts w:cs="Times New Roman"/>
          <w:spacing w:val="22"/>
          <w:lang w:val="sk-SK"/>
        </w:rPr>
      </w:pPr>
      <w:r w:rsidRPr="00D45D95">
        <w:rPr>
          <w:rFonts w:cs="Times New Roman"/>
          <w:spacing w:val="-1"/>
          <w:lang w:val="sk-SK"/>
        </w:rPr>
        <w:t>NC</w:t>
      </w:r>
      <w:r w:rsidRPr="00D45D95">
        <w:rPr>
          <w:rFonts w:cs="Times New Roman"/>
          <w:spacing w:val="-1"/>
          <w:lang w:val="sk-SK"/>
        </w:rPr>
        <w:tab/>
        <w:t>Nebolo počítané pre celkové prežívanie HR lebo počet príhod bol príliš malý</w:t>
      </w:r>
      <w:r w:rsidRPr="00D45D95">
        <w:rPr>
          <w:rFonts w:cs="Times New Roman"/>
          <w:spacing w:val="22"/>
          <w:lang w:val="sk-SK"/>
        </w:rPr>
        <w:t xml:space="preserve"> </w:t>
      </w:r>
    </w:p>
    <w:p w14:paraId="11FC8A24" w14:textId="7505B62F" w:rsidR="00AF2C33" w:rsidRPr="00D45D95" w:rsidRDefault="008174E0" w:rsidP="004568C3">
      <w:pPr>
        <w:pStyle w:val="Zkladntext"/>
        <w:tabs>
          <w:tab w:val="left" w:pos="0"/>
          <w:tab w:val="left" w:pos="919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NR</w:t>
      </w:r>
      <w:r w:rsidRPr="00D45D95">
        <w:rPr>
          <w:rFonts w:cs="Times New Roman"/>
          <w:spacing w:val="-1"/>
          <w:lang w:val="sk-SK"/>
        </w:rPr>
        <w:tab/>
        <w:t>Nedosiahnuté</w:t>
      </w:r>
    </w:p>
    <w:p w14:paraId="204C4EA3" w14:textId="77777777" w:rsidR="00AF2C33" w:rsidRPr="00D45D95" w:rsidRDefault="008174E0" w:rsidP="004568C3">
      <w:pPr>
        <w:pStyle w:val="Zkladntext"/>
        <w:tabs>
          <w:tab w:val="left" w:pos="0"/>
          <w:tab w:val="left" w:pos="919"/>
        </w:tabs>
        <w:spacing w:line="252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HR</w:t>
      </w:r>
      <w:r w:rsidRPr="00D45D95">
        <w:rPr>
          <w:rFonts w:cs="Times New Roman"/>
          <w:spacing w:val="-1"/>
          <w:lang w:val="sk-SK"/>
        </w:rPr>
        <w:tab/>
        <w:t xml:space="preserve">Pomer rizika (pomer rizika </w:t>
      </w:r>
      <w:r w:rsidRPr="00D45D95">
        <w:rPr>
          <w:rFonts w:cs="Times New Roman"/>
          <w:lang w:val="sk-SK"/>
        </w:rPr>
        <w:t>&lt;</w:t>
      </w:r>
      <w:r w:rsidRPr="00D45D9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lang w:val="sk-SK"/>
        </w:rPr>
        <w:t>1</w:t>
      </w:r>
      <w:r w:rsidRPr="00D45D9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prospech </w:t>
      </w:r>
      <w:r w:rsidR="00D45D95">
        <w:rPr>
          <w:rFonts w:cs="Times New Roman"/>
          <w:spacing w:val="-1"/>
          <w:lang w:val="sk-SK"/>
        </w:rPr>
        <w:t>g</w:t>
      </w:r>
      <w:r w:rsidR="003C1EF3" w:rsidRPr="00D45D95">
        <w:rPr>
          <w:rFonts w:cs="Times New Roman"/>
          <w:spacing w:val="-1"/>
          <w:lang w:val="sk-SK"/>
        </w:rPr>
        <w:t>efitinib</w:t>
      </w:r>
      <w:r w:rsidR="00D45D95">
        <w:rPr>
          <w:rFonts w:cs="Times New Roman"/>
          <w:spacing w:val="-1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>)</w:t>
      </w:r>
    </w:p>
    <w:p w14:paraId="2A71889A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0340B586" w14:textId="360EFB74" w:rsidR="00E4485A" w:rsidRPr="00D45D95" w:rsidRDefault="008174E0" w:rsidP="00BB53F4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IFUM štúdia bola multicentrická štúdia </w:t>
      </w:r>
      <w:r w:rsidR="00764A81" w:rsidRPr="00764A81">
        <w:rPr>
          <w:rFonts w:cs="Times New Roman"/>
          <w:spacing w:val="-1"/>
          <w:lang w:val="sk-SK"/>
        </w:rPr>
        <w:t xml:space="preserve">s jednou skupinou </w:t>
      </w:r>
      <w:r w:rsidRPr="00D45D95">
        <w:rPr>
          <w:rFonts w:cs="Times New Roman"/>
          <w:spacing w:val="-1"/>
          <w:lang w:val="sk-SK"/>
        </w:rPr>
        <w:t xml:space="preserve">vykonaná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pacientov kaukazskej populácie (n</w:t>
      </w:r>
      <w:r w:rsidRPr="00D45D95">
        <w:rPr>
          <w:rFonts w:cs="Times New Roman"/>
          <w:lang w:val="sk-SK"/>
        </w:rPr>
        <w:t>=</w:t>
      </w:r>
      <w:r w:rsidR="00764A81">
        <w:rPr>
          <w:rFonts w:cs="Times New Roman"/>
          <w:spacing w:val="-1"/>
          <w:lang w:val="sk-SK"/>
        </w:rPr>
        <w:t> </w:t>
      </w:r>
      <w:r w:rsidRPr="00D45D95">
        <w:rPr>
          <w:rFonts w:cs="Times New Roman"/>
          <w:spacing w:val="-1"/>
          <w:lang w:val="sk-SK"/>
        </w:rPr>
        <w:t xml:space="preserve">106) </w:t>
      </w:r>
      <w:r w:rsidRPr="00D45D95">
        <w:rPr>
          <w:rFonts w:cs="Times New Roman"/>
          <w:lang w:val="sk-SK"/>
        </w:rPr>
        <w:t>s</w:t>
      </w:r>
      <w:r w:rsidR="00764A81">
        <w:rPr>
          <w:rFonts w:cs="Times New Roman"/>
          <w:lang w:val="sk-SK"/>
        </w:rPr>
        <w:t> </w:t>
      </w:r>
      <w:r w:rsidRPr="00D45D95">
        <w:rPr>
          <w:rFonts w:cs="Times New Roman"/>
          <w:spacing w:val="-1"/>
          <w:lang w:val="sk-SK"/>
        </w:rPr>
        <w:t>pozitívnou</w:t>
      </w:r>
      <w:r w:rsidR="00764A81">
        <w:rPr>
          <w:rFonts w:cs="Times New Roman"/>
          <w:spacing w:val="-1"/>
          <w:lang w:val="sk-SK"/>
        </w:rPr>
        <w:t>,</w:t>
      </w:r>
      <w:r w:rsidRPr="00D45D95">
        <w:rPr>
          <w:rFonts w:cs="Times New Roman"/>
          <w:spacing w:val="-1"/>
          <w:lang w:val="sk-SK"/>
        </w:rPr>
        <w:t xml:space="preserve"> aktivujúcou, senzibilizujúcou mutáciou EGFR </w:t>
      </w:r>
      <w:r w:rsidRPr="00D45D95">
        <w:rPr>
          <w:rFonts w:cs="Times New Roman"/>
          <w:lang w:val="sk-SK"/>
        </w:rPr>
        <w:t>u</w:t>
      </w:r>
      <w:r w:rsidR="00764A81">
        <w:rPr>
          <w:rFonts w:cs="Times New Roman"/>
          <w:spacing w:val="-1"/>
          <w:lang w:val="sk-SK"/>
        </w:rPr>
        <w:t> </w:t>
      </w:r>
      <w:r w:rsidRPr="00D45D95">
        <w:rPr>
          <w:rFonts w:cs="Times New Roman"/>
          <w:spacing w:val="-1"/>
          <w:lang w:val="sk-SK"/>
        </w:rPr>
        <w:t>NSCLC</w:t>
      </w:r>
      <w:r w:rsidR="00764A81">
        <w:rPr>
          <w:rFonts w:cs="Times New Roman"/>
          <w:spacing w:val="-1"/>
          <w:lang w:val="sk-SK"/>
        </w:rPr>
        <w:t xml:space="preserve">, </w:t>
      </w:r>
      <w:r w:rsidR="00764A81" w:rsidRPr="00764A81">
        <w:rPr>
          <w:rFonts w:cs="Times New Roman"/>
          <w:spacing w:val="-1"/>
          <w:lang w:val="sk-SK"/>
        </w:rPr>
        <w:t>uskutočnená aby</w:t>
      </w:r>
      <w:r w:rsidRPr="00D45D95">
        <w:rPr>
          <w:rFonts w:cs="Times New Roman"/>
          <w:spacing w:val="-1"/>
          <w:lang w:val="sk-SK"/>
        </w:rPr>
        <w:t xml:space="preserve"> potvrdila, že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pôsobenie gefitinibu je podobné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kaukazskej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ázijskej populácie. ORR bolo podľa hodnotenia</w:t>
      </w:r>
      <w:r w:rsidRPr="00D45D95">
        <w:rPr>
          <w:rFonts w:cs="Times New Roman"/>
          <w:spacing w:val="20"/>
          <w:lang w:val="sk-SK"/>
        </w:rPr>
        <w:t xml:space="preserve"> </w:t>
      </w:r>
      <w:r w:rsidR="00764A81">
        <w:rPr>
          <w:rFonts w:cs="Times New Roman"/>
          <w:spacing w:val="-1"/>
          <w:lang w:val="sk-SK"/>
        </w:rPr>
        <w:t>skúšajúceho</w:t>
      </w:r>
      <w:r w:rsidRPr="00D45D95">
        <w:rPr>
          <w:rFonts w:cs="Times New Roman"/>
          <w:spacing w:val="-1"/>
          <w:lang w:val="sk-SK"/>
        </w:rPr>
        <w:t xml:space="preserve"> 70%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>medián PFS bol 9,7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mesiaca. Tieto údaje sú podobné tým, ktoré sú uvedené</w:t>
      </w:r>
      <w:r w:rsidR="00764A81">
        <w:rPr>
          <w:rFonts w:cs="Times New Roman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v </w:t>
      </w:r>
      <w:r w:rsidRPr="00D45D95">
        <w:rPr>
          <w:rFonts w:cs="Times New Roman"/>
          <w:spacing w:val="-1"/>
          <w:lang w:val="sk-SK"/>
        </w:rPr>
        <w:t>IPASS štúdii.</w:t>
      </w:r>
      <w:r w:rsidR="00E4485A" w:rsidRPr="00D45D95">
        <w:rPr>
          <w:rFonts w:cs="Times New Roman"/>
          <w:lang w:val="sk-SK"/>
        </w:rPr>
        <w:t xml:space="preserve"> </w:t>
      </w:r>
    </w:p>
    <w:p w14:paraId="64807D64" w14:textId="77777777" w:rsidR="00E4485A" w:rsidRPr="00D45D95" w:rsidRDefault="00E4485A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</w:p>
    <w:p w14:paraId="30574983" w14:textId="77777777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i/>
          <w:spacing w:val="-1"/>
          <w:lang w:val="sk-SK"/>
        </w:rPr>
        <w:t xml:space="preserve">Stav mutácie EGFR </w:t>
      </w:r>
      <w:r w:rsidRPr="00D45D95">
        <w:rPr>
          <w:rFonts w:cs="Times New Roman"/>
          <w:i/>
          <w:lang w:val="sk-SK"/>
        </w:rPr>
        <w:t>a</w:t>
      </w:r>
      <w:r w:rsidRPr="00D45D95">
        <w:rPr>
          <w:rFonts w:cs="Times New Roman"/>
          <w:i/>
          <w:spacing w:val="-1"/>
          <w:lang w:val="sk-SK"/>
        </w:rPr>
        <w:t xml:space="preserve"> klinické charakteristiky</w:t>
      </w:r>
    </w:p>
    <w:p w14:paraId="1FABEB74" w14:textId="35F9A844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Multiviariačnou analýzou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786 pacientov kaukazskej populácie </w:t>
      </w:r>
      <w:r w:rsidRPr="00D45D95">
        <w:rPr>
          <w:rFonts w:cs="Times New Roman"/>
          <w:lang w:val="sk-SK"/>
        </w:rPr>
        <w:t>z</w:t>
      </w:r>
      <w:r w:rsidRPr="00D45D95">
        <w:rPr>
          <w:rFonts w:cs="Times New Roman"/>
          <w:spacing w:val="-1"/>
          <w:lang w:val="sk-SK"/>
        </w:rPr>
        <w:t xml:space="preserve"> klinických skúšaní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-1"/>
          <w:lang w:val="sk-SK"/>
        </w:rPr>
        <w:t xml:space="preserve"> gefitinibom*</w:t>
      </w:r>
      <w:r w:rsidRPr="00D45D95">
        <w:rPr>
          <w:rFonts w:cs="Times New Roman"/>
          <w:spacing w:val="28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(Tabuľka 7) sa preukázalo, že klinické charakteristiky ako nefajčiar, histologický adenokarcinóm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2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ženské pohlavie sú nezávislými predpovedajúcimi faktormi pre prítomnosť </w:t>
      </w:r>
      <w:r w:rsidR="00F71D04">
        <w:rPr>
          <w:rFonts w:cs="Times New Roman"/>
          <w:spacing w:val="-1"/>
          <w:lang w:val="sk-SK"/>
        </w:rPr>
        <w:t>pozitivity</w:t>
      </w:r>
      <w:r w:rsidRPr="00D45D95">
        <w:rPr>
          <w:rFonts w:cs="Times New Roman"/>
          <w:spacing w:val="-1"/>
          <w:lang w:val="sk-SK"/>
        </w:rPr>
        <w:t xml:space="preserve"> mutácie EGFR.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Ázijskí pacienti mali tiež vyšší výskyt nádorov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-1"/>
          <w:lang w:val="sk-SK"/>
        </w:rPr>
        <w:t xml:space="preserve"> prítomnosťou </w:t>
      </w:r>
      <w:r w:rsidR="00F71D04">
        <w:rPr>
          <w:rFonts w:cs="Times New Roman"/>
          <w:spacing w:val="-1"/>
          <w:lang w:val="sk-SK"/>
        </w:rPr>
        <w:t>pozitivity</w:t>
      </w:r>
      <w:r w:rsidRPr="00D45D95">
        <w:rPr>
          <w:rFonts w:cs="Times New Roman"/>
          <w:spacing w:val="-1"/>
          <w:lang w:val="sk-SK"/>
        </w:rPr>
        <w:t xml:space="preserve"> mutácie EGFR.</w:t>
      </w:r>
    </w:p>
    <w:p w14:paraId="7A756622" w14:textId="77777777" w:rsidR="00AF2C33" w:rsidRDefault="00AF2C33" w:rsidP="004568C3">
      <w:pPr>
        <w:tabs>
          <w:tab w:val="left" w:pos="0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4D75A7F1" w14:textId="77777777" w:rsidR="00D36FCC" w:rsidRPr="00D36FCC" w:rsidRDefault="00D36FCC" w:rsidP="00D36FCC">
      <w:pPr>
        <w:pStyle w:val="HeadingStrong"/>
      </w:pPr>
      <w:r w:rsidRPr="00D36FCC">
        <w:t>Tabuľka 7 – Súhrn multivariačnej logistickej regresnej analýzy na identifikáciu faktorov, ktoré nezávisle predpovedali prítomnosť mutácií EGFR u 786 pacientov kaukazskej populácie*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2126"/>
        <w:gridCol w:w="4016"/>
      </w:tblGrid>
      <w:tr w:rsidR="00D36FCC" w:rsidRPr="00D36FCC" w14:paraId="2CBBEEB8" w14:textId="77777777" w:rsidTr="00E426F2">
        <w:trPr>
          <w:cantSplit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B8B832" w14:textId="77777777" w:rsidR="00D36FCC" w:rsidRPr="00D36FCC" w:rsidRDefault="00D36FCC" w:rsidP="00E426F2">
            <w:pPr>
              <w:pStyle w:val="HeadingStrong"/>
              <w:jc w:val="center"/>
              <w:rPr>
                <w:szCs w:val="22"/>
              </w:rPr>
            </w:pPr>
            <w:r w:rsidRPr="00D36FCC">
              <w:rPr>
                <w:szCs w:val="22"/>
              </w:rPr>
              <w:t>Faktory, ktoré predpovedali prítomnosť mutácie EGFR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7F225F" w14:textId="77777777" w:rsidR="00D36FCC" w:rsidRPr="00D36FCC" w:rsidRDefault="00D36FCC" w:rsidP="00E426F2">
            <w:pPr>
              <w:pStyle w:val="HeadingStrong"/>
              <w:jc w:val="center"/>
              <w:rPr>
                <w:szCs w:val="22"/>
              </w:rPr>
            </w:pPr>
            <w:r w:rsidRPr="00D36FCC">
              <w:rPr>
                <w:szCs w:val="22"/>
              </w:rPr>
              <w:t>p hodnota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63F92" w14:textId="77777777" w:rsidR="00D36FCC" w:rsidRPr="00D36FCC" w:rsidRDefault="00D36FCC" w:rsidP="00E426F2">
            <w:pPr>
              <w:pStyle w:val="HeadingStrong"/>
              <w:jc w:val="center"/>
              <w:rPr>
                <w:szCs w:val="22"/>
              </w:rPr>
            </w:pPr>
            <w:r w:rsidRPr="00D36FCC">
              <w:rPr>
                <w:szCs w:val="22"/>
              </w:rPr>
              <w:t>Rozdiely mutácie EGFR</w:t>
            </w:r>
          </w:p>
        </w:tc>
        <w:tc>
          <w:tcPr>
            <w:tcW w:w="4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D1B28E" w14:textId="77777777" w:rsidR="00D36FCC" w:rsidRPr="00D36FCC" w:rsidRDefault="00D36FCC" w:rsidP="00E426F2">
            <w:pPr>
              <w:pStyle w:val="HeadingStrong"/>
              <w:jc w:val="center"/>
              <w:rPr>
                <w:szCs w:val="22"/>
              </w:rPr>
            </w:pPr>
            <w:r w:rsidRPr="00D36FCC">
              <w:rPr>
                <w:szCs w:val="22"/>
              </w:rPr>
              <w:t>Pozitívna prediktívna hodnota (u 9,5 % celkovej populácie je mutácia EGFR pozitívna (M+))</w:t>
            </w:r>
          </w:p>
        </w:tc>
      </w:tr>
      <w:tr w:rsidR="00D36FCC" w:rsidRPr="00D36FCC" w14:paraId="1E40FEA4" w14:textId="77777777" w:rsidTr="00E426F2">
        <w:trPr>
          <w:cantSplit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14:paraId="40C1C95B" w14:textId="77777777" w:rsidR="00D36FCC" w:rsidRPr="00D36FCC" w:rsidRDefault="00D36FCC" w:rsidP="00E426F2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Fajčiari a nefajčiari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55690F5" w14:textId="77777777" w:rsidR="00D36FCC" w:rsidRPr="00D36FCC" w:rsidRDefault="00D36FCC" w:rsidP="00E426F2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&lt; 0,0001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4503EC3B" w14:textId="77777777" w:rsidR="00D36FCC" w:rsidRPr="00D36FCC" w:rsidRDefault="00D36FCC" w:rsidP="00E426F2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6,5-krát vyššia u ľudí, ktorí nikdy nefajčili, ako u tých, ktorí sú alebo boli fajčiarmi</w:t>
            </w:r>
          </w:p>
        </w:tc>
        <w:tc>
          <w:tcPr>
            <w:tcW w:w="4016" w:type="dxa"/>
            <w:tcBorders>
              <w:top w:val="single" w:sz="4" w:space="0" w:color="auto"/>
            </w:tcBorders>
            <w:shd w:val="clear" w:color="auto" w:fill="auto"/>
          </w:tcPr>
          <w:p w14:paraId="428A7C7C" w14:textId="77777777" w:rsidR="00D36FCC" w:rsidRPr="00D36FCC" w:rsidRDefault="00D36FCC" w:rsidP="00E426F2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28/70 (40 %) nefajčiarov je M+.</w:t>
            </w:r>
          </w:p>
          <w:p w14:paraId="55D66DD9" w14:textId="77777777" w:rsidR="00D36FCC" w:rsidRPr="00D36FCC" w:rsidRDefault="00D36FCC" w:rsidP="00E426F2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47/716 (7 %) fajčiarov je M+.</w:t>
            </w:r>
          </w:p>
        </w:tc>
      </w:tr>
      <w:tr w:rsidR="00D36FCC" w:rsidRPr="00D36FCC" w14:paraId="5C4CC668" w14:textId="77777777" w:rsidTr="00E426F2">
        <w:trPr>
          <w:cantSplit/>
        </w:trPr>
        <w:tc>
          <w:tcPr>
            <w:tcW w:w="1809" w:type="dxa"/>
            <w:shd w:val="clear" w:color="auto" w:fill="auto"/>
          </w:tcPr>
          <w:p w14:paraId="3E75A721" w14:textId="77777777" w:rsidR="00D36FCC" w:rsidRPr="00D36FCC" w:rsidRDefault="00D36FCC" w:rsidP="00E426F2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Histológia</w:t>
            </w:r>
          </w:p>
        </w:tc>
        <w:tc>
          <w:tcPr>
            <w:tcW w:w="1276" w:type="dxa"/>
            <w:shd w:val="clear" w:color="auto" w:fill="auto"/>
          </w:tcPr>
          <w:p w14:paraId="429976C1" w14:textId="77777777" w:rsidR="00D36FCC" w:rsidRPr="00D36FCC" w:rsidRDefault="00D36FCC" w:rsidP="00E426F2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&lt; 0,0001</w:t>
            </w:r>
          </w:p>
        </w:tc>
        <w:tc>
          <w:tcPr>
            <w:tcW w:w="2126" w:type="dxa"/>
            <w:shd w:val="clear" w:color="auto" w:fill="auto"/>
          </w:tcPr>
          <w:p w14:paraId="146D94D2" w14:textId="1AB139F3" w:rsidR="00D36FCC" w:rsidRPr="00D36FCC" w:rsidRDefault="00D36FCC" w:rsidP="00D36FC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4,4-krát vyššia v prípade adenokarcinómu, ako v prípade iného typu karcinómu</w:t>
            </w:r>
          </w:p>
        </w:tc>
        <w:tc>
          <w:tcPr>
            <w:tcW w:w="4016" w:type="dxa"/>
            <w:shd w:val="clear" w:color="auto" w:fill="auto"/>
          </w:tcPr>
          <w:p w14:paraId="4AF2F370" w14:textId="77777777" w:rsidR="00D36FCC" w:rsidRPr="00D36FCC" w:rsidRDefault="00D36FCC" w:rsidP="00E426F2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63/396 (16 %) pacientov s histologicky preukázaným adenokarcinómom je M+.</w:t>
            </w:r>
          </w:p>
          <w:p w14:paraId="6571DD89" w14:textId="77777777" w:rsidR="00D36FCC" w:rsidRPr="00D36FCC" w:rsidRDefault="00D36FCC" w:rsidP="00E426F2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12/390 (3 %) pacientov s histologicky preukázaným iným typom karcinómu je M+.</w:t>
            </w:r>
          </w:p>
        </w:tc>
      </w:tr>
      <w:tr w:rsidR="00D36FCC" w:rsidRPr="00D36FCC" w14:paraId="4C0CEAC8" w14:textId="77777777" w:rsidTr="00E426F2">
        <w:trPr>
          <w:cantSplit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0864645E" w14:textId="77777777" w:rsidR="00D36FCC" w:rsidRPr="00D36FCC" w:rsidRDefault="00D36FCC" w:rsidP="00E426F2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lastRenderedPageBreak/>
              <w:t>Pohlavie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E6B22CC" w14:textId="77777777" w:rsidR="00D36FCC" w:rsidRPr="00D36FCC" w:rsidRDefault="00D36FCC" w:rsidP="00E426F2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0,0397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F22ABE0" w14:textId="77777777" w:rsidR="00D36FCC" w:rsidRPr="00D36FCC" w:rsidRDefault="00D36FCC" w:rsidP="00E426F2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1,7-krát vyššia u žien ako u mužov</w:t>
            </w:r>
          </w:p>
        </w:tc>
        <w:tc>
          <w:tcPr>
            <w:tcW w:w="4016" w:type="dxa"/>
            <w:tcBorders>
              <w:bottom w:val="single" w:sz="4" w:space="0" w:color="auto"/>
            </w:tcBorders>
            <w:shd w:val="clear" w:color="auto" w:fill="auto"/>
          </w:tcPr>
          <w:p w14:paraId="302879F5" w14:textId="77777777" w:rsidR="00D36FCC" w:rsidRPr="00D36FCC" w:rsidRDefault="00D36FCC" w:rsidP="00E426F2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40/235 (17 %) žien je M+.</w:t>
            </w:r>
          </w:p>
          <w:p w14:paraId="1BDB6DB8" w14:textId="77777777" w:rsidR="00D36FCC" w:rsidRPr="00D36FCC" w:rsidRDefault="00D36FCC" w:rsidP="00E426F2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35/551 (6 %) mužov je M+.</w:t>
            </w:r>
          </w:p>
        </w:tc>
      </w:tr>
      <w:tr w:rsidR="00D36FCC" w:rsidRPr="00D36FCC" w14:paraId="2D12B788" w14:textId="77777777" w:rsidTr="00E426F2">
        <w:trPr>
          <w:cantSplit/>
          <w:trHeight w:val="248"/>
        </w:trPr>
        <w:tc>
          <w:tcPr>
            <w:tcW w:w="922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697EAAD" w14:textId="77777777" w:rsidR="00D36FCC" w:rsidRPr="00D36FCC" w:rsidRDefault="00D36FCC" w:rsidP="00E426F2">
            <w:pPr>
              <w:rPr>
                <w:rFonts w:ascii="Times New Roman" w:hAnsi="Times New Roman" w:cs="Times New Roman"/>
                <w:lang w:val="sk-SK"/>
              </w:rPr>
            </w:pPr>
            <w:r w:rsidRPr="00D36FCC">
              <w:rPr>
                <w:rFonts w:ascii="Times New Roman" w:hAnsi="Times New Roman" w:cs="Times New Roman"/>
                <w:lang w:val="sk-SK"/>
              </w:rPr>
              <w:t>*Z týchto štúdií: INTEREST, ISEL, INTACT 1&amp;2, IDEAL 1&amp;2, INVITE</w:t>
            </w:r>
          </w:p>
        </w:tc>
      </w:tr>
    </w:tbl>
    <w:p w14:paraId="3C9C264A" w14:textId="77777777" w:rsidR="00D36FCC" w:rsidRPr="00D36FCC" w:rsidRDefault="00D36FCC" w:rsidP="004568C3">
      <w:pPr>
        <w:tabs>
          <w:tab w:val="left" w:pos="0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04DC2D4D" w14:textId="77777777" w:rsidR="00AF2C33" w:rsidRPr="00D36FCC" w:rsidRDefault="008174E0" w:rsidP="004568C3">
      <w:pPr>
        <w:pStyle w:val="Nadpis1"/>
        <w:numPr>
          <w:ilvl w:val="1"/>
          <w:numId w:val="13"/>
        </w:numPr>
        <w:tabs>
          <w:tab w:val="left" w:pos="0"/>
          <w:tab w:val="left" w:pos="960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36FCC">
        <w:rPr>
          <w:rFonts w:cs="Times New Roman"/>
          <w:spacing w:val="-1"/>
          <w:lang w:val="sk-SK"/>
        </w:rPr>
        <w:t>Farmakokinetické vlastnosti</w:t>
      </w:r>
    </w:p>
    <w:p w14:paraId="0DC29BB2" w14:textId="77777777" w:rsidR="00AF2C33" w:rsidRPr="00D45D95" w:rsidRDefault="00AF2C33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7DDBC265" w14:textId="77777777" w:rsidR="00AF2C33" w:rsidRPr="00D45D95" w:rsidRDefault="008174E0" w:rsidP="004568C3">
      <w:pPr>
        <w:pStyle w:val="Zkladntext"/>
        <w:tabs>
          <w:tab w:val="left" w:pos="0"/>
        </w:tabs>
        <w:spacing w:line="252" w:lineRule="exact"/>
        <w:ind w:left="0"/>
        <w:rPr>
          <w:rFonts w:cs="Times New Roman"/>
          <w:lang w:val="sk-SK"/>
        </w:rPr>
      </w:pPr>
      <w:r w:rsidRPr="00CE12BF">
        <w:rPr>
          <w:rFonts w:cs="Times New Roman"/>
          <w:spacing w:val="-1"/>
          <w:u w:val="single" w:color="000000"/>
          <w:lang w:val="sk-SK"/>
        </w:rPr>
        <w:t>A</w:t>
      </w:r>
      <w:r w:rsidRPr="00D45D95">
        <w:rPr>
          <w:rFonts w:cs="Times New Roman"/>
          <w:spacing w:val="-1"/>
          <w:u w:val="single" w:color="000000"/>
          <w:lang w:val="sk-SK"/>
        </w:rPr>
        <w:t>bsorpcia</w:t>
      </w:r>
    </w:p>
    <w:p w14:paraId="72BD8883" w14:textId="45B8FCD0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Absorpcia gefitinibu po perorálnom podaní je pomalšia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lang w:val="sk-SK"/>
        </w:rPr>
        <w:t>k</w:t>
      </w:r>
      <w:r w:rsidRPr="00D45D95">
        <w:rPr>
          <w:rFonts w:cs="Times New Roman"/>
          <w:spacing w:val="-1"/>
          <w:lang w:val="sk-SK"/>
        </w:rPr>
        <w:t xml:space="preserve"> maximálnym koncentráciám gefitinibu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2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plazme dochádza obvykle </w:t>
      </w:r>
      <w:r w:rsidRPr="00D45D95">
        <w:rPr>
          <w:rFonts w:cs="Times New Roman"/>
          <w:lang w:val="sk-SK"/>
        </w:rPr>
        <w:t>3</w:t>
      </w:r>
      <w:r w:rsidRPr="00D45D95">
        <w:rPr>
          <w:rFonts w:cs="Times New Roman"/>
          <w:spacing w:val="-1"/>
          <w:lang w:val="sk-SK"/>
        </w:rPr>
        <w:t xml:space="preserve"> až </w:t>
      </w:r>
      <w:r w:rsidRPr="00D45D95">
        <w:rPr>
          <w:rFonts w:cs="Times New Roman"/>
          <w:lang w:val="sk-SK"/>
        </w:rPr>
        <w:t>7</w:t>
      </w:r>
      <w:r w:rsidRPr="00D45D95">
        <w:rPr>
          <w:rFonts w:cs="Times New Roman"/>
          <w:spacing w:val="-1"/>
          <w:lang w:val="sk-SK"/>
        </w:rPr>
        <w:t xml:space="preserve"> hodín po podaní.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pacientov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>karcinómom je priemerná absolútna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biologická dostupnosť 59</w:t>
      </w:r>
      <w:r w:rsidR="00CE12BF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%. Expozícia gefitinibu nie je výrazne ovplyvnená jedlom. </w:t>
      </w:r>
      <w:r w:rsidRPr="00D45D95">
        <w:rPr>
          <w:rFonts w:cs="Times New Roman"/>
          <w:lang w:val="sk-SK"/>
        </w:rPr>
        <w:t xml:space="preserve">V </w:t>
      </w:r>
      <w:r w:rsidRPr="00D45D95">
        <w:rPr>
          <w:rFonts w:cs="Times New Roman"/>
          <w:spacing w:val="-1"/>
          <w:lang w:val="sk-SK"/>
        </w:rPr>
        <w:t>klinickom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skúšaní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zdravých dobrovoľníkov,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ktorých bolo pH žalúdka udržiavané nad pH</w:t>
      </w:r>
      <w:r w:rsidR="00CE12BF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5, bola expozícia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gefitinibu znížená </w:t>
      </w:r>
      <w:r w:rsidRPr="00D45D95">
        <w:rPr>
          <w:rFonts w:cs="Times New Roman"/>
          <w:lang w:val="sk-SK"/>
        </w:rPr>
        <w:t>o</w:t>
      </w:r>
      <w:r w:rsidR="00CE12BF">
        <w:rPr>
          <w:rFonts w:cs="Times New Roman"/>
          <w:spacing w:val="-1"/>
          <w:lang w:val="sk-SK"/>
        </w:rPr>
        <w:t> </w:t>
      </w:r>
      <w:r w:rsidRPr="00D45D95">
        <w:rPr>
          <w:rFonts w:cs="Times New Roman"/>
          <w:spacing w:val="-1"/>
          <w:lang w:val="sk-SK"/>
        </w:rPr>
        <w:t>47</w:t>
      </w:r>
      <w:r w:rsidR="00CE12BF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%, pravdepodobne </w:t>
      </w:r>
      <w:r w:rsidRPr="00D45D95">
        <w:rPr>
          <w:rFonts w:cs="Times New Roman"/>
          <w:lang w:val="sk-SK"/>
        </w:rPr>
        <w:t>z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dôvodu zhoršenej rozpustnosti gefitinibu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žalúdku (pozri</w:t>
      </w:r>
      <w:r w:rsidRPr="00D45D95">
        <w:rPr>
          <w:rFonts w:cs="Times New Roman"/>
          <w:spacing w:val="28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časti 4.4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4.5).</w:t>
      </w:r>
    </w:p>
    <w:p w14:paraId="6C2AF21D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46972B5C" w14:textId="77777777" w:rsidR="00AF2C33" w:rsidRPr="00D45D95" w:rsidRDefault="008174E0" w:rsidP="004568C3">
      <w:pPr>
        <w:pStyle w:val="Zkladntext"/>
        <w:tabs>
          <w:tab w:val="left" w:pos="0"/>
        </w:tabs>
        <w:spacing w:line="252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u w:val="single" w:color="000000"/>
          <w:lang w:val="sk-SK"/>
        </w:rPr>
        <w:t>Distribúcia</w:t>
      </w:r>
    </w:p>
    <w:p w14:paraId="306746C2" w14:textId="1FFD6B95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Priemerný distribučný objem gefitinibu je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ustálenom stave 1400 l, čo naznačuje rozsiahlu distribúciu</w:t>
      </w:r>
      <w:r w:rsidRPr="00D45D95">
        <w:rPr>
          <w:rFonts w:cs="Times New Roman"/>
          <w:spacing w:val="2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do tkanív. Väzba na bielkoviny krvnej plazmy dosahuje približne 90</w:t>
      </w:r>
      <w:r w:rsidR="00CE12BF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%. Gefitinib sa viaže na sérový</w:t>
      </w:r>
      <w:r w:rsidRPr="00D45D95">
        <w:rPr>
          <w:rFonts w:cs="Times New Roman"/>
          <w:spacing w:val="28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albumín </w:t>
      </w:r>
      <w:r w:rsidRPr="00D45D95">
        <w:rPr>
          <w:rFonts w:cs="Times New Roman"/>
          <w:lang w:val="sk-SK"/>
        </w:rPr>
        <w:t xml:space="preserve">a </w:t>
      </w:r>
      <w:r w:rsidR="00DB6D2D">
        <w:rPr>
          <w:rFonts w:eastAsia="Symbol" w:cs="Times New Roman"/>
          <w:spacing w:val="-2"/>
          <w:lang w:val="sk-SK"/>
        </w:rPr>
        <w:t>alfa</w:t>
      </w:r>
      <w:r w:rsidRPr="00D45D95">
        <w:rPr>
          <w:rFonts w:cs="Times New Roman"/>
          <w:spacing w:val="-2"/>
          <w:lang w:val="sk-SK"/>
        </w:rPr>
        <w:t>1-kyslý</w:t>
      </w:r>
      <w:r w:rsidRPr="00D45D95">
        <w:rPr>
          <w:rFonts w:cs="Times New Roman"/>
          <w:spacing w:val="-1"/>
          <w:lang w:val="sk-SK"/>
        </w:rPr>
        <w:t xml:space="preserve"> glykoproteín.</w:t>
      </w:r>
    </w:p>
    <w:p w14:paraId="05124E42" w14:textId="77777777" w:rsidR="00AF2C33" w:rsidRPr="00D45D95" w:rsidRDefault="008174E0" w:rsidP="004568C3">
      <w:pPr>
        <w:pStyle w:val="Zkladntext"/>
        <w:tabs>
          <w:tab w:val="left" w:pos="0"/>
        </w:tabs>
        <w:spacing w:before="53" w:line="506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i/>
          <w:spacing w:val="-1"/>
          <w:lang w:val="sk-SK"/>
        </w:rPr>
        <w:t>In vitro</w:t>
      </w:r>
      <w:r w:rsidRPr="00D45D95">
        <w:rPr>
          <w:rFonts w:cs="Times New Roman"/>
          <w:i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údaje naznačujú, že gefitinib je substrátom membránového transportného proteínu </w:t>
      </w:r>
      <w:r w:rsidRPr="00D45D95">
        <w:rPr>
          <w:rFonts w:cs="Times New Roman"/>
          <w:spacing w:val="-2"/>
          <w:lang w:val="sk-SK"/>
        </w:rPr>
        <w:t>Pg-p.</w:t>
      </w:r>
      <w:r w:rsidRPr="00D45D95">
        <w:rPr>
          <w:rFonts w:cs="Times New Roman"/>
          <w:spacing w:val="29"/>
          <w:lang w:val="sk-SK"/>
        </w:rPr>
        <w:t xml:space="preserve"> </w:t>
      </w:r>
      <w:r w:rsidRPr="00D45D95">
        <w:rPr>
          <w:rFonts w:cs="Times New Roman"/>
          <w:spacing w:val="-1"/>
          <w:u w:val="single" w:color="000000"/>
          <w:lang w:val="sk-SK"/>
        </w:rPr>
        <w:t>Biotransformácia</w:t>
      </w:r>
    </w:p>
    <w:p w14:paraId="2A50DBEC" w14:textId="77777777" w:rsidR="00AF2C33" w:rsidRPr="00D45D95" w:rsidRDefault="008174E0" w:rsidP="004568C3">
      <w:pPr>
        <w:pStyle w:val="Zkladntext"/>
        <w:tabs>
          <w:tab w:val="left" w:pos="0"/>
        </w:tabs>
        <w:spacing w:line="198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i/>
          <w:spacing w:val="-1"/>
          <w:lang w:val="sk-SK"/>
        </w:rPr>
        <w:t>In vitro</w:t>
      </w:r>
      <w:r w:rsidRPr="00D45D95">
        <w:rPr>
          <w:rFonts w:cs="Times New Roman"/>
          <w:i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údaje naznačujú, že CYP3A4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CYP2D6 sú hlavnými izoenzýmami P450, podieľajúcimi sa na</w:t>
      </w:r>
      <w:r w:rsidR="00DB6D2D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oxidačnom metabolizme gefitinibu.</w:t>
      </w:r>
    </w:p>
    <w:p w14:paraId="7B11AB12" w14:textId="77777777" w:rsidR="00AF2C33" w:rsidRPr="00D45D95" w:rsidRDefault="00AF2C33" w:rsidP="004568C3">
      <w:pPr>
        <w:tabs>
          <w:tab w:val="left" w:pos="0"/>
        </w:tabs>
        <w:spacing w:before="10"/>
        <w:rPr>
          <w:rFonts w:ascii="Times New Roman" w:eastAsia="Times New Roman" w:hAnsi="Times New Roman" w:cs="Times New Roman"/>
          <w:lang w:val="sk-SK"/>
        </w:rPr>
      </w:pPr>
    </w:p>
    <w:p w14:paraId="6FDCD689" w14:textId="5814F849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i/>
          <w:spacing w:val="-1"/>
          <w:lang w:val="sk-SK"/>
        </w:rPr>
        <w:t>In vitro</w:t>
      </w:r>
      <w:r w:rsidRPr="00D45D95">
        <w:rPr>
          <w:rFonts w:cs="Times New Roman"/>
          <w:i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údaje</w:t>
      </w:r>
      <w:r w:rsidR="00CE12BF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preukázali, že gefitinib má obmedzenú schopnosť inhibovať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CYP2D6.</w:t>
      </w:r>
    </w:p>
    <w:p w14:paraId="061F2F7F" w14:textId="77777777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Gefitinib nevykazuje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skúškach na zvieratách žiadny účinok na indukciu enzýmov, ani signifikantnú</w:t>
      </w:r>
      <w:r w:rsidRPr="00D45D95">
        <w:rPr>
          <w:rFonts w:cs="Times New Roman"/>
          <w:spacing w:val="26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inhibíciu (</w:t>
      </w:r>
      <w:r w:rsidRPr="00D45D95">
        <w:rPr>
          <w:rFonts w:cs="Times New Roman"/>
          <w:i/>
          <w:spacing w:val="-1"/>
          <w:lang w:val="sk-SK"/>
        </w:rPr>
        <w:t>in</w:t>
      </w:r>
      <w:r w:rsidRPr="00D45D95">
        <w:rPr>
          <w:rFonts w:cs="Times New Roman"/>
          <w:i/>
          <w:lang w:val="sk-SK"/>
        </w:rPr>
        <w:t xml:space="preserve"> </w:t>
      </w:r>
      <w:r w:rsidRPr="00D45D95">
        <w:rPr>
          <w:rFonts w:cs="Times New Roman"/>
          <w:i/>
          <w:spacing w:val="-2"/>
          <w:lang w:val="sk-SK"/>
        </w:rPr>
        <w:t>vitro</w:t>
      </w:r>
      <w:r w:rsidRPr="00D45D95">
        <w:rPr>
          <w:rFonts w:cs="Times New Roman"/>
          <w:spacing w:val="-2"/>
          <w:lang w:val="sk-SK"/>
        </w:rPr>
        <w:t>)</w:t>
      </w:r>
      <w:r w:rsidRPr="00D45D95">
        <w:rPr>
          <w:rFonts w:cs="Times New Roman"/>
          <w:spacing w:val="-1"/>
          <w:lang w:val="sk-SK"/>
        </w:rPr>
        <w:t xml:space="preserve"> akéhokoľvek iného enzýmu cytochrómu P450.</w:t>
      </w:r>
    </w:p>
    <w:p w14:paraId="756DDA00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12511B0D" w14:textId="77777777" w:rsidR="00AF2C33" w:rsidRPr="00D45D95" w:rsidRDefault="008174E0" w:rsidP="004568C3">
      <w:pPr>
        <w:pStyle w:val="Zkladntext"/>
        <w:tabs>
          <w:tab w:val="left" w:pos="0"/>
        </w:tabs>
        <w:spacing w:line="252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Gefitinib sa </w:t>
      </w:r>
      <w:r w:rsidRPr="00D45D95">
        <w:rPr>
          <w:rFonts w:cs="Times New Roman"/>
          <w:lang w:val="sk-SK"/>
        </w:rPr>
        <w:t xml:space="preserve">u </w:t>
      </w:r>
      <w:r w:rsidRPr="00D45D95">
        <w:rPr>
          <w:rFonts w:cs="Times New Roman"/>
          <w:spacing w:val="-1"/>
          <w:lang w:val="sk-SK"/>
        </w:rPr>
        <w:t>ľudí extenzívne metabolizuje. Päť metabolitov bolo kompletne identifikovaných</w:t>
      </w:r>
    </w:p>
    <w:p w14:paraId="4C878EAC" w14:textId="57C5C6B8" w:rsidR="00AF2C33" w:rsidRDefault="008174E0" w:rsidP="00CE12BF">
      <w:pPr>
        <w:pStyle w:val="Zkladntext"/>
        <w:tabs>
          <w:tab w:val="left" w:pos="0"/>
        </w:tabs>
        <w:ind w:left="0"/>
        <w:rPr>
          <w:rFonts w:cs="Times New Roman"/>
          <w:spacing w:val="-1"/>
          <w:lang w:val="sk-SK"/>
        </w:rPr>
      </w:pP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="00CE12BF">
        <w:rPr>
          <w:rFonts w:cs="Times New Roman"/>
          <w:spacing w:val="-1"/>
          <w:lang w:val="sk-SK"/>
        </w:rPr>
        <w:t>exkrétoch</w:t>
      </w:r>
      <w:r w:rsidRPr="00D45D9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lang w:val="sk-SK"/>
        </w:rPr>
        <w:t>a 8</w:t>
      </w:r>
      <w:r w:rsidRPr="00D45D95">
        <w:rPr>
          <w:rFonts w:cs="Times New Roman"/>
          <w:spacing w:val="-1"/>
          <w:lang w:val="sk-SK"/>
        </w:rPr>
        <w:t xml:space="preserve"> metabolitov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plazme. Hlavným identifikovaným metabolitom bol O-demetyl</w:t>
      </w:r>
      <w:r w:rsidRPr="00D45D95">
        <w:rPr>
          <w:rFonts w:cs="Times New Roman"/>
          <w:lang w:val="sk-SK"/>
        </w:rPr>
        <w:t xml:space="preserve"> gefitinib,</w:t>
      </w:r>
      <w:r w:rsidRPr="00D45D95">
        <w:rPr>
          <w:rFonts w:cs="Times New Roman"/>
          <w:spacing w:val="25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ktorý bol </w:t>
      </w:r>
      <w:r w:rsidRPr="00D45D95">
        <w:rPr>
          <w:rFonts w:cs="Times New Roman"/>
          <w:spacing w:val="-2"/>
          <w:lang w:val="sk-SK"/>
        </w:rPr>
        <w:t>14-násobne</w:t>
      </w:r>
      <w:r w:rsidRPr="00D45D95">
        <w:rPr>
          <w:rFonts w:cs="Times New Roman"/>
          <w:spacing w:val="-1"/>
          <w:lang w:val="sk-SK"/>
        </w:rPr>
        <w:t xml:space="preserve"> menej účinný ako gefitinib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inhibícii EGFR stimulovaného bunkového rastu</w:t>
      </w:r>
      <w:r w:rsidR="00DB6D2D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 xml:space="preserve">nemal žiadny inhibičný efekt na rast nádorových buniek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myší.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Nepredpokladá sa preto, že by</w:t>
      </w:r>
      <w:r w:rsidRPr="00D45D95">
        <w:rPr>
          <w:rFonts w:cs="Times New Roman"/>
          <w:spacing w:val="28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prispieval ku klinickej aktivite gefitinibu.</w:t>
      </w:r>
    </w:p>
    <w:p w14:paraId="59C456F9" w14:textId="77777777" w:rsidR="00CE12BF" w:rsidRPr="00D45D95" w:rsidRDefault="00CE12BF" w:rsidP="00CE12BF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</w:p>
    <w:p w14:paraId="07794B3B" w14:textId="1C5A9C31" w:rsidR="00AF2C33" w:rsidRPr="00D45D95" w:rsidRDefault="008174E0" w:rsidP="00BB53F4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skúškach </w:t>
      </w:r>
      <w:r w:rsidRPr="00D45D95">
        <w:rPr>
          <w:rFonts w:cs="Times New Roman"/>
          <w:i/>
          <w:spacing w:val="-1"/>
          <w:lang w:val="sk-SK"/>
        </w:rPr>
        <w:t>in vitro</w:t>
      </w:r>
      <w:r w:rsidRPr="00D45D95">
        <w:rPr>
          <w:rFonts w:cs="Times New Roman"/>
          <w:i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sa preukázalo, že tvorba O-demetyl gefitinibu prebieha prostredníctvom</w:t>
      </w:r>
      <w:r w:rsidRPr="00D45D95">
        <w:rPr>
          <w:rFonts w:cs="Times New Roman"/>
          <w:spacing w:val="29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CYP2D6. Úloha CYP2D6 </w:t>
      </w:r>
      <w:r w:rsidRPr="00D45D95">
        <w:rPr>
          <w:rFonts w:cs="Times New Roman"/>
          <w:lang w:val="sk-SK"/>
        </w:rPr>
        <w:t xml:space="preserve">v </w:t>
      </w:r>
      <w:r w:rsidRPr="00D45D95">
        <w:rPr>
          <w:rFonts w:cs="Times New Roman"/>
          <w:spacing w:val="-1"/>
          <w:lang w:val="sk-SK"/>
        </w:rPr>
        <w:t>metabolickom klírens</w:t>
      </w:r>
      <w:r w:rsidR="00CE12BF">
        <w:rPr>
          <w:rFonts w:cs="Times New Roman"/>
          <w:spacing w:val="-1"/>
          <w:lang w:val="sk-SK"/>
        </w:rPr>
        <w:t>e</w:t>
      </w:r>
      <w:r w:rsidRPr="00D45D95">
        <w:rPr>
          <w:rFonts w:cs="Times New Roman"/>
          <w:spacing w:val="-1"/>
          <w:lang w:val="sk-SK"/>
        </w:rPr>
        <w:t xml:space="preserve"> gefitinibu bola zhodnotená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klinickom skúšaní</w:t>
      </w:r>
      <w:r w:rsidRPr="00D45D95">
        <w:rPr>
          <w:rFonts w:cs="Times New Roman"/>
          <w:spacing w:val="29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u </w:t>
      </w:r>
      <w:r w:rsidRPr="00D45D95">
        <w:rPr>
          <w:rFonts w:cs="Times New Roman"/>
          <w:spacing w:val="-1"/>
          <w:lang w:val="sk-SK"/>
        </w:rPr>
        <w:t xml:space="preserve">zdravých dobrovoľníkov, </w:t>
      </w:r>
      <w:r w:rsidR="00CE12BF">
        <w:rPr>
          <w:rFonts w:cs="Times New Roman"/>
          <w:spacing w:val="-1"/>
          <w:lang w:val="sk-SK"/>
        </w:rPr>
        <w:t>so stanoveným genotypom</w:t>
      </w:r>
      <w:r w:rsidRPr="00D45D95">
        <w:rPr>
          <w:rFonts w:cs="Times New Roman"/>
          <w:spacing w:val="-1"/>
          <w:lang w:val="sk-SK"/>
        </w:rPr>
        <w:t xml:space="preserve"> CYP2D6.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2"/>
          <w:lang w:val="sk-SK"/>
        </w:rPr>
        <w:t xml:space="preserve"> </w:t>
      </w:r>
      <w:r w:rsidR="00CE12BF">
        <w:rPr>
          <w:rFonts w:cs="Times New Roman"/>
          <w:spacing w:val="-1"/>
          <w:lang w:val="sk-SK"/>
        </w:rPr>
        <w:t>pomalých</w:t>
      </w:r>
      <w:r w:rsidRPr="00D45D95">
        <w:rPr>
          <w:rFonts w:cs="Times New Roman"/>
          <w:spacing w:val="-1"/>
          <w:lang w:val="sk-SK"/>
        </w:rPr>
        <w:t xml:space="preserve"> metabolizérov neboli</w:t>
      </w:r>
      <w:r w:rsidRPr="00D45D95">
        <w:rPr>
          <w:rFonts w:cs="Times New Roman"/>
          <w:spacing w:val="28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vy</w:t>
      </w:r>
      <w:r w:rsidR="00CE12BF">
        <w:rPr>
          <w:rFonts w:cs="Times New Roman"/>
          <w:spacing w:val="-1"/>
          <w:lang w:val="sk-SK"/>
        </w:rPr>
        <w:t>tvorené</w:t>
      </w:r>
      <w:r w:rsidRPr="00D45D95">
        <w:rPr>
          <w:rFonts w:cs="Times New Roman"/>
          <w:spacing w:val="-1"/>
          <w:lang w:val="sk-SK"/>
        </w:rPr>
        <w:t xml:space="preserve"> merateľné hladiny </w:t>
      </w:r>
      <w:r w:rsidRPr="00D45D95">
        <w:rPr>
          <w:rFonts w:cs="Times New Roman"/>
          <w:spacing w:val="-2"/>
          <w:lang w:val="sk-SK"/>
        </w:rPr>
        <w:t>O-demetyl</w:t>
      </w:r>
      <w:r w:rsidRPr="00D45D95">
        <w:rPr>
          <w:rFonts w:cs="Times New Roman"/>
          <w:spacing w:val="-1"/>
          <w:lang w:val="sk-SK"/>
        </w:rPr>
        <w:t xml:space="preserve"> gefitinibu. Hladiny expozície gefitinibu, dosiahnuté</w:t>
      </w:r>
      <w:r w:rsidRPr="00D45D95">
        <w:rPr>
          <w:rFonts w:cs="Times New Roman"/>
          <w:spacing w:val="32"/>
          <w:lang w:val="sk-SK"/>
        </w:rPr>
        <w:t xml:space="preserve"> </w:t>
      </w:r>
      <w:r w:rsidRPr="00D45D95">
        <w:rPr>
          <w:rFonts w:cs="Times New Roman"/>
          <w:lang w:val="sk-SK"/>
        </w:rPr>
        <w:t>u</w:t>
      </w:r>
      <w:r w:rsidR="00CE12BF">
        <w:rPr>
          <w:rFonts w:cs="Times New Roman"/>
          <w:lang w:val="sk-SK"/>
        </w:rPr>
        <w:t> </w:t>
      </w:r>
      <w:r w:rsidR="00CE12BF">
        <w:rPr>
          <w:rFonts w:cs="Times New Roman"/>
          <w:spacing w:val="-1"/>
          <w:lang w:val="sk-SK"/>
        </w:rPr>
        <w:t>skupiny rýchlych</w:t>
      </w:r>
      <w:r w:rsidRPr="00D45D95">
        <w:rPr>
          <w:rFonts w:cs="Times New Roman"/>
          <w:spacing w:val="-1"/>
          <w:lang w:val="sk-SK"/>
        </w:rPr>
        <w:t xml:space="preserve">, ako aj </w:t>
      </w:r>
      <w:r w:rsidR="00CE12BF">
        <w:rPr>
          <w:rFonts w:cs="Times New Roman"/>
          <w:spacing w:val="-1"/>
          <w:lang w:val="sk-SK"/>
        </w:rPr>
        <w:t>pomalých</w:t>
      </w:r>
      <w:r w:rsidRPr="00D45D95">
        <w:rPr>
          <w:rFonts w:cs="Times New Roman"/>
          <w:spacing w:val="-1"/>
          <w:lang w:val="sk-SK"/>
        </w:rPr>
        <w:t xml:space="preserve"> metabolizérov mali </w:t>
      </w:r>
      <w:r w:rsidR="00CE12BF">
        <w:rPr>
          <w:rFonts w:cs="Times New Roman"/>
          <w:spacing w:val="-1"/>
          <w:lang w:val="sk-SK"/>
        </w:rPr>
        <w:t>širokú</w:t>
      </w:r>
      <w:r w:rsidRPr="00D45D9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spacing w:val="-2"/>
          <w:lang w:val="sk-SK"/>
        </w:rPr>
        <w:t>škálu</w:t>
      </w:r>
      <w:r w:rsidRPr="00D45D95">
        <w:rPr>
          <w:rFonts w:cs="Times New Roman"/>
          <w:spacing w:val="-1"/>
          <w:lang w:val="sk-SK"/>
        </w:rPr>
        <w:t xml:space="preserve"> hodnôt</w:t>
      </w:r>
      <w:r w:rsidR="00CE12BF" w:rsidRPr="00CE12BF">
        <w:t xml:space="preserve"> </w:t>
      </w:r>
      <w:r w:rsidR="00CE12BF" w:rsidRPr="00CE12BF">
        <w:rPr>
          <w:rFonts w:cs="Times New Roman"/>
          <w:spacing w:val="-1"/>
          <w:lang w:val="sk-SK"/>
        </w:rPr>
        <w:t>a navzájom sa prekrývali</w:t>
      </w:r>
      <w:r w:rsidRPr="00D45D95">
        <w:rPr>
          <w:rFonts w:cs="Times New Roman"/>
          <w:spacing w:val="-1"/>
          <w:lang w:val="sk-SK"/>
        </w:rPr>
        <w:t>, ale priemerná</w:t>
      </w:r>
      <w:r w:rsidRPr="00D45D95">
        <w:rPr>
          <w:rFonts w:cs="Times New Roman"/>
          <w:spacing w:val="2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expozícia gefitinibu bola 2-násobne vyššia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skupine </w:t>
      </w:r>
      <w:r w:rsidR="00CE12BF">
        <w:rPr>
          <w:rFonts w:cs="Times New Roman"/>
          <w:spacing w:val="-1"/>
          <w:lang w:val="sk-SK"/>
        </w:rPr>
        <w:t>pomalých</w:t>
      </w:r>
      <w:r w:rsidRPr="00D45D95">
        <w:rPr>
          <w:rFonts w:cs="Times New Roman"/>
          <w:spacing w:val="-1"/>
          <w:lang w:val="sk-SK"/>
        </w:rPr>
        <w:t xml:space="preserve"> metabolizérov. Vyššie priemerné</w:t>
      </w:r>
      <w:r w:rsidRPr="00D45D95">
        <w:rPr>
          <w:rFonts w:cs="Times New Roman"/>
          <w:spacing w:val="28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expozície, ktoré by mohli byť dosiahnuté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ľudí bez aktívneho CYP2D6, môžu byť klinicky</w:t>
      </w:r>
      <w:r w:rsidRPr="00D45D95">
        <w:rPr>
          <w:rFonts w:cs="Times New Roman"/>
          <w:spacing w:val="2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relevantné, </w:t>
      </w:r>
      <w:r w:rsidR="00CE12BF" w:rsidRPr="00CE12BF">
        <w:rPr>
          <w:rFonts w:cs="Times New Roman"/>
          <w:spacing w:val="-1"/>
          <w:lang w:val="sk-SK"/>
        </w:rPr>
        <w:t>keďže</w:t>
      </w:r>
      <w:r w:rsidRPr="00D45D95">
        <w:rPr>
          <w:rFonts w:cs="Times New Roman"/>
          <w:spacing w:val="-1"/>
          <w:lang w:val="sk-SK"/>
        </w:rPr>
        <w:t xml:space="preserve"> nežiaduce účinky súvisia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-1"/>
          <w:lang w:val="sk-SK"/>
        </w:rPr>
        <w:t xml:space="preserve"> dávkou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>expozíciou.</w:t>
      </w:r>
    </w:p>
    <w:p w14:paraId="5347DBBE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06C5E28A" w14:textId="77777777" w:rsidR="00AF2C33" w:rsidRPr="00D45D95" w:rsidRDefault="008174E0" w:rsidP="004568C3">
      <w:pPr>
        <w:pStyle w:val="Zkladntext"/>
        <w:tabs>
          <w:tab w:val="left" w:pos="0"/>
        </w:tabs>
        <w:spacing w:line="252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u w:val="single" w:color="000000"/>
          <w:lang w:val="sk-SK"/>
        </w:rPr>
        <w:t>Eliminácia</w:t>
      </w:r>
    </w:p>
    <w:p w14:paraId="70908BCA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Gefitinib sa vylučuje prevažne vo forme metabolitov stolicou, pričom eliminácia gefitinibu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4"/>
          <w:lang w:val="sk-SK"/>
        </w:rPr>
        <w:t xml:space="preserve"> </w:t>
      </w:r>
      <w:r w:rsidRPr="00D45D95">
        <w:rPr>
          <w:rFonts w:cs="Times New Roman"/>
          <w:lang w:val="sk-SK"/>
        </w:rPr>
        <w:t>jeho</w:t>
      </w:r>
      <w:r w:rsidRPr="00D45D95">
        <w:rPr>
          <w:rFonts w:cs="Times New Roman"/>
          <w:spacing w:val="2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metabolitov obličkami predstavuje menej ako </w:t>
      </w:r>
      <w:r w:rsidRPr="00D45D95">
        <w:rPr>
          <w:rFonts w:cs="Times New Roman"/>
          <w:lang w:val="sk-SK"/>
        </w:rPr>
        <w:t>4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lang w:val="sk-SK"/>
        </w:rPr>
        <w:t>%</w:t>
      </w:r>
      <w:r w:rsidRPr="00D45D95">
        <w:rPr>
          <w:rFonts w:cs="Times New Roman"/>
          <w:spacing w:val="-1"/>
          <w:lang w:val="sk-SK"/>
        </w:rPr>
        <w:t xml:space="preserve"> podanej dávky.</w:t>
      </w:r>
    </w:p>
    <w:p w14:paraId="744FC568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33551EE4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Celkový plazmatický klírens gefitinibu je približne 500</w:t>
      </w:r>
      <w:r w:rsidRPr="00D45D95">
        <w:rPr>
          <w:rFonts w:cs="Times New Roman"/>
          <w:spacing w:val="-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ml/min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>stredný terminálny polčas je</w:t>
      </w:r>
    </w:p>
    <w:p w14:paraId="638EF142" w14:textId="7B23447E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 xml:space="preserve">u </w:t>
      </w:r>
      <w:r w:rsidRPr="00D45D95">
        <w:rPr>
          <w:rFonts w:cs="Times New Roman"/>
          <w:spacing w:val="-1"/>
          <w:lang w:val="sk-SK"/>
        </w:rPr>
        <w:t xml:space="preserve">onkologických pacientov 41 hodín. Podávanie gefitinibu raz denne má za následok </w:t>
      </w:r>
      <w:r w:rsidRPr="00D45D95">
        <w:rPr>
          <w:rFonts w:cs="Times New Roman"/>
          <w:lang w:val="sk-SK"/>
        </w:rPr>
        <w:t>2-</w:t>
      </w:r>
      <w:r w:rsidRPr="00D45D95">
        <w:rPr>
          <w:rFonts w:cs="Times New Roman"/>
          <w:spacing w:val="-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až 8-násobnú</w:t>
      </w:r>
      <w:r w:rsidRPr="00D45D95">
        <w:rPr>
          <w:rFonts w:cs="Times New Roman"/>
          <w:spacing w:val="4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akumuláciu, pričom</w:t>
      </w:r>
      <w:r w:rsidRPr="00D45D95">
        <w:rPr>
          <w:rFonts w:cs="Times New Roman"/>
          <w:spacing w:val="-5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rovnovážne expozície sa dosahujú po </w:t>
      </w:r>
      <w:r w:rsidRPr="00D45D95">
        <w:rPr>
          <w:rFonts w:cs="Times New Roman"/>
          <w:lang w:val="sk-SK"/>
        </w:rPr>
        <w:t>7</w:t>
      </w:r>
      <w:r w:rsidRPr="00D45D95">
        <w:rPr>
          <w:rFonts w:cs="Times New Roman"/>
          <w:spacing w:val="-1"/>
          <w:lang w:val="sk-SK"/>
        </w:rPr>
        <w:t xml:space="preserve"> až 10 dávkach. Cirkulujúce plazmatické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koncentrácie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ustálenom stave sa zvyčajne udržiavajú </w:t>
      </w:r>
      <w:r w:rsidRPr="00D45D95">
        <w:rPr>
          <w:rFonts w:cs="Times New Roman"/>
          <w:lang w:val="sk-SK"/>
        </w:rPr>
        <w:t>v</w:t>
      </w:r>
      <w:r w:rsidR="00CE12BF">
        <w:rPr>
          <w:rFonts w:cs="Times New Roman"/>
          <w:spacing w:val="-3"/>
          <w:lang w:val="sk-SK"/>
        </w:rPr>
        <w:t xml:space="preserve"> rozmedzí </w:t>
      </w:r>
      <w:r w:rsidRPr="00D45D95">
        <w:rPr>
          <w:rFonts w:cs="Times New Roman"/>
          <w:lang w:val="sk-SK"/>
        </w:rPr>
        <w:t>2</w:t>
      </w:r>
      <w:r w:rsidRPr="00D45D95">
        <w:rPr>
          <w:rFonts w:cs="Times New Roman"/>
          <w:spacing w:val="-1"/>
          <w:lang w:val="sk-SK"/>
        </w:rPr>
        <w:t xml:space="preserve"> až 3-násob</w:t>
      </w:r>
      <w:r w:rsidR="00CE12BF">
        <w:rPr>
          <w:rFonts w:cs="Times New Roman"/>
          <w:spacing w:val="-1"/>
          <w:lang w:val="sk-SK"/>
        </w:rPr>
        <w:t>ku</w:t>
      </w:r>
      <w:r w:rsidRPr="00D45D95">
        <w:rPr>
          <w:rFonts w:cs="Times New Roman"/>
          <w:spacing w:val="-1"/>
          <w:lang w:val="sk-SK"/>
        </w:rPr>
        <w:t xml:space="preserve"> počas 24-</w:t>
      </w:r>
      <w:r w:rsidRPr="00D45D95">
        <w:rPr>
          <w:rFonts w:cs="Times New Roman"/>
          <w:spacing w:val="2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hodinového dávkovacieho intervalu.</w:t>
      </w:r>
    </w:p>
    <w:p w14:paraId="7DCA6869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59147283" w14:textId="77777777" w:rsidR="00AF2C33" w:rsidRPr="00D45D95" w:rsidRDefault="008174E0" w:rsidP="004568C3">
      <w:pPr>
        <w:tabs>
          <w:tab w:val="left" w:pos="0"/>
        </w:tabs>
        <w:spacing w:line="252" w:lineRule="exact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i/>
          <w:spacing w:val="-1"/>
          <w:lang w:val="sk-SK"/>
        </w:rPr>
        <w:t>Osobitné skupiny pacientov</w:t>
      </w:r>
    </w:p>
    <w:p w14:paraId="0079FADD" w14:textId="18A13A04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analýzach založených na populačných farmakokinetických údajoch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onkologických pacientov</w:t>
      </w:r>
      <w:r w:rsidRPr="00D45D95">
        <w:rPr>
          <w:rFonts w:cs="Times New Roman"/>
          <w:spacing w:val="27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nebol zistený žiadny vzťah medzi predpokladanou </w:t>
      </w:r>
      <w:r w:rsidR="00116A45">
        <w:rPr>
          <w:rFonts w:cs="Times New Roman"/>
          <w:spacing w:val="-1"/>
          <w:lang w:val="sk-SK"/>
        </w:rPr>
        <w:t xml:space="preserve">minimálnou </w:t>
      </w:r>
      <w:r w:rsidRPr="00D45D95">
        <w:rPr>
          <w:rFonts w:cs="Times New Roman"/>
          <w:spacing w:val="-1"/>
          <w:lang w:val="sk-SK"/>
        </w:rPr>
        <w:t xml:space="preserve">koncentráciou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ustálenom stave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vekom </w:t>
      </w:r>
      <w:r w:rsidRPr="00D45D95">
        <w:rPr>
          <w:rFonts w:cs="Times New Roman"/>
          <w:spacing w:val="-1"/>
          <w:lang w:val="sk-SK"/>
        </w:rPr>
        <w:lastRenderedPageBreak/>
        <w:t>pacienta,</w:t>
      </w:r>
      <w:r w:rsidRPr="00D45D95">
        <w:rPr>
          <w:rFonts w:cs="Times New Roman"/>
          <w:spacing w:val="29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telesnou hmotnosťou, pohlavím, etnickým pôvodom alebo klírensom </w:t>
      </w:r>
      <w:r w:rsidRPr="00D45D95">
        <w:rPr>
          <w:rFonts w:cs="Times New Roman"/>
          <w:spacing w:val="-2"/>
          <w:lang w:val="sk-SK"/>
        </w:rPr>
        <w:t>kreatinínu</w:t>
      </w:r>
      <w:r w:rsidRPr="00D45D95">
        <w:rPr>
          <w:rFonts w:cs="Times New Roman"/>
          <w:spacing w:val="-1"/>
          <w:lang w:val="sk-SK"/>
        </w:rPr>
        <w:t xml:space="preserve"> (viac ako 20 ml/min).</w:t>
      </w:r>
    </w:p>
    <w:p w14:paraId="629999A5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39A832F9" w14:textId="77777777" w:rsidR="00AF2C33" w:rsidRPr="00D45D95" w:rsidRDefault="008174E0" w:rsidP="004568C3">
      <w:pPr>
        <w:tabs>
          <w:tab w:val="left" w:pos="0"/>
        </w:tabs>
        <w:spacing w:line="252" w:lineRule="exact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i/>
          <w:spacing w:val="-1"/>
          <w:lang w:val="sk-SK"/>
        </w:rPr>
        <w:t>Porucha funkcie pečene</w:t>
      </w:r>
    </w:p>
    <w:p w14:paraId="2D504740" w14:textId="009EA075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otvoren</w:t>
      </w:r>
      <w:r w:rsidR="00116A45">
        <w:rPr>
          <w:rFonts w:cs="Times New Roman"/>
          <w:spacing w:val="-1"/>
          <w:lang w:val="sk-SK"/>
        </w:rPr>
        <w:t>om</w:t>
      </w:r>
      <w:r w:rsidRPr="00D45D95">
        <w:rPr>
          <w:rFonts w:cs="Times New Roman"/>
          <w:spacing w:val="-1"/>
          <w:lang w:val="sk-SK"/>
        </w:rPr>
        <w:t xml:space="preserve"> klinick</w:t>
      </w:r>
      <w:r w:rsidR="00116A45">
        <w:rPr>
          <w:rFonts w:cs="Times New Roman"/>
          <w:spacing w:val="-1"/>
          <w:lang w:val="sk-SK"/>
        </w:rPr>
        <w:t>om</w:t>
      </w:r>
      <w:r w:rsidRPr="00D45D95">
        <w:rPr>
          <w:rFonts w:cs="Times New Roman"/>
          <w:spacing w:val="-1"/>
          <w:lang w:val="sk-SK"/>
        </w:rPr>
        <w:t xml:space="preserve"> skúšan</w:t>
      </w:r>
      <w:r w:rsidR="00116A45">
        <w:rPr>
          <w:rFonts w:cs="Times New Roman"/>
          <w:spacing w:val="-1"/>
          <w:lang w:val="sk-SK"/>
        </w:rPr>
        <w:t>í fázy I</w:t>
      </w:r>
      <w:r w:rsidRPr="00D45D95">
        <w:rPr>
          <w:rFonts w:cs="Times New Roman"/>
          <w:spacing w:val="-1"/>
          <w:lang w:val="sk-SK"/>
        </w:rPr>
        <w:t xml:space="preserve">, pri ktorom sa pacientom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-1"/>
          <w:lang w:val="sk-SK"/>
        </w:rPr>
        <w:t xml:space="preserve"> miernou, stredne ťažkou alebo</w:t>
      </w:r>
      <w:r w:rsidRPr="00D45D95">
        <w:rPr>
          <w:rFonts w:cs="Times New Roman"/>
          <w:spacing w:val="26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ťažkou poruchou funkcie pečene </w:t>
      </w:r>
      <w:r w:rsidRPr="00D45D95">
        <w:rPr>
          <w:rFonts w:cs="Times New Roman"/>
          <w:lang w:val="sk-SK"/>
        </w:rPr>
        <w:t>z</w:t>
      </w:r>
      <w:r w:rsidRPr="00D45D95">
        <w:rPr>
          <w:rFonts w:cs="Times New Roman"/>
          <w:spacing w:val="-1"/>
          <w:lang w:val="sk-SK"/>
        </w:rPr>
        <w:t xml:space="preserve"> dôvodu cirhózy (v súlade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-1"/>
          <w:lang w:val="sk-SK"/>
        </w:rPr>
        <w:t xml:space="preserve"> Childovou–Pughovou klasifikáciou)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podala jediná dávka gefitinibu 250 mg, bolo pozorované zvýšenie expozície vo všetkých skupinách</w:t>
      </w:r>
      <w:r w:rsidRPr="00D45D95">
        <w:rPr>
          <w:rFonts w:cs="Times New Roman"/>
          <w:spacing w:val="24"/>
          <w:lang w:val="sk-SK"/>
        </w:rPr>
        <w:t xml:space="preserve">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porovnaní so zdravou kontrolnou skupinou. Bolo pozorované priemerne </w:t>
      </w:r>
      <w:r w:rsidRPr="00D45D95">
        <w:rPr>
          <w:rFonts w:cs="Times New Roman"/>
          <w:spacing w:val="-2"/>
          <w:lang w:val="sk-SK"/>
        </w:rPr>
        <w:t>3,1-násobné</w:t>
      </w:r>
      <w:r w:rsidRPr="00D45D95">
        <w:rPr>
          <w:rFonts w:cs="Times New Roman"/>
          <w:spacing w:val="-1"/>
          <w:lang w:val="sk-SK"/>
        </w:rPr>
        <w:t xml:space="preserve"> zvýšenie</w:t>
      </w:r>
      <w:r w:rsidRPr="00D45D95">
        <w:rPr>
          <w:rFonts w:cs="Times New Roman"/>
          <w:spacing w:val="3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expozície gefitinibu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pacientov so stredne ťažkou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>ťažkou poruchou funkcie pečene. Nikto</w:t>
      </w:r>
      <w:r w:rsidR="00116A45">
        <w:rPr>
          <w:rFonts w:cs="Times New Roman"/>
          <w:lang w:val="sk-SK"/>
        </w:rPr>
        <w:t xml:space="preserve"> </w:t>
      </w:r>
      <w:r w:rsidRPr="00D45D95">
        <w:rPr>
          <w:rFonts w:cs="Times New Roman"/>
          <w:lang w:val="sk-SK"/>
        </w:rPr>
        <w:t>z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pacientov nemal nádorové ochorenie, všetci mali cirhózu pečene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niektorí mali hepatitídu. Toto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zvýšenie expozície môže byť klinicky relevantné, </w:t>
      </w:r>
      <w:r w:rsidR="00116A45" w:rsidRPr="00116A45">
        <w:rPr>
          <w:rFonts w:cs="Times New Roman"/>
          <w:spacing w:val="-1"/>
          <w:lang w:val="sk-SK"/>
        </w:rPr>
        <w:t>keďže</w:t>
      </w:r>
      <w:r w:rsidRPr="00D45D95">
        <w:rPr>
          <w:rFonts w:cs="Times New Roman"/>
          <w:spacing w:val="-1"/>
          <w:lang w:val="sk-SK"/>
        </w:rPr>
        <w:t xml:space="preserve"> nežiaduce skúsenosti súvisia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>dávkou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>expozíciou gefitinibu.</w:t>
      </w:r>
    </w:p>
    <w:p w14:paraId="7BCA2C5A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266D9578" w14:textId="55FB1C85" w:rsidR="00AF2C33" w:rsidRPr="00D45D95" w:rsidRDefault="008174E0" w:rsidP="00BB53F4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Gefitinib bol hodnotený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klinickom skúšaní zahŕňajúcom 41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pacientov so solídnymi tumormi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23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>normálnou funkciou pečene alebo stredne ťažkou až ťažkou poruchou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funkcie pečene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(klasifikovanou </w:t>
      </w:r>
      <w:r w:rsidR="00116A45" w:rsidRPr="00116A45">
        <w:rPr>
          <w:rFonts w:cs="Times New Roman"/>
          <w:spacing w:val="-1"/>
          <w:lang w:val="sk-SK"/>
        </w:rPr>
        <w:t>na základe východiskových hodnô</w:t>
      </w:r>
      <w:r w:rsidR="00116A45">
        <w:rPr>
          <w:rFonts w:cs="Times New Roman"/>
          <w:spacing w:val="-1"/>
          <w:lang w:val="sk-SK"/>
        </w:rPr>
        <w:t>t všeobecných kritérií toxicity</w:t>
      </w:r>
      <w:r w:rsidRPr="00D45D95">
        <w:rPr>
          <w:rFonts w:cs="Times New Roman"/>
          <w:spacing w:val="-1"/>
          <w:lang w:val="sk-SK"/>
        </w:rPr>
        <w:t xml:space="preserve"> pre AST, alkalickú fosfatázu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bilirubín) </w:t>
      </w:r>
      <w:r w:rsidRPr="00D45D95">
        <w:rPr>
          <w:rFonts w:cs="Times New Roman"/>
          <w:lang w:val="sk-SK"/>
        </w:rPr>
        <w:t>v</w:t>
      </w:r>
      <w:r w:rsidR="00DB6D2D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dôsledku pečeňových metastáz. Ukázalo sa, že po podávaní gefitinibu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dennej dávke 250</w:t>
      </w:r>
      <w:r w:rsidR="00116A45">
        <w:rPr>
          <w:rFonts w:cs="Times New Roman"/>
          <w:spacing w:val="-1"/>
          <w:lang w:val="sk-SK"/>
        </w:rPr>
        <w:t> </w:t>
      </w:r>
      <w:r w:rsidRPr="00D45D95">
        <w:rPr>
          <w:rFonts w:cs="Times New Roman"/>
          <w:spacing w:val="-1"/>
          <w:lang w:val="sk-SK"/>
        </w:rPr>
        <w:t>mg boli čas</w:t>
      </w:r>
      <w:r w:rsidRPr="00D45D95">
        <w:rPr>
          <w:rFonts w:cs="Times New Roman"/>
          <w:spacing w:val="28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do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dosiahnutia ustáleného stavu,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celkový plazmatický klírens</w:t>
      </w:r>
      <w:r w:rsidRPr="00D45D95">
        <w:rPr>
          <w:rFonts w:cs="Times New Roman"/>
          <w:spacing w:val="-2"/>
          <w:lang w:val="sk-SK"/>
        </w:rPr>
        <w:t xml:space="preserve"> (C</w:t>
      </w:r>
      <w:r w:rsidRPr="00BB53F4">
        <w:rPr>
          <w:rFonts w:cs="Times New Roman"/>
          <w:spacing w:val="-2"/>
          <w:position w:val="-2"/>
          <w:vertAlign w:val="subscript"/>
          <w:lang w:val="sk-SK"/>
        </w:rPr>
        <w:t>maxSS</w:t>
      </w:r>
      <w:r w:rsidRPr="00D45D95">
        <w:rPr>
          <w:rFonts w:cs="Times New Roman"/>
          <w:spacing w:val="-2"/>
          <w:lang w:val="sk-SK"/>
        </w:rPr>
        <w:t>)</w:t>
      </w:r>
      <w:r w:rsidRPr="00D45D95">
        <w:rPr>
          <w:rFonts w:cs="Times New Roman"/>
          <w:lang w:val="sk-SK"/>
        </w:rPr>
        <w:t xml:space="preserve"> a expozícia</w:t>
      </w:r>
      <w:r w:rsidRPr="00D45D9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ustálenom stave</w:t>
      </w:r>
      <w:r w:rsidRPr="00D45D95">
        <w:rPr>
          <w:rFonts w:cs="Times New Roman"/>
          <w:spacing w:val="28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(AUC</w:t>
      </w:r>
      <w:r w:rsidRPr="00BB53F4">
        <w:rPr>
          <w:rFonts w:cs="Times New Roman"/>
          <w:spacing w:val="-1"/>
          <w:position w:val="-2"/>
          <w:vertAlign w:val="subscript"/>
          <w:lang w:val="sk-SK"/>
        </w:rPr>
        <w:t>24SS</w:t>
      </w:r>
      <w:r w:rsidRPr="00D45D95">
        <w:rPr>
          <w:rFonts w:cs="Times New Roman"/>
          <w:spacing w:val="-1"/>
          <w:lang w:val="sk-SK"/>
        </w:rPr>
        <w:t>)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podobné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skupiny pacientov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lang w:val="sk-SK"/>
        </w:rPr>
        <w:t>s</w:t>
      </w:r>
      <w:r w:rsidRPr="00D45D95">
        <w:rPr>
          <w:rFonts w:cs="Times New Roman"/>
          <w:spacing w:val="-1"/>
          <w:lang w:val="sk-SK"/>
        </w:rPr>
        <w:t xml:space="preserve"> normálnou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stredne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ťažko</w:t>
      </w:r>
      <w:r w:rsidR="00AD3504">
        <w:rPr>
          <w:rFonts w:cs="Times New Roman"/>
          <w:spacing w:val="-1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</w:t>
      </w:r>
      <w:r w:rsidR="00116A45">
        <w:rPr>
          <w:rFonts w:cs="Times New Roman"/>
          <w:spacing w:val="-1"/>
          <w:lang w:val="sk-SK"/>
        </w:rPr>
        <w:t>poruchou</w:t>
      </w:r>
      <w:r w:rsidRPr="00D45D95">
        <w:rPr>
          <w:rFonts w:cs="Times New Roman"/>
          <w:spacing w:val="-1"/>
          <w:lang w:val="sk-SK"/>
        </w:rPr>
        <w:t xml:space="preserve"> funkci</w:t>
      </w:r>
      <w:r w:rsidR="00116A45">
        <w:rPr>
          <w:rFonts w:cs="Times New Roman"/>
          <w:spacing w:val="-1"/>
          <w:lang w:val="sk-SK"/>
        </w:rPr>
        <w:t>e</w:t>
      </w:r>
      <w:r w:rsidRPr="00D45D95">
        <w:rPr>
          <w:rFonts w:cs="Times New Roman"/>
          <w:spacing w:val="-1"/>
          <w:lang w:val="sk-SK"/>
        </w:rPr>
        <w:t xml:space="preserve"> pečene.</w:t>
      </w:r>
      <w:r w:rsidR="00116A45"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Údaje zo sledovania </w:t>
      </w:r>
      <w:r w:rsidRPr="00D45D95">
        <w:rPr>
          <w:rFonts w:cs="Times New Roman"/>
          <w:lang w:val="sk-SK"/>
        </w:rPr>
        <w:t>4</w:t>
      </w:r>
      <w:r w:rsidRPr="00D45D95">
        <w:rPr>
          <w:rFonts w:cs="Times New Roman"/>
          <w:spacing w:val="-1"/>
          <w:lang w:val="sk-SK"/>
        </w:rPr>
        <w:t xml:space="preserve"> pacientov </w:t>
      </w:r>
      <w:r w:rsidRPr="00D45D95">
        <w:rPr>
          <w:rFonts w:cs="Times New Roman"/>
          <w:lang w:val="sk-SK"/>
        </w:rPr>
        <w:t>s</w:t>
      </w:r>
      <w:r w:rsidR="00DD0230">
        <w:rPr>
          <w:rFonts w:cs="Times New Roman"/>
          <w:lang w:val="sk-SK"/>
        </w:rPr>
        <w:t> </w:t>
      </w:r>
      <w:r w:rsidRPr="00D45D95">
        <w:rPr>
          <w:rFonts w:cs="Times New Roman"/>
          <w:spacing w:val="-1"/>
          <w:lang w:val="sk-SK"/>
        </w:rPr>
        <w:t>ťažk</w:t>
      </w:r>
      <w:r w:rsidR="00DD0230">
        <w:rPr>
          <w:rFonts w:cs="Times New Roman"/>
          <w:spacing w:val="-1"/>
          <w:lang w:val="sk-SK"/>
        </w:rPr>
        <w:t>ou poruchou</w:t>
      </w:r>
      <w:r w:rsidRPr="00D45D95">
        <w:rPr>
          <w:rFonts w:cs="Times New Roman"/>
          <w:spacing w:val="-1"/>
          <w:lang w:val="sk-SK"/>
        </w:rPr>
        <w:t xml:space="preserve"> funkcie pečene </w:t>
      </w:r>
      <w:r w:rsidRPr="00D45D95">
        <w:rPr>
          <w:rFonts w:cs="Times New Roman"/>
          <w:lang w:val="sk-SK"/>
        </w:rPr>
        <w:t>z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dôvodu metastáz do pečene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naznačujú, </w:t>
      </w:r>
      <w:r w:rsidRPr="00D45D95">
        <w:rPr>
          <w:rFonts w:cs="Times New Roman"/>
          <w:spacing w:val="-2"/>
          <w:lang w:val="sk-SK"/>
        </w:rPr>
        <w:t>že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expozície</w:t>
      </w:r>
      <w:r w:rsidRPr="00D45D95">
        <w:rPr>
          <w:rFonts w:cs="Times New Roman"/>
          <w:lang w:val="sk-SK"/>
        </w:rPr>
        <w:t xml:space="preserve"> 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ustálenom stave sú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týchto pacientov tiež podobné ako </w:t>
      </w:r>
      <w:r w:rsidRPr="00D45D95">
        <w:rPr>
          <w:rFonts w:cs="Times New Roman"/>
          <w:lang w:val="sk-SK"/>
        </w:rPr>
        <w:t>u</w:t>
      </w:r>
      <w:r w:rsidR="00116A45">
        <w:rPr>
          <w:rFonts w:cs="Times New Roman"/>
          <w:spacing w:val="-1"/>
          <w:lang w:val="sk-SK"/>
        </w:rPr>
        <w:t> </w:t>
      </w:r>
      <w:r w:rsidRPr="00D45D95">
        <w:rPr>
          <w:rFonts w:cs="Times New Roman"/>
          <w:spacing w:val="-1"/>
          <w:lang w:val="sk-SK"/>
        </w:rPr>
        <w:t>pacientov</w:t>
      </w:r>
      <w:r w:rsidR="00116A45">
        <w:rPr>
          <w:rFonts w:cs="Times New Roman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>normálnou funkciou pečene.</w:t>
      </w:r>
    </w:p>
    <w:p w14:paraId="550BF2FC" w14:textId="77777777" w:rsidR="00AF2C33" w:rsidRPr="00D45D95" w:rsidRDefault="00AF2C33" w:rsidP="004568C3">
      <w:pPr>
        <w:tabs>
          <w:tab w:val="left" w:pos="0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467597F2" w14:textId="77777777" w:rsidR="00AF2C33" w:rsidRPr="00D45D95" w:rsidRDefault="008174E0" w:rsidP="004568C3">
      <w:pPr>
        <w:pStyle w:val="Nadpis1"/>
        <w:numPr>
          <w:ilvl w:val="1"/>
          <w:numId w:val="13"/>
        </w:numPr>
        <w:tabs>
          <w:tab w:val="left" w:pos="0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Predklinické údaje </w:t>
      </w:r>
      <w:r w:rsidRPr="00D45D95">
        <w:rPr>
          <w:rFonts w:cs="Times New Roman"/>
          <w:lang w:val="sk-SK"/>
        </w:rPr>
        <w:t>o</w:t>
      </w:r>
      <w:r w:rsidRPr="00D45D95">
        <w:rPr>
          <w:rFonts w:cs="Times New Roman"/>
          <w:spacing w:val="-1"/>
          <w:lang w:val="sk-SK"/>
        </w:rPr>
        <w:t xml:space="preserve"> bezpečnosti</w:t>
      </w:r>
    </w:p>
    <w:p w14:paraId="2852F60F" w14:textId="77777777" w:rsidR="00AF2C33" w:rsidRPr="00D45D95" w:rsidRDefault="00AF2C33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11B65A72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Nežiaduce účinky, ktoré sa nepozorovali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4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klinických skúšaniach, pozorovali sa však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zvierat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pri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expozičných hladinách podobných klinickým expozičným hladinám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>možnou relevanciou ku</w:t>
      </w:r>
      <w:r w:rsidRPr="00D45D95">
        <w:rPr>
          <w:rFonts w:cs="Times New Roman"/>
          <w:spacing w:val="28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klinickému užívaniu sú nasledovné:</w:t>
      </w:r>
    </w:p>
    <w:p w14:paraId="1BB87559" w14:textId="77777777" w:rsidR="00AF2C33" w:rsidRPr="00D45D95" w:rsidRDefault="00AF2C33" w:rsidP="004568C3">
      <w:pPr>
        <w:tabs>
          <w:tab w:val="left" w:pos="0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14:paraId="0E7A9813" w14:textId="77777777" w:rsidR="00AF2C33" w:rsidRPr="00D45D95" w:rsidRDefault="008174E0" w:rsidP="004568C3">
      <w:pPr>
        <w:pStyle w:val="Zkladntext"/>
        <w:numPr>
          <w:ilvl w:val="0"/>
          <w:numId w:val="10"/>
        </w:numPr>
        <w:tabs>
          <w:tab w:val="left" w:pos="0"/>
          <w:tab w:val="left" w:pos="678"/>
        </w:tabs>
        <w:spacing w:line="269" w:lineRule="exact"/>
        <w:ind w:left="0" w:firstLine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korneálna epiteliálna atrofia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korneálna translucencia,</w:t>
      </w:r>
    </w:p>
    <w:p w14:paraId="1028C1FC" w14:textId="1D820385" w:rsidR="00AF2C33" w:rsidRPr="00D45D95" w:rsidRDefault="008174E0" w:rsidP="004568C3">
      <w:pPr>
        <w:pStyle w:val="Zkladntext"/>
        <w:numPr>
          <w:ilvl w:val="0"/>
          <w:numId w:val="10"/>
        </w:numPr>
        <w:tabs>
          <w:tab w:val="left" w:pos="0"/>
          <w:tab w:val="left" w:pos="678"/>
        </w:tabs>
        <w:spacing w:line="269" w:lineRule="exact"/>
        <w:ind w:left="0" w:firstLine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nekróza</w:t>
      </w:r>
      <w:r w:rsidR="00116A45">
        <w:rPr>
          <w:rFonts w:cs="Times New Roman"/>
          <w:spacing w:val="-1"/>
          <w:lang w:val="sk-SK"/>
        </w:rPr>
        <w:t xml:space="preserve"> renálnych papíl</w:t>
      </w:r>
      <w:r w:rsidRPr="00D45D95">
        <w:rPr>
          <w:rFonts w:cs="Times New Roman"/>
          <w:spacing w:val="-1"/>
          <w:lang w:val="sk-SK"/>
        </w:rPr>
        <w:t>,</w:t>
      </w:r>
    </w:p>
    <w:p w14:paraId="278F32A9" w14:textId="77777777" w:rsidR="00116A45" w:rsidRDefault="008174E0" w:rsidP="004568C3">
      <w:pPr>
        <w:pStyle w:val="Zkladntext"/>
        <w:numPr>
          <w:ilvl w:val="0"/>
          <w:numId w:val="10"/>
        </w:numPr>
        <w:tabs>
          <w:tab w:val="left" w:pos="0"/>
          <w:tab w:val="left" w:pos="678"/>
        </w:tabs>
        <w:spacing w:line="269" w:lineRule="exact"/>
        <w:ind w:left="0" w:firstLine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hepatocelulárna nekróza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eozinofilná sínusová </w:t>
      </w:r>
      <w:r w:rsidRPr="00D45D95">
        <w:rPr>
          <w:rFonts w:cs="Times New Roman"/>
          <w:spacing w:val="-2"/>
          <w:lang w:val="sk-SK"/>
        </w:rPr>
        <w:t>makrofágová</w:t>
      </w:r>
      <w:r w:rsidRPr="00D45D95">
        <w:rPr>
          <w:rFonts w:cs="Times New Roman"/>
          <w:lang w:val="sk-SK"/>
        </w:rPr>
        <w:t xml:space="preserve"> infiltrácia.</w:t>
      </w:r>
      <w:r w:rsidR="00E4485A" w:rsidRPr="00D45D95">
        <w:rPr>
          <w:rFonts w:cs="Times New Roman"/>
          <w:lang w:val="sk-SK"/>
        </w:rPr>
        <w:t xml:space="preserve"> </w:t>
      </w:r>
    </w:p>
    <w:p w14:paraId="36A739BB" w14:textId="77777777" w:rsidR="00116A45" w:rsidRDefault="00116A45" w:rsidP="00BB53F4">
      <w:pPr>
        <w:pStyle w:val="Zkladntext"/>
        <w:tabs>
          <w:tab w:val="left" w:pos="0"/>
          <w:tab w:val="left" w:pos="678"/>
        </w:tabs>
        <w:spacing w:line="269" w:lineRule="exact"/>
        <w:ind w:left="0"/>
        <w:rPr>
          <w:rFonts w:cs="Times New Roman"/>
          <w:lang w:val="sk-SK"/>
        </w:rPr>
      </w:pPr>
    </w:p>
    <w:p w14:paraId="06A6930D" w14:textId="3B974E65" w:rsidR="00AF2C33" w:rsidRPr="00D45D95" w:rsidRDefault="008174E0" w:rsidP="00BB53F4">
      <w:pPr>
        <w:pStyle w:val="Zkladntext"/>
        <w:tabs>
          <w:tab w:val="left" w:pos="0"/>
          <w:tab w:val="left" w:pos="678"/>
        </w:tabs>
        <w:spacing w:line="269" w:lineRule="exact"/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Údaje z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predklinických štúdií (</w:t>
      </w:r>
      <w:r w:rsidRPr="00D45D95">
        <w:rPr>
          <w:rFonts w:cs="Times New Roman"/>
          <w:i/>
          <w:spacing w:val="-1"/>
          <w:lang w:val="sk-SK"/>
        </w:rPr>
        <w:t>in</w:t>
      </w:r>
      <w:r w:rsidRPr="00D45D95">
        <w:rPr>
          <w:rFonts w:cs="Times New Roman"/>
          <w:i/>
          <w:lang w:val="sk-SK"/>
        </w:rPr>
        <w:t xml:space="preserve"> </w:t>
      </w:r>
      <w:r w:rsidRPr="00D45D95">
        <w:rPr>
          <w:rFonts w:cs="Times New Roman"/>
          <w:i/>
          <w:spacing w:val="-2"/>
          <w:lang w:val="sk-SK"/>
        </w:rPr>
        <w:t>vitro</w:t>
      </w:r>
      <w:r w:rsidRPr="00D45D95">
        <w:rPr>
          <w:rFonts w:cs="Times New Roman"/>
          <w:spacing w:val="-2"/>
          <w:lang w:val="sk-SK"/>
        </w:rPr>
        <w:t>)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naznačujú, že gefitinib má schopnosť inhibovať akčný</w:t>
      </w:r>
      <w:r w:rsidRPr="00D45D95">
        <w:rPr>
          <w:rFonts w:cs="Times New Roman"/>
          <w:spacing w:val="3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potenciál procesu repolarizácie srdca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(napr. QT interval).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Klinické skúsenosti nepreukázali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príčinnú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súvislosť medzi predĺžením QT intervalu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>gefitinibom.</w:t>
      </w:r>
    </w:p>
    <w:p w14:paraId="3F641D88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7ECDD301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Zníženie fertility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samíc potkanov bolo pozorované pri dávkach 20 mg/kg/deň.</w:t>
      </w:r>
    </w:p>
    <w:p w14:paraId="3924BD15" w14:textId="77777777" w:rsidR="00AF2C33" w:rsidRPr="00D45D95" w:rsidRDefault="00AF2C33" w:rsidP="004568C3">
      <w:pPr>
        <w:tabs>
          <w:tab w:val="left" w:pos="0"/>
        </w:tabs>
        <w:spacing w:before="10"/>
        <w:rPr>
          <w:rFonts w:ascii="Times New Roman" w:eastAsia="Times New Roman" w:hAnsi="Times New Roman" w:cs="Times New Roman"/>
          <w:lang w:val="sk-SK"/>
        </w:rPr>
      </w:pPr>
    </w:p>
    <w:p w14:paraId="5176A1E0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Publikované štúdie preukázali, že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geneticky modifikovaných myší,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ktorých chýbala expresia</w:t>
      </w:r>
      <w:r w:rsidRPr="00D45D95">
        <w:rPr>
          <w:rFonts w:cs="Times New Roman"/>
          <w:spacing w:val="29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EGFR, sa prejavili vývojové defekty súvisiace </w:t>
      </w:r>
      <w:r w:rsidRPr="00D45D95">
        <w:rPr>
          <w:rFonts w:cs="Times New Roman"/>
          <w:lang w:val="sk-SK"/>
        </w:rPr>
        <w:t xml:space="preserve">s </w:t>
      </w:r>
      <w:r w:rsidRPr="00D45D95">
        <w:rPr>
          <w:rFonts w:cs="Times New Roman"/>
          <w:spacing w:val="-1"/>
          <w:lang w:val="sk-SK"/>
        </w:rPr>
        <w:t>epiteliálnou nezrelosťou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rôznych orgánov vrátane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kože, gastrointestinálneho traktu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pľúc. Počas podávania gefitinibu potkanom počas organogenézy</w:t>
      </w:r>
      <w:r w:rsidRPr="00D45D95">
        <w:rPr>
          <w:rFonts w:cs="Times New Roman"/>
          <w:spacing w:val="29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nebol pozorovaný žiadny účinok na embryofetálny vývoj pri najvyšších dávkach (30</w:t>
      </w:r>
      <w:r w:rsidRPr="00D45D95">
        <w:rPr>
          <w:rFonts w:cs="Times New Roman"/>
          <w:spacing w:val="-2"/>
          <w:lang w:val="sk-SK"/>
        </w:rPr>
        <w:t xml:space="preserve"> mg/kg/deň),</w:t>
      </w:r>
    </w:p>
    <w:p w14:paraId="4F2CE0A5" w14:textId="1FCDB9B2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 xml:space="preserve">u </w:t>
      </w:r>
      <w:r w:rsidRPr="00D45D95">
        <w:rPr>
          <w:rFonts w:cs="Times New Roman"/>
          <w:spacing w:val="-1"/>
          <w:lang w:val="sk-SK"/>
        </w:rPr>
        <w:t xml:space="preserve">králikov bola však pozorovaná redukcia hmotností plodov </w:t>
      </w:r>
      <w:r w:rsidR="00AD3504">
        <w:rPr>
          <w:rFonts w:cs="Times New Roman"/>
          <w:lang w:val="sk-SK"/>
        </w:rPr>
        <w:t>pri dávke</w:t>
      </w:r>
      <w:r w:rsidRPr="00D45D95">
        <w:rPr>
          <w:rFonts w:cs="Times New Roman"/>
          <w:spacing w:val="-1"/>
          <w:lang w:val="sk-SK"/>
        </w:rPr>
        <w:t xml:space="preserve"> 20 mg/kg/deň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viac. Ani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jedného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živočíšneho druhu neboli pozorované žiadne liečivom indukované malformácie. Pri podávaní</w:t>
      </w:r>
      <w:r w:rsidRPr="00D45D95">
        <w:rPr>
          <w:rFonts w:cs="Times New Roman"/>
          <w:spacing w:val="29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potkanom počas gravidity </w:t>
      </w:r>
      <w:r w:rsidRPr="00D45D95">
        <w:rPr>
          <w:rFonts w:cs="Times New Roman"/>
          <w:lang w:val="sk-SK"/>
        </w:rPr>
        <w:t>a pôrodu 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dávkach 20</w:t>
      </w:r>
      <w:r w:rsidRPr="00D45D95">
        <w:rPr>
          <w:rFonts w:cs="Times New Roman"/>
          <w:lang w:val="sk-SK"/>
        </w:rPr>
        <w:t xml:space="preserve"> </w:t>
      </w:r>
      <w:r w:rsidRPr="00D45D95">
        <w:rPr>
          <w:rFonts w:cs="Times New Roman"/>
          <w:spacing w:val="-2"/>
          <w:lang w:val="sk-SK"/>
        </w:rPr>
        <w:t>mg/kg/deň</w:t>
      </w:r>
      <w:r w:rsidRPr="00D45D95">
        <w:rPr>
          <w:rFonts w:cs="Times New Roman"/>
          <w:spacing w:val="-1"/>
          <w:lang w:val="sk-SK"/>
        </w:rPr>
        <w:t xml:space="preserve"> bolo pozorované skrátené prežívanie</w:t>
      </w:r>
      <w:r w:rsidRPr="00D45D95">
        <w:rPr>
          <w:rFonts w:cs="Times New Roman"/>
          <w:spacing w:val="3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mláďat.</w:t>
      </w:r>
    </w:p>
    <w:p w14:paraId="07B304B8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79C8B419" w14:textId="318A79F3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Po perorálnom podaní gefitinibu značeného </w:t>
      </w:r>
      <w:r w:rsidR="00AD3504">
        <w:rPr>
          <w:rFonts w:cs="Times New Roman"/>
          <w:spacing w:val="-2"/>
          <w:lang w:val="sk-SK"/>
        </w:rPr>
        <w:t>C</w:t>
      </w:r>
      <w:r w:rsidRPr="00D45D95">
        <w:rPr>
          <w:rFonts w:cs="Times New Roman"/>
          <w:spacing w:val="-2"/>
          <w:lang w:val="sk-SK"/>
        </w:rPr>
        <w:t>-14</w:t>
      </w:r>
      <w:r w:rsidRPr="00D45D95">
        <w:rPr>
          <w:rFonts w:cs="Times New Roman"/>
          <w:spacing w:val="-1"/>
          <w:lang w:val="sk-SK"/>
        </w:rPr>
        <w:t xml:space="preserve"> </w:t>
      </w:r>
      <w:r w:rsidR="00AD3504">
        <w:rPr>
          <w:rFonts w:cs="Times New Roman"/>
          <w:spacing w:val="-1"/>
          <w:lang w:val="sk-SK"/>
        </w:rPr>
        <w:t>laktujúcim</w:t>
      </w:r>
      <w:r w:rsidRPr="00D45D95">
        <w:rPr>
          <w:rFonts w:cs="Times New Roman"/>
          <w:spacing w:val="-1"/>
          <w:lang w:val="sk-SK"/>
        </w:rPr>
        <w:t xml:space="preserve"> potkanom 14 dní po pôrode boli</w:t>
      </w:r>
      <w:r w:rsidRPr="00D45D95">
        <w:rPr>
          <w:rFonts w:cs="Times New Roman"/>
          <w:spacing w:val="36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koncentrácie rádioaktivity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1"/>
          <w:lang w:val="sk-SK"/>
        </w:rPr>
        <w:t xml:space="preserve"> mlieku 11 až 19-krát vyššie ako </w:t>
      </w: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krvi.</w:t>
      </w:r>
    </w:p>
    <w:p w14:paraId="23B21832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02570C69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Gefitinib nepreukázal žiadny genotoxický potenciál.</w:t>
      </w:r>
    </w:p>
    <w:p w14:paraId="6083CE3E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3B8BFFE9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lang w:val="sk-SK"/>
        </w:rPr>
        <w:t>V</w:t>
      </w:r>
      <w:r w:rsidRPr="00D45D95">
        <w:rPr>
          <w:rFonts w:cs="Times New Roman"/>
          <w:spacing w:val="1"/>
          <w:lang w:val="sk-SK"/>
        </w:rPr>
        <w:t xml:space="preserve"> </w:t>
      </w:r>
      <w:r w:rsidRPr="00D45D95">
        <w:rPr>
          <w:rFonts w:cs="Times New Roman"/>
          <w:spacing w:val="-2"/>
          <w:lang w:val="sk-SK"/>
        </w:rPr>
        <w:t>2-ročnej</w:t>
      </w:r>
      <w:r w:rsidRPr="00D45D95">
        <w:rPr>
          <w:rFonts w:cs="Times New Roman"/>
          <w:spacing w:val="-1"/>
          <w:lang w:val="sk-SK"/>
        </w:rPr>
        <w:t xml:space="preserve"> štúdii karcinogenity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potkanov sa zistilo malé, ale štatisticky signifikantné zvýšenie</w:t>
      </w:r>
      <w:r w:rsidRPr="00D45D95">
        <w:rPr>
          <w:rFonts w:cs="Times New Roman"/>
          <w:spacing w:val="30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incidencie hepatocelulárnych adenómov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samcov aj samíc potkanov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>hemangiosarkómov</w:t>
      </w:r>
      <w:r w:rsidRPr="00D45D95">
        <w:rPr>
          <w:rFonts w:cs="Times New Roman"/>
          <w:spacing w:val="28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mezenteriálnych lymfatických uzlín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samíc potkanov len pri najvyššej dávke (10 mg/kg/deň). Počas</w:t>
      </w:r>
      <w:r w:rsidRPr="00D45D95">
        <w:rPr>
          <w:rFonts w:cs="Times New Roman"/>
          <w:spacing w:val="22"/>
          <w:lang w:val="sk-SK"/>
        </w:rPr>
        <w:t xml:space="preserve"> </w:t>
      </w:r>
      <w:r w:rsidRPr="00D45D95">
        <w:rPr>
          <w:rFonts w:cs="Times New Roman"/>
          <w:spacing w:val="-2"/>
          <w:lang w:val="sk-SK"/>
        </w:rPr>
        <w:t>2-ročnej</w:t>
      </w:r>
      <w:r w:rsidRPr="00D45D95">
        <w:rPr>
          <w:rFonts w:cs="Times New Roman"/>
          <w:spacing w:val="-1"/>
          <w:lang w:val="sk-SK"/>
        </w:rPr>
        <w:t xml:space="preserve"> štúdie karcinogenity na myšiach boli tiež pozorované hepatocelulárne adenómy, čo dokazuje</w:t>
      </w:r>
    </w:p>
    <w:p w14:paraId="04E560E5" w14:textId="77777777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lastRenderedPageBreak/>
        <w:t xml:space="preserve">mierne zvýšenú incidenciu tohto nálezu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samcov myší pri strednej dávke </w:t>
      </w:r>
      <w:r w:rsidRPr="00D45D95">
        <w:rPr>
          <w:rFonts w:cs="Times New Roman"/>
          <w:lang w:val="sk-SK"/>
        </w:rPr>
        <w:t xml:space="preserve">a u </w:t>
      </w:r>
      <w:r w:rsidRPr="00D45D95">
        <w:rPr>
          <w:rFonts w:cs="Times New Roman"/>
          <w:spacing w:val="-1"/>
          <w:lang w:val="sk-SK"/>
        </w:rPr>
        <w:t>samcov</w:t>
      </w:r>
      <w:r w:rsidRPr="00D45D95">
        <w:rPr>
          <w:rFonts w:cs="Times New Roman"/>
          <w:spacing w:val="-2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a </w:t>
      </w:r>
      <w:r w:rsidRPr="00D45D95">
        <w:rPr>
          <w:rFonts w:cs="Times New Roman"/>
          <w:spacing w:val="-1"/>
          <w:lang w:val="sk-SK"/>
        </w:rPr>
        <w:t>samíc myší pri</w:t>
      </w:r>
      <w:r w:rsidRPr="00D45D95">
        <w:rPr>
          <w:rFonts w:cs="Times New Roman"/>
          <w:spacing w:val="26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 xml:space="preserve">najvyššej dávke. Tieto účinky sa ukázali ako štatisticky významné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samíc myší, nie však </w:t>
      </w:r>
      <w:r w:rsidRPr="00D45D95">
        <w:rPr>
          <w:rFonts w:cs="Times New Roman"/>
          <w:lang w:val="sk-SK"/>
        </w:rPr>
        <w:t>u</w:t>
      </w:r>
      <w:r w:rsidRPr="00D45D95">
        <w:rPr>
          <w:rFonts w:cs="Times New Roman"/>
          <w:spacing w:val="-1"/>
          <w:lang w:val="sk-SK"/>
        </w:rPr>
        <w:t xml:space="preserve"> samcov.</w:t>
      </w:r>
    </w:p>
    <w:p w14:paraId="6EC2DD19" w14:textId="77777777" w:rsidR="00AF2C33" w:rsidRPr="00D45D95" w:rsidRDefault="008174E0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Pri podávaní neúčinných hladín liečiva myšiam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potkanom nebol pozorovaný žiadny rozdiel</w:t>
      </w:r>
      <w:r w:rsidRPr="00D45D95">
        <w:rPr>
          <w:rFonts w:cs="Times New Roman"/>
          <w:spacing w:val="20"/>
          <w:lang w:val="sk-SK"/>
        </w:rPr>
        <w:t xml:space="preserve"> </w:t>
      </w:r>
      <w:r w:rsidRPr="00D45D95">
        <w:rPr>
          <w:rFonts w:cs="Times New Roman"/>
          <w:lang w:val="sk-SK"/>
        </w:rPr>
        <w:t xml:space="preserve">v </w:t>
      </w:r>
      <w:r w:rsidRPr="00D45D95">
        <w:rPr>
          <w:rFonts w:cs="Times New Roman"/>
          <w:spacing w:val="-1"/>
          <w:lang w:val="sk-SK"/>
        </w:rPr>
        <w:t>klinickej expozícii. Klinický význam týchto nálezov nie je známy.</w:t>
      </w:r>
    </w:p>
    <w:p w14:paraId="44A8F2DB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20798F41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Výsledky štúdie </w:t>
      </w:r>
      <w:r w:rsidRPr="00D45D95">
        <w:rPr>
          <w:rFonts w:cs="Times New Roman"/>
          <w:i/>
          <w:spacing w:val="-1"/>
          <w:lang w:val="sk-SK"/>
        </w:rPr>
        <w:t>in</w:t>
      </w:r>
      <w:r w:rsidRPr="00D45D95">
        <w:rPr>
          <w:rFonts w:cs="Times New Roman"/>
          <w:i/>
          <w:lang w:val="sk-SK"/>
        </w:rPr>
        <w:t xml:space="preserve"> </w:t>
      </w:r>
      <w:r w:rsidRPr="00D45D95">
        <w:rPr>
          <w:rFonts w:cs="Times New Roman"/>
          <w:i/>
          <w:spacing w:val="-1"/>
          <w:lang w:val="sk-SK"/>
        </w:rPr>
        <w:t>vitro</w:t>
      </w:r>
      <w:r w:rsidRPr="00D45D95">
        <w:rPr>
          <w:rFonts w:cs="Times New Roman"/>
          <w:i/>
          <w:spacing w:val="-3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fototoxicity preukázali, že gefitinib môže mať fototoxický potenciál.</w:t>
      </w:r>
    </w:p>
    <w:p w14:paraId="72798654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3B233CED" w14:textId="77777777" w:rsidR="00AF2C33" w:rsidRPr="00D45D95" w:rsidRDefault="00AF2C33" w:rsidP="004568C3">
      <w:pPr>
        <w:tabs>
          <w:tab w:val="left" w:pos="0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14:paraId="51E5260A" w14:textId="77777777" w:rsidR="00AF2C33" w:rsidRPr="00D45D95" w:rsidRDefault="008174E0" w:rsidP="004568C3">
      <w:pPr>
        <w:pStyle w:val="Nadpis1"/>
        <w:numPr>
          <w:ilvl w:val="0"/>
          <w:numId w:val="13"/>
        </w:numPr>
        <w:tabs>
          <w:tab w:val="left" w:pos="0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>FARMACEUTICKÉ INFORMÁCIE</w:t>
      </w:r>
    </w:p>
    <w:p w14:paraId="5EF13495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b/>
          <w:bCs/>
          <w:lang w:val="sk-SK"/>
        </w:rPr>
      </w:pPr>
    </w:p>
    <w:p w14:paraId="667B27FF" w14:textId="77777777" w:rsidR="00AF2C33" w:rsidRPr="00D45D95" w:rsidRDefault="008174E0" w:rsidP="004568C3">
      <w:pPr>
        <w:numPr>
          <w:ilvl w:val="1"/>
          <w:numId w:val="13"/>
        </w:numPr>
        <w:tabs>
          <w:tab w:val="left" w:pos="0"/>
        </w:tabs>
        <w:ind w:left="0" w:firstLine="0"/>
        <w:jc w:val="left"/>
        <w:rPr>
          <w:rFonts w:ascii="Times New Roman" w:eastAsia="Times New Roman" w:hAnsi="Times New Roman" w:cs="Times New Roman"/>
          <w:lang w:val="sk-SK"/>
        </w:rPr>
      </w:pPr>
      <w:r w:rsidRPr="00D45D95">
        <w:rPr>
          <w:rFonts w:ascii="Times New Roman" w:hAnsi="Times New Roman" w:cs="Times New Roman"/>
          <w:b/>
          <w:spacing w:val="-1"/>
          <w:lang w:val="sk-SK"/>
        </w:rPr>
        <w:t>Zoznam pomocných látok</w:t>
      </w:r>
    </w:p>
    <w:p w14:paraId="1DBA42BF" w14:textId="77777777" w:rsidR="00AF2C33" w:rsidRPr="00D45D95" w:rsidRDefault="00AF2C33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D9F5C73" w14:textId="77777777" w:rsidR="00AF2C33" w:rsidRPr="00DB6D2D" w:rsidRDefault="008174E0" w:rsidP="004568C3">
      <w:pPr>
        <w:tabs>
          <w:tab w:val="left" w:pos="0"/>
        </w:tabs>
        <w:spacing w:line="252" w:lineRule="exact"/>
        <w:rPr>
          <w:rFonts w:ascii="Times New Roman" w:eastAsia="Times New Roman" w:hAnsi="Times New Roman" w:cs="Times New Roman"/>
          <w:u w:val="single"/>
          <w:lang w:val="sk-SK"/>
        </w:rPr>
      </w:pPr>
      <w:r w:rsidRPr="00DB6D2D">
        <w:rPr>
          <w:rFonts w:ascii="Times New Roman" w:hAnsi="Times New Roman" w:cs="Times New Roman"/>
          <w:spacing w:val="-1"/>
          <w:u w:val="single"/>
          <w:lang w:val="sk-SK"/>
        </w:rPr>
        <w:t>Jadro tablety</w:t>
      </w:r>
    </w:p>
    <w:p w14:paraId="35AA710F" w14:textId="77777777" w:rsidR="00DB6D2D" w:rsidRPr="00DB6D2D" w:rsidRDefault="00DB6D2D" w:rsidP="004568C3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l</w:t>
      </w:r>
      <w:r w:rsidRPr="00DB6D2D">
        <w:rPr>
          <w:sz w:val="22"/>
          <w:szCs w:val="22"/>
        </w:rPr>
        <w:t xml:space="preserve">aurylsíran sodný </w:t>
      </w:r>
    </w:p>
    <w:p w14:paraId="66C018A6" w14:textId="77777777" w:rsidR="004568C3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spacing w:val="-1"/>
          <w:lang w:val="sk-SK"/>
        </w:rPr>
      </w:pPr>
      <w:r w:rsidRPr="00D45D95">
        <w:rPr>
          <w:rFonts w:cs="Times New Roman"/>
          <w:spacing w:val="-1"/>
          <w:lang w:val="sk-SK"/>
        </w:rPr>
        <w:t>laktóz</w:t>
      </w:r>
      <w:r w:rsidR="00DB6D2D">
        <w:rPr>
          <w:rFonts w:cs="Times New Roman"/>
          <w:spacing w:val="-1"/>
          <w:lang w:val="sk-SK"/>
        </w:rPr>
        <w:t>a,</w:t>
      </w:r>
      <w:r w:rsidRPr="00D45D95">
        <w:rPr>
          <w:rFonts w:cs="Times New Roman"/>
          <w:spacing w:val="21"/>
          <w:lang w:val="sk-SK"/>
        </w:rPr>
        <w:t xml:space="preserve"> </w:t>
      </w:r>
      <w:r w:rsidR="00DB6D2D">
        <w:rPr>
          <w:rFonts w:cs="Times New Roman"/>
          <w:spacing w:val="-1"/>
          <w:lang w:val="sk-SK"/>
        </w:rPr>
        <w:t>m</w:t>
      </w:r>
      <w:r w:rsidR="00DB6D2D" w:rsidRPr="00DB6D2D">
        <w:rPr>
          <w:rFonts w:cs="Times New Roman"/>
          <w:spacing w:val="-1"/>
          <w:lang w:val="sk-SK"/>
        </w:rPr>
        <w:t>onohydrát</w:t>
      </w:r>
      <w:r w:rsidR="00DB6D2D" w:rsidRPr="00D45D95">
        <w:rPr>
          <w:rFonts w:cs="Times New Roman"/>
          <w:spacing w:val="-1"/>
          <w:lang w:val="sk-SK"/>
        </w:rPr>
        <w:t xml:space="preserve"> </w:t>
      </w:r>
    </w:p>
    <w:p w14:paraId="727E8E17" w14:textId="77777777" w:rsidR="00DB6D2D" w:rsidRDefault="00DB6D2D" w:rsidP="004568C3">
      <w:pPr>
        <w:pStyle w:val="Zkladntext"/>
        <w:tabs>
          <w:tab w:val="left" w:pos="0"/>
        </w:tabs>
        <w:ind w:left="0"/>
        <w:rPr>
          <w:rFonts w:cs="Times New Roman"/>
          <w:spacing w:val="-1"/>
          <w:lang w:val="sk-SK"/>
        </w:rPr>
      </w:pPr>
      <w:r>
        <w:rPr>
          <w:rFonts w:cs="Times New Roman"/>
          <w:spacing w:val="-1"/>
          <w:lang w:val="sk-SK"/>
        </w:rPr>
        <w:t>m</w:t>
      </w:r>
      <w:r w:rsidR="008174E0" w:rsidRPr="00D45D95">
        <w:rPr>
          <w:rFonts w:cs="Times New Roman"/>
          <w:spacing w:val="-1"/>
          <w:lang w:val="sk-SK"/>
        </w:rPr>
        <w:t xml:space="preserve">ikrokryštalická celulóza </w:t>
      </w:r>
    </w:p>
    <w:p w14:paraId="7C1DF6DF" w14:textId="77777777" w:rsidR="00DB6D2D" w:rsidRDefault="00DB6D2D" w:rsidP="004568C3">
      <w:pPr>
        <w:pStyle w:val="Zkladntext"/>
        <w:tabs>
          <w:tab w:val="left" w:pos="0"/>
        </w:tabs>
        <w:ind w:left="0"/>
        <w:rPr>
          <w:rFonts w:cs="Times New Roman"/>
          <w:spacing w:val="-1"/>
          <w:lang w:val="sk-SK"/>
        </w:rPr>
      </w:pPr>
      <w:r>
        <w:rPr>
          <w:rFonts w:cs="Times New Roman"/>
          <w:spacing w:val="-1"/>
          <w:lang w:val="sk-SK"/>
        </w:rPr>
        <w:t>p</w:t>
      </w:r>
      <w:r w:rsidRPr="00D45D95">
        <w:rPr>
          <w:rFonts w:cs="Times New Roman"/>
          <w:spacing w:val="-1"/>
          <w:lang w:val="sk-SK"/>
        </w:rPr>
        <w:t xml:space="preserve">ovidón </w:t>
      </w:r>
    </w:p>
    <w:p w14:paraId="2494C638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kroskarmelóz</w:t>
      </w:r>
      <w:r w:rsidR="00DB6D2D">
        <w:rPr>
          <w:rFonts w:cs="Times New Roman"/>
          <w:spacing w:val="-1"/>
          <w:lang w:val="sk-SK"/>
        </w:rPr>
        <w:t>a,</w:t>
      </w:r>
      <w:r w:rsidRPr="00D45D95">
        <w:rPr>
          <w:rFonts w:cs="Times New Roman"/>
          <w:spacing w:val="22"/>
          <w:lang w:val="sk-SK"/>
        </w:rPr>
        <w:t xml:space="preserve"> </w:t>
      </w:r>
      <w:r w:rsidR="00DB6D2D">
        <w:rPr>
          <w:rFonts w:cs="Times New Roman"/>
          <w:spacing w:val="-1"/>
          <w:lang w:val="sk-SK"/>
        </w:rPr>
        <w:t>s</w:t>
      </w:r>
      <w:r w:rsidR="00DB6D2D" w:rsidRPr="00D45D95">
        <w:rPr>
          <w:rFonts w:cs="Times New Roman"/>
          <w:spacing w:val="-1"/>
          <w:lang w:val="sk-SK"/>
        </w:rPr>
        <w:t>odná soľ</w:t>
      </w:r>
    </w:p>
    <w:p w14:paraId="7A8519E6" w14:textId="77777777" w:rsidR="00AF2C33" w:rsidRPr="00D45D95" w:rsidRDefault="00DB6D2D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stearan horečnatý</w:t>
      </w:r>
    </w:p>
    <w:p w14:paraId="5F3F784D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20F7039B" w14:textId="77777777" w:rsidR="00DB6D2D" w:rsidRDefault="008174E0" w:rsidP="004568C3">
      <w:pPr>
        <w:tabs>
          <w:tab w:val="left" w:pos="0"/>
        </w:tabs>
        <w:rPr>
          <w:rFonts w:ascii="Times New Roman" w:hAnsi="Times New Roman" w:cs="Times New Roman"/>
          <w:spacing w:val="-1"/>
          <w:lang w:val="sk-SK"/>
        </w:rPr>
      </w:pPr>
      <w:r w:rsidRPr="00DB6D2D">
        <w:rPr>
          <w:rFonts w:ascii="Times New Roman" w:hAnsi="Times New Roman" w:cs="Times New Roman"/>
          <w:spacing w:val="-1"/>
          <w:u w:val="single"/>
          <w:lang w:val="sk-SK"/>
        </w:rPr>
        <w:t>Obal</w:t>
      </w:r>
      <w:r w:rsidRPr="00DB6D2D">
        <w:rPr>
          <w:rFonts w:ascii="Times New Roman" w:hAnsi="Times New Roman" w:cs="Times New Roman"/>
          <w:u w:val="single"/>
          <w:lang w:val="sk-SK"/>
        </w:rPr>
        <w:t xml:space="preserve"> </w:t>
      </w:r>
      <w:r w:rsidRPr="00DB6D2D">
        <w:rPr>
          <w:rFonts w:ascii="Times New Roman" w:hAnsi="Times New Roman" w:cs="Times New Roman"/>
          <w:spacing w:val="-1"/>
          <w:u w:val="single"/>
          <w:lang w:val="sk-SK"/>
        </w:rPr>
        <w:t>tablety</w:t>
      </w:r>
      <w:r w:rsidRPr="00D45D95">
        <w:rPr>
          <w:rFonts w:ascii="Times New Roman" w:hAnsi="Times New Roman" w:cs="Times New Roman"/>
          <w:i/>
          <w:spacing w:val="21"/>
          <w:lang w:val="sk-SK"/>
        </w:rPr>
        <w:t xml:space="preserve"> </w:t>
      </w:r>
    </w:p>
    <w:p w14:paraId="3F521EC9" w14:textId="77777777" w:rsidR="004568C3" w:rsidRDefault="00DB6D2D" w:rsidP="004568C3">
      <w:pPr>
        <w:tabs>
          <w:tab w:val="left" w:pos="0"/>
        </w:tabs>
        <w:rPr>
          <w:rFonts w:ascii="Times New Roman" w:hAnsi="Times New Roman" w:cs="Times New Roman"/>
          <w:spacing w:val="21"/>
          <w:lang w:val="sk-SK"/>
        </w:rPr>
      </w:pPr>
      <w:r>
        <w:rPr>
          <w:rFonts w:ascii="Times New Roman" w:hAnsi="Times New Roman" w:cs="Times New Roman"/>
          <w:spacing w:val="-1"/>
          <w:lang w:val="sk-SK"/>
        </w:rPr>
        <w:t>polyvinylalkohol</w:t>
      </w:r>
      <w:r w:rsidR="008174E0" w:rsidRPr="00D45D95">
        <w:rPr>
          <w:rFonts w:ascii="Times New Roman" w:hAnsi="Times New Roman" w:cs="Times New Roman"/>
          <w:spacing w:val="21"/>
          <w:lang w:val="sk-SK"/>
        </w:rPr>
        <w:t xml:space="preserve"> </w:t>
      </w:r>
    </w:p>
    <w:p w14:paraId="4C73D7D1" w14:textId="77777777" w:rsidR="00AF2C33" w:rsidRDefault="00DB6D2D" w:rsidP="004568C3">
      <w:pPr>
        <w:tabs>
          <w:tab w:val="left" w:pos="0"/>
        </w:tabs>
        <w:rPr>
          <w:rFonts w:ascii="Times New Roman" w:hAnsi="Times New Roman" w:cs="Times New Roman"/>
          <w:spacing w:val="-1"/>
          <w:lang w:val="sk-SK"/>
        </w:rPr>
      </w:pPr>
      <w:r>
        <w:rPr>
          <w:rFonts w:ascii="Times New Roman" w:hAnsi="Times New Roman" w:cs="Times New Roman"/>
          <w:spacing w:val="-1"/>
          <w:lang w:val="sk-SK"/>
        </w:rPr>
        <w:t>m</w:t>
      </w:r>
      <w:r w:rsidR="008174E0" w:rsidRPr="00D45D95">
        <w:rPr>
          <w:rFonts w:ascii="Times New Roman" w:hAnsi="Times New Roman" w:cs="Times New Roman"/>
          <w:spacing w:val="-1"/>
          <w:lang w:val="sk-SK"/>
        </w:rPr>
        <w:t xml:space="preserve">akrogol </w:t>
      </w:r>
    </w:p>
    <w:p w14:paraId="132B3BC1" w14:textId="77777777" w:rsidR="00DB6D2D" w:rsidRPr="00D45D95" w:rsidRDefault="00DB6D2D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hAnsi="Times New Roman" w:cs="Times New Roman"/>
          <w:spacing w:val="-1"/>
          <w:lang w:val="sk-SK"/>
        </w:rPr>
        <w:t>mastenec</w:t>
      </w:r>
    </w:p>
    <w:p w14:paraId="7CA011E2" w14:textId="77777777" w:rsidR="00AF2C33" w:rsidRPr="00D45D95" w:rsidRDefault="00DB6D2D" w:rsidP="004568C3">
      <w:pPr>
        <w:pStyle w:val="Zkladntext"/>
        <w:tabs>
          <w:tab w:val="left" w:pos="0"/>
        </w:tabs>
        <w:spacing w:before="1"/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o</w:t>
      </w:r>
      <w:r w:rsidR="008174E0" w:rsidRPr="00D45D95">
        <w:rPr>
          <w:rFonts w:cs="Times New Roman"/>
          <w:spacing w:val="-1"/>
          <w:lang w:val="sk-SK"/>
        </w:rPr>
        <w:t>xid železitý</w:t>
      </w:r>
      <w:r>
        <w:rPr>
          <w:rFonts w:cs="Times New Roman"/>
          <w:spacing w:val="-1"/>
          <w:lang w:val="sk-SK"/>
        </w:rPr>
        <w:t>,</w:t>
      </w:r>
      <w:r w:rsidR="008174E0" w:rsidRPr="00D45D95">
        <w:rPr>
          <w:rFonts w:cs="Times New Roman"/>
          <w:spacing w:val="-1"/>
          <w:lang w:val="sk-SK"/>
        </w:rPr>
        <w:t xml:space="preserve"> červený (E172)</w:t>
      </w:r>
    </w:p>
    <w:p w14:paraId="23DB02D7" w14:textId="77777777" w:rsidR="00DB6D2D" w:rsidRPr="00D45D95" w:rsidRDefault="00DB6D2D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o</w:t>
      </w:r>
      <w:r w:rsidRPr="00D45D95">
        <w:rPr>
          <w:rFonts w:cs="Times New Roman"/>
          <w:spacing w:val="-1"/>
          <w:lang w:val="sk-SK"/>
        </w:rPr>
        <w:t>xid železitý</w:t>
      </w:r>
      <w:r>
        <w:rPr>
          <w:rFonts w:cs="Times New Roman"/>
          <w:spacing w:val="-1"/>
          <w:lang w:val="sk-SK"/>
        </w:rPr>
        <w:t>,</w:t>
      </w:r>
      <w:r w:rsidRPr="00D45D95">
        <w:rPr>
          <w:rFonts w:cs="Times New Roman"/>
          <w:spacing w:val="-1"/>
          <w:lang w:val="sk-SK"/>
        </w:rPr>
        <w:t xml:space="preserve"> žltý</w:t>
      </w:r>
      <w:r>
        <w:rPr>
          <w:rFonts w:cs="Times New Roman"/>
          <w:spacing w:val="-1"/>
          <w:lang w:val="sk-SK"/>
        </w:rPr>
        <w:t xml:space="preserve"> </w:t>
      </w:r>
      <w:r w:rsidRPr="00D45D95">
        <w:rPr>
          <w:rFonts w:cs="Times New Roman"/>
          <w:spacing w:val="-1"/>
          <w:lang w:val="sk-SK"/>
        </w:rPr>
        <w:t>(E172)</w:t>
      </w:r>
    </w:p>
    <w:p w14:paraId="2408AFC6" w14:textId="77777777" w:rsidR="00DB6D2D" w:rsidRPr="00D45D95" w:rsidRDefault="00DB6D2D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o</w:t>
      </w:r>
      <w:r w:rsidRPr="00D45D95">
        <w:rPr>
          <w:rFonts w:cs="Times New Roman"/>
          <w:spacing w:val="-1"/>
          <w:lang w:val="sk-SK"/>
        </w:rPr>
        <w:t>xid železitý</w:t>
      </w:r>
      <w:r>
        <w:rPr>
          <w:rFonts w:cs="Times New Roman"/>
          <w:spacing w:val="-1"/>
          <w:lang w:val="sk-SK"/>
        </w:rPr>
        <w:t>,</w:t>
      </w:r>
      <w:r w:rsidRPr="00D45D95">
        <w:rPr>
          <w:rFonts w:cs="Times New Roman"/>
          <w:spacing w:val="-1"/>
          <w:lang w:val="sk-SK"/>
        </w:rPr>
        <w:t xml:space="preserve"> </w:t>
      </w:r>
      <w:r>
        <w:rPr>
          <w:rFonts w:cs="Times New Roman"/>
          <w:spacing w:val="-1"/>
          <w:lang w:val="sk-SK"/>
        </w:rPr>
        <w:t xml:space="preserve">čierny </w:t>
      </w:r>
      <w:r w:rsidRPr="00D45D95">
        <w:rPr>
          <w:rFonts w:cs="Times New Roman"/>
          <w:spacing w:val="-1"/>
          <w:lang w:val="sk-SK"/>
        </w:rPr>
        <w:t>(E172)</w:t>
      </w:r>
    </w:p>
    <w:p w14:paraId="7C4C0536" w14:textId="77777777" w:rsidR="00AF2C33" w:rsidRPr="00D45D95" w:rsidRDefault="00AF2C33" w:rsidP="004568C3">
      <w:pPr>
        <w:tabs>
          <w:tab w:val="left" w:pos="0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0B70D0FF" w14:textId="77777777" w:rsidR="00AF2C33" w:rsidRPr="00D45D95" w:rsidRDefault="008174E0" w:rsidP="004568C3">
      <w:pPr>
        <w:pStyle w:val="Nadpis1"/>
        <w:numPr>
          <w:ilvl w:val="1"/>
          <w:numId w:val="13"/>
        </w:numPr>
        <w:tabs>
          <w:tab w:val="left" w:pos="0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>Inkompatibility</w:t>
      </w:r>
    </w:p>
    <w:p w14:paraId="020E7B2A" w14:textId="77777777" w:rsidR="00AF2C33" w:rsidRPr="00D45D95" w:rsidRDefault="00AF2C33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097BA67" w14:textId="77777777" w:rsidR="00AF2C33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spacing w:val="-1"/>
          <w:lang w:val="sk-SK"/>
        </w:rPr>
      </w:pPr>
      <w:r w:rsidRPr="00D45D95">
        <w:rPr>
          <w:rFonts w:cs="Times New Roman"/>
          <w:spacing w:val="-1"/>
          <w:lang w:val="sk-SK"/>
        </w:rPr>
        <w:t>Neaplikovateľné.</w:t>
      </w:r>
    </w:p>
    <w:p w14:paraId="57D6A11D" w14:textId="77777777" w:rsidR="00DB6D2D" w:rsidRPr="00D45D95" w:rsidRDefault="00DB6D2D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</w:p>
    <w:p w14:paraId="5FEFC000" w14:textId="77777777" w:rsidR="00AF2C33" w:rsidRPr="00D45D95" w:rsidRDefault="008174E0" w:rsidP="004568C3">
      <w:pPr>
        <w:pStyle w:val="Nadpis1"/>
        <w:numPr>
          <w:ilvl w:val="1"/>
          <w:numId w:val="13"/>
        </w:numPr>
        <w:tabs>
          <w:tab w:val="left" w:pos="0"/>
        </w:tabs>
        <w:spacing w:before="54"/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>Čas použiteľnosti</w:t>
      </w:r>
    </w:p>
    <w:p w14:paraId="0BA5B15F" w14:textId="77777777" w:rsidR="00AF2C33" w:rsidRPr="00D45D95" w:rsidRDefault="00AF2C33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6E92362B" w14:textId="77777777" w:rsidR="00AF2C33" w:rsidRPr="00D45D95" w:rsidRDefault="00DB6D2D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>
        <w:rPr>
          <w:rFonts w:cs="Times New Roman"/>
          <w:lang w:val="sk-SK"/>
        </w:rPr>
        <w:t>3</w:t>
      </w:r>
      <w:r w:rsidR="008174E0" w:rsidRPr="00D45D95">
        <w:rPr>
          <w:rFonts w:cs="Times New Roman"/>
          <w:spacing w:val="-1"/>
          <w:lang w:val="sk-SK"/>
        </w:rPr>
        <w:t xml:space="preserve"> roky</w:t>
      </w:r>
    </w:p>
    <w:p w14:paraId="7A34F359" w14:textId="77777777" w:rsidR="00AF2C33" w:rsidRPr="00D45D95" w:rsidRDefault="00AF2C33" w:rsidP="004568C3">
      <w:pPr>
        <w:tabs>
          <w:tab w:val="left" w:pos="0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5C68948B" w14:textId="77777777" w:rsidR="00AF2C33" w:rsidRPr="00D45D95" w:rsidRDefault="008174E0" w:rsidP="004568C3">
      <w:pPr>
        <w:pStyle w:val="Nadpis1"/>
        <w:numPr>
          <w:ilvl w:val="1"/>
          <w:numId w:val="13"/>
        </w:numPr>
        <w:tabs>
          <w:tab w:val="left" w:pos="0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>Špeciálne upozornenia na uchovávanie</w:t>
      </w:r>
    </w:p>
    <w:p w14:paraId="33177209" w14:textId="77777777" w:rsidR="00AF2C33" w:rsidRPr="00D45D95" w:rsidRDefault="00AF2C33" w:rsidP="004568C3">
      <w:pPr>
        <w:tabs>
          <w:tab w:val="left" w:pos="0"/>
        </w:tabs>
        <w:spacing w:before="5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257E9F6F" w14:textId="77777777" w:rsidR="00AF2C33" w:rsidRPr="00D45D95" w:rsidRDefault="00DB6D2D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Tento liek nevyžaduje žiadne špeciálne podmienky na uchovávanie.</w:t>
      </w:r>
    </w:p>
    <w:p w14:paraId="05B728D7" w14:textId="77777777" w:rsidR="00AF2C33" w:rsidRPr="00D45D95" w:rsidRDefault="00AF2C33" w:rsidP="004568C3">
      <w:pPr>
        <w:tabs>
          <w:tab w:val="left" w:pos="0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5EA66678" w14:textId="77777777" w:rsidR="00AF2C33" w:rsidRPr="00D45D95" w:rsidRDefault="008174E0" w:rsidP="004568C3">
      <w:pPr>
        <w:pStyle w:val="Nadpis1"/>
        <w:numPr>
          <w:ilvl w:val="1"/>
          <w:numId w:val="13"/>
        </w:numPr>
        <w:tabs>
          <w:tab w:val="left" w:pos="0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Druh obalu </w:t>
      </w:r>
      <w:r w:rsidRPr="00D45D95">
        <w:rPr>
          <w:rFonts w:cs="Times New Roman"/>
          <w:lang w:val="sk-SK"/>
        </w:rPr>
        <w:t>a</w:t>
      </w:r>
      <w:r w:rsidRPr="00D45D95">
        <w:rPr>
          <w:rFonts w:cs="Times New Roman"/>
          <w:spacing w:val="-1"/>
          <w:lang w:val="sk-SK"/>
        </w:rPr>
        <w:t xml:space="preserve"> obsah balenia</w:t>
      </w:r>
    </w:p>
    <w:p w14:paraId="30B5E36F" w14:textId="77777777" w:rsidR="00AF2C33" w:rsidRPr="00D45D95" w:rsidRDefault="00AF2C33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4CE2EAFF" w14:textId="28753200" w:rsidR="00AF2C33" w:rsidRPr="00D45D95" w:rsidRDefault="00AD3504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O</w:t>
      </w:r>
      <w:r w:rsidR="00DB6D2D">
        <w:rPr>
          <w:rFonts w:cs="Times New Roman"/>
          <w:spacing w:val="-1"/>
          <w:lang w:val="sk-SK"/>
        </w:rPr>
        <w:t>PA/ALU/</w:t>
      </w:r>
      <w:r w:rsidR="008174E0" w:rsidRPr="00D45D95">
        <w:rPr>
          <w:rFonts w:cs="Times New Roman"/>
          <w:spacing w:val="-1"/>
          <w:lang w:val="sk-SK"/>
        </w:rPr>
        <w:t>PVC</w:t>
      </w:r>
      <w:r>
        <w:rPr>
          <w:rFonts w:cs="Times New Roman"/>
          <w:spacing w:val="-1"/>
          <w:lang w:val="sk-SK"/>
        </w:rPr>
        <w:t>-ALU</w:t>
      </w:r>
      <w:r w:rsidR="008174E0" w:rsidRPr="00D45D95">
        <w:rPr>
          <w:rFonts w:cs="Times New Roman"/>
          <w:spacing w:val="-1"/>
          <w:lang w:val="sk-SK"/>
        </w:rPr>
        <w:t xml:space="preserve"> perforovaný </w:t>
      </w:r>
      <w:r w:rsidR="004033FE">
        <w:rPr>
          <w:rFonts w:cs="Times New Roman"/>
          <w:spacing w:val="-1"/>
          <w:lang w:val="sk-SK"/>
        </w:rPr>
        <w:t>alebo</w:t>
      </w:r>
      <w:r w:rsidR="008174E0" w:rsidRPr="00D45D95">
        <w:rPr>
          <w:rFonts w:cs="Times New Roman"/>
          <w:spacing w:val="-1"/>
          <w:lang w:val="sk-SK"/>
        </w:rPr>
        <w:t xml:space="preserve"> neperforovaný blister</w:t>
      </w:r>
      <w:r w:rsidR="004033FE">
        <w:rPr>
          <w:rFonts w:cs="Times New Roman"/>
          <w:spacing w:val="29"/>
          <w:lang w:val="sk-SK"/>
        </w:rPr>
        <w:t>.</w:t>
      </w:r>
    </w:p>
    <w:p w14:paraId="385E1207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0BE664C6" w14:textId="77777777" w:rsidR="00AF2C33" w:rsidRPr="00D45D95" w:rsidRDefault="004033FE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Škatuľky obsahujúce</w:t>
      </w:r>
      <w:r w:rsidR="008174E0" w:rsidRPr="00D45D95">
        <w:rPr>
          <w:rFonts w:cs="Times New Roman"/>
          <w:spacing w:val="-1"/>
          <w:lang w:val="sk-SK"/>
        </w:rPr>
        <w:t xml:space="preserve"> 30</w:t>
      </w:r>
      <w:r w:rsidR="008174E0" w:rsidRPr="00D45D95">
        <w:rPr>
          <w:rFonts w:cs="Times New Roman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>tabliet</w:t>
      </w:r>
      <w:r>
        <w:rPr>
          <w:rFonts w:cs="Times New Roman"/>
          <w:spacing w:val="-1"/>
          <w:lang w:val="sk-SK"/>
        </w:rPr>
        <w:t xml:space="preserve"> alebo 30 x 1 tabletu.</w:t>
      </w:r>
      <w:r w:rsidR="008174E0" w:rsidRPr="00D45D95">
        <w:rPr>
          <w:rFonts w:cs="Times New Roman"/>
          <w:spacing w:val="-1"/>
          <w:lang w:val="sk-SK"/>
        </w:rPr>
        <w:t xml:space="preserve"> </w:t>
      </w:r>
      <w:r>
        <w:rPr>
          <w:rFonts w:cs="Times New Roman"/>
          <w:spacing w:val="-1"/>
          <w:lang w:val="sk-SK"/>
        </w:rPr>
        <w:t>Na trh nemusia byť uvedené všetky veľkosti balenia.</w:t>
      </w:r>
    </w:p>
    <w:p w14:paraId="20B4A552" w14:textId="77777777" w:rsidR="00AF2C33" w:rsidRPr="00D45D95" w:rsidRDefault="00AF2C33" w:rsidP="004568C3">
      <w:pPr>
        <w:tabs>
          <w:tab w:val="left" w:pos="0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4D3706C4" w14:textId="77777777" w:rsidR="00AF2C33" w:rsidRPr="00D45D95" w:rsidRDefault="008174E0" w:rsidP="004568C3">
      <w:pPr>
        <w:pStyle w:val="Nadpis1"/>
        <w:numPr>
          <w:ilvl w:val="1"/>
          <w:numId w:val="13"/>
        </w:numPr>
        <w:tabs>
          <w:tab w:val="left" w:pos="0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>Špeciálne opatrenia na likvidáciu</w:t>
      </w:r>
      <w:r w:rsidR="004033FE">
        <w:rPr>
          <w:rFonts w:cs="Times New Roman"/>
          <w:spacing w:val="-1"/>
          <w:lang w:val="sk-SK"/>
        </w:rPr>
        <w:t xml:space="preserve"> a iné zaobchádzanie s liekom</w:t>
      </w:r>
    </w:p>
    <w:p w14:paraId="530B6E16" w14:textId="77777777" w:rsidR="00AF2C33" w:rsidRPr="00D45D95" w:rsidRDefault="00AF2C33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788B1682" w14:textId="2A5BF442" w:rsidR="00AF2C33" w:rsidRPr="00D45D95" w:rsidRDefault="00E426F2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Všetok n</w:t>
      </w:r>
      <w:r w:rsidR="008174E0" w:rsidRPr="00D45D95">
        <w:rPr>
          <w:rFonts w:cs="Times New Roman"/>
          <w:spacing w:val="-1"/>
          <w:lang w:val="sk-SK"/>
        </w:rPr>
        <w:t xml:space="preserve">epoužitý liek alebo odpad vzniknutý </w:t>
      </w:r>
      <w:r w:rsidR="008174E0" w:rsidRPr="00D45D95">
        <w:rPr>
          <w:rFonts w:cs="Times New Roman"/>
          <w:lang w:val="sk-SK"/>
        </w:rPr>
        <w:t>z</w:t>
      </w:r>
      <w:r w:rsidR="008174E0" w:rsidRPr="00D45D95">
        <w:rPr>
          <w:rFonts w:cs="Times New Roman"/>
          <w:spacing w:val="-3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 xml:space="preserve">lieku </w:t>
      </w:r>
      <w:r>
        <w:rPr>
          <w:rFonts w:cs="Times New Roman"/>
          <w:spacing w:val="-1"/>
          <w:lang w:val="sk-SK"/>
        </w:rPr>
        <w:t xml:space="preserve">sa </w:t>
      </w:r>
      <w:r w:rsidR="008174E0" w:rsidRPr="00D45D95">
        <w:rPr>
          <w:rFonts w:cs="Times New Roman"/>
          <w:spacing w:val="-1"/>
          <w:lang w:val="sk-SK"/>
        </w:rPr>
        <w:t>má</w:t>
      </w:r>
      <w:r>
        <w:rPr>
          <w:rFonts w:cs="Times New Roman"/>
          <w:spacing w:val="-1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>zlikvidova</w:t>
      </w:r>
      <w:r>
        <w:rPr>
          <w:rFonts w:cs="Times New Roman"/>
          <w:spacing w:val="-1"/>
          <w:lang w:val="sk-SK"/>
        </w:rPr>
        <w:t>ť</w:t>
      </w:r>
      <w:r w:rsidR="008174E0" w:rsidRPr="00D45D95">
        <w:rPr>
          <w:rFonts w:cs="Times New Roman"/>
          <w:spacing w:val="-1"/>
          <w:lang w:val="sk-SK"/>
        </w:rPr>
        <w:t xml:space="preserve"> </w:t>
      </w:r>
      <w:r w:rsidR="008174E0" w:rsidRPr="00D45D95">
        <w:rPr>
          <w:rFonts w:cs="Times New Roman"/>
          <w:lang w:val="sk-SK"/>
        </w:rPr>
        <w:t>v</w:t>
      </w:r>
      <w:r w:rsidR="008174E0" w:rsidRPr="00D45D95">
        <w:rPr>
          <w:rFonts w:cs="Times New Roman"/>
          <w:spacing w:val="-1"/>
          <w:lang w:val="sk-SK"/>
        </w:rPr>
        <w:t xml:space="preserve"> súlade </w:t>
      </w:r>
      <w:r w:rsidR="008174E0" w:rsidRPr="00D45D95">
        <w:rPr>
          <w:rFonts w:cs="Times New Roman"/>
          <w:lang w:val="sk-SK"/>
        </w:rPr>
        <w:t>s</w:t>
      </w:r>
      <w:r w:rsidR="008174E0" w:rsidRPr="00D45D95">
        <w:rPr>
          <w:rFonts w:cs="Times New Roman"/>
          <w:spacing w:val="-1"/>
          <w:lang w:val="sk-SK"/>
        </w:rPr>
        <w:t xml:space="preserve"> národnými</w:t>
      </w:r>
      <w:r w:rsidR="008174E0" w:rsidRPr="00D45D95">
        <w:rPr>
          <w:rFonts w:cs="Times New Roman"/>
          <w:spacing w:val="20"/>
          <w:lang w:val="sk-SK"/>
        </w:rPr>
        <w:t xml:space="preserve"> </w:t>
      </w:r>
      <w:r w:rsidR="008174E0" w:rsidRPr="00D45D95">
        <w:rPr>
          <w:rFonts w:cs="Times New Roman"/>
          <w:spacing w:val="-1"/>
          <w:lang w:val="sk-SK"/>
        </w:rPr>
        <w:t>požiadavkami.</w:t>
      </w:r>
    </w:p>
    <w:p w14:paraId="0AEB753D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05FD49F4" w14:textId="77777777" w:rsidR="00AF2C33" w:rsidRPr="00D45D95" w:rsidRDefault="00AF2C33" w:rsidP="004568C3">
      <w:pPr>
        <w:tabs>
          <w:tab w:val="left" w:pos="0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14:paraId="610AD03C" w14:textId="77777777" w:rsidR="00AF2C33" w:rsidRPr="00D45D95" w:rsidRDefault="008174E0" w:rsidP="004568C3">
      <w:pPr>
        <w:pStyle w:val="Nadpis1"/>
        <w:numPr>
          <w:ilvl w:val="0"/>
          <w:numId w:val="13"/>
        </w:numPr>
        <w:tabs>
          <w:tab w:val="left" w:pos="0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DRŽITEĽ ROZHODNUTIA </w:t>
      </w:r>
      <w:r w:rsidRPr="00D45D95">
        <w:rPr>
          <w:rFonts w:cs="Times New Roman"/>
          <w:lang w:val="sk-SK"/>
        </w:rPr>
        <w:t>O</w:t>
      </w:r>
      <w:r w:rsidRPr="00D45D95">
        <w:rPr>
          <w:rFonts w:cs="Times New Roman"/>
          <w:spacing w:val="-1"/>
          <w:lang w:val="sk-SK"/>
        </w:rPr>
        <w:t xml:space="preserve"> REGISTRÁCII</w:t>
      </w:r>
    </w:p>
    <w:p w14:paraId="76E36948" w14:textId="77777777" w:rsidR="00AF2C33" w:rsidRPr="00D45D95" w:rsidRDefault="00AF2C33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D4AE70C" w14:textId="77777777" w:rsidR="00E4485A" w:rsidRPr="00D45D95" w:rsidRDefault="00E4485A" w:rsidP="004568C3">
      <w:pPr>
        <w:pStyle w:val="Zkladntext"/>
        <w:tabs>
          <w:tab w:val="left" w:pos="0"/>
        </w:tabs>
        <w:ind w:left="0"/>
        <w:rPr>
          <w:rFonts w:cs="Times New Roman"/>
          <w:spacing w:val="-1"/>
          <w:lang w:val="sk-SK"/>
        </w:rPr>
      </w:pPr>
      <w:r w:rsidRPr="00D45D95">
        <w:rPr>
          <w:rFonts w:cs="Times New Roman"/>
          <w:spacing w:val="-1"/>
          <w:lang w:val="sk-SK"/>
        </w:rPr>
        <w:t>Synthon BV</w:t>
      </w:r>
    </w:p>
    <w:p w14:paraId="0D8E5C74" w14:textId="77777777" w:rsidR="00E4485A" w:rsidRPr="00D45D95" w:rsidRDefault="00E4485A" w:rsidP="004568C3">
      <w:pPr>
        <w:pStyle w:val="Zkladntext"/>
        <w:tabs>
          <w:tab w:val="left" w:pos="0"/>
        </w:tabs>
        <w:ind w:left="0"/>
        <w:rPr>
          <w:rFonts w:cs="Times New Roman"/>
          <w:spacing w:val="-1"/>
          <w:lang w:val="sk-SK"/>
        </w:rPr>
      </w:pPr>
      <w:r w:rsidRPr="00D45D95">
        <w:rPr>
          <w:rFonts w:cs="Times New Roman"/>
          <w:spacing w:val="-1"/>
          <w:lang w:val="sk-SK"/>
        </w:rPr>
        <w:lastRenderedPageBreak/>
        <w:t>Microweg 22</w:t>
      </w:r>
    </w:p>
    <w:p w14:paraId="297D7E3F" w14:textId="77777777" w:rsidR="00E4485A" w:rsidRPr="00D45D95" w:rsidRDefault="00E4485A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>6545 CM Nijmegen</w:t>
      </w:r>
    </w:p>
    <w:p w14:paraId="4E6101E4" w14:textId="77777777" w:rsidR="00E4485A" w:rsidRPr="00D45D95" w:rsidRDefault="00E4485A" w:rsidP="004568C3">
      <w:pPr>
        <w:tabs>
          <w:tab w:val="left" w:pos="0"/>
        </w:tabs>
        <w:rPr>
          <w:rStyle w:val="shorttext"/>
          <w:rFonts w:ascii="Times New Roman" w:hAnsi="Times New Roman" w:cs="Times New Roman"/>
          <w:color w:val="222222"/>
          <w:lang w:val="sk-SK"/>
        </w:rPr>
      </w:pPr>
      <w:r w:rsidRPr="00D45D95">
        <w:rPr>
          <w:rStyle w:val="shorttext"/>
          <w:rFonts w:ascii="Times New Roman" w:hAnsi="Times New Roman" w:cs="Times New Roman"/>
          <w:color w:val="222222"/>
          <w:lang w:val="sk-SK"/>
        </w:rPr>
        <w:t>Holandsko</w:t>
      </w:r>
    </w:p>
    <w:p w14:paraId="7A925AD8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5BB41A8F" w14:textId="77777777" w:rsidR="00AF2C33" w:rsidRPr="00D45D95" w:rsidRDefault="00AF2C33" w:rsidP="004568C3">
      <w:pPr>
        <w:tabs>
          <w:tab w:val="left" w:pos="0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14:paraId="276BD729" w14:textId="77777777" w:rsidR="00AF2C33" w:rsidRPr="00D45D95" w:rsidRDefault="008174E0" w:rsidP="004568C3">
      <w:pPr>
        <w:pStyle w:val="Nadpis1"/>
        <w:numPr>
          <w:ilvl w:val="0"/>
          <w:numId w:val="13"/>
        </w:numPr>
        <w:tabs>
          <w:tab w:val="left" w:pos="0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>REGISTRAČNÉ ČÍSL</w:t>
      </w:r>
      <w:r w:rsidR="004033FE">
        <w:rPr>
          <w:rFonts w:cs="Times New Roman"/>
          <w:spacing w:val="-1"/>
          <w:lang w:val="sk-SK"/>
        </w:rPr>
        <w:t>O</w:t>
      </w:r>
    </w:p>
    <w:p w14:paraId="6F2A195B" w14:textId="77777777" w:rsidR="00AF2C33" w:rsidRPr="00D45D95" w:rsidRDefault="00AF2C33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6AC67C1A" w14:textId="50D3393D" w:rsidR="00AF2C33" w:rsidRDefault="00B7232E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lang w:val="sk-SK"/>
        </w:rPr>
      </w:pPr>
      <w:r w:rsidRPr="00B7232E">
        <w:rPr>
          <w:rFonts w:ascii="Times New Roman" w:eastAsia="Times New Roman" w:hAnsi="Times New Roman" w:cs="Times New Roman"/>
          <w:lang w:val="sk-SK"/>
        </w:rPr>
        <w:t>44/0410/18-S</w:t>
      </w:r>
    </w:p>
    <w:p w14:paraId="6362063F" w14:textId="77777777" w:rsidR="00B7232E" w:rsidRDefault="00B7232E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14:paraId="42968C0F" w14:textId="77777777" w:rsidR="00B7232E" w:rsidRPr="00D45D95" w:rsidRDefault="00B7232E" w:rsidP="004568C3">
      <w:pPr>
        <w:tabs>
          <w:tab w:val="left" w:pos="0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14:paraId="5B93EB21" w14:textId="77777777" w:rsidR="00AF2C33" w:rsidRPr="00D45D95" w:rsidRDefault="008174E0" w:rsidP="004568C3">
      <w:pPr>
        <w:pStyle w:val="Nadpis1"/>
        <w:numPr>
          <w:ilvl w:val="0"/>
          <w:numId w:val="13"/>
        </w:numPr>
        <w:tabs>
          <w:tab w:val="left" w:pos="0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>DÁTUM PRVEJ REGISTRÁCIE/ PREDĹŽENIA REGISTRÁCIE</w:t>
      </w:r>
    </w:p>
    <w:p w14:paraId="54B02A3A" w14:textId="77777777" w:rsidR="00AF2C33" w:rsidRPr="00D45D95" w:rsidRDefault="00AF2C33" w:rsidP="004568C3">
      <w:pPr>
        <w:tabs>
          <w:tab w:val="left" w:pos="0"/>
        </w:tabs>
        <w:spacing w:before="5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550D9BA" w14:textId="77777777" w:rsidR="00AF2C33" w:rsidRPr="00D45D95" w:rsidRDefault="008174E0" w:rsidP="004568C3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D45D95">
        <w:rPr>
          <w:rFonts w:cs="Times New Roman"/>
          <w:spacing w:val="-1"/>
          <w:lang w:val="sk-SK"/>
        </w:rPr>
        <w:t xml:space="preserve">Dátum prvej registrácie: </w:t>
      </w:r>
    </w:p>
    <w:p w14:paraId="09BD6235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lang w:val="sk-SK"/>
        </w:rPr>
      </w:pPr>
    </w:p>
    <w:p w14:paraId="416D301E" w14:textId="77777777" w:rsidR="00AF2C33" w:rsidRPr="00D45D95" w:rsidRDefault="00AF2C33" w:rsidP="004568C3">
      <w:pPr>
        <w:tabs>
          <w:tab w:val="left" w:pos="0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14:paraId="14DBD6D4" w14:textId="77777777" w:rsidR="00AF2C33" w:rsidRPr="00D45D95" w:rsidRDefault="008174E0" w:rsidP="004568C3">
      <w:pPr>
        <w:pStyle w:val="Nadpis1"/>
        <w:numPr>
          <w:ilvl w:val="0"/>
          <w:numId w:val="13"/>
        </w:numPr>
        <w:tabs>
          <w:tab w:val="left" w:pos="0"/>
        </w:tabs>
        <w:ind w:left="0" w:firstLine="0"/>
        <w:jc w:val="left"/>
        <w:rPr>
          <w:rFonts w:cs="Times New Roman"/>
          <w:b w:val="0"/>
          <w:bCs w:val="0"/>
          <w:lang w:val="sk-SK"/>
        </w:rPr>
      </w:pPr>
      <w:r w:rsidRPr="00D45D95">
        <w:rPr>
          <w:rFonts w:cs="Times New Roman"/>
          <w:spacing w:val="-1"/>
          <w:lang w:val="sk-SK"/>
        </w:rPr>
        <w:t>DÁTUM REVÍZIE TEXTU</w:t>
      </w:r>
    </w:p>
    <w:p w14:paraId="50CD3405" w14:textId="77777777" w:rsidR="00AF2C33" w:rsidRPr="00D45D95" w:rsidRDefault="00AF2C33" w:rsidP="004568C3">
      <w:pPr>
        <w:tabs>
          <w:tab w:val="left" w:pos="0"/>
        </w:tabs>
        <w:rPr>
          <w:rFonts w:ascii="Times New Roman" w:eastAsia="Times New Roman" w:hAnsi="Times New Roman" w:cs="Times New Roman"/>
          <w:b/>
          <w:bCs/>
          <w:lang w:val="sk-SK"/>
        </w:rPr>
      </w:pPr>
    </w:p>
    <w:p w14:paraId="6B5175B6" w14:textId="6B82C674" w:rsidR="00AF2C33" w:rsidRPr="00BB53F4" w:rsidRDefault="001543A0" w:rsidP="004568C3">
      <w:pPr>
        <w:tabs>
          <w:tab w:val="left" w:pos="0"/>
        </w:tabs>
        <w:rPr>
          <w:rFonts w:ascii="Times New Roman" w:eastAsia="Times New Roman" w:hAnsi="Times New Roman" w:cs="Times New Roman"/>
          <w:bCs/>
          <w:lang w:val="sk-SK"/>
        </w:rPr>
      </w:pPr>
      <w:r w:rsidRPr="00BB53F4">
        <w:rPr>
          <w:rFonts w:ascii="Times New Roman" w:eastAsia="Times New Roman" w:hAnsi="Times New Roman" w:cs="Times New Roman"/>
          <w:bCs/>
          <w:lang w:val="sk-SK"/>
        </w:rPr>
        <w:t>1</w:t>
      </w:r>
      <w:r w:rsidR="00196BC3">
        <w:rPr>
          <w:rFonts w:ascii="Times New Roman" w:eastAsia="Times New Roman" w:hAnsi="Times New Roman" w:cs="Times New Roman"/>
          <w:bCs/>
          <w:lang w:val="sk-SK"/>
        </w:rPr>
        <w:t>2</w:t>
      </w:r>
      <w:r w:rsidRPr="00BB53F4">
        <w:rPr>
          <w:rFonts w:ascii="Times New Roman" w:eastAsia="Times New Roman" w:hAnsi="Times New Roman" w:cs="Times New Roman"/>
          <w:bCs/>
          <w:lang w:val="sk-SK"/>
        </w:rPr>
        <w:t>/2018</w:t>
      </w:r>
    </w:p>
    <w:p w14:paraId="20E4BFE5" w14:textId="77777777" w:rsidR="001543A0" w:rsidRPr="00D45D95" w:rsidRDefault="001543A0" w:rsidP="004568C3">
      <w:pPr>
        <w:tabs>
          <w:tab w:val="left" w:pos="0"/>
        </w:tabs>
        <w:rPr>
          <w:rFonts w:ascii="Times New Roman" w:eastAsia="Times New Roman" w:hAnsi="Times New Roman" w:cs="Times New Roman"/>
          <w:b/>
          <w:bCs/>
          <w:lang w:val="sk-SK"/>
        </w:rPr>
      </w:pPr>
    </w:p>
    <w:sectPr w:rsidR="001543A0" w:rsidRPr="00D45D95" w:rsidSect="008C7076">
      <w:footerReference w:type="default" r:id="rId13"/>
      <w:pgSz w:w="11910" w:h="16840"/>
      <w:pgMar w:top="1340" w:right="1460" w:bottom="920" w:left="1300" w:header="737" w:footer="7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5082F" w14:textId="77777777" w:rsidR="00E426F2" w:rsidRDefault="00E426F2" w:rsidP="00AF2C33">
      <w:r>
        <w:separator/>
      </w:r>
    </w:p>
  </w:endnote>
  <w:endnote w:type="continuationSeparator" w:id="0">
    <w:p w14:paraId="5C03D849" w14:textId="77777777" w:rsidR="00E426F2" w:rsidRDefault="00E426F2" w:rsidP="00AF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E0894" w14:textId="77777777" w:rsidR="00E426F2" w:rsidRDefault="00AC2922">
    <w:pPr>
      <w:spacing w:line="14" w:lineRule="auto"/>
      <w:rPr>
        <w:sz w:val="20"/>
        <w:szCs w:val="20"/>
      </w:rPr>
    </w:pPr>
    <w:r>
      <w:pict w14:anchorId="53E7542C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3.45pt;margin-top:793.95pt;width:8.5pt;height:10.05pt;z-index:-61240;mso-position-horizontal-relative:page;mso-position-vertical-relative:page" filled="f" stroked="f">
          <v:textbox style="mso-next-textbox:#_x0000_s2055" inset="0,0,0,0">
            <w:txbxContent>
              <w:p w14:paraId="27BA04F6" w14:textId="77777777" w:rsidR="00E426F2" w:rsidRDefault="00E426F2">
                <w:pPr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AC2922">
                  <w:rPr>
                    <w:rFonts w:ascii="Arial"/>
                    <w:noProof/>
                    <w:sz w:val="16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9996492"/>
      <w:docPartObj>
        <w:docPartGallery w:val="Page Numbers (Bottom of Page)"/>
        <w:docPartUnique/>
      </w:docPartObj>
    </w:sdtPr>
    <w:sdtContent>
      <w:p w14:paraId="49026846" w14:textId="18C3274A" w:rsidR="00AC2922" w:rsidRDefault="00AC2922">
        <w:pPr>
          <w:pStyle w:val="Pta"/>
          <w:jc w:val="center"/>
        </w:pPr>
        <w:r w:rsidRPr="00AC292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C292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AC292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AC2922">
          <w:rPr>
            <w:rFonts w:ascii="Times New Roman" w:hAnsi="Times New Roman" w:cs="Times New Roman"/>
            <w:noProof/>
            <w:sz w:val="18"/>
            <w:szCs w:val="18"/>
            <w:lang w:val="sk-SK"/>
          </w:rPr>
          <w:t>7</w:t>
        </w:r>
        <w:r w:rsidRPr="00AC292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DE50780" w14:textId="5B7C4225" w:rsidR="00E426F2" w:rsidRDefault="00E426F2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009947"/>
      <w:docPartObj>
        <w:docPartGallery w:val="Page Numbers (Bottom of Page)"/>
        <w:docPartUnique/>
      </w:docPartObj>
    </w:sdtPr>
    <w:sdtEndPr/>
    <w:sdtContent>
      <w:p w14:paraId="198CCA72" w14:textId="19122AD8" w:rsidR="00E426F2" w:rsidRDefault="00E426F2">
        <w:pPr>
          <w:pStyle w:val="Pta"/>
          <w:jc w:val="center"/>
        </w:pPr>
        <w:r w:rsidRPr="00BB53F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B53F4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B53F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C2922" w:rsidRPr="00AC2922">
          <w:rPr>
            <w:rFonts w:ascii="Times New Roman" w:hAnsi="Times New Roman" w:cs="Times New Roman"/>
            <w:noProof/>
            <w:sz w:val="18"/>
            <w:szCs w:val="18"/>
            <w:lang w:val="sk-SK"/>
          </w:rPr>
          <w:t>10</w:t>
        </w:r>
        <w:r w:rsidRPr="00BB53F4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436BA5D" w14:textId="7BEEF729" w:rsidR="00E426F2" w:rsidRDefault="00E426F2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1272D" w14:textId="77777777" w:rsidR="00E426F2" w:rsidRDefault="00E426F2" w:rsidP="00AF2C33">
      <w:r>
        <w:separator/>
      </w:r>
    </w:p>
  </w:footnote>
  <w:footnote w:type="continuationSeparator" w:id="0">
    <w:p w14:paraId="0504597C" w14:textId="77777777" w:rsidR="00E426F2" w:rsidRDefault="00E426F2" w:rsidP="00AF2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ACDDB" w14:textId="330BF1DB" w:rsidR="00E426F2" w:rsidRPr="008B1531" w:rsidRDefault="00E426F2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8B1531">
      <w:rPr>
        <w:rFonts w:ascii="Times New Roman" w:hAnsi="Times New Roman" w:cs="Times New Roman"/>
        <w:sz w:val="18"/>
        <w:szCs w:val="18"/>
        <w:lang w:val="sk-SK"/>
      </w:rPr>
      <w:t>Schválený text k rozhodnutiu o registrácii, ev. č.: 2017/0</w:t>
    </w:r>
    <w:r>
      <w:rPr>
        <w:rFonts w:ascii="Times New Roman" w:hAnsi="Times New Roman" w:cs="Times New Roman"/>
        <w:sz w:val="18"/>
        <w:szCs w:val="18"/>
        <w:lang w:val="sk-SK"/>
      </w:rPr>
      <w:t>3</w:t>
    </w:r>
    <w:r w:rsidRPr="008B1531">
      <w:rPr>
        <w:rFonts w:ascii="Times New Roman" w:hAnsi="Times New Roman" w:cs="Times New Roman"/>
        <w:sz w:val="18"/>
        <w:szCs w:val="18"/>
        <w:lang w:val="sk-SK"/>
      </w:rPr>
      <w:t>375-REG</w:t>
    </w:r>
  </w:p>
  <w:p w14:paraId="2ED81DCE" w14:textId="77777777" w:rsidR="00E426F2" w:rsidRDefault="00E426F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2E6F"/>
    <w:multiLevelType w:val="hybridMultilevel"/>
    <w:tmpl w:val="2A0219DA"/>
    <w:lvl w:ilvl="0" w:tplc="24D41D3C">
      <w:start w:val="1"/>
      <w:numFmt w:val="bullet"/>
      <w:lvlText w:val="-"/>
      <w:lvlJc w:val="left"/>
      <w:pPr>
        <w:ind w:left="677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0AEE9E18">
      <w:start w:val="1"/>
      <w:numFmt w:val="bullet"/>
      <w:lvlText w:val="•"/>
      <w:lvlJc w:val="left"/>
      <w:pPr>
        <w:ind w:left="1538" w:hanging="567"/>
      </w:pPr>
      <w:rPr>
        <w:rFonts w:hint="default"/>
      </w:rPr>
    </w:lvl>
    <w:lvl w:ilvl="2" w:tplc="94E231E8">
      <w:start w:val="1"/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14988444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AED0FAF0">
      <w:start w:val="1"/>
      <w:numFmt w:val="bullet"/>
      <w:lvlText w:val="•"/>
      <w:lvlJc w:val="left"/>
      <w:pPr>
        <w:ind w:left="4120" w:hanging="567"/>
      </w:pPr>
      <w:rPr>
        <w:rFonts w:hint="default"/>
      </w:rPr>
    </w:lvl>
    <w:lvl w:ilvl="5" w:tplc="72827558">
      <w:start w:val="1"/>
      <w:numFmt w:val="bullet"/>
      <w:lvlText w:val="•"/>
      <w:lvlJc w:val="left"/>
      <w:pPr>
        <w:ind w:left="4981" w:hanging="567"/>
      </w:pPr>
      <w:rPr>
        <w:rFonts w:hint="default"/>
      </w:rPr>
    </w:lvl>
    <w:lvl w:ilvl="6" w:tplc="3C2A893C">
      <w:start w:val="1"/>
      <w:numFmt w:val="bullet"/>
      <w:lvlText w:val="•"/>
      <w:lvlJc w:val="left"/>
      <w:pPr>
        <w:ind w:left="5842" w:hanging="567"/>
      </w:pPr>
      <w:rPr>
        <w:rFonts w:hint="default"/>
      </w:rPr>
    </w:lvl>
    <w:lvl w:ilvl="7" w:tplc="6074C55A">
      <w:start w:val="1"/>
      <w:numFmt w:val="bullet"/>
      <w:lvlText w:val="•"/>
      <w:lvlJc w:val="left"/>
      <w:pPr>
        <w:ind w:left="6703" w:hanging="567"/>
      </w:pPr>
      <w:rPr>
        <w:rFonts w:hint="default"/>
      </w:rPr>
    </w:lvl>
    <w:lvl w:ilvl="8" w:tplc="9EB8A188">
      <w:start w:val="1"/>
      <w:numFmt w:val="bullet"/>
      <w:lvlText w:val="•"/>
      <w:lvlJc w:val="left"/>
      <w:pPr>
        <w:ind w:left="7563" w:hanging="567"/>
      </w:pPr>
      <w:rPr>
        <w:rFonts w:hint="default"/>
      </w:rPr>
    </w:lvl>
  </w:abstractNum>
  <w:abstractNum w:abstractNumId="1" w15:restartNumberingAfterBreak="0">
    <w:nsid w:val="18E7110C"/>
    <w:multiLevelType w:val="hybridMultilevel"/>
    <w:tmpl w:val="70B09C28"/>
    <w:lvl w:ilvl="0" w:tplc="235A7A56">
      <w:start w:val="1"/>
      <w:numFmt w:val="lowerLetter"/>
      <w:lvlText w:val="%1"/>
      <w:lvlJc w:val="left"/>
      <w:pPr>
        <w:ind w:left="231" w:hanging="70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9A94ABA4">
      <w:start w:val="1"/>
      <w:numFmt w:val="bullet"/>
      <w:lvlText w:val="•"/>
      <w:lvlJc w:val="left"/>
      <w:pPr>
        <w:ind w:left="1160" w:hanging="708"/>
      </w:pPr>
      <w:rPr>
        <w:rFonts w:hint="default"/>
      </w:rPr>
    </w:lvl>
    <w:lvl w:ilvl="2" w:tplc="573282FA">
      <w:start w:val="1"/>
      <w:numFmt w:val="bullet"/>
      <w:lvlText w:val="•"/>
      <w:lvlJc w:val="left"/>
      <w:pPr>
        <w:ind w:left="2090" w:hanging="708"/>
      </w:pPr>
      <w:rPr>
        <w:rFonts w:hint="default"/>
      </w:rPr>
    </w:lvl>
    <w:lvl w:ilvl="3" w:tplc="51EC417E">
      <w:start w:val="1"/>
      <w:numFmt w:val="bullet"/>
      <w:lvlText w:val="•"/>
      <w:lvlJc w:val="left"/>
      <w:pPr>
        <w:ind w:left="3019" w:hanging="708"/>
      </w:pPr>
      <w:rPr>
        <w:rFonts w:hint="default"/>
      </w:rPr>
    </w:lvl>
    <w:lvl w:ilvl="4" w:tplc="DF2E7032">
      <w:start w:val="1"/>
      <w:numFmt w:val="bullet"/>
      <w:lvlText w:val="•"/>
      <w:lvlJc w:val="left"/>
      <w:pPr>
        <w:ind w:left="3948" w:hanging="708"/>
      </w:pPr>
      <w:rPr>
        <w:rFonts w:hint="default"/>
      </w:rPr>
    </w:lvl>
    <w:lvl w:ilvl="5" w:tplc="A7002D26">
      <w:start w:val="1"/>
      <w:numFmt w:val="bullet"/>
      <w:lvlText w:val="•"/>
      <w:lvlJc w:val="left"/>
      <w:pPr>
        <w:ind w:left="4878" w:hanging="708"/>
      </w:pPr>
      <w:rPr>
        <w:rFonts w:hint="default"/>
      </w:rPr>
    </w:lvl>
    <w:lvl w:ilvl="6" w:tplc="6370258E">
      <w:start w:val="1"/>
      <w:numFmt w:val="bullet"/>
      <w:lvlText w:val="•"/>
      <w:lvlJc w:val="left"/>
      <w:pPr>
        <w:ind w:left="5807" w:hanging="708"/>
      </w:pPr>
      <w:rPr>
        <w:rFonts w:hint="default"/>
      </w:rPr>
    </w:lvl>
    <w:lvl w:ilvl="7" w:tplc="0C882016">
      <w:start w:val="1"/>
      <w:numFmt w:val="bullet"/>
      <w:lvlText w:val="•"/>
      <w:lvlJc w:val="left"/>
      <w:pPr>
        <w:ind w:left="6737" w:hanging="708"/>
      </w:pPr>
      <w:rPr>
        <w:rFonts w:hint="default"/>
      </w:rPr>
    </w:lvl>
    <w:lvl w:ilvl="8" w:tplc="6012071E">
      <w:start w:val="1"/>
      <w:numFmt w:val="bullet"/>
      <w:lvlText w:val="•"/>
      <w:lvlJc w:val="left"/>
      <w:pPr>
        <w:ind w:left="7666" w:hanging="708"/>
      </w:pPr>
      <w:rPr>
        <w:rFonts w:hint="default"/>
      </w:rPr>
    </w:lvl>
  </w:abstractNum>
  <w:abstractNum w:abstractNumId="2" w15:restartNumberingAfterBreak="0">
    <w:nsid w:val="1A5033F0"/>
    <w:multiLevelType w:val="hybridMultilevel"/>
    <w:tmpl w:val="5B44D2E2"/>
    <w:lvl w:ilvl="0" w:tplc="CF28B93A">
      <w:start w:val="1"/>
      <w:numFmt w:val="upperLetter"/>
      <w:lvlText w:val="%1."/>
      <w:lvlJc w:val="left"/>
      <w:pPr>
        <w:ind w:left="1867" w:hanging="423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8C54F8C2">
      <w:start w:val="1"/>
      <w:numFmt w:val="bullet"/>
      <w:lvlText w:val="•"/>
      <w:lvlJc w:val="left"/>
      <w:pPr>
        <w:ind w:left="2535" w:hanging="423"/>
      </w:pPr>
      <w:rPr>
        <w:rFonts w:hint="default"/>
      </w:rPr>
    </w:lvl>
    <w:lvl w:ilvl="2" w:tplc="C404592A">
      <w:start w:val="1"/>
      <w:numFmt w:val="bullet"/>
      <w:lvlText w:val="•"/>
      <w:lvlJc w:val="left"/>
      <w:pPr>
        <w:ind w:left="3202" w:hanging="423"/>
      </w:pPr>
      <w:rPr>
        <w:rFonts w:hint="default"/>
      </w:rPr>
    </w:lvl>
    <w:lvl w:ilvl="3" w:tplc="17206C02">
      <w:start w:val="1"/>
      <w:numFmt w:val="bullet"/>
      <w:lvlText w:val="•"/>
      <w:lvlJc w:val="left"/>
      <w:pPr>
        <w:ind w:left="3870" w:hanging="423"/>
      </w:pPr>
      <w:rPr>
        <w:rFonts w:hint="default"/>
      </w:rPr>
    </w:lvl>
    <w:lvl w:ilvl="4" w:tplc="0354F8B6">
      <w:start w:val="1"/>
      <w:numFmt w:val="bullet"/>
      <w:lvlText w:val="•"/>
      <w:lvlJc w:val="left"/>
      <w:pPr>
        <w:ind w:left="4538" w:hanging="423"/>
      </w:pPr>
      <w:rPr>
        <w:rFonts w:hint="default"/>
      </w:rPr>
    </w:lvl>
    <w:lvl w:ilvl="5" w:tplc="063EF0A0">
      <w:start w:val="1"/>
      <w:numFmt w:val="bullet"/>
      <w:lvlText w:val="•"/>
      <w:lvlJc w:val="left"/>
      <w:pPr>
        <w:ind w:left="5206" w:hanging="423"/>
      </w:pPr>
      <w:rPr>
        <w:rFonts w:hint="default"/>
      </w:rPr>
    </w:lvl>
    <w:lvl w:ilvl="6" w:tplc="F1B68664">
      <w:start w:val="1"/>
      <w:numFmt w:val="bullet"/>
      <w:lvlText w:val="•"/>
      <w:lvlJc w:val="left"/>
      <w:pPr>
        <w:ind w:left="5874" w:hanging="423"/>
      </w:pPr>
      <w:rPr>
        <w:rFonts w:hint="default"/>
      </w:rPr>
    </w:lvl>
    <w:lvl w:ilvl="7" w:tplc="08E47394">
      <w:start w:val="1"/>
      <w:numFmt w:val="bullet"/>
      <w:lvlText w:val="•"/>
      <w:lvlJc w:val="left"/>
      <w:pPr>
        <w:ind w:left="6542" w:hanging="423"/>
      </w:pPr>
      <w:rPr>
        <w:rFonts w:hint="default"/>
      </w:rPr>
    </w:lvl>
    <w:lvl w:ilvl="8" w:tplc="7590795E">
      <w:start w:val="1"/>
      <w:numFmt w:val="bullet"/>
      <w:lvlText w:val="•"/>
      <w:lvlJc w:val="left"/>
      <w:pPr>
        <w:ind w:left="7209" w:hanging="423"/>
      </w:pPr>
      <w:rPr>
        <w:rFonts w:hint="default"/>
      </w:rPr>
    </w:lvl>
  </w:abstractNum>
  <w:abstractNum w:abstractNumId="3" w15:restartNumberingAfterBreak="0">
    <w:nsid w:val="253D4225"/>
    <w:multiLevelType w:val="multilevel"/>
    <w:tmpl w:val="0A280646"/>
    <w:lvl w:ilvl="0">
      <w:start w:val="1"/>
      <w:numFmt w:val="decimal"/>
      <w:lvlText w:val="%1."/>
      <w:lvlJc w:val="left"/>
      <w:pPr>
        <w:ind w:left="819" w:hanging="708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19" w:hanging="708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846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3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1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8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6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0" w:hanging="708"/>
      </w:pPr>
      <w:rPr>
        <w:rFonts w:hint="default"/>
      </w:rPr>
    </w:lvl>
  </w:abstractNum>
  <w:abstractNum w:abstractNumId="4" w15:restartNumberingAfterBreak="0">
    <w:nsid w:val="31A2521B"/>
    <w:multiLevelType w:val="hybridMultilevel"/>
    <w:tmpl w:val="3992164E"/>
    <w:lvl w:ilvl="0" w:tplc="1E248FD8">
      <w:start w:val="1"/>
      <w:numFmt w:val="bullet"/>
      <w:lvlText w:val=""/>
      <w:lvlJc w:val="left"/>
      <w:pPr>
        <w:ind w:left="394" w:hanging="540"/>
      </w:pPr>
      <w:rPr>
        <w:rFonts w:ascii="Symbol" w:eastAsia="Symbol" w:hAnsi="Symbol" w:hint="default"/>
        <w:sz w:val="22"/>
        <w:szCs w:val="22"/>
      </w:rPr>
    </w:lvl>
    <w:lvl w:ilvl="1" w:tplc="F74CE6F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2"/>
        <w:szCs w:val="22"/>
      </w:rPr>
    </w:lvl>
    <w:lvl w:ilvl="2" w:tplc="53E61F8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3" w:tplc="47B20BD8">
      <w:start w:val="1"/>
      <w:numFmt w:val="bullet"/>
      <w:lvlText w:val="•"/>
      <w:lvlJc w:val="left"/>
      <w:pPr>
        <w:ind w:left="2691" w:hanging="360"/>
      </w:pPr>
      <w:rPr>
        <w:rFonts w:hint="default"/>
      </w:rPr>
    </w:lvl>
    <w:lvl w:ilvl="4" w:tplc="A8B46D54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C2641B10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6" w:tplc="824AC1D8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10606F38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  <w:lvl w:ilvl="8" w:tplc="5866CE58">
      <w:start w:val="1"/>
      <w:numFmt w:val="bullet"/>
      <w:lvlText w:val="•"/>
      <w:lvlJc w:val="left"/>
      <w:pPr>
        <w:ind w:left="7372" w:hanging="360"/>
      </w:pPr>
      <w:rPr>
        <w:rFonts w:hint="default"/>
      </w:rPr>
    </w:lvl>
  </w:abstractNum>
  <w:abstractNum w:abstractNumId="5" w15:restartNumberingAfterBreak="0">
    <w:nsid w:val="498C5454"/>
    <w:multiLevelType w:val="hybridMultilevel"/>
    <w:tmpl w:val="E83600A8"/>
    <w:lvl w:ilvl="0" w:tplc="94C831D8">
      <w:start w:val="1"/>
      <w:numFmt w:val="lowerLetter"/>
      <w:lvlText w:val="%1"/>
      <w:lvlJc w:val="left"/>
      <w:pPr>
        <w:ind w:left="211" w:hanging="708"/>
      </w:pPr>
      <w:rPr>
        <w:rFonts w:ascii="Times New Roman" w:eastAsia="Times New Roman" w:hAnsi="Times New Roman" w:hint="default"/>
        <w:sz w:val="22"/>
        <w:szCs w:val="22"/>
      </w:rPr>
    </w:lvl>
    <w:lvl w:ilvl="1" w:tplc="9A9A7D2A">
      <w:start w:val="1"/>
      <w:numFmt w:val="bullet"/>
      <w:lvlText w:val="•"/>
      <w:lvlJc w:val="left"/>
      <w:pPr>
        <w:ind w:left="1140" w:hanging="708"/>
      </w:pPr>
      <w:rPr>
        <w:rFonts w:hint="default"/>
      </w:rPr>
    </w:lvl>
    <w:lvl w:ilvl="2" w:tplc="5464EAB8">
      <w:start w:val="1"/>
      <w:numFmt w:val="bullet"/>
      <w:lvlText w:val="•"/>
      <w:lvlJc w:val="left"/>
      <w:pPr>
        <w:ind w:left="2070" w:hanging="708"/>
      </w:pPr>
      <w:rPr>
        <w:rFonts w:hint="default"/>
      </w:rPr>
    </w:lvl>
    <w:lvl w:ilvl="3" w:tplc="15FCAAFE">
      <w:start w:val="1"/>
      <w:numFmt w:val="bullet"/>
      <w:lvlText w:val="•"/>
      <w:lvlJc w:val="left"/>
      <w:pPr>
        <w:ind w:left="2999" w:hanging="708"/>
      </w:pPr>
      <w:rPr>
        <w:rFonts w:hint="default"/>
      </w:rPr>
    </w:lvl>
    <w:lvl w:ilvl="4" w:tplc="80140CA8">
      <w:start w:val="1"/>
      <w:numFmt w:val="bullet"/>
      <w:lvlText w:val="•"/>
      <w:lvlJc w:val="left"/>
      <w:pPr>
        <w:ind w:left="3928" w:hanging="708"/>
      </w:pPr>
      <w:rPr>
        <w:rFonts w:hint="default"/>
      </w:rPr>
    </w:lvl>
    <w:lvl w:ilvl="5" w:tplc="EB281FC6">
      <w:start w:val="1"/>
      <w:numFmt w:val="bullet"/>
      <w:lvlText w:val="•"/>
      <w:lvlJc w:val="left"/>
      <w:pPr>
        <w:ind w:left="4858" w:hanging="708"/>
      </w:pPr>
      <w:rPr>
        <w:rFonts w:hint="default"/>
      </w:rPr>
    </w:lvl>
    <w:lvl w:ilvl="6" w:tplc="665E92F8">
      <w:start w:val="1"/>
      <w:numFmt w:val="bullet"/>
      <w:lvlText w:val="•"/>
      <w:lvlJc w:val="left"/>
      <w:pPr>
        <w:ind w:left="5787" w:hanging="708"/>
      </w:pPr>
      <w:rPr>
        <w:rFonts w:hint="default"/>
      </w:rPr>
    </w:lvl>
    <w:lvl w:ilvl="7" w:tplc="AA7CDEE4">
      <w:start w:val="1"/>
      <w:numFmt w:val="bullet"/>
      <w:lvlText w:val="•"/>
      <w:lvlJc w:val="left"/>
      <w:pPr>
        <w:ind w:left="6717" w:hanging="708"/>
      </w:pPr>
      <w:rPr>
        <w:rFonts w:hint="default"/>
      </w:rPr>
    </w:lvl>
    <w:lvl w:ilvl="8" w:tplc="6B504350">
      <w:start w:val="1"/>
      <w:numFmt w:val="bullet"/>
      <w:lvlText w:val="•"/>
      <w:lvlJc w:val="left"/>
      <w:pPr>
        <w:ind w:left="7646" w:hanging="708"/>
      </w:pPr>
      <w:rPr>
        <w:rFonts w:hint="default"/>
      </w:rPr>
    </w:lvl>
  </w:abstractNum>
  <w:abstractNum w:abstractNumId="6" w15:restartNumberingAfterBreak="0">
    <w:nsid w:val="53C274AC"/>
    <w:multiLevelType w:val="hybridMultilevel"/>
    <w:tmpl w:val="5242477E"/>
    <w:lvl w:ilvl="0" w:tplc="4170F778">
      <w:start w:val="1"/>
      <w:numFmt w:val="upperLetter"/>
      <w:lvlText w:val="%1."/>
      <w:lvlJc w:val="left"/>
      <w:pPr>
        <w:ind w:left="677" w:hanging="540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7144B322">
      <w:start w:val="1"/>
      <w:numFmt w:val="bullet"/>
      <w:lvlText w:val="•"/>
      <w:lvlJc w:val="left"/>
      <w:pPr>
        <w:ind w:left="1534" w:hanging="540"/>
      </w:pPr>
      <w:rPr>
        <w:rFonts w:hint="default"/>
      </w:rPr>
    </w:lvl>
    <w:lvl w:ilvl="2" w:tplc="AD924D28">
      <w:start w:val="1"/>
      <w:numFmt w:val="bullet"/>
      <w:lvlText w:val="•"/>
      <w:lvlJc w:val="left"/>
      <w:pPr>
        <w:ind w:left="2391" w:hanging="540"/>
      </w:pPr>
      <w:rPr>
        <w:rFonts w:hint="default"/>
      </w:rPr>
    </w:lvl>
    <w:lvl w:ilvl="3" w:tplc="85687806">
      <w:start w:val="1"/>
      <w:numFmt w:val="bullet"/>
      <w:lvlText w:val="•"/>
      <w:lvlJc w:val="left"/>
      <w:pPr>
        <w:ind w:left="3247" w:hanging="540"/>
      </w:pPr>
      <w:rPr>
        <w:rFonts w:hint="default"/>
      </w:rPr>
    </w:lvl>
    <w:lvl w:ilvl="4" w:tplc="F7CC0076">
      <w:start w:val="1"/>
      <w:numFmt w:val="bullet"/>
      <w:lvlText w:val="•"/>
      <w:lvlJc w:val="left"/>
      <w:pPr>
        <w:ind w:left="4104" w:hanging="540"/>
      </w:pPr>
      <w:rPr>
        <w:rFonts w:hint="default"/>
      </w:rPr>
    </w:lvl>
    <w:lvl w:ilvl="5" w:tplc="0142A2CA">
      <w:start w:val="1"/>
      <w:numFmt w:val="bullet"/>
      <w:lvlText w:val="•"/>
      <w:lvlJc w:val="left"/>
      <w:pPr>
        <w:ind w:left="4961" w:hanging="540"/>
      </w:pPr>
      <w:rPr>
        <w:rFonts w:hint="default"/>
      </w:rPr>
    </w:lvl>
    <w:lvl w:ilvl="6" w:tplc="A612730A">
      <w:start w:val="1"/>
      <w:numFmt w:val="bullet"/>
      <w:lvlText w:val="•"/>
      <w:lvlJc w:val="left"/>
      <w:pPr>
        <w:ind w:left="5818" w:hanging="540"/>
      </w:pPr>
      <w:rPr>
        <w:rFonts w:hint="default"/>
      </w:rPr>
    </w:lvl>
    <w:lvl w:ilvl="7" w:tplc="D284C5BC">
      <w:start w:val="1"/>
      <w:numFmt w:val="bullet"/>
      <w:lvlText w:val="•"/>
      <w:lvlJc w:val="left"/>
      <w:pPr>
        <w:ind w:left="6675" w:hanging="540"/>
      </w:pPr>
      <w:rPr>
        <w:rFonts w:hint="default"/>
      </w:rPr>
    </w:lvl>
    <w:lvl w:ilvl="8" w:tplc="4852F3E4">
      <w:start w:val="1"/>
      <w:numFmt w:val="bullet"/>
      <w:lvlText w:val="•"/>
      <w:lvlJc w:val="left"/>
      <w:pPr>
        <w:ind w:left="7531" w:hanging="540"/>
      </w:pPr>
      <w:rPr>
        <w:rFonts w:hint="default"/>
      </w:rPr>
    </w:lvl>
  </w:abstractNum>
  <w:abstractNum w:abstractNumId="7" w15:restartNumberingAfterBreak="0">
    <w:nsid w:val="53F0778E"/>
    <w:multiLevelType w:val="hybridMultilevel"/>
    <w:tmpl w:val="CBDAE7CE"/>
    <w:lvl w:ilvl="0" w:tplc="5EB22AFC">
      <w:start w:val="1"/>
      <w:numFmt w:val="bullet"/>
      <w:lvlText w:val=""/>
      <w:lvlJc w:val="left"/>
      <w:pPr>
        <w:ind w:left="677" w:hanging="567"/>
      </w:pPr>
      <w:rPr>
        <w:rFonts w:ascii="Symbol" w:eastAsia="Symbol" w:hAnsi="Symbol" w:hint="default"/>
        <w:sz w:val="22"/>
        <w:szCs w:val="22"/>
      </w:rPr>
    </w:lvl>
    <w:lvl w:ilvl="1" w:tplc="7E806418">
      <w:start w:val="1"/>
      <w:numFmt w:val="bullet"/>
      <w:lvlText w:val="•"/>
      <w:lvlJc w:val="left"/>
      <w:pPr>
        <w:ind w:left="1534" w:hanging="567"/>
      </w:pPr>
      <w:rPr>
        <w:rFonts w:hint="default"/>
      </w:rPr>
    </w:lvl>
    <w:lvl w:ilvl="2" w:tplc="7766228A">
      <w:start w:val="1"/>
      <w:numFmt w:val="bullet"/>
      <w:lvlText w:val="•"/>
      <w:lvlJc w:val="left"/>
      <w:pPr>
        <w:ind w:left="2391" w:hanging="567"/>
      </w:pPr>
      <w:rPr>
        <w:rFonts w:hint="default"/>
      </w:rPr>
    </w:lvl>
    <w:lvl w:ilvl="3" w:tplc="65B2C998">
      <w:start w:val="1"/>
      <w:numFmt w:val="bullet"/>
      <w:lvlText w:val="•"/>
      <w:lvlJc w:val="left"/>
      <w:pPr>
        <w:ind w:left="3247" w:hanging="567"/>
      </w:pPr>
      <w:rPr>
        <w:rFonts w:hint="default"/>
      </w:rPr>
    </w:lvl>
    <w:lvl w:ilvl="4" w:tplc="50ECC930">
      <w:start w:val="1"/>
      <w:numFmt w:val="bullet"/>
      <w:lvlText w:val="•"/>
      <w:lvlJc w:val="left"/>
      <w:pPr>
        <w:ind w:left="4104" w:hanging="567"/>
      </w:pPr>
      <w:rPr>
        <w:rFonts w:hint="default"/>
      </w:rPr>
    </w:lvl>
    <w:lvl w:ilvl="5" w:tplc="B23EA264">
      <w:start w:val="1"/>
      <w:numFmt w:val="bullet"/>
      <w:lvlText w:val="•"/>
      <w:lvlJc w:val="left"/>
      <w:pPr>
        <w:ind w:left="4961" w:hanging="567"/>
      </w:pPr>
      <w:rPr>
        <w:rFonts w:hint="default"/>
      </w:rPr>
    </w:lvl>
    <w:lvl w:ilvl="6" w:tplc="4328E1D2">
      <w:start w:val="1"/>
      <w:numFmt w:val="bullet"/>
      <w:lvlText w:val="•"/>
      <w:lvlJc w:val="left"/>
      <w:pPr>
        <w:ind w:left="5818" w:hanging="567"/>
      </w:pPr>
      <w:rPr>
        <w:rFonts w:hint="default"/>
      </w:rPr>
    </w:lvl>
    <w:lvl w:ilvl="7" w:tplc="B4686C7C">
      <w:start w:val="1"/>
      <w:numFmt w:val="bullet"/>
      <w:lvlText w:val="•"/>
      <w:lvlJc w:val="left"/>
      <w:pPr>
        <w:ind w:left="6675" w:hanging="567"/>
      </w:pPr>
      <w:rPr>
        <w:rFonts w:hint="default"/>
      </w:rPr>
    </w:lvl>
    <w:lvl w:ilvl="8" w:tplc="3E9C354A">
      <w:start w:val="1"/>
      <w:numFmt w:val="bullet"/>
      <w:lvlText w:val="•"/>
      <w:lvlJc w:val="left"/>
      <w:pPr>
        <w:ind w:left="7531" w:hanging="567"/>
      </w:pPr>
      <w:rPr>
        <w:rFonts w:hint="default"/>
      </w:rPr>
    </w:lvl>
  </w:abstractNum>
  <w:abstractNum w:abstractNumId="8" w15:restartNumberingAfterBreak="0">
    <w:nsid w:val="543F39DE"/>
    <w:multiLevelType w:val="hybridMultilevel"/>
    <w:tmpl w:val="8D104AD4"/>
    <w:lvl w:ilvl="0" w:tplc="2EAAB8CA">
      <w:start w:val="2"/>
      <w:numFmt w:val="lowerLetter"/>
      <w:lvlText w:val="%1"/>
      <w:lvlJc w:val="left"/>
      <w:pPr>
        <w:ind w:left="939" w:hanging="70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AE3E33BC">
      <w:start w:val="1"/>
      <w:numFmt w:val="bullet"/>
      <w:lvlText w:val="•"/>
      <w:lvlJc w:val="left"/>
      <w:pPr>
        <w:ind w:left="1799" w:hanging="708"/>
      </w:pPr>
      <w:rPr>
        <w:rFonts w:hint="default"/>
      </w:rPr>
    </w:lvl>
    <w:lvl w:ilvl="2" w:tplc="38DCD1AE">
      <w:start w:val="1"/>
      <w:numFmt w:val="bullet"/>
      <w:lvlText w:val="•"/>
      <w:lvlJc w:val="left"/>
      <w:pPr>
        <w:ind w:left="2660" w:hanging="708"/>
      </w:pPr>
      <w:rPr>
        <w:rFonts w:hint="default"/>
      </w:rPr>
    </w:lvl>
    <w:lvl w:ilvl="3" w:tplc="B7C46974">
      <w:start w:val="1"/>
      <w:numFmt w:val="bullet"/>
      <w:lvlText w:val="•"/>
      <w:lvlJc w:val="left"/>
      <w:pPr>
        <w:ind w:left="3521" w:hanging="708"/>
      </w:pPr>
      <w:rPr>
        <w:rFonts w:hint="default"/>
      </w:rPr>
    </w:lvl>
    <w:lvl w:ilvl="4" w:tplc="E2D47000">
      <w:start w:val="1"/>
      <w:numFmt w:val="bullet"/>
      <w:lvlText w:val="•"/>
      <w:lvlJc w:val="left"/>
      <w:pPr>
        <w:ind w:left="4381" w:hanging="708"/>
      </w:pPr>
      <w:rPr>
        <w:rFonts w:hint="default"/>
      </w:rPr>
    </w:lvl>
    <w:lvl w:ilvl="5" w:tplc="409E4F7C">
      <w:start w:val="1"/>
      <w:numFmt w:val="bullet"/>
      <w:lvlText w:val="•"/>
      <w:lvlJc w:val="left"/>
      <w:pPr>
        <w:ind w:left="5242" w:hanging="708"/>
      </w:pPr>
      <w:rPr>
        <w:rFonts w:hint="default"/>
      </w:rPr>
    </w:lvl>
    <w:lvl w:ilvl="6" w:tplc="DD64010A">
      <w:start w:val="1"/>
      <w:numFmt w:val="bullet"/>
      <w:lvlText w:val="•"/>
      <w:lvlJc w:val="left"/>
      <w:pPr>
        <w:ind w:left="6102" w:hanging="708"/>
      </w:pPr>
      <w:rPr>
        <w:rFonts w:hint="default"/>
      </w:rPr>
    </w:lvl>
    <w:lvl w:ilvl="7" w:tplc="4C246EC2">
      <w:start w:val="1"/>
      <w:numFmt w:val="bullet"/>
      <w:lvlText w:val="•"/>
      <w:lvlJc w:val="left"/>
      <w:pPr>
        <w:ind w:left="6963" w:hanging="708"/>
      </w:pPr>
      <w:rPr>
        <w:rFonts w:hint="default"/>
      </w:rPr>
    </w:lvl>
    <w:lvl w:ilvl="8" w:tplc="9E64DD38">
      <w:start w:val="1"/>
      <w:numFmt w:val="bullet"/>
      <w:lvlText w:val="•"/>
      <w:lvlJc w:val="left"/>
      <w:pPr>
        <w:ind w:left="7824" w:hanging="708"/>
      </w:pPr>
      <w:rPr>
        <w:rFonts w:hint="default"/>
      </w:rPr>
    </w:lvl>
  </w:abstractNum>
  <w:abstractNum w:abstractNumId="9" w15:restartNumberingAfterBreak="0">
    <w:nsid w:val="5FB02B39"/>
    <w:multiLevelType w:val="hybridMultilevel"/>
    <w:tmpl w:val="ABEC2ABE"/>
    <w:lvl w:ilvl="0" w:tplc="3E62A8FA">
      <w:start w:val="1"/>
      <w:numFmt w:val="bullet"/>
      <w:lvlText w:val="-"/>
      <w:lvlJc w:val="left"/>
      <w:pPr>
        <w:ind w:left="47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102ECDC">
      <w:start w:val="1"/>
      <w:numFmt w:val="bullet"/>
      <w:lvlText w:val="•"/>
      <w:lvlJc w:val="left"/>
      <w:pPr>
        <w:ind w:left="1354" w:hanging="360"/>
      </w:pPr>
      <w:rPr>
        <w:rFonts w:hint="default"/>
      </w:rPr>
    </w:lvl>
    <w:lvl w:ilvl="2" w:tplc="6E74C1EA">
      <w:start w:val="1"/>
      <w:numFmt w:val="bullet"/>
      <w:lvlText w:val="•"/>
      <w:lvlJc w:val="left"/>
      <w:pPr>
        <w:ind w:left="2238" w:hanging="360"/>
      </w:pPr>
      <w:rPr>
        <w:rFonts w:hint="default"/>
      </w:rPr>
    </w:lvl>
    <w:lvl w:ilvl="3" w:tplc="9F7A9188">
      <w:start w:val="1"/>
      <w:numFmt w:val="bullet"/>
      <w:lvlText w:val="•"/>
      <w:lvlJc w:val="left"/>
      <w:pPr>
        <w:ind w:left="3121" w:hanging="360"/>
      </w:pPr>
      <w:rPr>
        <w:rFonts w:hint="default"/>
      </w:rPr>
    </w:lvl>
    <w:lvl w:ilvl="4" w:tplc="98B0FD12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5" w:tplc="5E0C724C">
      <w:start w:val="1"/>
      <w:numFmt w:val="bullet"/>
      <w:lvlText w:val="•"/>
      <w:lvlJc w:val="left"/>
      <w:pPr>
        <w:ind w:left="4888" w:hanging="360"/>
      </w:pPr>
      <w:rPr>
        <w:rFonts w:hint="default"/>
      </w:rPr>
    </w:lvl>
    <w:lvl w:ilvl="6" w:tplc="4FA031BC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53DC7C94">
      <w:start w:val="1"/>
      <w:numFmt w:val="bullet"/>
      <w:lvlText w:val="•"/>
      <w:lvlJc w:val="left"/>
      <w:pPr>
        <w:ind w:left="6655" w:hanging="360"/>
      </w:pPr>
      <w:rPr>
        <w:rFonts w:hint="default"/>
      </w:rPr>
    </w:lvl>
    <w:lvl w:ilvl="8" w:tplc="D9901416">
      <w:start w:val="1"/>
      <w:numFmt w:val="bullet"/>
      <w:lvlText w:val="•"/>
      <w:lvlJc w:val="left"/>
      <w:pPr>
        <w:ind w:left="7538" w:hanging="360"/>
      </w:pPr>
      <w:rPr>
        <w:rFonts w:hint="default"/>
      </w:rPr>
    </w:lvl>
  </w:abstractNum>
  <w:abstractNum w:abstractNumId="10" w15:restartNumberingAfterBreak="0">
    <w:nsid w:val="64A856BD"/>
    <w:multiLevelType w:val="hybridMultilevel"/>
    <w:tmpl w:val="8E18AEA4"/>
    <w:lvl w:ilvl="0" w:tplc="3462E646">
      <w:start w:val="1"/>
      <w:numFmt w:val="upperLetter"/>
      <w:lvlText w:val="%1."/>
      <w:lvlJc w:val="left"/>
      <w:pPr>
        <w:ind w:left="3321" w:hanging="269"/>
        <w:jc w:val="righ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AD5E663C">
      <w:start w:val="1"/>
      <w:numFmt w:val="bullet"/>
      <w:lvlText w:val="•"/>
      <w:lvlJc w:val="left"/>
      <w:pPr>
        <w:ind w:left="3843" w:hanging="269"/>
      </w:pPr>
      <w:rPr>
        <w:rFonts w:hint="default"/>
      </w:rPr>
    </w:lvl>
    <w:lvl w:ilvl="2" w:tplc="8DAEE844">
      <w:start w:val="1"/>
      <w:numFmt w:val="bullet"/>
      <w:lvlText w:val="•"/>
      <w:lvlJc w:val="left"/>
      <w:pPr>
        <w:ind w:left="4366" w:hanging="269"/>
      </w:pPr>
      <w:rPr>
        <w:rFonts w:hint="default"/>
      </w:rPr>
    </w:lvl>
    <w:lvl w:ilvl="3" w:tplc="FE90899A">
      <w:start w:val="1"/>
      <w:numFmt w:val="bullet"/>
      <w:lvlText w:val="•"/>
      <w:lvlJc w:val="left"/>
      <w:pPr>
        <w:ind w:left="4888" w:hanging="269"/>
      </w:pPr>
      <w:rPr>
        <w:rFonts w:hint="default"/>
      </w:rPr>
    </w:lvl>
    <w:lvl w:ilvl="4" w:tplc="4E6ABF06">
      <w:start w:val="1"/>
      <w:numFmt w:val="bullet"/>
      <w:lvlText w:val="•"/>
      <w:lvlJc w:val="left"/>
      <w:pPr>
        <w:ind w:left="5410" w:hanging="269"/>
      </w:pPr>
      <w:rPr>
        <w:rFonts w:hint="default"/>
      </w:rPr>
    </w:lvl>
    <w:lvl w:ilvl="5" w:tplc="DF9E51F8">
      <w:start w:val="1"/>
      <w:numFmt w:val="bullet"/>
      <w:lvlText w:val="•"/>
      <w:lvlJc w:val="left"/>
      <w:pPr>
        <w:ind w:left="5933" w:hanging="269"/>
      </w:pPr>
      <w:rPr>
        <w:rFonts w:hint="default"/>
      </w:rPr>
    </w:lvl>
    <w:lvl w:ilvl="6" w:tplc="02AAB610">
      <w:start w:val="1"/>
      <w:numFmt w:val="bullet"/>
      <w:lvlText w:val="•"/>
      <w:lvlJc w:val="left"/>
      <w:pPr>
        <w:ind w:left="6455" w:hanging="269"/>
      </w:pPr>
      <w:rPr>
        <w:rFonts w:hint="default"/>
      </w:rPr>
    </w:lvl>
    <w:lvl w:ilvl="7" w:tplc="3B4E7966">
      <w:start w:val="1"/>
      <w:numFmt w:val="bullet"/>
      <w:lvlText w:val="•"/>
      <w:lvlJc w:val="left"/>
      <w:pPr>
        <w:ind w:left="6978" w:hanging="269"/>
      </w:pPr>
      <w:rPr>
        <w:rFonts w:hint="default"/>
      </w:rPr>
    </w:lvl>
    <w:lvl w:ilvl="8" w:tplc="CD76D882">
      <w:start w:val="1"/>
      <w:numFmt w:val="bullet"/>
      <w:lvlText w:val="•"/>
      <w:lvlJc w:val="left"/>
      <w:pPr>
        <w:ind w:left="7500" w:hanging="269"/>
      </w:pPr>
      <w:rPr>
        <w:rFonts w:hint="default"/>
      </w:rPr>
    </w:lvl>
  </w:abstractNum>
  <w:abstractNum w:abstractNumId="11" w15:restartNumberingAfterBreak="0">
    <w:nsid w:val="6D5F2192"/>
    <w:multiLevelType w:val="hybridMultilevel"/>
    <w:tmpl w:val="0CEAD6D8"/>
    <w:lvl w:ilvl="0" w:tplc="CCC66D18">
      <w:start w:val="1"/>
      <w:numFmt w:val="decimal"/>
      <w:lvlText w:val="%1."/>
      <w:lvlJc w:val="left"/>
      <w:pPr>
        <w:ind w:left="819" w:hanging="708"/>
      </w:pPr>
      <w:rPr>
        <w:rFonts w:ascii="Times New Roman" w:eastAsia="Times New Roman" w:hAnsi="Times New Roman" w:hint="default"/>
        <w:sz w:val="22"/>
        <w:szCs w:val="22"/>
      </w:rPr>
    </w:lvl>
    <w:lvl w:ilvl="1" w:tplc="CF127EA8">
      <w:start w:val="1"/>
      <w:numFmt w:val="bullet"/>
      <w:lvlText w:val="•"/>
      <w:lvlJc w:val="left"/>
      <w:pPr>
        <w:ind w:left="1665" w:hanging="708"/>
      </w:pPr>
      <w:rPr>
        <w:rFonts w:hint="default"/>
      </w:rPr>
    </w:lvl>
    <w:lvl w:ilvl="2" w:tplc="7654FFE4">
      <w:start w:val="1"/>
      <w:numFmt w:val="bullet"/>
      <w:lvlText w:val="•"/>
      <w:lvlJc w:val="left"/>
      <w:pPr>
        <w:ind w:left="2512" w:hanging="708"/>
      </w:pPr>
      <w:rPr>
        <w:rFonts w:hint="default"/>
      </w:rPr>
    </w:lvl>
    <w:lvl w:ilvl="3" w:tplc="6494DA5E">
      <w:start w:val="1"/>
      <w:numFmt w:val="bullet"/>
      <w:lvlText w:val="•"/>
      <w:lvlJc w:val="left"/>
      <w:pPr>
        <w:ind w:left="3359" w:hanging="708"/>
      </w:pPr>
      <w:rPr>
        <w:rFonts w:hint="default"/>
      </w:rPr>
    </w:lvl>
    <w:lvl w:ilvl="4" w:tplc="EB769D02">
      <w:start w:val="1"/>
      <w:numFmt w:val="bullet"/>
      <w:lvlText w:val="•"/>
      <w:lvlJc w:val="left"/>
      <w:pPr>
        <w:ind w:left="4205" w:hanging="708"/>
      </w:pPr>
      <w:rPr>
        <w:rFonts w:hint="default"/>
      </w:rPr>
    </w:lvl>
    <w:lvl w:ilvl="5" w:tplc="028033B2">
      <w:start w:val="1"/>
      <w:numFmt w:val="bullet"/>
      <w:lvlText w:val="•"/>
      <w:lvlJc w:val="left"/>
      <w:pPr>
        <w:ind w:left="5052" w:hanging="708"/>
      </w:pPr>
      <w:rPr>
        <w:rFonts w:hint="default"/>
      </w:rPr>
    </w:lvl>
    <w:lvl w:ilvl="6" w:tplc="7E70F1B2">
      <w:start w:val="1"/>
      <w:numFmt w:val="bullet"/>
      <w:lvlText w:val="•"/>
      <w:lvlJc w:val="left"/>
      <w:pPr>
        <w:ind w:left="5898" w:hanging="708"/>
      </w:pPr>
      <w:rPr>
        <w:rFonts w:hint="default"/>
      </w:rPr>
    </w:lvl>
    <w:lvl w:ilvl="7" w:tplc="DC3A6044">
      <w:start w:val="1"/>
      <w:numFmt w:val="bullet"/>
      <w:lvlText w:val="•"/>
      <w:lvlJc w:val="left"/>
      <w:pPr>
        <w:ind w:left="6745" w:hanging="708"/>
      </w:pPr>
      <w:rPr>
        <w:rFonts w:hint="default"/>
      </w:rPr>
    </w:lvl>
    <w:lvl w:ilvl="8" w:tplc="72A48C06">
      <w:start w:val="1"/>
      <w:numFmt w:val="bullet"/>
      <w:lvlText w:val="•"/>
      <w:lvlJc w:val="left"/>
      <w:pPr>
        <w:ind w:left="7592" w:hanging="708"/>
      </w:pPr>
      <w:rPr>
        <w:rFonts w:hint="default"/>
      </w:rPr>
    </w:lvl>
  </w:abstractNum>
  <w:abstractNum w:abstractNumId="12" w15:restartNumberingAfterBreak="0">
    <w:nsid w:val="7AED220B"/>
    <w:multiLevelType w:val="hybridMultilevel"/>
    <w:tmpl w:val="683C4E7C"/>
    <w:lvl w:ilvl="0" w:tplc="39784250">
      <w:start w:val="1"/>
      <w:numFmt w:val="decimal"/>
      <w:lvlText w:val="%1."/>
      <w:lvlJc w:val="left"/>
      <w:pPr>
        <w:ind w:left="111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42867F1A">
      <w:start w:val="1"/>
      <w:numFmt w:val="bullet"/>
      <w:lvlText w:val=""/>
      <w:lvlJc w:val="left"/>
      <w:pPr>
        <w:ind w:left="831" w:hanging="360"/>
      </w:pPr>
      <w:rPr>
        <w:rFonts w:ascii="Symbol" w:eastAsia="Symbol" w:hAnsi="Symbol" w:hint="default"/>
        <w:sz w:val="22"/>
        <w:szCs w:val="22"/>
      </w:rPr>
    </w:lvl>
    <w:lvl w:ilvl="2" w:tplc="85DEF81E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2D2AF8D2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4" w:tplc="4516C1A8">
      <w:start w:val="1"/>
      <w:numFmt w:val="bullet"/>
      <w:lvlText w:val="•"/>
      <w:lvlJc w:val="left"/>
      <w:pPr>
        <w:ind w:left="3635" w:hanging="360"/>
      </w:pPr>
      <w:rPr>
        <w:rFonts w:hint="default"/>
      </w:rPr>
    </w:lvl>
    <w:lvl w:ilvl="5" w:tplc="DE18ED08">
      <w:start w:val="1"/>
      <w:numFmt w:val="bullet"/>
      <w:lvlText w:val="•"/>
      <w:lvlJc w:val="left"/>
      <w:pPr>
        <w:ind w:left="4570" w:hanging="360"/>
      </w:pPr>
      <w:rPr>
        <w:rFonts w:hint="default"/>
      </w:rPr>
    </w:lvl>
    <w:lvl w:ilvl="6" w:tplc="CDCA7C26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7" w:tplc="264A3398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8" w:tplc="A9F0FC40">
      <w:start w:val="1"/>
      <w:numFmt w:val="bullet"/>
      <w:lvlText w:val="•"/>
      <w:lvlJc w:val="left"/>
      <w:pPr>
        <w:ind w:left="7375" w:hanging="3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2"/>
  </w:num>
  <w:num w:numId="5">
    <w:abstractNumId w:val="11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2C33"/>
    <w:rsid w:val="00046A38"/>
    <w:rsid w:val="00116A45"/>
    <w:rsid w:val="00150229"/>
    <w:rsid w:val="001543A0"/>
    <w:rsid w:val="00165834"/>
    <w:rsid w:val="00196BC3"/>
    <w:rsid w:val="0029754D"/>
    <w:rsid w:val="002A5159"/>
    <w:rsid w:val="002C1CED"/>
    <w:rsid w:val="00326ADF"/>
    <w:rsid w:val="00352016"/>
    <w:rsid w:val="0037611A"/>
    <w:rsid w:val="003C1EF3"/>
    <w:rsid w:val="003C749C"/>
    <w:rsid w:val="003F5D9C"/>
    <w:rsid w:val="004033FE"/>
    <w:rsid w:val="00421828"/>
    <w:rsid w:val="0042688B"/>
    <w:rsid w:val="004568C3"/>
    <w:rsid w:val="00460636"/>
    <w:rsid w:val="004E58F0"/>
    <w:rsid w:val="00547F05"/>
    <w:rsid w:val="005E7A85"/>
    <w:rsid w:val="00645AB7"/>
    <w:rsid w:val="0068545A"/>
    <w:rsid w:val="00711DDE"/>
    <w:rsid w:val="0074185A"/>
    <w:rsid w:val="00764A81"/>
    <w:rsid w:val="007A0F31"/>
    <w:rsid w:val="008174E0"/>
    <w:rsid w:val="00841DE3"/>
    <w:rsid w:val="008477A4"/>
    <w:rsid w:val="008479D7"/>
    <w:rsid w:val="00876B62"/>
    <w:rsid w:val="008825FE"/>
    <w:rsid w:val="008B1531"/>
    <w:rsid w:val="008C7076"/>
    <w:rsid w:val="008F2498"/>
    <w:rsid w:val="009354F4"/>
    <w:rsid w:val="00A5542B"/>
    <w:rsid w:val="00A81743"/>
    <w:rsid w:val="00AC2922"/>
    <w:rsid w:val="00AC6328"/>
    <w:rsid w:val="00AD3504"/>
    <w:rsid w:val="00AF2C33"/>
    <w:rsid w:val="00B7232E"/>
    <w:rsid w:val="00BB53F4"/>
    <w:rsid w:val="00C17A5E"/>
    <w:rsid w:val="00CE12BF"/>
    <w:rsid w:val="00CE3049"/>
    <w:rsid w:val="00D36FCC"/>
    <w:rsid w:val="00D4531E"/>
    <w:rsid w:val="00D45D95"/>
    <w:rsid w:val="00D961CB"/>
    <w:rsid w:val="00DB6D2D"/>
    <w:rsid w:val="00DD0230"/>
    <w:rsid w:val="00E1242D"/>
    <w:rsid w:val="00E426F2"/>
    <w:rsid w:val="00E4485A"/>
    <w:rsid w:val="00EE2F8B"/>
    <w:rsid w:val="00F71D04"/>
    <w:rsid w:val="00FA77F7"/>
    <w:rsid w:val="00FA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B3EE063"/>
  <w15:docId w15:val="{76529069-6CB4-4D1B-B36A-E153DC44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F2C33"/>
  </w:style>
  <w:style w:type="paragraph" w:styleId="Nadpis1">
    <w:name w:val="heading 1"/>
    <w:basedOn w:val="Normlny"/>
    <w:uiPriority w:val="1"/>
    <w:qFormat/>
    <w:rsid w:val="00AF2C33"/>
    <w:pPr>
      <w:ind w:left="819"/>
      <w:outlineLvl w:val="0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AF2C33"/>
    <w:pPr>
      <w:ind w:left="111"/>
    </w:pPr>
    <w:rPr>
      <w:rFonts w:ascii="Times New Roman" w:eastAsia="Times New Roman" w:hAnsi="Times New Roman"/>
    </w:rPr>
  </w:style>
  <w:style w:type="paragraph" w:styleId="Odsekzoznamu">
    <w:name w:val="List Paragraph"/>
    <w:basedOn w:val="Normlny"/>
    <w:uiPriority w:val="1"/>
    <w:qFormat/>
    <w:rsid w:val="00AF2C33"/>
  </w:style>
  <w:style w:type="paragraph" w:customStyle="1" w:styleId="TableParagraph">
    <w:name w:val="Table Paragraph"/>
    <w:basedOn w:val="Normlny"/>
    <w:uiPriority w:val="1"/>
    <w:qFormat/>
    <w:rsid w:val="00AF2C33"/>
  </w:style>
  <w:style w:type="character" w:customStyle="1" w:styleId="ZkladntextChar">
    <w:name w:val="Základný text Char"/>
    <w:basedOn w:val="Predvolenpsmoodseku"/>
    <w:link w:val="Zkladntext"/>
    <w:uiPriority w:val="1"/>
    <w:rsid w:val="00E4485A"/>
    <w:rPr>
      <w:rFonts w:ascii="Times New Roman" w:eastAsia="Times New Roman" w:hAnsi="Times New Roman"/>
    </w:rPr>
  </w:style>
  <w:style w:type="character" w:customStyle="1" w:styleId="shorttext">
    <w:name w:val="short_text"/>
    <w:basedOn w:val="Predvolenpsmoodseku"/>
    <w:rsid w:val="00E4485A"/>
  </w:style>
  <w:style w:type="paragraph" w:customStyle="1" w:styleId="Default">
    <w:name w:val="Default"/>
    <w:rsid w:val="00DB6D2D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8B15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B1531"/>
  </w:style>
  <w:style w:type="paragraph" w:styleId="Pta">
    <w:name w:val="footer"/>
    <w:basedOn w:val="Normlny"/>
    <w:link w:val="PtaChar"/>
    <w:uiPriority w:val="99"/>
    <w:unhideWhenUsed/>
    <w:rsid w:val="008B15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B1531"/>
  </w:style>
  <w:style w:type="character" w:styleId="Hypertextovprepojenie">
    <w:name w:val="Hyperlink"/>
    <w:rsid w:val="004568C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77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77A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A77F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77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A77F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77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77F7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5E7A85"/>
    <w:pPr>
      <w:widowControl/>
    </w:pPr>
  </w:style>
  <w:style w:type="paragraph" w:customStyle="1" w:styleId="HeadingStrong">
    <w:name w:val="Heading Strong"/>
    <w:basedOn w:val="Normlny"/>
    <w:next w:val="Normlny"/>
    <w:link w:val="HeadingStrongChar"/>
    <w:qFormat/>
    <w:rsid w:val="00D36FCC"/>
    <w:pPr>
      <w:keepNext/>
      <w:keepLines/>
      <w:widowControl/>
      <w:suppressAutoHyphens/>
    </w:pPr>
    <w:rPr>
      <w:rFonts w:ascii="Times New Roman" w:eastAsia="SimSun" w:hAnsi="Times New Roman" w:cs="Times New Roman"/>
      <w:b/>
      <w:bCs/>
      <w:szCs w:val="20"/>
      <w:lang w:val="sk-SK" w:eastAsia="sk-SK"/>
    </w:rPr>
  </w:style>
  <w:style w:type="character" w:customStyle="1" w:styleId="HeadingStrongChar">
    <w:name w:val="Heading Strong Char"/>
    <w:link w:val="HeadingStrong"/>
    <w:locked/>
    <w:rsid w:val="00D36FCC"/>
    <w:rPr>
      <w:rFonts w:ascii="Times New Roman" w:eastAsia="SimSun" w:hAnsi="Times New Roman" w:cs="Times New Roman"/>
      <w:b/>
      <w:bCs/>
      <w:szCs w:val="20"/>
      <w:lang w:val="sk-SK" w:eastAsia="sk-SK"/>
    </w:rPr>
  </w:style>
  <w:style w:type="paragraph" w:customStyle="1" w:styleId="NormalKeep">
    <w:name w:val="Normal Keep"/>
    <w:basedOn w:val="Normlny"/>
    <w:link w:val="NormalKeepChar"/>
    <w:qFormat/>
    <w:rsid w:val="00D36FCC"/>
    <w:pPr>
      <w:keepNext/>
      <w:widowControl/>
      <w:suppressAutoHyphens/>
    </w:pPr>
    <w:rPr>
      <w:rFonts w:ascii="Times New Roman" w:eastAsia="SimSun" w:hAnsi="Times New Roman" w:cs="Times New Roman"/>
      <w:szCs w:val="20"/>
      <w:lang w:val="sk-SK" w:eastAsia="sk-SK"/>
    </w:rPr>
  </w:style>
  <w:style w:type="character" w:customStyle="1" w:styleId="NormalKeepChar">
    <w:name w:val="Normal Keep Char"/>
    <w:link w:val="NormalKeep"/>
    <w:locked/>
    <w:rsid w:val="00D36FCC"/>
    <w:rPr>
      <w:rFonts w:ascii="Times New Roman" w:eastAsia="SimSun" w:hAnsi="Times New Roman" w:cs="Times New Roman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4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17</Pages>
  <Words>6349</Words>
  <Characters>36193</Characters>
  <Application>Microsoft Office Word</Application>
  <DocSecurity>0</DocSecurity>
  <Lines>301</Lines>
  <Paragraphs>84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Iressa, INN-gefitinib</vt:lpstr>
    </vt:vector>
  </TitlesOfParts>
  <Company>SynthonBV</Company>
  <LinksUpToDate>false</LinksUpToDate>
  <CharactersWithSpaces>42458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Iressa, INN-gefitinib</dc:title>
  <dc:subject>EPAR</dc:subject>
  <dc:creator>CHMP</dc:creator>
  <cp:lastModifiedBy>Lacková, Beáta</cp:lastModifiedBy>
  <cp:revision>22</cp:revision>
  <cp:lastPrinted>2018-12-14T09:54:00Z</cp:lastPrinted>
  <dcterms:created xsi:type="dcterms:W3CDTF">2018-07-16T12:12:00Z</dcterms:created>
  <dcterms:modified xsi:type="dcterms:W3CDTF">2018-12-14T09:56:00Z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LastSaved">
    <vt:filetime>2018-07-16T00:00:00Z</vt:filetime>
  </property>
</Properties>
</file>