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1095" w14:textId="77777777" w:rsidR="00784CAA" w:rsidRPr="00A933E2" w:rsidRDefault="00784CAA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28A5F7AD" w14:textId="77777777" w:rsidR="005D3283" w:rsidRPr="00DE7BD8" w:rsidRDefault="005D3283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SÚHRN CHARAKTERISTICKÝCH VLASTNOSTÍ LIEKU</w:t>
      </w:r>
    </w:p>
    <w:p w14:paraId="021B6FA2" w14:textId="77777777" w:rsidR="005D3283" w:rsidRDefault="005D3283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4CC59A" w14:textId="77777777" w:rsidR="00A933E2" w:rsidRPr="00A933E2" w:rsidRDefault="00A933E2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964DC6" w14:textId="77777777" w:rsidR="005D3283" w:rsidRPr="00DE7BD8" w:rsidRDefault="005D3283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NÁZOV LIEKU</w:t>
      </w:r>
    </w:p>
    <w:p w14:paraId="2E32A06A" w14:textId="77777777" w:rsidR="005D3283" w:rsidRPr="00DE7BD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740DA3F" w14:textId="77777777" w:rsidR="0027069F" w:rsidRPr="00E35E38" w:rsidRDefault="00C50E87" w:rsidP="006467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E7BD8">
        <w:rPr>
          <w:rFonts w:ascii="Times New Roman" w:hAnsi="Times New Roman" w:cs="Times New Roman"/>
        </w:rPr>
        <w:t>Aprilene</w:t>
      </w:r>
      <w:proofErr w:type="spellEnd"/>
      <w:r w:rsidRPr="00DE7BD8">
        <w:rPr>
          <w:rFonts w:ascii="Times New Roman" w:hAnsi="Times New Roman" w:cs="Times New Roman"/>
        </w:rPr>
        <w:t> </w:t>
      </w:r>
      <w:r w:rsidRPr="00E35E38">
        <w:rPr>
          <w:rFonts w:ascii="Times New Roman" w:hAnsi="Times New Roman" w:cs="Times New Roman"/>
        </w:rPr>
        <w:t>125 mg</w:t>
      </w:r>
    </w:p>
    <w:p w14:paraId="3E0197A0" w14:textId="77777777" w:rsidR="0027069F" w:rsidRPr="00CF6EC9" w:rsidRDefault="00C50E87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E7BD8">
        <w:rPr>
          <w:rFonts w:ascii="Times New Roman" w:hAnsi="Times New Roman" w:cs="Times New Roman"/>
        </w:rPr>
        <w:t>Aprilene</w:t>
      </w:r>
      <w:proofErr w:type="spellEnd"/>
      <w:r w:rsidRPr="00DE7BD8">
        <w:rPr>
          <w:rFonts w:ascii="Times New Roman" w:hAnsi="Times New Roman" w:cs="Times New Roman"/>
        </w:rPr>
        <w:t> 80 mg</w:t>
      </w:r>
    </w:p>
    <w:p w14:paraId="5E22AED0" w14:textId="77777777" w:rsidR="00C50E87" w:rsidRPr="00E35E38" w:rsidRDefault="00C50E87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F6EC9">
        <w:rPr>
          <w:rFonts w:ascii="Times New Roman" w:hAnsi="Times New Roman" w:cs="Times New Roman"/>
        </w:rPr>
        <w:t>Aprilene</w:t>
      </w:r>
      <w:proofErr w:type="spellEnd"/>
      <w:r w:rsidRPr="00CF6EC9">
        <w:rPr>
          <w:rFonts w:ascii="Times New Roman" w:hAnsi="Times New Roman" w:cs="Times New Roman"/>
        </w:rPr>
        <w:t> </w:t>
      </w:r>
      <w:r w:rsidRPr="00E35E38">
        <w:rPr>
          <w:rFonts w:ascii="Times New Roman" w:hAnsi="Times New Roman" w:cs="Times New Roman"/>
        </w:rPr>
        <w:t>80 mg a </w:t>
      </w:r>
      <w:proofErr w:type="spellStart"/>
      <w:r w:rsidRPr="00DE7BD8">
        <w:rPr>
          <w:rFonts w:ascii="Times New Roman" w:hAnsi="Times New Roman" w:cs="Times New Roman"/>
        </w:rPr>
        <w:t>Aprilene</w:t>
      </w:r>
      <w:proofErr w:type="spellEnd"/>
      <w:r w:rsidRPr="00DE7BD8">
        <w:rPr>
          <w:rFonts w:ascii="Times New Roman" w:hAnsi="Times New Roman" w:cs="Times New Roman"/>
        </w:rPr>
        <w:t> </w:t>
      </w:r>
      <w:r w:rsidRPr="00E35E38">
        <w:rPr>
          <w:rFonts w:ascii="Times New Roman" w:hAnsi="Times New Roman" w:cs="Times New Roman"/>
        </w:rPr>
        <w:t>125 mg</w:t>
      </w:r>
    </w:p>
    <w:p w14:paraId="73994BA8" w14:textId="77777777" w:rsidR="005D3283" w:rsidRPr="00DE7BD8" w:rsidRDefault="00C50E87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hAnsi="Times New Roman" w:cs="Times New Roman"/>
        </w:rPr>
        <w:t>tvrdé kapsuly</w:t>
      </w:r>
    </w:p>
    <w:p w14:paraId="5AF8740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887FE19" w14:textId="77777777" w:rsidR="00CF6EC9" w:rsidRPr="00CF6EC9" w:rsidRDefault="00CF6EC9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42BB87B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KVALITATÍVNE A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 KVANTITATÍVNE ZLOŽENIE</w:t>
      </w:r>
    </w:p>
    <w:p w14:paraId="7C5137B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D49E4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125</w:t>
      </w:r>
      <w:r w:rsidR="00C50E87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 Každá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41C83E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A06AD13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2D2A927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55427E0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72EAC536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339C9890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9958E2D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Úplný zoznam pomocných látok, pozri 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časť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6.1.</w:t>
      </w:r>
    </w:p>
    <w:p w14:paraId="197C213A" w14:textId="77777777" w:rsidR="005D3283" w:rsidRPr="00E35E38" w:rsidRDefault="005D3283" w:rsidP="005D328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136F7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6A8B179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LIEKOVÁ FORMA</w:t>
      </w:r>
    </w:p>
    <w:p w14:paraId="70AD6F75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899C9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Tvrdá kapsula.</w:t>
      </w:r>
    </w:p>
    <w:p w14:paraId="4EC2C0C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06A6FF5" w14:textId="5D928143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640A6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E55BF6E" w14:textId="4DCB7B2A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640A6">
        <w:rPr>
          <w:rFonts w:ascii="Times New Roman" w:eastAsia="Times New Roman" w:hAnsi="Times New Roman" w:cs="Times New Roman"/>
          <w:lang w:eastAsia="sk-SK" w:bidi="sk-SK"/>
        </w:rPr>
        <w:t>y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640A6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A9DA5FF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F5E29A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0032C47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KLINICKÉ ÚDAJE</w:t>
      </w:r>
    </w:p>
    <w:p w14:paraId="14C65CDD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8E53F30" w14:textId="77777777" w:rsidR="005D3283" w:rsidRPr="00E35E38" w:rsidRDefault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Terapeutické indikácie</w:t>
      </w:r>
    </w:p>
    <w:p w14:paraId="2DB5DEE1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34360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Prevencia nevoľnosti a vracania, ktoré sú spojené s vysoko a stredne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emetogénnou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chemoterapiou u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od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rokov.</w:t>
      </w:r>
    </w:p>
    <w:p w14:paraId="2F0A0D1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FA4F952" w14:textId="77777777" w:rsidR="005D3283" w:rsidRPr="00E35E38" w:rsidRDefault="008B0436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D04F2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125</w:t>
      </w:r>
      <w:r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mg/80</w:t>
      </w:r>
      <w:r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 ako súčasť kombinovanej terapie (pozri časť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4.2).</w:t>
      </w:r>
    </w:p>
    <w:p w14:paraId="66FD855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6F0FB77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Dávkovanie a spôsob podávania</w:t>
      </w:r>
    </w:p>
    <w:p w14:paraId="05EBBD7B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FD0C278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Dávkovanie</w:t>
      </w:r>
    </w:p>
    <w:p w14:paraId="46C14491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7F7059BF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Dospelí</w:t>
      </w:r>
    </w:p>
    <w:p w14:paraId="142FE3E2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0C46135F" w14:textId="77777777" w:rsidR="005D3283" w:rsidRPr="00E35E38" w:rsidRDefault="008B0436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dni ako súčasť terapeutického režimu, ktorý zahŕňa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kortikosteroid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a antagonistu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>. Odporúčaná dávka je 125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jednu hodinu pred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začiatkom chemoterapie v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 1 a 80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v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dňoch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 3 ráno.</w:t>
      </w:r>
    </w:p>
    <w:p w14:paraId="7761D4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F2E1D5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prevenciu nevoľnosti a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vracania, ktoré sú spojené s</w:t>
      </w:r>
      <w:r w:rsidR="008B0436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chemoterapio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04F2">
        <w:rPr>
          <w:rFonts w:ascii="Times New Roman" w:eastAsia="SimSun" w:hAnsi="Times New Roman" w:cs="Times New Roman"/>
          <w:spacing w:val="-1"/>
          <w:lang w:eastAsia="fr-FR"/>
        </w:rPr>
        <w:t xml:space="preserve"> proti rakovine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="00EC461B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dospelýc</w:t>
      </w:r>
      <w:r w:rsidRPr="00E35E38">
        <w:rPr>
          <w:rFonts w:ascii="Times New Roman" w:eastAsia="SimSun" w:hAnsi="Times New Roman" w:cs="Times New Roman"/>
          <w:lang w:eastAsia="fr-FR"/>
        </w:rPr>
        <w:t>h odporúč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j</w:t>
      </w:r>
      <w:r w:rsidRPr="00E35E38">
        <w:rPr>
          <w:rFonts w:ascii="Times New Roman" w:eastAsia="SimSun" w:hAnsi="Times New Roman" w:cs="Times New Roman"/>
          <w:lang w:eastAsia="fr-FR"/>
        </w:rPr>
        <w:t>ú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nasledujúce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režim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y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</w:p>
    <w:p w14:paraId="272823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9F0E09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8B0436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vysoko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chemoterapii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848"/>
        <w:gridCol w:w="1838"/>
        <w:gridCol w:w="1836"/>
        <w:gridCol w:w="1768"/>
      </w:tblGrid>
      <w:tr w:rsidR="005D3283" w:rsidRPr="00E35E38" w14:paraId="1667C981" w14:textId="77777777" w:rsidTr="00C50E87">
        <w:trPr>
          <w:trHeight w:hRule="exact" w:val="264"/>
        </w:trPr>
        <w:tc>
          <w:tcPr>
            <w:tcW w:w="1819" w:type="dxa"/>
          </w:tcPr>
          <w:p w14:paraId="38E5824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1877" w:type="dxa"/>
          </w:tcPr>
          <w:p w14:paraId="57C4EF0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1867" w:type="dxa"/>
          </w:tcPr>
          <w:p w14:paraId="3912FA0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1865" w:type="dxa"/>
          </w:tcPr>
          <w:p w14:paraId="280F66A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  <w:tc>
          <w:tcPr>
            <w:tcW w:w="1796" w:type="dxa"/>
          </w:tcPr>
          <w:p w14:paraId="71E26C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4</w:t>
            </w:r>
          </w:p>
        </w:tc>
      </w:tr>
      <w:tr w:rsidR="005D3283" w:rsidRPr="00E35E38" w14:paraId="27679AB7" w14:textId="77777777" w:rsidTr="00C50E87">
        <w:trPr>
          <w:trHeight w:hRule="exact" w:val="262"/>
        </w:trPr>
        <w:tc>
          <w:tcPr>
            <w:tcW w:w="1819" w:type="dxa"/>
          </w:tcPr>
          <w:p w14:paraId="26AA1D3A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  <w:proofErr w:type="spellEnd"/>
          </w:p>
        </w:tc>
        <w:tc>
          <w:tcPr>
            <w:tcW w:w="1877" w:type="dxa"/>
          </w:tcPr>
          <w:p w14:paraId="672FF8D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366AF20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3FD2E14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18198DF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6C311D2F" w14:textId="77777777" w:rsidTr="00C50E87">
        <w:trPr>
          <w:trHeight w:hRule="exact" w:val="264"/>
        </w:trPr>
        <w:tc>
          <w:tcPr>
            <w:tcW w:w="1819" w:type="dxa"/>
          </w:tcPr>
          <w:p w14:paraId="4CA7267C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  <w:proofErr w:type="spellEnd"/>
          </w:p>
        </w:tc>
        <w:tc>
          <w:tcPr>
            <w:tcW w:w="1877" w:type="dxa"/>
          </w:tcPr>
          <w:p w14:paraId="437C52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136BDD4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2C14D4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363A0DD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</w:tr>
      <w:tr w:rsidR="005D3283" w:rsidRPr="00E35E38" w14:paraId="0EF6AB11" w14:textId="77777777" w:rsidTr="00C50E87">
        <w:trPr>
          <w:trHeight w:hRule="exact" w:val="2660"/>
        </w:trPr>
        <w:tc>
          <w:tcPr>
            <w:tcW w:w="1819" w:type="dxa"/>
          </w:tcPr>
          <w:p w14:paraId="3339837E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ntagonisty</w:t>
            </w:r>
            <w:proofErr w:type="spellEnd"/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="005D3283"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1877" w:type="dxa"/>
          </w:tcPr>
          <w:p w14:paraId="40765682" w14:textId="09FDFF0D" w:rsidR="005D3283" w:rsidRPr="00E35E38" w:rsidRDefault="005D3283" w:rsidP="003F07A1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informáciách o lieku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1867" w:type="dxa"/>
          </w:tcPr>
          <w:p w14:paraId="16E19BF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865" w:type="dxa"/>
          </w:tcPr>
          <w:p w14:paraId="6829D5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796" w:type="dxa"/>
          </w:tcPr>
          <w:p w14:paraId="27EECB3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280D537D" w14:textId="77777777" w:rsidR="005D3283" w:rsidRPr="00CF6EC9" w:rsidRDefault="005D3283" w:rsidP="005D3283">
      <w:pPr>
        <w:keepNext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SimSun" w:hAnsi="Times New Roman" w:cs="Times New Roman"/>
          <w:b/>
          <w:bCs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sa má podávať 30</w:t>
      </w:r>
      <w:r w:rsidR="003F07A1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chemoterapiou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deň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1 a ráno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dňoch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2 až 4. Dávka 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dexametazónu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zohľadňuje liekové interakcie.</w:t>
      </w:r>
    </w:p>
    <w:p w14:paraId="2248B19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D2874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3F07A1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stredne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chemoterapii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459"/>
        <w:gridCol w:w="2099"/>
        <w:gridCol w:w="2279"/>
      </w:tblGrid>
      <w:tr w:rsidR="005D3283" w:rsidRPr="00E35E38" w14:paraId="022BA859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EA5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C0F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8B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F49" w14:textId="77777777" w:rsidR="005D3283" w:rsidRPr="00E35E38" w:rsidRDefault="005D3283" w:rsidP="003F07A1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</w:tr>
      <w:tr w:rsidR="005D3283" w:rsidRPr="00E35E38" w14:paraId="045C83D5" w14:textId="77777777" w:rsidTr="00C50E87">
        <w:trPr>
          <w:trHeight w:hRule="exact"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3FB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020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13C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AD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</w:tr>
      <w:tr w:rsidR="005D3283" w:rsidRPr="00E35E38" w14:paraId="5425E1D2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82D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0039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78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70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377ECF96" w14:textId="77777777" w:rsidTr="0027069F">
        <w:trPr>
          <w:trHeight w:hRule="exact" w:val="22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0F21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antagonisty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6A8" w14:textId="5D90A3C1" w:rsidR="005D3283" w:rsidRPr="00E35E38" w:rsidRDefault="005D3283" w:rsidP="003F07A1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 xml:space="preserve"> informáciách o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>lieku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AC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F5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16EE7C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b/>
          <w:bCs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á podávať 30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minút pred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</w:t>
      </w:r>
      <w:r w:rsidR="003F07A1" w:rsidRPr="00E35E38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1.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ohľadňuje liekové interakcie.</w:t>
      </w:r>
    </w:p>
    <w:p w14:paraId="56240C9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002C1A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Pediatrická populácia</w:t>
      </w:r>
    </w:p>
    <w:p w14:paraId="44CD3A74" w14:textId="77777777" w:rsidR="00ED04F2" w:rsidRDefault="00ED04F2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</w:p>
    <w:p w14:paraId="104852D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Dospievajúci (vo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veku 12 až 17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rokov)</w:t>
      </w:r>
    </w:p>
    <w:p w14:paraId="419F3F73" w14:textId="4704A0E4" w:rsidR="005D3283" w:rsidRPr="00E35E38" w:rsidRDefault="003F07A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. Odporúčaná dávka kapsúl </w:t>
      </w:r>
      <w:proofErr w:type="spellStart"/>
      <w:r w:rsidR="00701B39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 a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3. </w:t>
      </w:r>
      <w:proofErr w:type="spellStart"/>
      <w:r w:rsidR="00701B39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perorálne 1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hodinu pred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podaním chemoterapie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1, 2 a 3. Ak sa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 nepodáva žiadna chemoterapia, liek </w:t>
      </w:r>
      <w:proofErr w:type="spellStart"/>
      <w:r w:rsidR="00701B39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podať ráno.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dávkovaní zvoleného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príslušnom súhrne charakteristických vlastností lieku (SPC). Ak sa súbežne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liekom </w:t>
      </w:r>
      <w:proofErr w:type="spellStart"/>
      <w:r w:rsidR="00701B39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podáva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kortikosteroid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ako je napr.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>, má sa podávať 50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% zvyčajnej dávky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kortikosteroidu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(pozri 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 a 5.1).</w:t>
      </w:r>
    </w:p>
    <w:p w14:paraId="1551F8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4C436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Bezpečnosť a účinnosť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kapsúl 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mladších ako 12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rokov </w:t>
      </w:r>
      <w:r w:rsidR="00701B39" w:rsidRPr="00E35E38">
        <w:rPr>
          <w:rFonts w:ascii="Times New Roman" w:eastAsia="SimSun" w:hAnsi="Times New Roman" w:cs="Times New Roman"/>
          <w:lang w:eastAsia="fr-FR"/>
        </w:rPr>
        <w:t xml:space="preserve">nebola </w:t>
      </w:r>
      <w:r w:rsidRPr="00E35E38">
        <w:rPr>
          <w:rFonts w:ascii="Times New Roman" w:eastAsia="SimSun" w:hAnsi="Times New Roman" w:cs="Times New Roman"/>
          <w:lang w:eastAsia="fr-FR"/>
        </w:rPr>
        <w:t>preukázaná. K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dispozícii nie sú žiadne údaje. </w:t>
      </w:r>
    </w:p>
    <w:p w14:paraId="7672A499" w14:textId="77777777" w:rsidR="00B86F74" w:rsidRDefault="00B86F74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2721774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Všeobecné</w:t>
      </w:r>
    </w:p>
    <w:p w14:paraId="49EA5FD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Údaje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inými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kortikosteroidmi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antagonistami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 xml:space="preserve"> sú obmedzené. Ďalšie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kortikosteroidmi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4.5. Pozri SPC súbežne podávaných liekov obsahujúcich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F6CC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C6F5A0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lastRenderedPageBreak/>
        <w:t>Osobitné skupiny pacientov</w:t>
      </w:r>
    </w:p>
    <w:p w14:paraId="66DDAB56" w14:textId="77777777" w:rsidR="00701B39" w:rsidRPr="00E35E38" w:rsidRDefault="00701B39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6102F88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Starš</w:t>
      </w:r>
      <w:r w:rsidR="00701B39" w:rsidRPr="00E35E38">
        <w:rPr>
          <w:rFonts w:ascii="Times New Roman" w:eastAsia="SimSun" w:hAnsi="Times New Roman" w:cs="Times New Roman"/>
          <w:i/>
          <w:lang w:eastAsia="fr-FR"/>
        </w:rPr>
        <w:t>í pacienti</w:t>
      </w:r>
      <w:r w:rsidRPr="00E35E38">
        <w:rPr>
          <w:rFonts w:ascii="Times New Roman" w:eastAsia="SimSun" w:hAnsi="Times New Roman" w:cs="Times New Roman"/>
          <w:i/>
          <w:lang w:eastAsia="fr-FR"/>
        </w:rPr>
        <w:t>(≥ 65 rokov)</w:t>
      </w:r>
    </w:p>
    <w:p w14:paraId="4A063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starších osôb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6ABF08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C1FD10" w14:textId="77777777" w:rsidR="005D3283" w:rsidRPr="00E35E38" w:rsidRDefault="005D3283" w:rsidP="009C7F2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Pohlavie</w:t>
      </w:r>
    </w:p>
    <w:p w14:paraId="56161F0F" w14:textId="77777777" w:rsidR="005D3283" w:rsidRPr="00E35E38" w:rsidRDefault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Vzhľadom na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pohlavie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29B270E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A1D0FE" w14:textId="10E703C6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lang w:eastAsia="fr-FR"/>
        </w:rPr>
        <w:t>obličiek</w:t>
      </w:r>
    </w:p>
    <w:p w14:paraId="03DB64E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lang w:eastAsia="fr-FR"/>
        </w:rPr>
        <w:t>ruchou funkcie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obličiek alebo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="009E67BB" w:rsidRPr="00E35E38">
        <w:rPr>
          <w:rFonts w:ascii="Times New Roman" w:eastAsia="SimSun" w:hAnsi="Times New Roman" w:cs="Times New Roman"/>
          <w:lang w:eastAsia="fr-FR"/>
        </w:rPr>
        <w:t>hemo</w:t>
      </w:r>
      <w:r w:rsidRPr="00E35E38">
        <w:rPr>
          <w:rFonts w:ascii="Times New Roman" w:eastAsia="SimSun" w:hAnsi="Times New Roman" w:cs="Times New Roman"/>
          <w:lang w:eastAsia="fr-FR"/>
        </w:rPr>
        <w:t>dialyzovaných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terminálnym štádiom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renálneho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ochorenia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12BB00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B1AC79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>rucha funkcie</w:t>
      </w:r>
      <w:r w:rsidRPr="00E35E38">
        <w:rPr>
          <w:rFonts w:ascii="Times New Roman" w:eastAsia="SimSun" w:hAnsi="Times New Roman" w:cs="Times New Roman"/>
          <w:i/>
          <w:lang w:eastAsia="fr-FR"/>
        </w:rPr>
        <w:t xml:space="preserve"> pečene</w:t>
      </w:r>
    </w:p>
    <w:p w14:paraId="3D679CC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miern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nie je potrebná úprava dávky.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>ou poruchou funkcie</w:t>
      </w:r>
      <w:r w:rsidRPr="00E35E38">
        <w:rPr>
          <w:rFonts w:ascii="Times New Roman" w:eastAsia="SimSun" w:hAnsi="Times New Roman" w:cs="Times New Roman"/>
          <w:lang w:eastAsia="fr-FR"/>
        </w:rPr>
        <w:t xml:space="preserve"> pečene nie sú dostupné žiadne údaje.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5.2).</w:t>
      </w:r>
    </w:p>
    <w:p w14:paraId="4AF695F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0E357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Spôsob podávania</w:t>
      </w:r>
    </w:p>
    <w:p w14:paraId="5C9A195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Tvrdá kapsula sa má prehltnúť vcelku.</w:t>
      </w:r>
    </w:p>
    <w:p w14:paraId="1ECBFBB3" w14:textId="77777777" w:rsidR="005D3283" w:rsidRPr="00E35E38" w:rsidRDefault="0036667E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už</w:t>
      </w:r>
      <w:r w:rsidRPr="00E35E38">
        <w:rPr>
          <w:rFonts w:ascii="Times New Roman" w:eastAsia="SimSun" w:hAnsi="Times New Roman" w:cs="Times New Roman"/>
          <w:lang w:eastAsia="fr-FR"/>
        </w:rPr>
        <w:t>ívať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jedlom alebo bez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jedla.</w:t>
      </w:r>
    </w:p>
    <w:p w14:paraId="1283BF9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635AF61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Kontraindikácie</w:t>
      </w:r>
    </w:p>
    <w:p w14:paraId="339F2366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B1DDA7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Precitlivenosť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liečivo alebo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ktorúkoľvek 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pomocných látok uvedených v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6.1.</w:t>
      </w:r>
    </w:p>
    <w:p w14:paraId="4353F6D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73101F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 pod</w:t>
      </w:r>
      <w:r w:rsidR="0036667E" w:rsidRPr="00E35E38">
        <w:rPr>
          <w:rFonts w:ascii="Times New Roman" w:eastAsia="SimSun" w:hAnsi="Times New Roman" w:cs="Times New Roman"/>
          <w:lang w:eastAsia="fr-FR"/>
        </w:rPr>
        <w:t>áv</w:t>
      </w:r>
      <w:r w:rsidRPr="00E35E38">
        <w:rPr>
          <w:rFonts w:ascii="Times New Roman" w:eastAsia="SimSun" w:hAnsi="Times New Roman" w:cs="Times New Roman"/>
          <w:lang w:eastAsia="fr-FR"/>
        </w:rPr>
        <w:t>anie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pimozidom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terfenadínom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astemizolom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cisapridom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E24A66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F11E46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Osobitné upozornenia a opatrenia pri používaní</w:t>
      </w:r>
    </w:p>
    <w:p w14:paraId="4C7391BD" w14:textId="77777777" w:rsidR="005D3283" w:rsidRPr="00A933E2" w:rsidRDefault="005D3283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08AAEF7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Pacienti so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CF6EC9">
        <w:rPr>
          <w:rFonts w:ascii="Times New Roman" w:eastAsia="SimSun" w:hAnsi="Times New Roman" w:cs="Times New Roman"/>
          <w:u w:val="single"/>
          <w:lang w:eastAsia="fr-FR"/>
        </w:rPr>
        <w:t>stredne ťažk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ou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až ťažk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pečene</w:t>
      </w:r>
    </w:p>
    <w:p w14:paraId="20B10F4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 xml:space="preserve">pečene nie sú </w:t>
      </w:r>
      <w:r w:rsidR="0036667E" w:rsidRPr="00E35E38">
        <w:rPr>
          <w:rFonts w:ascii="Times New Roman" w:eastAsia="SimSun" w:hAnsi="Times New Roman" w:cs="Times New Roman"/>
          <w:lang w:eastAsia="fr-FR"/>
        </w:rPr>
        <w:t>k dispozícii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 žiadne údaje. </w:t>
      </w:r>
      <w:proofErr w:type="spellStart"/>
      <w:r w:rsidR="0036667E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43A404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647468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Interakcie s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CYP3A4</w:t>
      </w:r>
    </w:p>
    <w:p w14:paraId="7768DF4F" w14:textId="77777777" w:rsidR="005D3283" w:rsidRPr="00E35E38" w:rsidRDefault="0036667E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používať 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opatrnosťou u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pacientov, ktorí súbežne užívajú perorálne podávané liečivá primárne metabolizované CYP3A4 a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úzkym terapeutickým rozsahom, ako sú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alfentanil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deriváty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námeľových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alkaloidov,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fentanyl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chinidín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4.5). Ďalej je potrebné venovať zvýšenú pozornosť súbežnému podávaniu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irinotekánu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>, pretože táto kombinácia môže vyústiť do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zvýšenej toxicity.</w:t>
      </w:r>
    </w:p>
    <w:p w14:paraId="0D4BE4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37A331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Súbežné podávanie s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(substrát CYP2C9)</w:t>
      </w:r>
    </w:p>
    <w:p w14:paraId="72064F3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pacientov, ktorí sú dlhodobo liečení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sa má pozorne monitorovať medzinárodný normalizovaný pomer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International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Normalised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Ratio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INR) počas liečby liekom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14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každom trojdňovom cykle liečby liekom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71AFA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10BDFB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</w:t>
      </w:r>
      <w:r w:rsidR="0072531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hormonálnymi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kontraceptívami</w:t>
      </w:r>
      <w:proofErr w:type="spellEnd"/>
    </w:p>
    <w:p w14:paraId="1F93967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lieku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zníženiu účinnosti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liečby liekom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lieku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BF693F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BFFA17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E2AE26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Pomocné látky</w:t>
      </w:r>
    </w:p>
    <w:p w14:paraId="4B3F9FC7" w14:textId="398B4ED1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Kapsuly lieku </w:t>
      </w:r>
      <w:proofErr w:type="spellStart"/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9C7F25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obsahujú sacharózu. Pacienti so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zriedkavými dedičnými problémami intolerancie fruktózy,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glukózo-galaktózov</w:t>
      </w:r>
      <w:r w:rsidR="00BF693F">
        <w:rPr>
          <w:rFonts w:ascii="Times New Roman" w:eastAsia="SimSun" w:hAnsi="Times New Roman" w:cs="Times New Roman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malabsorpci</w:t>
      </w:r>
      <w:r w:rsidR="00BF693F">
        <w:rPr>
          <w:rFonts w:ascii="Times New Roman" w:eastAsia="SimSun" w:hAnsi="Times New Roman" w:cs="Times New Roman"/>
          <w:lang w:eastAsia="fr-FR"/>
        </w:rPr>
        <w:t>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deficit</w:t>
      </w:r>
      <w:r w:rsidR="00BF693F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sacharázy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izomaltázy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nesmú užívať tento liek.</w:t>
      </w:r>
    </w:p>
    <w:p w14:paraId="62E16311" w14:textId="77777777" w:rsidR="005D3283" w:rsidRPr="00DE7BD8" w:rsidRDefault="005D3283" w:rsidP="005D328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7BA271D7" w14:textId="77777777" w:rsidR="005D3283" w:rsidRPr="00CF6EC9" w:rsidRDefault="00F64896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Liekové a iné interakcie</w:t>
      </w:r>
    </w:p>
    <w:p w14:paraId="21F6502D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16E869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mg) je substrátom, stredne silným inhibítorom a induktorom CYP3A4.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tiež induktorom CYP2C9.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CYP3A4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inhibovaný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liečby spôsobuje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prechodnú miernu indukciu CYP2C9, CYP3A4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Nezdá sa, 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interaguje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P-glykoproteínovým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transportérom, čo sa preukázalo neprítomnosťou interakcie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digoxínom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082F450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878BB8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proofErr w:type="spellEnd"/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proofErr w:type="spellEnd"/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n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ých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liečiv</w:t>
      </w:r>
    </w:p>
    <w:p w14:paraId="6ABFB53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Inhibícia CYP3A4</w:t>
      </w:r>
    </w:p>
    <w:p w14:paraId="579744B9" w14:textId="179D236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ako stredne silný inhibítor CYP3A4 môže zvýšiť plazmatické koncentrácie súbežne podávaných liečiv, ktoré sa metabolizujú cez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CYP3A4. Počas 3-dňovej liečby liekom </w:t>
      </w:r>
      <w:proofErr w:type="spellStart"/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celková expozícia perorálne podávaným substrátom CYP3A4 zvýšiť až približne trojnásobne.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plazmatické koncentrácie intravenózne podávaných substrátov CYP3A4 sa očakáva nižší vplyv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</w:t>
      </w:r>
      <w:proofErr w:type="spellStart"/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nesmie užívať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pimozidom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terfenadínom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astemizolom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cisapridom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4.3). Inhibícia CYP3A4 navodená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by mohla viesť k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zvýšeniu plazmatických koncentrácií týchto liečiv a potenciálne spôsobiť závažné alebo život ohrozujúce reakcie.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lieku </w:t>
      </w:r>
      <w:proofErr w:type="spellStart"/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perorálne podávaných liečiv, ktoré sú primárne metabolizované CYP3A4 a </w:t>
      </w:r>
      <w:r w:rsidR="007E5F7B">
        <w:rPr>
          <w:rFonts w:ascii="Times New Roman" w:eastAsia="SimSun" w:hAnsi="Times New Roman" w:cs="Times New Roman"/>
          <w:lang w:eastAsia="fr-FR"/>
        </w:rPr>
        <w:t>majú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úzky terapeutický rozsah, ako sú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alfentanil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dihydroergotamín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ergotamín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fentanyl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chinidín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sa odporúča opatrnosť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134519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F2BB6C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Kortikosteroidy</w:t>
      </w:r>
      <w:proofErr w:type="spellEnd"/>
    </w:p>
    <w:p w14:paraId="3B1083E1" w14:textId="0263A7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užívaní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sa má zvyčajná dávka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približne 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klinických štúdiách chemoterapiou indukovanej nevoľnosti a vracania bola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zvolená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liekové interakcie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4.2).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podávaný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podávaný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počas dní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 zvýšil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 5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substrátu CYP3A4, 2,2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</w:t>
      </w:r>
    </w:p>
    <w:p w14:paraId="03A02B6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AEC286" w14:textId="77777777" w:rsidR="005D3283" w:rsidRPr="00E35E38" w:rsidRDefault="005D3283" w:rsidP="005D328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fr-FR"/>
        </w:rPr>
      </w:pPr>
      <w:proofErr w:type="spellStart"/>
      <w:r w:rsidRPr="007B02D8">
        <w:rPr>
          <w:rFonts w:ascii="Times New Roman" w:eastAsia="SimSun" w:hAnsi="Times New Roman" w:cs="Times New Roman"/>
          <w:lang w:eastAsia="fr-FR"/>
        </w:rPr>
        <w:t>Metylpred</w:t>
      </w:r>
      <w:r w:rsidRPr="00E35E38">
        <w:rPr>
          <w:rFonts w:ascii="Times New Roman" w:eastAsia="SimSun" w:hAnsi="Times New Roman" w:cs="Times New Roman"/>
          <w:lang w:eastAsia="fr-FR"/>
        </w:rPr>
        <w:t>nizolón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</w:t>
      </w:r>
      <w:r w:rsidR="004A2828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sa má zvyčajná dávka intravenózne podávaného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a zvyčajná dávka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 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 zvýšil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substrátu CYP3A4, 1,3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2,5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3, keď 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súbežne podával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40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perorálne.</w:t>
      </w:r>
    </w:p>
    <w:p w14:paraId="756964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518E3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Počas kontinuálnej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neskôr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priebehu 2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týždňov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úvodného podania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dôsledku indukčného účinku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CYP3A4. Očakáva sa, že tento účinok môže byť výraznejší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perorálne podávanom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EC8F3B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E39E43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Chemoterapeutiká</w:t>
      </w:r>
      <w:proofErr w:type="spellEnd"/>
    </w:p>
    <w:p w14:paraId="4DF49859" w14:textId="44308D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Keď bol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farmakokinetických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štúdiách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dňoch 2 a 3, neovplyvnil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docetaxelu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1, ani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vinorelbínu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alebo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8. Keďže vplyv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perorálne podávaných substrátov CYP3A4 je väčší ako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intravenózne podávaných substrátov CYP3A4, nedá sa vylúčiť interakcia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perorálne podávanými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chemoterapeutikami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prevažne alebo čiastočne metabolizovanými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etopozid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vinorelbín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 U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pacientov, ktorí užívajú lieky prevažne alebo čiastočne metabolizované CYP3A4, sa odporúča opatrnosť a môže byť vhodné ďalšie sledovanie (pozri časť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ifosfamidu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boli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používaní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lieku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jeho uvedení na </w:t>
      </w:r>
      <w:r w:rsidR="007B02D8">
        <w:rPr>
          <w:rFonts w:ascii="Times New Roman" w:eastAsia="SimSun" w:hAnsi="Times New Roman" w:cs="Times New Roman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 xml:space="preserve">rh hlásené prípady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neurotoxicity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potenciálnej nežiaducej reakcie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ifosfamidu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B85790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A80F490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Imunosupresíva</w:t>
      </w:r>
      <w:proofErr w:type="spellEnd"/>
    </w:p>
    <w:p w14:paraId="1032E4D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režimu </w:t>
      </w:r>
      <w:r w:rsidRPr="007051C5">
        <w:rPr>
          <w:rFonts w:ascii="Times New Roman" w:eastAsia="SimSun" w:hAnsi="Times New Roman" w:cs="Times New Roman"/>
          <w:lang w:eastAsia="fr-FR"/>
        </w:rPr>
        <w:t>CINV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420D6D" w:rsidRPr="00420D6D">
        <w:rPr>
          <w:rFonts w:ascii="Times New Roman" w:eastAsia="SimSun" w:hAnsi="Times New Roman" w:cs="Times New Roman"/>
          <w:lang w:eastAsia="fr-FR"/>
        </w:rPr>
        <w:t xml:space="preserve">(liečba </w:t>
      </w:r>
      <w:proofErr w:type="spellStart"/>
      <w:r w:rsidR="00420D6D" w:rsidRPr="00420D6D">
        <w:rPr>
          <w:rFonts w:ascii="Times New Roman" w:eastAsia="SimSun" w:hAnsi="Times New Roman" w:cs="Times New Roman"/>
          <w:lang w:eastAsia="fr-FR"/>
        </w:rPr>
        <w:t>nauzey</w:t>
      </w:r>
      <w:proofErr w:type="spellEnd"/>
      <w:r w:rsidR="00420D6D" w:rsidRPr="00420D6D">
        <w:rPr>
          <w:rFonts w:ascii="Times New Roman" w:eastAsia="SimSun" w:hAnsi="Times New Roman" w:cs="Times New Roman"/>
          <w:lang w:eastAsia="fr-FR"/>
        </w:rPr>
        <w:t xml:space="preserve"> a vracania vyvolaných chemoterapiou)</w:t>
      </w:r>
      <w:r w:rsidR="00420D6D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expozícii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imunosupresívam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metabolizovaným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 predpokladá prechodný stredne silný vzostup nasledovaný miernym poklesom. Vzhľadom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krátke trvanie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a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času závislé obmedzené zmeny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súbežného podávania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neodporúča zníženie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imunosupresíva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0B81221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40558A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Midazolam</w:t>
      </w:r>
      <w:proofErr w:type="spellEnd"/>
    </w:p>
    <w:p w14:paraId="0C2683B1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užívaní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mg) sa majú zohľadniť možné účinky zvýšených plazmatických koncentrácií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iných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benzodiazepínov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ktoré sa metabolizujú prostredníctvom CYP3A4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alprazolam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triazolam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</w:t>
      </w:r>
    </w:p>
    <w:p w14:paraId="3C96D75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1D1289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Keď sa jednorazová perorálna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podala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až 5, zvýšil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senzitívneho substrátu CYP3A4, 2,3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3,3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</w:t>
      </w:r>
    </w:p>
    <w:p w14:paraId="500ECA7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7B595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intravenózne podávaným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dňoch 2 a 3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bol podaný intravenózne pred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trojdňového režimu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4, 8 a 15. </w:t>
      </w:r>
      <w:proofErr w:type="spellStart"/>
      <w:r w:rsidR="0099174A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zvýšil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 a znížil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11EF1A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B28D94D" w14:textId="15C4378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tretej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a perorálnym 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podával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2-4. Táto kombinácia (t.j.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) znížila AUC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22.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92525B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124563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bola ukončená ďalšia štúdia.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boli intravenózne podané 1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hodinu po</w:t>
      </w:r>
      <w:r w:rsidR="0099174A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perorálnom podaní jednorazovej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mg. Plazmatická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zvýšila 1,5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 Tento účinok sa nepovažoval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významný.</w:t>
      </w:r>
    </w:p>
    <w:p w14:paraId="4A0C3E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2B5F3F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Indukcia</w:t>
      </w:r>
    </w:p>
    <w:p w14:paraId="295CD96B" w14:textId="1A97697C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ako mierny induktor CYP2C9, CYP3A4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počas dvoch týždňov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a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liečbe znížiť plazmatické koncentrácie substrátov eliminovaných týmito cestami. Tento účinok sa môže prejaviť až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Pre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substráty CYP2C9 a CYP3A4 je indukcia prechodná,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maximálnym účinkom dosiahnutým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Účinok trvá počas niekoľkých dní, potom pomaly ustupuje a do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dvoch týždňov od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ukončenia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klinicky nevýznamný. </w:t>
      </w:r>
      <w:r w:rsidR="00B742F0">
        <w:rPr>
          <w:rFonts w:ascii="Times New Roman" w:eastAsia="SimSun" w:hAnsi="Times New Roman" w:cs="Times New Roman"/>
          <w:lang w:eastAsia="fr-FR"/>
        </w:rPr>
        <w:t>Mierna</w:t>
      </w:r>
      <w:r w:rsidRPr="00E35E38">
        <w:rPr>
          <w:rFonts w:ascii="Times New Roman" w:eastAsia="SimSun" w:hAnsi="Times New Roman" w:cs="Times New Roman"/>
          <w:lang w:eastAsia="fr-FR"/>
        </w:rPr>
        <w:t xml:space="preserve"> indukcia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tiež pozoruje pri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perorálne počas 7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dní. Údaje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účinkoch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CYP2C8 a CYP2C19 chýbajú. Ak sa počas tohto časového obdobia podáva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acenokumarol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fenytoín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iné liečivá,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je známe, že sú metabolizované CYP2C9, odporúča sa opatrnosť.</w:t>
      </w:r>
    </w:p>
    <w:p w14:paraId="6A0DA8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9032D2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lastRenderedPageBreak/>
        <w:t>Warfarín</w:t>
      </w:r>
      <w:proofErr w:type="spellEnd"/>
    </w:p>
    <w:p w14:paraId="79E8C713" w14:textId="320C495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dlhodobo liečených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má počas liečby </w:t>
      </w:r>
      <w:proofErr w:type="spellStart"/>
      <w:r w:rsidR="00B00D01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2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týždne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každom 3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dňovom cykle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B742F0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vracani</w:t>
      </w:r>
      <w:r w:rsidR="00B742F0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 xml:space="preserve"> vyvolan</w:t>
      </w:r>
      <w:r w:rsidR="00B742F0">
        <w:rPr>
          <w:rFonts w:ascii="Times New Roman" w:eastAsia="SimSun" w:hAnsi="Times New Roman" w:cs="Times New Roman"/>
          <w:lang w:eastAsia="fr-FR"/>
        </w:rPr>
        <w:t>ých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chemoterapiou dôsledne monitorovať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protrombínový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čas (INR) (pozri časť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4.4). Keď sa podal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jednorazovej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dávke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zdravým jedincom stabilizovaným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dlhodobej liečbe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neovplyvnil plazmatickú AUC R(+) ani S(-)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3;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avšak 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minimálna koncentrácia S(-)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(substrátu CYP2C9) znížila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sprevádzaná 14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poklesom INR.</w:t>
      </w:r>
    </w:p>
    <w:p w14:paraId="722A18C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405E50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Tolbutamid</w:t>
      </w:r>
      <w:proofErr w:type="spellEnd"/>
    </w:p>
    <w:p w14:paraId="012F5FA9" w14:textId="2CA68234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podávaný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v</w:t>
      </w:r>
      <w:r w:rsidRPr="00E35E38">
        <w:rPr>
          <w:rFonts w:ascii="Times New Roman" w:eastAsia="SimSun" w:hAnsi="Times New Roman" w:cs="Times New Roman"/>
          <w:lang w:eastAsia="fr-FR"/>
        </w:rPr>
        <w:t xml:space="preserve"> dňoch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a3 znížil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(substrátu CYP2C9)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3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</w:t>
      </w:r>
      <w:r w:rsidRPr="00E35E38">
        <w:rPr>
          <w:rFonts w:ascii="Times New Roman" w:eastAsia="SimSun" w:hAnsi="Times New Roman" w:cs="Times New Roman"/>
          <w:lang w:eastAsia="fr-FR"/>
        </w:rPr>
        <w:t>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15, keď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podal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jednorazovej dávke 500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pred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trojdňovom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8 a</w:t>
      </w:r>
      <w:r w:rsidR="00C9797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</w:t>
      </w:r>
    </w:p>
    <w:p w14:paraId="1175996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8A06E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Hormonálne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kontraceptíva</w:t>
      </w:r>
      <w:proofErr w:type="spellEnd"/>
    </w:p>
    <w:p w14:paraId="35381AD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podávania a 28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zníženiu účinnosti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poslednej dávke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C97975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formy antikoncepcie.</w:t>
      </w:r>
    </w:p>
    <w:p w14:paraId="446A3B0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A67CA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klinickej štúdii boli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až 21 podávané jednorazové dávky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obsahujúceho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etinylestradiol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noretisterón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ktorý sa podával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80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 10</w:t>
      </w:r>
      <w:r w:rsidR="002F3EE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spolu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8 a 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9, 10 a 11.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tejto štúdii sa počas dní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až 21 znížili minimálne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trough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)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etinylestradiolu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a minimálne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noretisterónu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znížili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</w:t>
      </w:r>
    </w:p>
    <w:p w14:paraId="3ACD584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2C00A0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Antagonisty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5-HT</w:t>
      </w:r>
      <w:r w:rsidRPr="00E35E38">
        <w:rPr>
          <w:rFonts w:ascii="Times New Roman" w:eastAsia="SimSun" w:hAnsi="Times New Roman" w:cs="Times New Roman"/>
          <w:i/>
          <w:iCs/>
          <w:vertAlign w:val="subscript"/>
          <w:lang w:eastAsia="fr-FR"/>
        </w:rPr>
        <w:t>3</w:t>
      </w:r>
    </w:p>
    <w:p w14:paraId="4C4DD33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klinických interakčných štúdiách nemal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klinicky významný účinok na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granisetrónu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h</w:t>
      </w:r>
      <w:r w:rsidRPr="00E35E38">
        <w:rPr>
          <w:rFonts w:ascii="Times New Roman" w:eastAsia="SimSun" w:hAnsi="Times New Roman" w:cs="Times New Roman"/>
          <w:lang w:eastAsia="fr-FR"/>
        </w:rPr>
        <w:t>ydrodolasetrónu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(aktívny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dolasetrónu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</w:t>
      </w:r>
    </w:p>
    <w:p w14:paraId="60AD883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C4FF4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iných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kov</w:t>
      </w:r>
      <w:r w:rsidR="002F3EE4"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proofErr w:type="spellEnd"/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proofErr w:type="spellEnd"/>
    </w:p>
    <w:p w14:paraId="225D43D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liečivami, ktoré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inhibujú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aktivitu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ketokonazol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itrakonazol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vorikonazol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posakonazol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klaritromycín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telitromycín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nefazodón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inhibítory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proteázy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), je potrebné postupovať opatrne, pretože sa predpokladá, že táto kombinácia bude mať za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následok niekoľkonásobné zvýšenie plazmatickej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F0126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A3AD5E0" w14:textId="1C674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Súbežnému podávaniu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liečivami, ktoré silne indukujú aktivitu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rifampicín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fenytoín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karbamazepín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fenobarbital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), je potrebné sa vyhnúť, pretože táto kombinácia vedie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zníženým plazmatickým koncentráciám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čo môže spôsobiť zníženie účinnosti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Súbežné podávanie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rastlinnými prípravkami obsahujúcimi ľubovník bodkovaný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(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Hypericum</w:t>
      </w:r>
      <w:proofErr w:type="spellEnd"/>
      <w:r w:rsidR="00EC461B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perforatum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>)</w:t>
      </w:r>
      <w:r w:rsidRPr="00E35E38">
        <w:rPr>
          <w:rFonts w:ascii="Times New Roman" w:eastAsia="SimSun" w:hAnsi="Times New Roman" w:cs="Times New Roman"/>
          <w:lang w:eastAsia="fr-FR"/>
        </w:rPr>
        <w:t>sa neodporúča.</w:t>
      </w:r>
    </w:p>
    <w:p w14:paraId="5E2BC3D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043A2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Ketokonazol</w:t>
      </w:r>
      <w:proofErr w:type="spellEnd"/>
    </w:p>
    <w:p w14:paraId="4D372B4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počas 10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ketokonazolu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400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inhibítora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násobnému zvýšeniu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3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násobnému zvýšeniu priemerného terminálneho polčasu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588519F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541EF4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Rifampicín</w:t>
      </w:r>
      <w:proofErr w:type="spellEnd"/>
    </w:p>
    <w:p w14:paraId="4D85226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375</w:t>
      </w:r>
      <w:r w:rsidR="002F3EE4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počas 14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rifampicínu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600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induktora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 xml:space="preserve">níženiu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91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priemerného terminálneho polčasu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6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%.</w:t>
      </w:r>
    </w:p>
    <w:p w14:paraId="078598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B313F8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lastRenderedPageBreak/>
        <w:t>Pediatrická populácia</w:t>
      </w:r>
    </w:p>
    <w:p w14:paraId="1B5F11A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Interakčné štúdie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boli vykonané </w:t>
      </w:r>
      <w:r w:rsidRPr="00E35E38">
        <w:rPr>
          <w:rFonts w:ascii="Times New Roman" w:eastAsia="SimSun" w:hAnsi="Times New Roman" w:cs="Times New Roman"/>
          <w:lang w:eastAsia="fr-FR"/>
        </w:rPr>
        <w:t>len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dospelých.</w:t>
      </w:r>
    </w:p>
    <w:p w14:paraId="29353E49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7AA351B4" w14:textId="77777777" w:rsidR="005D3283" w:rsidRPr="00DE7BD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DE7BD8">
        <w:rPr>
          <w:rFonts w:ascii="Times New Roman" w:eastAsia="Times New Roman" w:hAnsi="Times New Roman" w:cs="Times New Roman"/>
          <w:b/>
          <w:lang w:eastAsia="sk-SK" w:bidi="sk-SK"/>
        </w:rPr>
        <w:t>Fertilita</w:t>
      </w:r>
      <w:proofErr w:type="spellEnd"/>
      <w:r w:rsidRPr="00DE7BD8">
        <w:rPr>
          <w:rFonts w:ascii="Times New Roman" w:eastAsia="Times New Roman" w:hAnsi="Times New Roman" w:cs="Times New Roman"/>
          <w:b/>
          <w:lang w:eastAsia="sk-SK" w:bidi="sk-SK"/>
        </w:rPr>
        <w:t>, gravidita a laktácia</w:t>
      </w:r>
    </w:p>
    <w:p w14:paraId="668268C4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33FA032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Antikoncepcia u</w:t>
      </w:r>
      <w:r w:rsidR="001C1F0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mužov a žien</w:t>
      </w:r>
    </w:p>
    <w:p w14:paraId="195751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znížiť účinnosť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Počas liečby </w:t>
      </w:r>
      <w:proofErr w:type="spellStart"/>
      <w:r w:rsidR="001C1F0E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DC3E54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časti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4.5).</w:t>
      </w:r>
    </w:p>
    <w:p w14:paraId="45CD127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499E7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Gravidita</w:t>
      </w:r>
    </w:p>
    <w:p w14:paraId="0E522403" w14:textId="3AE1E44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nie sú k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žiadne klinické údaje o</w:t>
      </w:r>
      <w:r w:rsidR="00DC3E54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graviditách</w:t>
      </w:r>
      <w:r w:rsidR="00DC3E54">
        <w:rPr>
          <w:rFonts w:ascii="Times New Roman" w:eastAsia="SimSun" w:hAnsi="Times New Roman" w:cs="Times New Roman"/>
          <w:lang w:eastAsia="fr-FR"/>
        </w:rPr>
        <w:t xml:space="preserve"> vystavených expozícii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. Potenciál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reprodukčnú toxicitu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dávkach 125 mg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 mg. Tieto štúdie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fetálny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vývoj, pôrod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postnatálny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vývoj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5.3). Možné účinky zmien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neurokinínovej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regulácie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 nie sú známe. </w:t>
      </w:r>
      <w:proofErr w:type="spellStart"/>
      <w:r w:rsidR="007A1F53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nemá používať počas gravidity, pokiaľ to nie je úplne nevyhnutné.</w:t>
      </w:r>
    </w:p>
    <w:p w14:paraId="003C51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1216A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Dojčenie</w:t>
      </w:r>
    </w:p>
    <w:p w14:paraId="41FB9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 </w:t>
      </w:r>
      <w:proofErr w:type="spellStart"/>
      <w:r w:rsidR="007A1F53" w:rsidRPr="00E35E38">
        <w:rPr>
          <w:rFonts w:ascii="Times New Roman" w:eastAsia="SimSun" w:hAnsi="Times New Roman" w:cs="Times New Roman"/>
          <w:lang w:eastAsia="fr-FR"/>
        </w:rPr>
        <w:t>laktujúcich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potkanov. Nie je známe, či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ľudského </w:t>
      </w:r>
      <w:r w:rsidR="007A1F53" w:rsidRPr="00E35E38">
        <w:rPr>
          <w:rFonts w:ascii="Times New Roman" w:eastAsia="SimSun" w:hAnsi="Times New Roman" w:cs="Times New Roman"/>
          <w:lang w:eastAsia="fr-FR"/>
        </w:rPr>
        <w:t xml:space="preserve">materského 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mlieka, preto sa dojčenie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7A1F53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neodporúča.</w:t>
      </w:r>
    </w:p>
    <w:p w14:paraId="6B22E5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BAA38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Fertilita</w:t>
      </w:r>
      <w:proofErr w:type="spellEnd"/>
    </w:p>
    <w:p w14:paraId="772050A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Potenciál účinkov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ľudí. Tieto štúdie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fetálny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vývoj alebo počet a pohyblivosť spermií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</w:t>
      </w:r>
    </w:p>
    <w:p w14:paraId="2DC3E67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4F6E7479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Ovplyvnenie schopnosti viesť vozidlá a obsluhovať stroje</w:t>
      </w:r>
    </w:p>
    <w:p w14:paraId="5B7713BB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3CDB9B" w14:textId="77777777" w:rsidR="005D3283" w:rsidRPr="00E35E38" w:rsidRDefault="007A1F5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môže mať malý vplyv na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schopnosť viesť vozidlá, bicyklovať sa a obsluhovať stroje. Po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podaní lieku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objaviť závrat a únava (pozri časť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4.8).</w:t>
      </w:r>
    </w:p>
    <w:p w14:paraId="73C187A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27DC9F1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Nežiaduce účinky</w:t>
      </w:r>
    </w:p>
    <w:p w14:paraId="0EB8FCD8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C8993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Súhrn bezpečnostného profilu</w:t>
      </w:r>
    </w:p>
    <w:p w14:paraId="4FAB06B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Bezpečnostný profil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hodnotil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vo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viac ako 50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a 184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a dospievajúcich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pivotných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pediatrických klinických skúšaniach.</w:t>
      </w:r>
    </w:p>
    <w:p w14:paraId="6F2E2A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2BA48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dostávajúcich vysoko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 (HEC) boli najčastejšími nežiaducimi reakciami,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ktorých bola hlásená vyššia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liečbou: štikútanie (4,6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2,9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%), zvýšenie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alanínamino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transferázy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(ALT) (2,8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1,1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%),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dyspepsia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(2,6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zápcha (2,4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bolesť hlavy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znížená chuť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jedla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0,5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dostávajúcich stredne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 (MEC) najčastejšou nežiaducou reakciou, ktorá sa vyskytla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vyššou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než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terapiou, bola únava (1,4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0,9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7A549F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684ED0" w14:textId="07007F86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Najčastejšími nežiaducimi reakciami hlásenými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väčšou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kontrolným režimom počas </w:t>
      </w:r>
      <w:r w:rsidR="00DC3E54">
        <w:rPr>
          <w:rFonts w:ascii="Times New Roman" w:eastAsia="SimSun" w:hAnsi="Times New Roman" w:cs="Times New Roman"/>
          <w:lang w:eastAsia="fr-FR"/>
        </w:rPr>
        <w:t>podávania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protirakovinovej chemoterapie boli štikútanie (3,3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začervenanie (1,1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0BA4350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593924E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Tabuľkový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zoznam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796093B9" w14:textId="173BABB8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združenej analýze štúdií HEC a MEC sa pozorovali nasledujúce nežiaduce reakcie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vyššou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</w:t>
      </w:r>
      <w:r w:rsidR="00DC3E54" w:rsidRPr="00DC3E54">
        <w:rPr>
          <w:rFonts w:ascii="Times New Roman" w:eastAsia="SimSun" w:hAnsi="Times New Roman" w:cs="Times New Roman"/>
          <w:lang w:eastAsia="fr-FR"/>
        </w:rPr>
        <w:t xml:space="preserve">pri štandardnej liečbe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alebo pediatrických pacientov alebo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používaní lieku 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jeho uvedení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trh. Kategórie frekvencie uvedené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 sú založené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dospelých; pozorované frekvencie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 boli podobné alebo nižšie</w:t>
      </w:r>
      <w:r w:rsidR="006A35D0">
        <w:rPr>
          <w:rFonts w:ascii="Times New Roman" w:eastAsia="SimSun" w:hAnsi="Times New Roman" w:cs="Times New Roman"/>
          <w:lang w:eastAsia="fr-FR"/>
        </w:rPr>
        <w:t>,</w:t>
      </w:r>
      <w:r w:rsidR="006A35D0" w:rsidRPr="006A35D0">
        <w:t xml:space="preserve"> </w:t>
      </w:r>
      <w:r w:rsidR="006A35D0" w:rsidRPr="006A35D0">
        <w:rPr>
          <w:rFonts w:ascii="Times New Roman" w:eastAsia="SimSun" w:hAnsi="Times New Roman" w:cs="Times New Roman"/>
          <w:lang w:eastAsia="fr-FR"/>
        </w:rPr>
        <w:t>pokiaľ nie sú uvedené v tabuľke</w:t>
      </w:r>
      <w:r w:rsidRPr="00E35E38">
        <w:rPr>
          <w:rFonts w:ascii="Times New Roman" w:eastAsia="SimSun" w:hAnsi="Times New Roman" w:cs="Times New Roman"/>
          <w:lang w:eastAsia="fr-FR"/>
        </w:rPr>
        <w:t>. Niektoré menej časté nežiaduce reakcie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populácii dospelých sa nepozorovali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štúdiách.</w:t>
      </w:r>
    </w:p>
    <w:p w14:paraId="091014C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8FAA1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Frekvencie sú definované ako: veľmi časté (≥1/10); časté (≥1/100 až &lt; 1/10); menej časté (≥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 a</w:t>
      </w:r>
      <w:r w:rsidRPr="00E35E38">
        <w:rPr>
          <w:rFonts w:ascii="Times New Roman" w:eastAsia="SimSun" w:hAnsi="Times New Roman" w:cs="Times New Roman"/>
          <w:lang w:eastAsia="fr-FR"/>
        </w:rPr>
        <w:t xml:space="preserve">ž&lt; 1/100); zriedkavé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≥1/10 000 až &lt;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1 000)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veľm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zriedkav</w:t>
      </w:r>
      <w:r w:rsidRPr="00E35E38">
        <w:rPr>
          <w:rFonts w:ascii="Times New Roman" w:eastAsia="SimSun" w:hAnsi="Times New Roman" w:cs="Times New Roman"/>
          <w:lang w:eastAsia="fr-FR"/>
        </w:rPr>
        <w:t>é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(</w:t>
      </w:r>
      <w:r w:rsidRPr="00E35E38">
        <w:rPr>
          <w:rFonts w:ascii="Times New Roman" w:eastAsia="SimSun" w:hAnsi="Times New Roman" w:cs="Times New Roman"/>
          <w:lang w:eastAsia="fr-FR"/>
        </w:rPr>
        <w:t xml:space="preserve">&lt; 1/10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000)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neznáme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z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dostupných údajov).</w:t>
      </w:r>
    </w:p>
    <w:p w14:paraId="5220674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4388"/>
        <w:gridCol w:w="1705"/>
      </w:tblGrid>
      <w:tr w:rsidR="005D3283" w:rsidRPr="00E35E38" w14:paraId="25B82A90" w14:textId="77777777" w:rsidTr="00C50E87">
        <w:trPr>
          <w:trHeight w:hRule="exact" w:val="262"/>
        </w:trPr>
        <w:tc>
          <w:tcPr>
            <w:tcW w:w="2983" w:type="dxa"/>
          </w:tcPr>
          <w:p w14:paraId="4026563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lastRenderedPageBreak/>
              <w:t>Trieda orgánových systémov</w:t>
            </w:r>
          </w:p>
        </w:tc>
        <w:tc>
          <w:tcPr>
            <w:tcW w:w="4388" w:type="dxa"/>
          </w:tcPr>
          <w:p w14:paraId="19C69D3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Nežiaduca reakcia</w:t>
            </w:r>
          </w:p>
        </w:tc>
        <w:tc>
          <w:tcPr>
            <w:tcW w:w="1705" w:type="dxa"/>
          </w:tcPr>
          <w:p w14:paraId="738A8FB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Frekvencia</w:t>
            </w:r>
          </w:p>
        </w:tc>
      </w:tr>
      <w:tr w:rsidR="005D3283" w:rsidRPr="00E35E38" w14:paraId="7ADDFD6E" w14:textId="77777777" w:rsidTr="00C50E87">
        <w:trPr>
          <w:trHeight w:hRule="exact" w:val="264"/>
        </w:trPr>
        <w:tc>
          <w:tcPr>
            <w:tcW w:w="2983" w:type="dxa"/>
          </w:tcPr>
          <w:p w14:paraId="25458A1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Infekcie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nákazy</w:t>
            </w:r>
          </w:p>
        </w:tc>
        <w:tc>
          <w:tcPr>
            <w:tcW w:w="4388" w:type="dxa"/>
          </w:tcPr>
          <w:p w14:paraId="77CF5B8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kandidóza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>, stafylokoková infekcia</w:t>
            </w:r>
          </w:p>
        </w:tc>
        <w:tc>
          <w:tcPr>
            <w:tcW w:w="1705" w:type="dxa"/>
          </w:tcPr>
          <w:p w14:paraId="68F7860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edkavé</w:t>
            </w:r>
          </w:p>
        </w:tc>
      </w:tr>
      <w:tr w:rsidR="005D3283" w:rsidRPr="00E35E38" w14:paraId="50095C30" w14:textId="77777777" w:rsidTr="00C50E87">
        <w:trPr>
          <w:trHeight w:hRule="exact" w:val="516"/>
        </w:trPr>
        <w:tc>
          <w:tcPr>
            <w:tcW w:w="2983" w:type="dxa"/>
          </w:tcPr>
          <w:p w14:paraId="31504FF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Poruchy krvi a lymfatického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systému</w:t>
            </w:r>
          </w:p>
        </w:tc>
        <w:tc>
          <w:tcPr>
            <w:tcW w:w="4388" w:type="dxa"/>
          </w:tcPr>
          <w:p w14:paraId="7118528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febrilná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neutropénia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>, anémia</w:t>
            </w:r>
          </w:p>
        </w:tc>
        <w:tc>
          <w:tcPr>
            <w:tcW w:w="1705" w:type="dxa"/>
          </w:tcPr>
          <w:p w14:paraId="4D22ED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16ADF55B" w14:textId="77777777" w:rsidTr="00C50E87">
        <w:trPr>
          <w:trHeight w:hRule="exact" w:val="516"/>
        </w:trPr>
        <w:tc>
          <w:tcPr>
            <w:tcW w:w="2983" w:type="dxa"/>
          </w:tcPr>
          <w:p w14:paraId="1222764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Poruch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y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imunitnéh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systému</w:t>
            </w:r>
          </w:p>
        </w:tc>
        <w:tc>
          <w:tcPr>
            <w:tcW w:w="4388" w:type="dxa"/>
          </w:tcPr>
          <w:p w14:paraId="4F21522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reakcie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precitlivenosti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vrátane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anafylaktických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reakcií</w:t>
            </w:r>
          </w:p>
        </w:tc>
        <w:tc>
          <w:tcPr>
            <w:tcW w:w="1705" w:type="dxa"/>
          </w:tcPr>
          <w:p w14:paraId="4C593E0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2C47173B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2AAA50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metabolizmu</w:t>
            </w:r>
            <w:r w:rsidR="001166C1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výživy</w:t>
            </w:r>
          </w:p>
        </w:tc>
        <w:tc>
          <w:tcPr>
            <w:tcW w:w="4388" w:type="dxa"/>
          </w:tcPr>
          <w:p w14:paraId="62ED1FF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znížená chuť do jedla</w:t>
            </w:r>
          </w:p>
        </w:tc>
        <w:tc>
          <w:tcPr>
            <w:tcW w:w="1705" w:type="dxa"/>
          </w:tcPr>
          <w:p w14:paraId="3DEF9C2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F9847E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3E5304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1E8582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polydipsia</w:t>
            </w:r>
            <w:proofErr w:type="spellEnd"/>
          </w:p>
        </w:tc>
        <w:tc>
          <w:tcPr>
            <w:tcW w:w="1705" w:type="dxa"/>
          </w:tcPr>
          <w:p w14:paraId="198B16E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ried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avé</w:t>
            </w:r>
          </w:p>
        </w:tc>
      </w:tr>
      <w:tr w:rsidR="005D3283" w:rsidRPr="00E35E38" w14:paraId="535A8FEA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A5C85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Psychické poruchy</w:t>
            </w:r>
          </w:p>
        </w:tc>
        <w:tc>
          <w:tcPr>
            <w:tcW w:w="4388" w:type="dxa"/>
          </w:tcPr>
          <w:p w14:paraId="1A7D544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zkosť</w:t>
            </w:r>
          </w:p>
        </w:tc>
        <w:tc>
          <w:tcPr>
            <w:tcW w:w="1705" w:type="dxa"/>
          </w:tcPr>
          <w:p w14:paraId="55164B7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43E2166D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544FE2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7BF36D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dezorientácia, euforická nálada</w:t>
            </w:r>
          </w:p>
        </w:tc>
        <w:tc>
          <w:tcPr>
            <w:tcW w:w="1705" w:type="dxa"/>
          </w:tcPr>
          <w:p w14:paraId="1DA7A7E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3C8D990E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5383199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nervového systému</w:t>
            </w:r>
          </w:p>
        </w:tc>
        <w:tc>
          <w:tcPr>
            <w:tcW w:w="4388" w:type="dxa"/>
          </w:tcPr>
          <w:p w14:paraId="677935A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bolesť hlavy</w:t>
            </w:r>
          </w:p>
        </w:tc>
        <w:tc>
          <w:tcPr>
            <w:tcW w:w="1705" w:type="dxa"/>
          </w:tcPr>
          <w:p w14:paraId="300B4C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237E76F9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1F35865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370037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závrat,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somnolencia</w:t>
            </w:r>
            <w:proofErr w:type="spellEnd"/>
          </w:p>
        </w:tc>
        <w:tc>
          <w:tcPr>
            <w:tcW w:w="1705" w:type="dxa"/>
          </w:tcPr>
          <w:p w14:paraId="5B428F4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7D477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5A6F77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16F5A61" w14:textId="67375DE6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kognitívna porucha, letargia,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dysge</w:t>
            </w:r>
            <w:r w:rsidR="001166C1">
              <w:rPr>
                <w:rFonts w:ascii="Times New Roman" w:eastAsia="SimSun" w:hAnsi="Times New Roman" w:cs="Times New Roman"/>
                <w:spacing w:val="-1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zia</w:t>
            </w:r>
            <w:proofErr w:type="spellEnd"/>
          </w:p>
        </w:tc>
        <w:tc>
          <w:tcPr>
            <w:tcW w:w="1705" w:type="dxa"/>
          </w:tcPr>
          <w:p w14:paraId="17EB1B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756C53F0" w14:textId="77777777" w:rsidTr="00C50E87">
        <w:trPr>
          <w:trHeight w:hRule="exact" w:val="262"/>
        </w:trPr>
        <w:tc>
          <w:tcPr>
            <w:tcW w:w="2983" w:type="dxa"/>
          </w:tcPr>
          <w:p w14:paraId="2E2B5E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oka</w:t>
            </w:r>
          </w:p>
        </w:tc>
        <w:tc>
          <w:tcPr>
            <w:tcW w:w="4388" w:type="dxa"/>
          </w:tcPr>
          <w:p w14:paraId="50DDA56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onjunktivitída</w:t>
            </w:r>
            <w:proofErr w:type="spellEnd"/>
          </w:p>
        </w:tc>
        <w:tc>
          <w:tcPr>
            <w:tcW w:w="1705" w:type="dxa"/>
          </w:tcPr>
          <w:p w14:paraId="621FB4E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06005BB" w14:textId="77777777" w:rsidTr="00C50E87">
        <w:trPr>
          <w:trHeight w:hRule="exact" w:val="264"/>
        </w:trPr>
        <w:tc>
          <w:tcPr>
            <w:tcW w:w="2983" w:type="dxa"/>
          </w:tcPr>
          <w:p w14:paraId="57DD23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ucha a labyrintu</w:t>
            </w:r>
          </w:p>
        </w:tc>
        <w:tc>
          <w:tcPr>
            <w:tcW w:w="4388" w:type="dxa"/>
          </w:tcPr>
          <w:p w14:paraId="59AFCAF7" w14:textId="521A3943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t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initus</w:t>
            </w:r>
            <w:proofErr w:type="spellEnd"/>
          </w:p>
        </w:tc>
        <w:tc>
          <w:tcPr>
            <w:tcW w:w="1705" w:type="dxa"/>
          </w:tcPr>
          <w:p w14:paraId="480A5B5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48F6FD75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EC8B5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srdca a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srdcovej činnosti</w:t>
            </w:r>
          </w:p>
        </w:tc>
        <w:tc>
          <w:tcPr>
            <w:tcW w:w="4388" w:type="dxa"/>
          </w:tcPr>
          <w:p w14:paraId="44F8C4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palpitácie</w:t>
            </w:r>
            <w:proofErr w:type="spellEnd"/>
          </w:p>
        </w:tc>
        <w:tc>
          <w:tcPr>
            <w:tcW w:w="1705" w:type="dxa"/>
          </w:tcPr>
          <w:p w14:paraId="169E10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532D635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66656C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5F1D0CD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bradykardia, kardiovaskulárna porucha</w:t>
            </w:r>
          </w:p>
        </w:tc>
        <w:tc>
          <w:tcPr>
            <w:tcW w:w="1705" w:type="dxa"/>
          </w:tcPr>
          <w:p w14:paraId="7882F63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53F2D23" w14:textId="77777777" w:rsidTr="00C50E87">
        <w:trPr>
          <w:trHeight w:hRule="exact" w:val="262"/>
        </w:trPr>
        <w:tc>
          <w:tcPr>
            <w:tcW w:w="2983" w:type="dxa"/>
          </w:tcPr>
          <w:p w14:paraId="0F48F11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ciev</w:t>
            </w:r>
          </w:p>
        </w:tc>
        <w:tc>
          <w:tcPr>
            <w:tcW w:w="4388" w:type="dxa"/>
          </w:tcPr>
          <w:p w14:paraId="7C5532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nával tepl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/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ačervenanie</w:t>
            </w:r>
          </w:p>
        </w:tc>
        <w:tc>
          <w:tcPr>
            <w:tcW w:w="1705" w:type="dxa"/>
          </w:tcPr>
          <w:p w14:paraId="6B6D255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27C42CD9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73B375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dýchacej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sústavy, hrudníka a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mediastína</w:t>
            </w:r>
            <w:proofErr w:type="spellEnd"/>
          </w:p>
        </w:tc>
        <w:tc>
          <w:tcPr>
            <w:tcW w:w="4388" w:type="dxa"/>
          </w:tcPr>
          <w:p w14:paraId="46A2200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šti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kútanie</w:t>
            </w:r>
          </w:p>
        </w:tc>
        <w:tc>
          <w:tcPr>
            <w:tcW w:w="1705" w:type="dxa"/>
          </w:tcPr>
          <w:p w14:paraId="54B4664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6070422D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2BF95B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98962" w14:textId="5313B11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orofaryngeálna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bolesť, kýchanie, kašeľ, výtok hlienu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nosa do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l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tanu, podráždenie hrdla</w:t>
            </w:r>
          </w:p>
        </w:tc>
        <w:tc>
          <w:tcPr>
            <w:tcW w:w="1705" w:type="dxa"/>
          </w:tcPr>
          <w:p w14:paraId="0C88354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CBDBF0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DA7955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Poruchy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gastrointestinálneho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traktu</w:t>
            </w:r>
          </w:p>
        </w:tc>
        <w:tc>
          <w:tcPr>
            <w:tcW w:w="4388" w:type="dxa"/>
          </w:tcPr>
          <w:p w14:paraId="3118C7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zápcha,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dyspepsia</w:t>
            </w:r>
            <w:proofErr w:type="spellEnd"/>
          </w:p>
        </w:tc>
        <w:tc>
          <w:tcPr>
            <w:tcW w:w="1705" w:type="dxa"/>
          </w:tcPr>
          <w:p w14:paraId="1EB123F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5E5A1E" w14:textId="77777777" w:rsidTr="00C50E87">
        <w:trPr>
          <w:trHeight w:hRule="exact" w:val="913"/>
        </w:trPr>
        <w:tc>
          <w:tcPr>
            <w:tcW w:w="2983" w:type="dxa"/>
            <w:vMerge/>
          </w:tcPr>
          <w:p w14:paraId="66574D6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E408583" w14:textId="357D422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eruktácia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nauze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proofErr w:type="spellEnd"/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,vracani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e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gastroezof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ágová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refluxová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choroba, bolesť brucha, sucho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ústach,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flatulencia</w:t>
            </w:r>
            <w:proofErr w:type="spellEnd"/>
          </w:p>
        </w:tc>
        <w:tc>
          <w:tcPr>
            <w:tcW w:w="1705" w:type="dxa"/>
          </w:tcPr>
          <w:p w14:paraId="4C4ED56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235B9D" w14:textId="77777777" w:rsidTr="00C50E87">
        <w:trPr>
          <w:trHeight w:hRule="exact" w:val="768"/>
        </w:trPr>
        <w:tc>
          <w:tcPr>
            <w:tcW w:w="2983" w:type="dxa"/>
            <w:vMerge/>
          </w:tcPr>
          <w:p w14:paraId="49B3E8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5DCC21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perforácia vredu dvanástnika,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stomatitída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abdominálna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distenzia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tvrdá stolica,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neutropenická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kolitída</w:t>
            </w:r>
            <w:proofErr w:type="spellEnd"/>
          </w:p>
        </w:tc>
        <w:tc>
          <w:tcPr>
            <w:tcW w:w="1705" w:type="dxa"/>
          </w:tcPr>
          <w:p w14:paraId="510E6AC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223B4F83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47E718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kože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podkožného tkaniva</w:t>
            </w:r>
          </w:p>
        </w:tc>
        <w:tc>
          <w:tcPr>
            <w:tcW w:w="4388" w:type="dxa"/>
          </w:tcPr>
          <w:p w14:paraId="71D5F33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vyrážka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akné</w:t>
            </w:r>
          </w:p>
        </w:tc>
        <w:tc>
          <w:tcPr>
            <w:tcW w:w="1705" w:type="dxa"/>
          </w:tcPr>
          <w:p w14:paraId="37DFDD5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76CF2E75" w14:textId="77777777" w:rsidTr="00C50E87">
        <w:trPr>
          <w:trHeight w:hRule="exact" w:val="1022"/>
        </w:trPr>
        <w:tc>
          <w:tcPr>
            <w:tcW w:w="2983" w:type="dxa"/>
            <w:vMerge/>
          </w:tcPr>
          <w:p w14:paraId="5866268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1E23136" w14:textId="0ADDC6C2" w:rsidR="005D3283" w:rsidRPr="00E35E38" w:rsidRDefault="005D3283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fotosenzitívna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reakcia,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hyperh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dróza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seborea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kožná lézia,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pruritická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vyrážka,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Stevenso</w:t>
            </w:r>
            <w:r w:rsidRPr="00E35E38">
              <w:rPr>
                <w:rFonts w:ascii="Times New Roman" w:eastAsia="SimSun" w:hAnsi="Times New Roman" w:cs="Times New Roman"/>
                <w:spacing w:val="-3"/>
                <w:lang w:eastAsia="fr-FR"/>
              </w:rPr>
              <w:t>v</w:t>
            </w:r>
            <w:proofErr w:type="spellEnd"/>
            <w:r w:rsidR="00124BC4" w:rsidRPr="00DE7BD8">
              <w:rPr>
                <w:rFonts w:ascii="Times New Roman" w:eastAsia="SimSun" w:hAnsi="Times New Roman" w:cs="Times New Roman"/>
                <w:spacing w:val="-3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J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hnsonov</w:t>
            </w:r>
            <w:proofErr w:type="spellEnd"/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syndró</w:t>
            </w:r>
            <w:r w:rsidRPr="00E35E38">
              <w:rPr>
                <w:rFonts w:ascii="Times New Roman" w:eastAsia="SimSun" w:hAnsi="Times New Roman" w:cs="Times New Roman"/>
                <w:spacing w:val="-4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/toxická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epidermálna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nekrolýza</w:t>
            </w:r>
            <w:proofErr w:type="spellEnd"/>
          </w:p>
        </w:tc>
        <w:tc>
          <w:tcPr>
            <w:tcW w:w="1705" w:type="dxa"/>
          </w:tcPr>
          <w:p w14:paraId="3D86C8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AC4D54A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053622C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86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8E047D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pruritus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urtikária</w:t>
            </w:r>
            <w:proofErr w:type="spellEnd"/>
          </w:p>
        </w:tc>
        <w:tc>
          <w:tcPr>
            <w:tcW w:w="1705" w:type="dxa"/>
          </w:tcPr>
          <w:p w14:paraId="1F2FE0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748FB93E" w14:textId="77777777" w:rsidTr="00C50E87">
        <w:trPr>
          <w:trHeight w:hRule="exact" w:val="516"/>
        </w:trPr>
        <w:tc>
          <w:tcPr>
            <w:tcW w:w="2983" w:type="dxa"/>
          </w:tcPr>
          <w:p w14:paraId="3C3727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kostrovej a svalovej sústavy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spojivového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tkaniva</w:t>
            </w:r>
          </w:p>
        </w:tc>
        <w:tc>
          <w:tcPr>
            <w:tcW w:w="4388" w:type="dxa"/>
          </w:tcPr>
          <w:p w14:paraId="2AE92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svalová slabosť, svalové kŕče</w:t>
            </w:r>
          </w:p>
        </w:tc>
        <w:tc>
          <w:tcPr>
            <w:tcW w:w="1705" w:type="dxa"/>
          </w:tcPr>
          <w:p w14:paraId="4CABC4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1A79F92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8C273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obličiek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močovej sústavy</w:t>
            </w:r>
          </w:p>
        </w:tc>
        <w:tc>
          <w:tcPr>
            <w:tcW w:w="4388" w:type="dxa"/>
          </w:tcPr>
          <w:p w14:paraId="66D6495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dyzúria</w:t>
            </w:r>
            <w:proofErr w:type="spellEnd"/>
          </w:p>
        </w:tc>
        <w:tc>
          <w:tcPr>
            <w:tcW w:w="1705" w:type="dxa"/>
          </w:tcPr>
          <w:p w14:paraId="45C7BBB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353F333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54594A6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088327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polakizúria</w:t>
            </w:r>
            <w:proofErr w:type="spellEnd"/>
          </w:p>
        </w:tc>
        <w:tc>
          <w:tcPr>
            <w:tcW w:w="1705" w:type="dxa"/>
          </w:tcPr>
          <w:p w14:paraId="040448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2B87EB6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6A5C2DA" w14:textId="77777777" w:rsidR="005D3283" w:rsidRPr="00E35E38" w:rsidRDefault="005D3283" w:rsidP="00124BC4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Celkové poruchy a reakcie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mieste podania</w:t>
            </w:r>
          </w:p>
        </w:tc>
        <w:tc>
          <w:tcPr>
            <w:tcW w:w="4388" w:type="dxa"/>
          </w:tcPr>
          <w:p w14:paraId="1030FF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nava</w:t>
            </w:r>
          </w:p>
        </w:tc>
        <w:tc>
          <w:tcPr>
            <w:tcW w:w="1705" w:type="dxa"/>
          </w:tcPr>
          <w:p w14:paraId="42B91D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185281D0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0AE1EC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88F34" w14:textId="215EBB1D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asténi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r w:rsidR="0058212F">
              <w:rPr>
                <w:rFonts w:ascii="Times New Roman" w:eastAsia="SimSun" w:hAnsi="Times New Roman" w:cs="Times New Roman"/>
                <w:spacing w:val="-1"/>
                <w:lang w:eastAsia="fr-FR"/>
              </w:rPr>
              <w:t>nevoľnosť</w:t>
            </w:r>
          </w:p>
        </w:tc>
        <w:tc>
          <w:tcPr>
            <w:tcW w:w="1705" w:type="dxa"/>
          </w:tcPr>
          <w:p w14:paraId="670A7C6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6BE45C46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304AC39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F3EF0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edém,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skomfort</w:t>
            </w:r>
            <w:proofErr w:type="spellEnd"/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hrudníka,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chôdze</w:t>
            </w:r>
          </w:p>
        </w:tc>
        <w:tc>
          <w:tcPr>
            <w:tcW w:w="1705" w:type="dxa"/>
          </w:tcPr>
          <w:p w14:paraId="6C9359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DDAA38E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2B4D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Laboratórne a funkčné vyšetrenia</w:t>
            </w:r>
          </w:p>
        </w:tc>
        <w:tc>
          <w:tcPr>
            <w:tcW w:w="4388" w:type="dxa"/>
          </w:tcPr>
          <w:p w14:paraId="5DCAA7C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LT</w:t>
            </w:r>
          </w:p>
        </w:tc>
        <w:tc>
          <w:tcPr>
            <w:tcW w:w="1705" w:type="dxa"/>
          </w:tcPr>
          <w:p w14:paraId="42929E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7EFEE0EA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17C147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CEEDBD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AST, zvýšenie hladiny alkalickej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fosfatázy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 xml:space="preserve"> k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vi</w:t>
            </w:r>
          </w:p>
        </w:tc>
        <w:tc>
          <w:tcPr>
            <w:tcW w:w="1705" w:type="dxa"/>
          </w:tcPr>
          <w:p w14:paraId="2275099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29A9D20" w14:textId="77777777" w:rsidTr="00C50E87">
        <w:trPr>
          <w:trHeight w:hRule="exact" w:val="1274"/>
        </w:trPr>
        <w:tc>
          <w:tcPr>
            <w:tcW w:w="2983" w:type="dxa"/>
            <w:vMerge/>
          </w:tcPr>
          <w:p w14:paraId="13076E2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F191BBE" w14:textId="791EA6FD" w:rsidR="005D3283" w:rsidRPr="00E35E38" w:rsidRDefault="0058212F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>
              <w:rPr>
                <w:rFonts w:ascii="Times New Roman" w:eastAsia="SimSun" w:hAnsi="Times New Roman" w:cs="Times New Roman"/>
                <w:lang w:eastAsia="fr-FR"/>
              </w:rPr>
              <w:t>p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otvrdená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prítomnosť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erytrocytov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 znížená hladina sodíka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="005D3283"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vi, pokles hmotnosti, zníženie počtu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neutrofilov</w:t>
            </w:r>
            <w:proofErr w:type="spellEnd"/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, prítomnosť glukózy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zvýšené vylučovanie moču</w:t>
            </w:r>
          </w:p>
        </w:tc>
        <w:tc>
          <w:tcPr>
            <w:tcW w:w="1705" w:type="dxa"/>
          </w:tcPr>
          <w:p w14:paraId="214A188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</w:tbl>
    <w:p w14:paraId="708A98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vertAlign w:val="superscript"/>
          <w:lang w:eastAsia="fr-FR"/>
        </w:rPr>
        <w:t>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Nauzea</w:t>
      </w:r>
      <w:proofErr w:type="spellEnd"/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vracanie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prvých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liečby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parametrami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účinnosti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až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potom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>sa</w:t>
      </w:r>
      <w:r w:rsidR="00124BC4" w:rsidRPr="00E35E38">
        <w:rPr>
          <w:rFonts w:ascii="Times New Roman" w:eastAsia="SimSun" w:hAnsi="Times New Roman" w:cs="Times New Roman"/>
          <w:w w:val="99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 xml:space="preserve">hlásili </w:t>
      </w:r>
      <w:r w:rsidRPr="00E35E38">
        <w:rPr>
          <w:rFonts w:ascii="Times New Roman" w:eastAsia="SimSun" w:hAnsi="Times New Roman" w:cs="Times New Roman"/>
          <w:lang w:eastAsia="fr-FR"/>
        </w:rPr>
        <w:t>ako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nežiaduce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reakcie.</w:t>
      </w:r>
    </w:p>
    <w:p w14:paraId="0FF863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710B613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Opis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vybraných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6725CF2A" w14:textId="34596AA6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Profily nežiaducich reakcií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boli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štúdií HEC a MEC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="00A96E36">
        <w:rPr>
          <w:rFonts w:ascii="Times New Roman" w:eastAsia="SimSun" w:hAnsi="Times New Roman" w:cs="Times New Roman"/>
          <w:lang w:eastAsia="fr-FR"/>
        </w:rPr>
        <w:t>opakovanými</w:t>
      </w:r>
      <w:r w:rsidRPr="00E35E38">
        <w:rPr>
          <w:rFonts w:ascii="Times New Roman" w:eastAsia="SimSun" w:hAnsi="Times New Roman" w:cs="Times New Roman"/>
          <w:lang w:eastAsia="fr-FR"/>
        </w:rPr>
        <w:t xml:space="preserve"> až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ďalší</w:t>
      </w:r>
      <w:r w:rsidR="0058212F">
        <w:rPr>
          <w:rFonts w:ascii="Times New Roman" w:eastAsia="SimSun" w:hAnsi="Times New Roman" w:cs="Times New Roman"/>
          <w:lang w:eastAsia="fr-FR"/>
        </w:rPr>
        <w:t>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cykl</w:t>
      </w:r>
      <w:r w:rsidR="0058212F">
        <w:rPr>
          <w:rFonts w:ascii="Times New Roman" w:eastAsia="SimSun" w:hAnsi="Times New Roman" w:cs="Times New Roman"/>
          <w:lang w:eastAsia="fr-FR"/>
        </w:rPr>
        <w:t>ami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chemoterapie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podobné tým, ktoré sa 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30897D6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9D08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ďalšej aktívne kontrolovanej klinickej štúdii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169 dospelých pacientov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dostávajúcich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HEC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profil nežiaducich reakcií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podobný profilu, ktorý sa pozoroval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iných štúdiách HEC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14562B0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8BE81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pacientov liečených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pooperačnú nevoľnosť a vracanie (PONV) boli pozorované ďalšie nežiaduce reakcie s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vyššou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pri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bolesť 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hornej časti brucha, abnormálne zvuky čriev, zápcha*,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dyzartria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dyspnoe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znížená citlivosť,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insomnia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mióza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nauzea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senzorická porucha, žalúdočné ťažkosti,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subileus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*, zníženie zrakovej ostrosti, sipot.</w:t>
      </w:r>
    </w:p>
    <w:p w14:paraId="4F6A3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*Hlásené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DE7BD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paciento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užívaj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ú</w:t>
      </w:r>
      <w:r w:rsidRPr="00E35E38">
        <w:rPr>
          <w:rFonts w:ascii="Times New Roman" w:eastAsia="SimSun" w:hAnsi="Times New Roman" w:cs="Times New Roman"/>
          <w:lang w:eastAsia="fr-FR"/>
        </w:rPr>
        <w:t>cich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vyš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š</w:t>
      </w:r>
      <w:r w:rsidRPr="00E35E38">
        <w:rPr>
          <w:rFonts w:ascii="Times New Roman" w:eastAsia="SimSun" w:hAnsi="Times New Roman" w:cs="Times New Roman"/>
          <w:spacing w:val="2"/>
          <w:lang w:eastAsia="fr-FR"/>
        </w:rPr>
        <w:t>i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A2107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02BBF9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Hlásenie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podozrení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reakcie</w:t>
      </w:r>
      <w:bookmarkStart w:id="0" w:name="_GoBack"/>
      <w:bookmarkEnd w:id="0"/>
    </w:p>
    <w:p w14:paraId="49628229" w14:textId="655D43DC" w:rsidR="00E35E38" w:rsidRPr="009A078F" w:rsidRDefault="005D3283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</w:rPr>
      </w:pPr>
      <w:r w:rsidRPr="00E35E38">
        <w:rPr>
          <w:rFonts w:ascii="Times New Roman" w:eastAsia="SimSun" w:hAnsi="Times New Roman" w:cs="Times New Roman"/>
          <w:lang w:eastAsia="fr-FR"/>
        </w:rPr>
        <w:t>Hlásenie podozrení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nežiaduce reakcie po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registrácii lieku je dôležité. Umožňuje priebežné monitorovanie pomeru prínosu a rizika lieku. Od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zdravotníckych pracovníkov sa vyžaduje, aby hlásili akékoľvek podozrenia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nežiaduce reakcie </w:t>
      </w:r>
      <w:r w:rsidR="009C7F25" w:rsidRPr="00E35E38">
        <w:rPr>
          <w:rFonts w:ascii="Times New Roman" w:eastAsia="SimSun" w:hAnsi="Times New Roman" w:cs="Times New Roman"/>
          <w:lang w:eastAsia="fr-FR"/>
        </w:rPr>
        <w:t>na </w:t>
      </w:r>
      <w:bookmarkStart w:id="1" w:name="_Hlk531760169"/>
      <w:r w:rsidR="00E35E38" w:rsidRPr="0015184D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A96E36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E35E38" w:rsidRPr="0015184D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1"/>
      <w:r w:rsidR="00E35E38">
        <w:t>.</w:t>
      </w:r>
    </w:p>
    <w:p w14:paraId="63284B77" w14:textId="77777777" w:rsidR="00E35E38" w:rsidRPr="0015184D" w:rsidRDefault="00E35E38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BE3F5A4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Predávkovanie</w:t>
      </w:r>
    </w:p>
    <w:p w14:paraId="13534D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C389F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prípade predávkovania je potrebné prerušiť liečbu liekom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="00983AD4" w:rsidRPr="00E35E38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prejsť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celkovú podpornú liečbu a monitorovanie pacienta. Pretože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má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účinok, nemusí byť farmakologicky navodené vracanie efektívne.</w:t>
      </w:r>
    </w:p>
    <w:p w14:paraId="5190966E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E7E1BD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nedá odstrániť hemodialýzou.</w:t>
      </w:r>
    </w:p>
    <w:p w14:paraId="04CBD918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B54217F" w14:textId="77777777" w:rsidR="005D3283" w:rsidRPr="00CF6EC9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0595CC53" w14:textId="77777777" w:rsidR="005D3283" w:rsidRPr="00CF6EC9" w:rsidRDefault="000165A5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0" w:firstLine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FARMAKOLOGICKÉ VLASTNOSTI</w:t>
      </w:r>
    </w:p>
    <w:p w14:paraId="5ECC2EB1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A283263" w14:textId="77777777" w:rsidR="005D3283" w:rsidRPr="00E35E38" w:rsidRDefault="00A41E9C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Farmakodynamické</w:t>
      </w:r>
      <w:proofErr w:type="spellEnd"/>
      <w:r w:rsidRPr="00E35E38">
        <w:rPr>
          <w:rFonts w:ascii="Times New Roman" w:eastAsia="Times New Roman" w:hAnsi="Times New Roman" w:cs="Times New Roman"/>
          <w:b/>
          <w:lang w:eastAsia="sk-SK" w:bidi="sk-SK"/>
        </w:rPr>
        <w:t xml:space="preserve"> vlastnosti</w:t>
      </w:r>
    </w:p>
    <w:p w14:paraId="5321E3F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63473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Farmakoterapeutická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skupina: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antiemetiká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lieky proti nevoľnosti, ATC kód: A04AD12</w:t>
      </w:r>
    </w:p>
    <w:p w14:paraId="354FE6B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5540833" w14:textId="1422BAA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</w:t>
      </w:r>
      <w:r w:rsidR="00A96E36">
        <w:rPr>
          <w:rFonts w:ascii="Times New Roman" w:eastAsia="SimSun" w:hAnsi="Times New Roman" w:cs="Times New Roman"/>
          <w:lang w:eastAsia="fr-FR"/>
        </w:rPr>
        <w:t xml:space="preserve">u ľudí </w:t>
      </w:r>
      <w:r w:rsidRPr="00E35E38">
        <w:rPr>
          <w:rFonts w:ascii="Times New Roman" w:eastAsia="SimSun" w:hAnsi="Times New Roman" w:cs="Times New Roman"/>
          <w:lang w:eastAsia="fr-FR"/>
        </w:rPr>
        <w:t>selektívny 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afinitný antagonista na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56745F">
        <w:rPr>
          <w:rFonts w:ascii="Times New Roman" w:eastAsia="SimSun" w:hAnsi="Times New Roman" w:cs="Times New Roman"/>
          <w:lang w:eastAsia="fr-FR"/>
        </w:rPr>
        <w:t>neurokinín</w:t>
      </w:r>
      <w:proofErr w:type="spellEnd"/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(NK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1</w:t>
      </w:r>
      <w:r w:rsidRPr="00E35E38">
        <w:rPr>
          <w:rFonts w:ascii="Times New Roman" w:eastAsia="SimSun" w:hAnsi="Times New Roman" w:cs="Times New Roman"/>
          <w:lang w:eastAsia="fr-FR"/>
        </w:rPr>
        <w:t>) receptoroch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substanciu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P.</w:t>
      </w:r>
    </w:p>
    <w:p w14:paraId="13CB6C1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FD6BF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6745F">
        <w:rPr>
          <w:rFonts w:ascii="Times New Roman" w:eastAsia="SimSun" w:hAnsi="Times New Roman" w:cs="Times New Roman"/>
          <w:u w:val="single"/>
          <w:lang w:eastAsia="fr-FR"/>
        </w:rPr>
        <w:t>3</w:t>
      </w:r>
      <w:r w:rsidRPr="0056745F">
        <w:rPr>
          <w:rFonts w:ascii="Times New Roman" w:eastAsia="SimSun" w:hAnsi="Times New Roman" w:cs="Times New Roman"/>
          <w:spacing w:val="-4"/>
          <w:u w:val="single"/>
          <w:lang w:eastAsia="fr-FR"/>
        </w:rPr>
        <w:t>-</w:t>
      </w:r>
      <w:r w:rsidRPr="0056745F">
        <w:rPr>
          <w:rFonts w:ascii="Times New Roman" w:eastAsia="SimSun" w:hAnsi="Times New Roman" w:cs="Times New Roman"/>
          <w:u w:val="single"/>
          <w:lang w:eastAsia="fr-FR"/>
        </w:rPr>
        <w:t>dňový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režim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aprepitantom</w:t>
      </w:r>
      <w:proofErr w:type="spellEnd"/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u</w:t>
      </w:r>
      <w:r w:rsidR="001F3C7A" w:rsidRPr="00DE7BD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dospelých</w:t>
      </w:r>
    </w:p>
    <w:p w14:paraId="7E24C25E" w14:textId="135E47C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randomizovaných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dvojito zaslepených štúdiách, ktoré celkovo zahŕňali 1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094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pacientov dostávajúcich chemoterapiu obsahujúcu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cisplatinu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≥ 70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m2, sa porovnával režim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a štandardný režim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placebo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dvakrát denne počas dní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4). Aj keď sa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skúšaniach použila intravenózna dávka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táto dávka už nie je odporúčanou dávkou. Príslušné informácie o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dávkovaní pozri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="0056745F">
        <w:rPr>
          <w:rFonts w:ascii="Times New Roman" w:eastAsia="SimSun" w:hAnsi="Times New Roman" w:cs="Times New Roman"/>
          <w:lang w:eastAsia="fr-FR"/>
        </w:rPr>
        <w:t>informáciách</w:t>
      </w:r>
      <w:r w:rsidRPr="00E35E38">
        <w:rPr>
          <w:rFonts w:ascii="Times New Roman" w:eastAsia="SimSun" w:hAnsi="Times New Roman" w:cs="Times New Roman"/>
          <w:lang w:eastAsia="fr-FR"/>
        </w:rPr>
        <w:t xml:space="preserve"> vybraného lieku obsahujúceho antagonistu 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63417A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15836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nasledujúceho kompozitného ukazovateľa: úplná odpoveď (definovaná ako stav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 Výsledky sa hodnotili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každú individuálnu štúdiu a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štúdie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kombinácii.</w:t>
      </w:r>
    </w:p>
    <w:p w14:paraId="6E5FE8A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06E2D4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 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je súhrn kľúčových výsledkov štúdií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kombinovanej analýzy.</w:t>
      </w:r>
    </w:p>
    <w:p w14:paraId="4DCB12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2A1A867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Tabuľka 1</w:t>
      </w:r>
    </w:p>
    <w:p w14:paraId="0EC62188" w14:textId="6420EFB5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 dospelých pacientov</w:t>
      </w:r>
      <w:r w:rsidR="0056745F" w:rsidRPr="0056745F">
        <w:t xml:space="preserve"> </w:t>
      </w:r>
      <w:r w:rsidR="0056745F" w:rsidRPr="0056745F">
        <w:rPr>
          <w:rFonts w:ascii="Times New Roman" w:eastAsia="SimSun" w:hAnsi="Times New Roman" w:cs="Times New Roman"/>
          <w:lang w:eastAsia="fr-FR"/>
        </w:rPr>
        <w:t>odpovedajúcich na liečbu</w:t>
      </w:r>
      <w:r w:rsidRPr="00E35E38">
        <w:rPr>
          <w:rFonts w:ascii="Times New Roman" w:eastAsia="SimSun" w:hAnsi="Times New Roman" w:cs="Times New Roman"/>
          <w:lang w:eastAsia="fr-FR"/>
        </w:rPr>
        <w:t xml:space="preserve">, ktorí dostávali vysoko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chemoterapiu, podľa liečebnej skupiny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fáz</w:t>
      </w:r>
      <w:r w:rsidRPr="00E35E38">
        <w:rPr>
          <w:rFonts w:ascii="Times New Roman" w:eastAsia="SimSun" w:hAnsi="Times New Roman" w:cs="Times New Roman"/>
          <w:lang w:eastAsia="fr-FR"/>
        </w:rPr>
        <w:t>y–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</w:t>
      </w:r>
    </w:p>
    <w:p w14:paraId="62011508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59"/>
        <w:gridCol w:w="1494"/>
        <w:gridCol w:w="1098"/>
        <w:gridCol w:w="1767"/>
      </w:tblGrid>
      <w:tr w:rsidR="005D3283" w:rsidRPr="00E35E38" w14:paraId="3EC39B74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AE58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4905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49F7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D5A06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891F08E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93F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C815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(N=521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DF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(N=524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6294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8AA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1491A6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64C0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F9D95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D2C5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A6C22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11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 IS)</w:t>
            </w:r>
          </w:p>
        </w:tc>
      </w:tr>
      <w:tr w:rsidR="005D3283" w:rsidRPr="00E35E38" w14:paraId="51729BA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80E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2382ED1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92450" w14:textId="77777777" w:rsidR="005D3283" w:rsidRPr="00DE7BD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186D0DB1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CDD6" w14:textId="77777777" w:rsidR="005D3283" w:rsidRPr="00E35E38" w:rsidRDefault="00CF6EC9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Celkovo</w:t>
            </w:r>
            <w:r w:rsidR="005D3283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(0-120 hodín)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8614" w14:textId="5E98E4A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6025" w14:textId="2A886B6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2BBC" w14:textId="4E8C2F1F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78EE" w14:textId="169AE2B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4ABFDA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00D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F5A7" w14:textId="4EF774AB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D990" w14:textId="0643B23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7579B" w14:textId="6E17D51E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8BD89" w14:textId="397C4409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D8B60CC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E8AB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E45" w14:textId="6F4AD48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1D92" w14:textId="24C80EE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C314B" w14:textId="29F11920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C007B" w14:textId="7BFC498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26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43DF21A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6486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07D6509C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5CFE5651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BBBBE" w14:textId="77777777" w:rsidR="005D3283" w:rsidRPr="00CF6EC9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6B1CF0FE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249A7" w14:textId="7C03C7A8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0588C" w14:textId="380F7F5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1B445" w14:textId="45957B5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DAADC" w14:textId="12A94B5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609410" w14:textId="7FF6D76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7DD5047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2F8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74C" w14:textId="3BB25A9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6A33F" w14:textId="444A3A7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6A0D" w14:textId="6EB2628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371C" w14:textId="1BBC15C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3E6CF27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9142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734F3" w14:textId="199C8E7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0FD7" w14:textId="26127241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78278" w14:textId="2CB5E73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52DDB" w14:textId="07243BE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280973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8DA2" w14:textId="27F91FB0" w:rsidR="005D3283" w:rsidRPr="00E35E38" w:rsidRDefault="005D3283" w:rsidP="00A933E2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nauzey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(maximáln</w:t>
            </w:r>
            <w:r w:rsidR="00982790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&lt;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5FD894B4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12149" w14:textId="55ACB683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69E87" w14:textId="5DE2ACD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EC4C93" w14:textId="5C0D612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291B3" w14:textId="08545BE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C41E4" w14:textId="270A789C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E7030F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DA52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62C0C" w14:textId="57C1CBFE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4C8DC" w14:textId="40BBA88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8D8B" w14:textId="7A3C903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DD73" w14:textId="2FB02F4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3F9B933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413D5" w14:textId="77777777" w:rsidR="005D3283" w:rsidRPr="00CF6EC9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súbežnej chemoterapie,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A499583" w14:textId="77777777" w:rsidR="005D3283" w:rsidRPr="00E35E38" w:rsidRDefault="005D3283" w:rsidP="00DF6D7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 xml:space="preserve">† 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proofErr w:type="spellStart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</w:t>
            </w:r>
            <w:proofErr w:type="spellEnd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fázy;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so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štandardnou liečbou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akútnej fázy.</w:t>
            </w:r>
          </w:p>
        </w:tc>
      </w:tr>
    </w:tbl>
    <w:p w14:paraId="4E42D396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NewRoman" w:hAnsi="Times New Roman" w:cs="Times New Roman"/>
          <w:lang w:eastAsia="fr-FR"/>
        </w:rPr>
      </w:pPr>
    </w:p>
    <w:p w14:paraId="74BBF74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Odhadovaný čas do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prvého vracania v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kombinovanej analýze je zobrazený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Kaplan</w:t>
      </w:r>
      <w:r w:rsidR="00982790">
        <w:rPr>
          <w:rFonts w:ascii="Times New Roman" w:eastAsia="SimSun" w:hAnsi="Times New Roman" w:cs="Times New Roman"/>
          <w:lang w:eastAsia="fr-FR"/>
        </w:rPr>
        <w:t>ovom</w:t>
      </w:r>
      <w:r w:rsidRPr="00CF6EC9">
        <w:rPr>
          <w:rFonts w:ascii="Times New Roman" w:eastAsia="SimSun" w:hAnsi="Times New Roman" w:cs="Times New Roman"/>
          <w:lang w:eastAsia="fr-FR"/>
        </w:rPr>
        <w:t>-Meierovom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grafe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obrázku</w:t>
      </w:r>
      <w:r w:rsidR="00DF6D7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</w:p>
    <w:p w14:paraId="6A0A8488" w14:textId="77777777" w:rsidR="005D3283" w:rsidRPr="00E35E38" w:rsidRDefault="005D3283" w:rsidP="005D3283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B4D84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Obrázo</w:t>
      </w:r>
      <w:r w:rsidRPr="00E35E38">
        <w:rPr>
          <w:rFonts w:ascii="Times New Roman" w:eastAsia="SimSun" w:hAnsi="Times New Roman" w:cs="Times New Roman"/>
          <w:lang w:eastAsia="fr-FR"/>
        </w:rPr>
        <w:t>k1</w:t>
      </w:r>
    </w:p>
    <w:p w14:paraId="6B29A14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dostávajúcich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emetogé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CF6EC9">
        <w:rPr>
          <w:rFonts w:ascii="Times New Roman" w:eastAsia="SimSun" w:hAnsi="Times New Roman" w:cs="Times New Roman"/>
          <w:lang w:eastAsia="fr-FR"/>
        </w:rPr>
        <w:t>nu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chemoterapiu, ktorí boli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vracania,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čase – 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cyklus</w:t>
      </w:r>
    </w:p>
    <w:p w14:paraId="371E442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1F29F1D3" w14:textId="77777777" w:rsidR="005D3283" w:rsidRPr="00E35E38" w:rsidRDefault="005D3283" w:rsidP="005D3283">
      <w:pPr>
        <w:keepNext/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0D94A82C" wp14:editId="1B045D21">
            <wp:extent cx="5208270" cy="320421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FB1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62F6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Štatisticky významné rozdiely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sa pozorovali aj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každej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individuálnych štúdií.</w:t>
      </w:r>
    </w:p>
    <w:p w14:paraId="7F9463F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CD3AE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 istých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pokračovalo 851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opakovanými cyklami, až do</w:t>
      </w:r>
      <w:r w:rsidR="00DF6D7B" w:rsidRPr="00E35E38">
        <w:rPr>
          <w:rFonts w:ascii="Times New Roman" w:eastAsia="SimSun" w:hAnsi="Times New Roman" w:cs="Times New Roman"/>
          <w:lang w:eastAsia="fr-FR"/>
        </w:rPr>
        <w:t> 5 </w:t>
      </w:r>
      <w:r w:rsidRPr="00E35E38">
        <w:rPr>
          <w:rFonts w:ascii="Times New Roman" w:eastAsia="SimSun" w:hAnsi="Times New Roman" w:cs="Times New Roman"/>
          <w:lang w:eastAsia="fr-FR"/>
        </w:rPr>
        <w:t>ďalších cyklov chemoterapie.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si </w:t>
      </w:r>
      <w:r w:rsidR="00415BA7">
        <w:rPr>
          <w:rFonts w:ascii="Times New Roman" w:eastAsia="SimSun" w:hAnsi="Times New Roman" w:cs="Times New Roman"/>
          <w:lang w:eastAsia="fr-FR"/>
        </w:rPr>
        <w:t xml:space="preserve">zjavne </w:t>
      </w:r>
      <w:r w:rsidRPr="00E35E38">
        <w:rPr>
          <w:rFonts w:ascii="Times New Roman" w:eastAsia="SimSun" w:hAnsi="Times New Roman" w:cs="Times New Roman"/>
          <w:lang w:eastAsia="fr-FR"/>
        </w:rPr>
        <w:t>zachoval účinnosť počas všetkých cyklov.</w:t>
      </w:r>
    </w:p>
    <w:p w14:paraId="2E588C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60D1E9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randomizovanej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dvojito zaslepenej štúdii u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celkovo 866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(864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žien,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muži) dostávajúcich chemoterapiu, ktorá zahŕňala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cyklofosfamid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750-1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cyklofosfamid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500-1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doxorubicín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(≤ 60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)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epirubicín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(≤ 100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), sa porovnával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so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štandardnou terapiou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placebo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(dvakrát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každých 12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3)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1).</w:t>
      </w:r>
    </w:p>
    <w:p w14:paraId="105BE5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D588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kompozitného ukazovateľa: úplná odpoveď (definovaná ako stav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</w:t>
      </w:r>
    </w:p>
    <w:p w14:paraId="3989EA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EFE764" w14:textId="77777777" w:rsidR="005D3283" w:rsidRPr="00E35E38" w:rsidRDefault="005D3283" w:rsidP="005D3283">
      <w:pPr>
        <w:tabs>
          <w:tab w:val="left" w:pos="568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Súhrn kľúčových výsledkov štúdie je uvedený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608CD4B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5C99E8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</w:p>
    <w:p w14:paraId="72D3EC19" w14:textId="46F09B36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Percento dospelých pacientov </w:t>
      </w:r>
      <w:r w:rsidR="00E1464C" w:rsidRPr="00E1464C">
        <w:rPr>
          <w:rFonts w:ascii="Times New Roman" w:eastAsia="SimSun" w:hAnsi="Times New Roman" w:cs="Times New Roman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lang w:eastAsia="fr-FR"/>
        </w:rPr>
        <w:t>podľa liečebnej skupiny a fázy - 1.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="00E1464C">
        <w:rPr>
          <w:rFonts w:ascii="Times New Roman" w:eastAsia="SimSun" w:hAnsi="Times New Roman" w:cs="Times New Roman"/>
          <w:lang w:eastAsia="fr-FR"/>
        </w:rPr>
        <w:t>c</w:t>
      </w:r>
      <w:r w:rsidRPr="00E35E38">
        <w:rPr>
          <w:rFonts w:ascii="Times New Roman" w:eastAsia="SimSun" w:hAnsi="Times New Roman" w:cs="Times New Roman"/>
          <w:lang w:eastAsia="fr-FR"/>
        </w:rPr>
        <w:t xml:space="preserve">yklus stredne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</w:t>
      </w:r>
      <w:r w:rsidR="00E1464C">
        <w:rPr>
          <w:rFonts w:ascii="Times New Roman" w:eastAsia="SimSun" w:hAnsi="Times New Roman" w:cs="Times New Roman"/>
          <w:lang w:eastAsia="fr-FR"/>
        </w:rPr>
        <w:t>e</w:t>
      </w:r>
    </w:p>
    <w:p w14:paraId="47155E5D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636"/>
        <w:gridCol w:w="1098"/>
        <w:gridCol w:w="1767"/>
      </w:tblGrid>
      <w:tr w:rsidR="005D3283" w:rsidRPr="00E35E38" w14:paraId="23D6A91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1E33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57444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27A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E811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42CA49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F80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KOMPOZITNÉUKAZOVATELE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BC6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(N=433)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7F61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(N=424)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7C7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B8F7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78C410E1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600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B21C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517F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F4C6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E2E4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686DC467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86F9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6C9A2D3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4875F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07D652A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76EE" w14:textId="05ED104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8944" w14:textId="7296CE6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B279" w14:textId="1E7A53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8B59" w14:textId="55D7253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AA26F" w14:textId="639860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8C64B17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410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3C4FE" w14:textId="67B55D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00E4" w14:textId="33E1F36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02A5" w14:textId="7E4415E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4948" w14:textId="106D465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0BA5453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B759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BF415" w14:textId="4B3150A6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FA09F" w14:textId="3DEFDB9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1C92F" w14:textId="35C880F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FC63F" w14:textId="02F13E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44CEF9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E13A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5A247CA7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7E1BB69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6F32C" w14:textId="77777777" w:rsidR="005D3283" w:rsidRPr="00CF6EC9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3FE4003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380C35" w14:textId="1397B9D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908D2" w14:textId="3EC1A79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449A3" w14:textId="26479CC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9DAE4" w14:textId="245581D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F2D27" w14:textId="642D806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23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4667A53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300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1B31" w14:textId="40A4BD0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E572" w14:textId="0AF375F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F432" w14:textId="3900DA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FB54" w14:textId="0515EDC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0C05142F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96DA5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01DCB" w14:textId="354F06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3E031" w14:textId="33AE448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A3C5" w14:textId="3F887D2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3B2F5" w14:textId="52447F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7B9BC8E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04E0" w14:textId="28ED3EE2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nauzey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(maximáln</w:t>
            </w:r>
            <w:r w:rsidR="00E1464C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 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68D3D696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67932" w14:textId="71098A2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426A4" w14:textId="1605724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1B3340" w14:textId="69FECB1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9F7A4" w14:textId="6EC2FA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E1CCE" w14:textId="618D9C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58F4D01A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2AD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40E44" w14:textId="10AA3FD4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F4DD" w14:textId="6E5F6C3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7191" w14:textId="5DC6C59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92C1" w14:textId="4D1FB7B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349F1762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0550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BCB3C" w14:textId="54D8C8F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08BC6" w14:textId="1BA3915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EEFA4" w14:textId="6D0C757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C2FB5" w14:textId="4882B98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7B5457C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0E244" w14:textId="1B416C72" w:rsidR="005D3283" w:rsidRPr="00CF6EC9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vekovej kategórie (&lt;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rokov, ≥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rokov) a vyšetrovanej skupiny,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8053878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proofErr w:type="spellStart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</w:t>
            </w:r>
            <w:proofErr w:type="spellEnd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fázy.</w:t>
            </w:r>
          </w:p>
        </w:tc>
      </w:tr>
    </w:tbl>
    <w:p w14:paraId="6DB7E3ED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2AFE053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tej istej klinickej štúdii pokračovalo 744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dospelých pacientov 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predĺžení s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opakovanými cyklami až do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ďalších cyklov chemoterapie.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si zjavne zachoval účinnosť počas všetkých cyklov.</w:t>
      </w:r>
    </w:p>
    <w:p w14:paraId="703DB94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AF9AC9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druhej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multicentrickej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randomizovanej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dvojito zaslepenej klinickej štúdii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paralelnými skupinami sa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848 dospelých pacientov (652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196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mužov) dostávajúcich chemoterapiu, ktorá zahŕňala akúkoľvek intravenóznu dávku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oxaliplatiny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karboplatiny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epirubicínu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idarubicínu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ifosfamidu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irinotekánu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daunorubicínu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doxorubicínu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intravenózneho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cyklofosfamidu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(&lt;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500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) alebo intravenózneho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cytarabínu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(&gt;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g/m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).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Pacienti dostávajúci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dostávali chemoterapiu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viaceré typy tumorov, ktoré zahŕňali 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karcinómov prsníka, 21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%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gastrointestinálnych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karcinómov vrátane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kolorektálneho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karcinómu, 13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pľúcnych karcinómov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gynekologických karcinómov.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režimom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dexametazónom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(pozri časť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4.2) sa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placebo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(dvakrát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každých 12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dňoch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2 a 3) plus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dexametazón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20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1).</w:t>
      </w:r>
    </w:p>
    <w:p w14:paraId="275DED2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95FA6AA" w14:textId="323E8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nasledujúcich primárnych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kľúčových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sekundárnych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cieľových ukazovateľov: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vracania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chemoterapii), hodnotenie bezpečnosti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toleranci</w:t>
      </w:r>
      <w:r w:rsidRPr="00E35E38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režim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E1464C">
        <w:rPr>
          <w:rFonts w:ascii="Times New Roman" w:eastAsia="SimSun" w:hAnsi="Times New Roman" w:cs="Times New Roman"/>
          <w:lang w:eastAsia="fr-FR"/>
        </w:rPr>
        <w:t>pri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vyvolan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E1464C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 vracan</w:t>
      </w:r>
      <w:r w:rsidR="00E1464C">
        <w:rPr>
          <w:rFonts w:ascii="Times New Roman" w:eastAsia="SimSun" w:hAnsi="Times New Roman" w:cs="Times New Roman"/>
          <w:lang w:eastAsia="fr-FR"/>
        </w:rPr>
        <w:t>í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CIN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úplná odpoveď (definovaná ako stav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použitia záchrannej liečby)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chemoterapii). Ďalej sa hodnotilo percento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signifikantnej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nauzey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počas 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 ako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exploratívny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cieľový ukazovateľ, a</w:t>
      </w:r>
      <w:r w:rsidR="007051C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akútnej a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oneskorenej fáze ako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pos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hoc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analýza.</w:t>
      </w:r>
    </w:p>
    <w:p w14:paraId="4589BC1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002CE7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Súhrn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kľúčovýc</w:t>
      </w:r>
      <w:r w:rsidRPr="00E35E38">
        <w:rPr>
          <w:rFonts w:ascii="Times New Roman" w:eastAsia="SimSun" w:hAnsi="Times New Roman" w:cs="Times New Roman"/>
          <w:lang w:eastAsia="fr-FR"/>
        </w:rPr>
        <w:t>h výsledkov štúdie je uvedený v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3.</w:t>
      </w:r>
    </w:p>
    <w:p w14:paraId="16B7D04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1"/>
          <w:lang w:eastAsia="fr-FR"/>
        </w:rPr>
      </w:pPr>
    </w:p>
    <w:p w14:paraId="24BED35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Tabuľka 3</w:t>
      </w:r>
    </w:p>
    <w:p w14:paraId="47BF9C3B" w14:textId="38F9CC58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Percento dospelých pacientov </w:t>
      </w:r>
      <w:r w:rsidR="00B83F37" w:rsidRPr="00B83F37">
        <w:rPr>
          <w:rFonts w:ascii="Times New Roman" w:eastAsia="SimSun" w:hAnsi="Times New Roman" w:cs="Times New Roman"/>
          <w:spacing w:val="-1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podľa liečebnej skupiny a fázy v štúdii 2 - 1. cyklus stredne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emetogénn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chemoterapi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</w:t>
      </w:r>
    </w:p>
    <w:p w14:paraId="1CD97088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6"/>
        <w:gridCol w:w="1917"/>
        <w:gridCol w:w="1100"/>
        <w:gridCol w:w="1765"/>
      </w:tblGrid>
      <w:tr w:rsidR="005D3283" w:rsidRPr="00E35E38" w14:paraId="0D53E1C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D6D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C4B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tom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9421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D4A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0180302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BC6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076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(N=425)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2F7D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(N=406)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B60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592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1CBE9F59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82A2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636D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2CF0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D92E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A049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417D566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3DD4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23E04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92E5A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2A6E7D30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EE1E0" w14:textId="2AB1BF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272" w14:textId="7FFA04F8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419B" w14:textId="359D9C5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E17B" w14:textId="7A83DEB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DD10" w14:textId="37298F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23024FED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7420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D9BA" w14:textId="506D5D2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6FD8" w14:textId="0E9BFC9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5895" w14:textId="1134CDC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F1EED" w14:textId="71501E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66E6C365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10B2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642D1" w14:textId="29A82F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E2FBC" w14:textId="3423769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9F0AD" w14:textId="4F88AA7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2EB39" w14:textId="5074E6D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5, 16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4499E0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2E3CA" w14:textId="77777777" w:rsidR="005D3283" w:rsidRPr="00CF6EC9" w:rsidRDefault="005D3283" w:rsidP="005F03DF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191EF3C0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FCCEE" w14:textId="3EA1591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59942" w14:textId="4EE424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547CC" w14:textId="21522A85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0609B" w14:textId="6835E3C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7121F" w14:textId="3D8246A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5615BF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C0F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0174" w14:textId="49DCD44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F52" w14:textId="37C955D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6EC3" w14:textId="41EE874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A093E" w14:textId="5FBCD6F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61C086A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15D9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0E578" w14:textId="6A8F17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FDE1F" w14:textId="0E75E65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92792" w14:textId="5C132DD0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03DA" w14:textId="478C2095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1C94D21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B9BCD" w14:textId="65CAC86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nauzey</w:t>
            </w:r>
            <w:proofErr w:type="spellEnd"/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(maximáln</w:t>
            </w:r>
            <w:r w:rsidR="00B83F37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2289A9C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D05FE" w14:textId="1FCDC0B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B8CE1" w14:textId="3365D27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88901" w14:textId="6446FCD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CA91A" w14:textId="125F6C8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03E10" w14:textId="28BD208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</w:p>
        </w:tc>
      </w:tr>
      <w:tr w:rsidR="005D3283" w:rsidRPr="00E35E38" w14:paraId="657ACC18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1974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28AC" w14:textId="7A94CB5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90470" w14:textId="394946E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E7C5" w14:textId="4B311F3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5B6B" w14:textId="1C960F1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16A28944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4A5B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60DA8" w14:textId="43CC883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6DE5E" w14:textId="18938B8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D8B33" w14:textId="6F5CFEE1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EF35" w14:textId="377FD04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55AB681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8B457" w14:textId="77777777" w:rsidR="005D3283" w:rsidRPr="00CF6EC9" w:rsidRDefault="005D3283" w:rsidP="005F03D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5F03DF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regiónu, ktoré boli zahrnuté v</w:t>
            </w:r>
            <w:r w:rsidR="005F03DF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používajúcej logistické modely.</w:t>
            </w:r>
          </w:p>
        </w:tc>
      </w:tr>
    </w:tbl>
    <w:p w14:paraId="2BC5F9C7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50C0794" w14:textId="3D67271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Prínos kombinovanej terapie s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celej populácii štúdie bol daný najmä výsledkami pozorovanými u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slabou kontrolou 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pri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štandardnom režime, </w:t>
      </w:r>
      <w:r w:rsidR="00B83F37">
        <w:rPr>
          <w:rFonts w:ascii="Times New Roman" w:eastAsia="Times New Roman" w:hAnsi="Times New Roman" w:cs="Times New Roman"/>
          <w:lang w:eastAsia="sk-SK" w:bidi="sk-SK"/>
        </w:rPr>
        <w:t>tak ako aj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i keď výsledky boli číselne lepšie bez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ohľadu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vek, typ tumoru alebo pohlavie. Úplná odpoveď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resp. štandardnú terapiu sa dosiahla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209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324 (65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161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320 (50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žien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101 (82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68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87 (78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mužov.</w:t>
      </w:r>
    </w:p>
    <w:p w14:paraId="198BB32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F639DDB" w14:textId="77777777" w:rsidR="005D3283" w:rsidRPr="00FD1253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D1253">
        <w:rPr>
          <w:rFonts w:ascii="Times New Roman" w:eastAsia="Times New Roman" w:hAnsi="Times New Roman" w:cs="Times New Roman"/>
          <w:u w:val="single"/>
          <w:lang w:eastAsia="sk-SK" w:bidi="sk-SK"/>
        </w:rPr>
        <w:t>Pediatrická populácia</w:t>
      </w:r>
    </w:p>
    <w:p w14:paraId="4BAB9C1F" w14:textId="28E143F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D1253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FD1253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FD1253">
        <w:rPr>
          <w:rFonts w:ascii="Times New Roman" w:eastAsia="Times New Roman" w:hAnsi="Times New Roman" w:cs="Times New Roman"/>
          <w:lang w:eastAsia="sk-SK" w:bidi="sk-SK"/>
        </w:rPr>
        <w:t>random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izovanej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dvojito zaslepenej, aktívnym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komparátorom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kontrolovanej klinickej štúdii, ktorá zahŕňala 302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detí a dospievajúcich (vo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rokov) dostávajúcich stredne až vysoko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emetogénnu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chemoterapiu, bol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porovnávaný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kontrolným režimom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prevenciu CINV. Účinnosť režimu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bola vyhodnocovaná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</w:t>
      </w:r>
      <w:r w:rsidR="00B83F37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cykle (1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.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nasledujúcich cykloch mali pacienti možnosť dostávať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FD1253" w:rsidRPr="00FD1253">
        <w:rPr>
          <w:rFonts w:ascii="Times New Roman" w:eastAsia="Times New Roman" w:hAnsi="Times New Roman" w:cs="Times New Roman"/>
          <w:lang w:eastAsia="sk-SK" w:bidi="sk-SK"/>
        </w:rPr>
        <w:t xml:space="preserve">v otvorenom usporiadaní štúdie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(voliteľný 2. - 6.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voliteľných cykloch sa však účinnosť nehodnotila.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47)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kapsúl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perorálne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1 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deti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105)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prášku na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perorálnu suspenziu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3,0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2,0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 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Kontrolný režim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48) a detí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 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102)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placeba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00476">
        <w:rPr>
          <w:rFonts w:ascii="Times New Roman" w:eastAsia="Times New Roman" w:hAnsi="Times New Roman" w:cs="Times New Roman"/>
          <w:lang w:eastAsia="sk-SK" w:bidi="sk-SK"/>
        </w:rPr>
        <w:t>namiesto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000476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1, 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1. </w:t>
      </w:r>
      <w:proofErr w:type="spellStart"/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alebo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placebo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podával 1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hodinu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začiatkom chemoterapie a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ondasetrón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podával 30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začiatkom chemoterapie. Ako súčasť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antiemetického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režimu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obidvoch vekových </w:t>
      </w:r>
      <w:r w:rsidRPr="00E35E38">
        <w:rPr>
          <w:rFonts w:ascii="Times New Roman" w:eastAsia="SimSun" w:hAnsi="Times New Roman" w:cs="Times New Roman"/>
          <w:lang w:eastAsia="fr-FR"/>
        </w:rPr>
        <w:t xml:space="preserve">skupinách bol povolený intravenózny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základe rozhodnutia lekára.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pediatrických pacientov dostávajúcich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vyžadovalo zníženie dávky (50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kontrolný režim sa nevyžadovalo žiadne zníženie dávky. Z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sa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29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28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kontrolnom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používal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súčasť režimu 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119128A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8D07A63" w14:textId="3967D7B9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účinok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 vyhodnocovaný počas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7D0A5C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(120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obdobia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1.Primárnym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ukazo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ateľom bola úplná odpoveď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oneskorenej fáze (25 až 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cykle. Súhrn kľúčových výsledkov štúdie je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uveden</w:t>
      </w:r>
      <w:r w:rsidRPr="00E35E38">
        <w:rPr>
          <w:rFonts w:ascii="Times New Roman" w:eastAsia="SimSun" w:hAnsi="Times New Roman" w:cs="Times New Roman"/>
          <w:lang w:eastAsia="fr-FR"/>
        </w:rPr>
        <w:t>ý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</w:t>
      </w:r>
    </w:p>
    <w:p w14:paraId="40F3EFE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9470C6A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</w:p>
    <w:p w14:paraId="65B431BF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Počet (%) pediatrických pacientov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úplnou odpoveďou 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podľa liečebnej skupiny a fázy 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4CE55429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7"/>
        <w:gridCol w:w="3094"/>
      </w:tblGrid>
      <w:tr w:rsidR="005D3283" w:rsidRPr="00E35E38" w14:paraId="187E8083" w14:textId="77777777" w:rsidTr="00C50E87">
        <w:tc>
          <w:tcPr>
            <w:tcW w:w="3096" w:type="dxa"/>
            <w:shd w:val="clear" w:color="auto" w:fill="auto"/>
          </w:tcPr>
          <w:p w14:paraId="14DA98B1" w14:textId="77777777" w:rsidR="00ED7FB2" w:rsidRPr="00E35E38" w:rsidRDefault="00ED7FB2" w:rsidP="0027069F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3097" w:type="dxa"/>
            <w:shd w:val="clear" w:color="auto" w:fill="auto"/>
          </w:tcPr>
          <w:p w14:paraId="21207214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  <w:p w14:paraId="74C53072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  <w:tc>
          <w:tcPr>
            <w:tcW w:w="3094" w:type="dxa"/>
            <w:shd w:val="clear" w:color="auto" w:fill="auto"/>
          </w:tcPr>
          <w:p w14:paraId="4BE074A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  <w:p w14:paraId="7CE92D5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</w:tr>
      <w:tr w:rsidR="005D3283" w:rsidRPr="00E35E38" w14:paraId="6472257F" w14:textId="77777777" w:rsidTr="00C50E87">
        <w:tc>
          <w:tcPr>
            <w:tcW w:w="9287" w:type="dxa"/>
            <w:gridSpan w:val="3"/>
            <w:shd w:val="clear" w:color="auto" w:fill="auto"/>
          </w:tcPr>
          <w:p w14:paraId="4814E3C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PRIMÁRNY CIEĽOVÝ UKAZOVATEĽ</w:t>
            </w:r>
          </w:p>
        </w:tc>
      </w:tr>
      <w:tr w:rsidR="005D3283" w:rsidRPr="00E35E38" w14:paraId="75F6EB7A" w14:textId="77777777" w:rsidTr="00C50E87">
        <w:tc>
          <w:tcPr>
            <w:tcW w:w="3096" w:type="dxa"/>
            <w:shd w:val="clear" w:color="auto" w:fill="auto"/>
          </w:tcPr>
          <w:p w14:paraId="0A1576C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oneskorená fáza</w:t>
            </w:r>
          </w:p>
        </w:tc>
        <w:tc>
          <w:tcPr>
            <w:tcW w:w="3097" w:type="dxa"/>
            <w:shd w:val="clear" w:color="auto" w:fill="auto"/>
          </w:tcPr>
          <w:p w14:paraId="747B14AC" w14:textId="45397BE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77/152 (50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30D4FCE7" w14:textId="495330A6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39/150 (26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592CB5C5" w14:textId="77777777" w:rsidTr="00C50E87">
        <w:tc>
          <w:tcPr>
            <w:tcW w:w="9287" w:type="dxa"/>
            <w:gridSpan w:val="3"/>
            <w:shd w:val="clear" w:color="auto" w:fill="auto"/>
          </w:tcPr>
          <w:p w14:paraId="1CB4A50D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ĎALŠIE VOPRED DEFINOVANÉ CIEĽOVÉ UKAZOVATELE</w:t>
            </w:r>
          </w:p>
        </w:tc>
      </w:tr>
      <w:tr w:rsidR="005D3283" w:rsidRPr="00E35E38" w14:paraId="36C882E3" w14:textId="77777777" w:rsidTr="00C50E87">
        <w:tc>
          <w:tcPr>
            <w:tcW w:w="3096" w:type="dxa"/>
            <w:shd w:val="clear" w:color="auto" w:fill="auto"/>
          </w:tcPr>
          <w:p w14:paraId="23461C7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akútna fáza</w:t>
            </w:r>
          </w:p>
        </w:tc>
        <w:tc>
          <w:tcPr>
            <w:tcW w:w="3097" w:type="dxa"/>
            <w:shd w:val="clear" w:color="auto" w:fill="auto"/>
          </w:tcPr>
          <w:p w14:paraId="53BDAE4E" w14:textId="177E211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101/152 (66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‡</w:t>
            </w:r>
          </w:p>
        </w:tc>
        <w:tc>
          <w:tcPr>
            <w:tcW w:w="3094" w:type="dxa"/>
            <w:shd w:val="clear" w:color="auto" w:fill="auto"/>
          </w:tcPr>
          <w:p w14:paraId="2ED4DA54" w14:textId="5CC7CEC3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78/150 (52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4722103" w14:textId="77777777" w:rsidTr="00C50E87">
        <w:tc>
          <w:tcPr>
            <w:tcW w:w="3096" w:type="dxa"/>
            <w:shd w:val="clear" w:color="auto" w:fill="auto"/>
          </w:tcPr>
          <w:p w14:paraId="4552050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celková fáza</w:t>
            </w:r>
          </w:p>
        </w:tc>
        <w:tc>
          <w:tcPr>
            <w:tcW w:w="3097" w:type="dxa"/>
            <w:shd w:val="clear" w:color="auto" w:fill="auto"/>
          </w:tcPr>
          <w:p w14:paraId="76987B3E" w14:textId="7853E82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61/152 (40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2BCEA37" w14:textId="45FE0DCA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30/150 (20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296FA492" w14:textId="77777777" w:rsidTr="00C50E87">
        <w:tc>
          <w:tcPr>
            <w:tcW w:w="3096" w:type="dxa"/>
            <w:shd w:val="clear" w:color="auto" w:fill="auto"/>
          </w:tcPr>
          <w:p w14:paraId="1969528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  <w:r w:rsidR="007D0A5C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vracania</w:t>
            </w:r>
            <w:r w:rsidRPr="00E35E38">
              <w:rPr>
                <w:rFonts w:ascii="Times New Roman" w:eastAsia="SimSun" w:hAnsi="Times New Roman" w:cs="Times New Roman"/>
                <w:vertAlign w:val="superscript"/>
                <w:lang w:eastAsia="fr-FR"/>
              </w:rPr>
              <w:t>§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– celková fáza</w:t>
            </w:r>
          </w:p>
        </w:tc>
        <w:tc>
          <w:tcPr>
            <w:tcW w:w="3097" w:type="dxa"/>
            <w:shd w:val="clear" w:color="auto" w:fill="auto"/>
          </w:tcPr>
          <w:p w14:paraId="78909242" w14:textId="3E63CE5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71/152 (46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D47E02A" w14:textId="15EF6574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32/150 (21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5A94943C" w14:textId="77777777" w:rsidTr="00C50E87">
        <w:tc>
          <w:tcPr>
            <w:tcW w:w="9287" w:type="dxa"/>
            <w:gridSpan w:val="3"/>
            <w:shd w:val="clear" w:color="auto" w:fill="auto"/>
          </w:tcPr>
          <w:p w14:paraId="3B092B70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* </w:t>
            </w:r>
            <w:r w:rsidR="007D0A5C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ú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plná odpoveď = bez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použitia záchrannej liečby.</w:t>
            </w:r>
          </w:p>
          <w:p w14:paraId="69D43C94" w14:textId="22514602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†p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0,01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0E24F241" w14:textId="0E9575A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‡p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0,05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3A6E5E16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vertAlign w:val="superscript"/>
                <w:lang w:eastAsia="sk-SK" w:bidi="sk-SK"/>
              </w:rPr>
              <w:t>§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=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</w:t>
            </w:r>
          </w:p>
          <w:p w14:paraId="371C4DDB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n/m = počet pacientov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požadovanou odpoveďou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/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počet pacientov zahrnutých v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časovom bode. Akútna fáza: 0 až 24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3E3988F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Oneskorená fáza: 25 až 12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D608329" w14:textId="1C13CD10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Celková fáza: 0 až 120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</w:tc>
      </w:tr>
    </w:tbl>
    <w:p w14:paraId="1107A1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CCDA3AB" w14:textId="1E6F0464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Odhadovaný 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chemoterapiou bol dlhší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94,5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porovnaní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skupinou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kontrolným režimom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26,0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ako je znázornené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Kaplan</w:t>
      </w:r>
      <w:r w:rsidR="00FB4CAC">
        <w:rPr>
          <w:rFonts w:ascii="Times New Roman" w:eastAsia="SimSun" w:hAnsi="Times New Roman" w:cs="Times New Roman"/>
          <w:lang w:eastAsia="fr-FR"/>
        </w:rPr>
        <w:t>ových</w:t>
      </w:r>
      <w:r w:rsidRPr="00E35E38">
        <w:rPr>
          <w:rFonts w:ascii="Times New Roman" w:eastAsia="SimSun" w:hAnsi="Times New Roman" w:cs="Times New Roman"/>
          <w:lang w:eastAsia="fr-FR"/>
        </w:rPr>
        <w:t>-Meierových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grafoch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obrázku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280CC43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CD05DCE" w14:textId="77777777" w:rsidR="00ED7FB2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DE7BD8">
        <w:rPr>
          <w:rFonts w:ascii="Times New Roman" w:eastAsia="SimSun" w:hAnsi="Times New Roman" w:cs="Times New Roman"/>
          <w:lang w:eastAsia="fr-FR"/>
        </w:rPr>
        <w:lastRenderedPageBreak/>
        <w:t>Obrázok</w:t>
      </w:r>
      <w:r w:rsidR="007D0A5C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2</w:t>
      </w:r>
    </w:p>
    <w:p w14:paraId="30AB69ED" w14:textId="0D987E21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prvej epizódy vracania od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začiatku podávania chemoterapie–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pediat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>ic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í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</w:t>
      </w:r>
      <w:r w:rsidR="00FB4CAC">
        <w:rPr>
          <w:rFonts w:ascii="Times New Roman" w:eastAsia="SimSun" w:hAnsi="Times New Roman" w:cs="Times New Roman"/>
          <w:spacing w:val="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 xml:space="preserve"> f</w:t>
      </w:r>
      <w:r w:rsidRPr="00E35E38">
        <w:rPr>
          <w:rFonts w:ascii="Times New Roman" w:eastAsia="SimSun" w:hAnsi="Times New Roman" w:cs="Times New Roman"/>
          <w:lang w:eastAsia="fr-FR"/>
        </w:rPr>
        <w:t>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e–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3B0B6484" w14:textId="77777777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3F1BF75E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117576DC" wp14:editId="625D8E6B">
            <wp:extent cx="3379470" cy="2639695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9BB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C7B17F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lang w:eastAsia="fr-FR"/>
        </w:rPr>
        <w:t>Analýza účinnosti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podskupinách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 preukázala, že 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ohľadu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vekovú kategóriu, pohlavie, používanie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profylaxii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chemoterapii,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poskytoval lepšiu kontrolu ako kontrolný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cieľové ukazovatele úplnej odpovede.</w:t>
      </w:r>
    </w:p>
    <w:p w14:paraId="495334D3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81E5141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proofErr w:type="spellStart"/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Farmakokinetické</w:t>
      </w:r>
      <w:proofErr w:type="spellEnd"/>
      <w:r w:rsidRPr="00CF6EC9">
        <w:rPr>
          <w:rFonts w:ascii="Times New Roman" w:eastAsia="Times New Roman" w:hAnsi="Times New Roman" w:cs="Times New Roman"/>
          <w:b/>
          <w:lang w:eastAsia="sk-SK" w:bidi="sk-SK"/>
        </w:rPr>
        <w:t xml:space="preserve"> vlastnosti</w:t>
      </w:r>
    </w:p>
    <w:p w14:paraId="5E1FF2D8" w14:textId="77777777" w:rsidR="005D3283" w:rsidRPr="00CF6EC9" w:rsidRDefault="005D32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</w:p>
    <w:p w14:paraId="0AB42635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CF6EC9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spacing w:val="-2"/>
          <w:lang w:eastAsia="fr-FR"/>
        </w:rPr>
        <w:t>vyk</w:t>
      </w:r>
      <w:r w:rsidRPr="00CF6EC9">
        <w:rPr>
          <w:rFonts w:ascii="Times New Roman" w:eastAsia="SimSun" w:hAnsi="Times New Roman" w:cs="Times New Roman"/>
          <w:spacing w:val="3"/>
          <w:lang w:eastAsia="fr-FR"/>
        </w:rPr>
        <w:t>a</w:t>
      </w:r>
      <w:r w:rsidRPr="00CF6EC9">
        <w:rPr>
          <w:rFonts w:ascii="Times New Roman" w:eastAsia="SimSun" w:hAnsi="Times New Roman" w:cs="Times New Roman"/>
          <w:lang w:eastAsia="fr-FR"/>
        </w:rPr>
        <w:t xml:space="preserve">zuje nelineárnu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>.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CF6EC9">
        <w:rPr>
          <w:rFonts w:ascii="Times New Roman" w:eastAsia="SimSun" w:hAnsi="Times New Roman" w:cs="Times New Roman"/>
          <w:spacing w:val="-1"/>
          <w:lang w:eastAsia="fr-FR"/>
        </w:rPr>
        <w:t>K</w:t>
      </w:r>
      <w:r w:rsidRPr="00CF6EC9">
        <w:rPr>
          <w:rFonts w:ascii="Times New Roman" w:eastAsia="SimSun" w:hAnsi="Times New Roman" w:cs="Times New Roman"/>
          <w:lang w:eastAsia="fr-FR"/>
        </w:rPr>
        <w:t>lírens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aj absolútna biologická dostupnosť klesajú so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stúpajúcou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dávkou.</w:t>
      </w:r>
    </w:p>
    <w:p w14:paraId="3C2A7BA6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D65237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Absorpcia</w:t>
      </w:r>
    </w:p>
    <w:p w14:paraId="6D1CE9AF" w14:textId="7FF3B5FA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 xml:space="preserve">Priemerná absolútna biologická dostupnosť </w:t>
      </w:r>
      <w:r w:rsidR="00FB4CAC" w:rsidRPr="00FB4CAC">
        <w:rPr>
          <w:rFonts w:ascii="Times New Roman" w:eastAsia="SimSun" w:hAnsi="Times New Roman" w:cs="Times New Roman"/>
          <w:lang w:eastAsia="fr-FR"/>
        </w:rPr>
        <w:t xml:space="preserve">perorálne podaného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je 67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 pre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kapsulu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59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pre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kapsulu.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Priemerná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maximálna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plazmatická koncentrácia (</w:t>
      </w:r>
      <w:r w:rsidRPr="00CF6EC9">
        <w:rPr>
          <w:rFonts w:ascii="Times New Roman" w:eastAsia="SimSun" w:hAnsi="Times New Roman" w:cs="Times New Roman"/>
          <w:spacing w:val="1"/>
          <w:lang w:eastAsia="fr-FR"/>
        </w:rPr>
        <w:t>C</w:t>
      </w:r>
      <w:r w:rsidRPr="00F036B5">
        <w:rPr>
          <w:rFonts w:ascii="Times New Roman" w:eastAsia="SimSun" w:hAnsi="Times New Roman" w:cs="Times New Roman"/>
          <w:spacing w:val="-5"/>
          <w:position w:val="-3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3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3"/>
          <w:vertAlign w:val="subscript"/>
          <w:lang w:eastAsia="fr-FR"/>
        </w:rPr>
        <w:t>x</w:t>
      </w:r>
      <w:r w:rsidRPr="00CF6EC9">
        <w:rPr>
          <w:rFonts w:ascii="Times New Roman" w:eastAsia="SimSun" w:hAnsi="Times New Roman" w:cs="Times New Roman"/>
          <w:lang w:eastAsia="fr-FR"/>
        </w:rPr>
        <w:t>)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dosiahla približne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hodinách (</w:t>
      </w:r>
      <w:r w:rsidRPr="00E35E38">
        <w:rPr>
          <w:rFonts w:ascii="Times New Roman" w:eastAsia="SimSun" w:hAnsi="Times New Roman" w:cs="Times New Roman"/>
          <w:spacing w:val="1"/>
          <w:position w:val="1"/>
          <w:lang w:eastAsia="fr-FR"/>
        </w:rPr>
        <w:t>t</w:t>
      </w:r>
      <w:r w:rsidRPr="00F036B5">
        <w:rPr>
          <w:rFonts w:ascii="Times New Roman" w:eastAsia="SimSun" w:hAnsi="Times New Roman" w:cs="Times New Roman"/>
          <w:spacing w:val="-5"/>
          <w:position w:val="-2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2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2"/>
          <w:vertAlign w:val="subscript"/>
          <w:lang w:eastAsia="fr-FR"/>
        </w:rPr>
        <w:t>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).</w:t>
      </w:r>
      <w:r w:rsidR="00FB4CAC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Perorálne podanie kapsuly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spolu so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štandardnými raňajkami, približne </w:t>
      </w:r>
      <w:r w:rsidRPr="00E35E38">
        <w:rPr>
          <w:rFonts w:ascii="Times New Roman" w:eastAsia="SimSun" w:hAnsi="Times New Roman" w:cs="Times New Roman"/>
          <w:lang w:eastAsia="fr-FR"/>
        </w:rPr>
        <w:t>800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kcal,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malo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za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následok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až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AUC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Toto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zvýšenie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sa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nepovažuje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>inicky významné.</w:t>
      </w:r>
    </w:p>
    <w:p w14:paraId="093DD96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4C9535A" w14:textId="5145573B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rozsahu klinického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dávkovania nelineárna. U</w:t>
      </w:r>
      <w:r w:rsidR="005E126B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zdravýc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mladých </w:t>
      </w:r>
      <w:r w:rsidRPr="00E35E38">
        <w:rPr>
          <w:rFonts w:ascii="Times New Roman" w:eastAsia="SimSun" w:hAnsi="Times New Roman" w:cs="Times New Roman"/>
          <w:lang w:eastAsia="fr-FR"/>
        </w:rPr>
        <w:t>dospelých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lang w:eastAsia="fr-FR"/>
        </w:rPr>
        <w:t>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väčšie, ako by zodpovedalo dávke </w:t>
      </w:r>
      <w:r w:rsidR="007924A3" w:rsidRPr="007924A3">
        <w:rPr>
          <w:rFonts w:ascii="Times New Roman" w:eastAsia="SimSun" w:hAnsi="Times New Roman" w:cs="Times New Roman"/>
          <w:lang w:eastAsia="fr-FR"/>
        </w:rPr>
        <w:t>po podaní</w:t>
      </w:r>
      <w:r w:rsidR="007924A3">
        <w:rPr>
          <w:rFonts w:ascii="Times New Roman" w:eastAsia="SimSun" w:hAnsi="Times New Roman" w:cs="Times New Roman"/>
          <w:lang w:eastAsia="fr-FR"/>
        </w:rPr>
        <w:t xml:space="preserve"> jednorazových dávok v rozmedzí</w:t>
      </w:r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jedle.</w:t>
      </w:r>
    </w:p>
    <w:p w14:paraId="5A8F79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D42E8C7" w14:textId="16CF4A35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podaní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5E126B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</w:t>
      </w:r>
      <w:r w:rsidRPr="00E35E38">
        <w:rPr>
          <w:rFonts w:ascii="Times New Roman" w:eastAsia="SimSun" w:hAnsi="Times New Roman" w:cs="Times New Roman"/>
          <w:lang w:eastAsia="fr-FR"/>
        </w:rPr>
        <w:t>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raz denne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3 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0-24h</w:t>
      </w:r>
      <w:r w:rsidR="007924A3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(priemer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±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SD)</w:t>
      </w:r>
      <w:r w:rsidR="007924A3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19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</w:t>
      </w:r>
      <w:proofErr w:type="spellStart"/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g●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proofErr w:type="spellEnd"/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7924A3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proofErr w:type="spellEnd"/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3. </w:t>
      </w:r>
      <w:proofErr w:type="spellStart"/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>max</w:t>
      </w:r>
      <w:proofErr w:type="spellEnd"/>
      <w:r w:rsidR="00CF6EC9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 xml:space="preserve">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3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µg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1 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µg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3.</w:t>
      </w:r>
    </w:p>
    <w:p w14:paraId="1AE8FDCD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5D5D56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Distribúcia</w:t>
      </w:r>
    </w:p>
    <w:p w14:paraId="53D2B177" w14:textId="295E921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CF6EC9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sa silne viaže na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proteíny, v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priemere 97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%. Geometrický priemer zdanlivého distribučného objemu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rovnovážnom stave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Vd</w:t>
      </w:r>
      <w:r w:rsidRPr="00F036B5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s</w:t>
      </w:r>
      <w:r w:rsidRPr="00F036B5">
        <w:rPr>
          <w:rFonts w:ascii="Times New Roman" w:eastAsia="SimSun" w:hAnsi="Times New Roman" w:cs="Times New Roman"/>
          <w:spacing w:val="1"/>
          <w:position w:val="-3"/>
          <w:vertAlign w:val="subscript"/>
          <w:lang w:eastAsia="fr-FR"/>
        </w:rPr>
        <w:t>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približne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l.</w:t>
      </w:r>
    </w:p>
    <w:p w14:paraId="54EEFA9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0F92C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Biotransformácia</w:t>
      </w:r>
      <w:proofErr w:type="spellEnd"/>
    </w:p>
    <w:p w14:paraId="437F7B3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značne metabolizovaný.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mladých dospelých 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 xml:space="preserve">azovej intravenóznej 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dávky </w:t>
      </w:r>
      <w:r w:rsidRPr="00E35E38">
        <w:rPr>
          <w:rFonts w:ascii="Times New Roman" w:eastAsia="SimSun" w:hAnsi="Times New Roman" w:cs="Times New Roman"/>
          <w:lang w:eastAsia="fr-FR"/>
        </w:rPr>
        <w:t>100</w:t>
      </w:r>
      <w:r w:rsidR="0092636D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[</w:t>
      </w:r>
      <w:r w:rsidRPr="00E35E38">
        <w:rPr>
          <w:rFonts w:ascii="Times New Roman" w:eastAsia="Times New Roman" w:hAnsi="Times New Roman" w:cs="Times New Roman"/>
          <w:spacing w:val="-1"/>
          <w:vertAlign w:val="superscript"/>
          <w:lang w:eastAsia="sk-SK" w:bidi="sk-SK"/>
        </w:rPr>
        <w:t>14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]</w:t>
      </w:r>
      <w:r w:rsidRPr="00E35E38">
        <w:rPr>
          <w:rFonts w:ascii="Times New Roman" w:eastAsia="Times New Roman" w:hAnsi="Times New Roman" w:cs="Times New Roman"/>
          <w:spacing w:val="-4"/>
          <w:lang w:eastAsia="sk-SK" w:bidi="sk-SK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fosaprepitantu,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proliečiva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tvorí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počas 72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približne 19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rádioaktivity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plazme, čo ukazuje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významnú prítomnosť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metabolitov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plazme.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ľudskej plazme sa identifikovalo dvanásť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metabolitov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do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značnej miery metabolizuje oxidáciou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morfolínovom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kruhu 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jeho vedľajších reťazcoch, a výsledné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boli iba slabo aktívn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. In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vitro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štúdie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použití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ľudskýc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hepatálnyc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mikrozómov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naznačujú, 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primárne metabolizovaný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CYP3A4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potenciálne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malý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prispením </w:t>
      </w:r>
      <w:r w:rsidRPr="00E35E38">
        <w:rPr>
          <w:rFonts w:ascii="Times New Roman" w:eastAsia="SimSun" w:hAnsi="Times New Roman" w:cs="Times New Roman"/>
          <w:lang w:eastAsia="fr-FR"/>
        </w:rPr>
        <w:t>CYP1A2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CYP2C19.</w:t>
      </w:r>
    </w:p>
    <w:p w14:paraId="0CA5F3FA" w14:textId="77777777" w:rsidR="005D3283" w:rsidRPr="00DE7BD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58D63E2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Eliminácia</w:t>
      </w:r>
    </w:p>
    <w:p w14:paraId="2C3DB96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proofErr w:type="spellStart"/>
      <w:r w:rsidRPr="00CF6EC9">
        <w:rPr>
          <w:rFonts w:ascii="Times New Roman" w:eastAsia="SimSun" w:hAnsi="Times New Roman" w:cs="Times New Roman"/>
          <w:spacing w:val="-1"/>
          <w:lang w:eastAsia="fr-FR"/>
        </w:rPr>
        <w:t>Aprepitant</w:t>
      </w:r>
      <w:proofErr w:type="spellEnd"/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sa nevylučuje močom nezmenený. </w:t>
      </w:r>
      <w:proofErr w:type="spellStart"/>
      <w:r w:rsidRPr="00CF6EC9">
        <w:rPr>
          <w:rFonts w:ascii="Times New Roman" w:eastAsia="SimSun" w:hAnsi="Times New Roman" w:cs="Times New Roman"/>
          <w:spacing w:val="-1"/>
          <w:lang w:eastAsia="fr-FR"/>
        </w:rPr>
        <w:t>Metabolity</w:t>
      </w:r>
      <w:proofErr w:type="spellEnd"/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sú vylučované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moči a prostredníctvom biliárnej exkrécie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stolici. Po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podaní jednorazovej intravenóznej 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100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[</w:t>
      </w:r>
      <w:r w:rsidRPr="00E35E38">
        <w:rPr>
          <w:rFonts w:ascii="Times New Roman" w:eastAsia="SimSun" w:hAnsi="Times New Roman" w:cs="Times New Roman"/>
          <w:spacing w:val="-1"/>
          <w:vertAlign w:val="superscript"/>
          <w:lang w:eastAsia="fr-FR"/>
        </w:rPr>
        <w:t>14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C]-fosaprepitantu,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proliečiva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, zdravým jedincom sa 57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rádioaktivity vylúčilo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moči a 45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stolici.</w:t>
      </w:r>
    </w:p>
    <w:p w14:paraId="56FF931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5BBBDC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Plazmatický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klírens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 závislý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dávky, znižuje sa so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zvyšujúcou dávkou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rozsahu terapeutickej dávky sa pohybuje medzi približne 60 až 72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/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min. Terminálny polčas sa pohybuje približne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9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d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13 hodín.</w:t>
      </w:r>
    </w:p>
    <w:p w14:paraId="2E6CCAB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EA8E01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Farmakokinetika</w:t>
      </w:r>
      <w:proofErr w:type="spellEnd"/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osobitných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skupinách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pacientov</w:t>
      </w:r>
    </w:p>
    <w:p w14:paraId="4FAA7D0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Star</w:t>
      </w:r>
      <w:r w:rsidRPr="00E35E38">
        <w:rPr>
          <w:rFonts w:ascii="Times New Roman" w:eastAsia="SimSun" w:hAnsi="Times New Roman" w:cs="Times New Roman"/>
          <w:i/>
          <w:iCs/>
          <w:spacing w:val="1"/>
          <w:lang w:eastAsia="fr-FR"/>
        </w:rPr>
        <w:t>ši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e</w:t>
      </w:r>
      <w:r w:rsidR="0092636D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osoby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podaní jednorazovej perorálnej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80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raz denne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dňoch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 až 5 bola AUC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0-24h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(≥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65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rokov)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21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36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mladšími dospelými.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bola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5. Tieto rozdiely sa nepovažujú za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klinicky relevantné.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starších pacientov nie je nutná žiadna úprava dávky </w:t>
      </w:r>
      <w:proofErr w:type="spellStart"/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5A8B036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0E776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Pohlavi</w:t>
      </w:r>
      <w:r w:rsidRPr="00E35E38">
        <w:rPr>
          <w:rFonts w:ascii="Times New Roman" w:eastAsia="SimSun" w:hAnsi="Times New Roman" w:cs="Times New Roman"/>
          <w:i/>
          <w:iCs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perorálnom podaní jednorazovej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proofErr w:type="spellStart"/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mg je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vyššia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ako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mužov. Polčas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25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nižší ako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mužov a jeho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sa dosahuje približne v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rovnakom čase. Tieto rozdiely sa nepovažujú za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klinicky relevantné.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 ohľadom na pohlavie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nie je nutné upravovať dávku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007CD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66AAAE8" w14:textId="7D38A068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pečen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 porucha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A) neovplyvňuje klinicky relevantne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 Pri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poruche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nie je potrebná úprava dávky. Z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dostupných údajov nie je možné urobiť závery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vplyve stredne 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poruchy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B)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C) nie sú dostupné žiadne klinické alebo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farmakokinetické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údaje.</w:t>
      </w:r>
    </w:p>
    <w:p w14:paraId="252B7B8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2F679B" w14:textId="77777777" w:rsidR="005D3283" w:rsidRPr="00DE7BD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obličie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jednorazová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dávka </w:t>
      </w:r>
      <w:proofErr w:type="spellStart"/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240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sa podala pacientom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(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klírens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kreatinínu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&lt;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30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min) a pacientom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terminálnom štádiu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renálneho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ochorenia (</w:t>
      </w:r>
      <w:r w:rsidR="00ED73DF" w:rsidRPr="00E35E38">
        <w:rPr>
          <w:rFonts w:ascii="Times New Roman" w:eastAsia="Times New Roman" w:hAnsi="Times New Roman" w:cs="Times New Roman"/>
        </w:rPr>
        <w:t xml:space="preserve">end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stage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renal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disease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, </w:t>
      </w:r>
      <w:r w:rsidRPr="00DE7BD8">
        <w:rPr>
          <w:rFonts w:ascii="Times New Roman" w:eastAsia="SimSun" w:hAnsi="Times New Roman" w:cs="Times New Roman"/>
          <w:position w:val="1"/>
          <w:lang w:eastAsia="fr-FR"/>
        </w:rPr>
        <w:t>ESRD) vyžadujúcom hemodialýzu.</w:t>
      </w:r>
    </w:p>
    <w:p w14:paraId="05A64C33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</w:p>
    <w:p w14:paraId="57C5FE6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CF6EC9">
        <w:rPr>
          <w:rFonts w:ascii="Times New Roman" w:eastAsia="SimSun" w:hAnsi="Times New Roman" w:cs="Times New Roman"/>
          <w:position w:val="1"/>
          <w:lang w:eastAsia="fr-FR"/>
        </w:rPr>
        <w:t>U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obličiek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(neviazaného a viazaného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proteíny)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21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max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hemodialýze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Vzhľadom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mierne zníženie väzby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renálnym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ochorením nebola AUC farmakologicky aktívneho neviazaného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zdravými jedincami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signifikantne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ovplyvnená. Hemodialýza, ktorá prebehla 4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až 48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hodín 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podaní dávky, nemala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žiaden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signifikantný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vplyv,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dialyzáte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sa vylúčilo menej ako 0,2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dávky.</w:t>
      </w:r>
    </w:p>
    <w:p w14:paraId="61BE2A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605D7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obličiek alebo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hemodialýze nie je potrebná úprava dávky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6EE53C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011DACF" w14:textId="78320442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Pediatrická populácia:</w:t>
      </w:r>
      <w:r w:rsidR="007051C5">
        <w:rPr>
          <w:rFonts w:ascii="Times New Roman" w:eastAsia="SimSun" w:hAnsi="Times New Roman" w:cs="Times New Roman"/>
          <w:i/>
          <w:i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ako súčasť 3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CE3C4D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sa pri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podávaní kapsúl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dospievajúcich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pacientov (vo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veku 12 až 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rokov) dosiahla hodnota AU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-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24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ho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d</w:t>
      </w:r>
      <w:r w:rsidR="00FD120A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position w:val="1"/>
          <w:lang w:eastAsia="fr-FR"/>
        </w:rPr>
        <w:t>g</w:t>
      </w:r>
      <w:r w:rsidR="00CF6EC9">
        <w:rPr>
          <w:rFonts w:ascii="Times New Roman" w:eastAsia="SimSun" w:hAnsi="Times New Roman" w:cs="Times New Roman"/>
          <w:spacing w:val="-2"/>
          <w:position w:val="1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h</w:t>
      </w:r>
      <w:r w:rsidR="00CE3C4D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koncentráciami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 a 3 nad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0,4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pri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väčšine pacientov.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Medián maximálnej plazmatickej koncentrácie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 výskytom približne za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hodiny. Ako súčasť 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dňového režimu sa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podávaní prášku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perorálnu suspenziu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kg)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dosiahla hodnota AUC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0-24 hod</w:t>
      </w:r>
      <w:r w:rsidR="00CE3C4D"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</w:t>
      </w:r>
      <w:proofErr w:type="spellStart"/>
      <w:r w:rsidRPr="00E35E38">
        <w:rPr>
          <w:rFonts w:ascii="Times New Roman" w:eastAsia="SimSun" w:hAnsi="Times New Roman" w:cs="Times New Roman"/>
          <w:spacing w:val="-2"/>
          <w:lang w:eastAsia="fr-FR"/>
        </w:rPr>
        <w:t>g</w:t>
      </w:r>
      <w:r w:rsidRPr="00E35E38">
        <w:rPr>
          <w:rFonts w:ascii="Times New Roman" w:eastAsia="SimSun" w:hAnsi="Times New Roman" w:cs="Times New Roman"/>
          <w:lang w:eastAsia="fr-FR"/>
        </w:rPr>
        <w:t>•h</w:t>
      </w:r>
      <w:proofErr w:type="spellEnd"/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koncentráciami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0,1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väčšine pacientov. Medián maximálnej plazmatickej koncentrácie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výskytom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rozmedzí 5 až 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hodín.</w:t>
      </w:r>
    </w:p>
    <w:p w14:paraId="6803E9EC" w14:textId="77777777" w:rsidR="005D3283" w:rsidRPr="00E35E38" w:rsidRDefault="005D3283" w:rsidP="00151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3201CF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Analýza populačnej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farmakokinetiky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(vo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naznačuje, že pohlavie a rasa nemajú žiadny klinicky významný účinok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farmakokinetiku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0E7C64CD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5533D706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Vzťah medzi koncentráciou a účinkom</w:t>
      </w:r>
    </w:p>
    <w:p w14:paraId="40CCF71E" w14:textId="2086EDAF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Zobrazovacie štúdie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pozitrónovou emisnou tomografiou (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positron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emission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tomography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,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PET) s</w:t>
      </w:r>
      <w:r w:rsidR="00CE3C4D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použitím vysoko špecifického znač</w:t>
      </w:r>
      <w:r w:rsidR="00FD120A">
        <w:rPr>
          <w:rFonts w:ascii="Times New Roman" w:eastAsia="Times New Roman" w:hAnsi="Times New Roman" w:cs="Times New Roman"/>
          <w:lang w:eastAsia="sk-SK" w:bidi="sk-SK"/>
        </w:rPr>
        <w:t>enia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receptor</w:t>
      </w:r>
      <w:r w:rsidR="00FD120A">
        <w:rPr>
          <w:rFonts w:ascii="Times New Roman" w:eastAsia="Times New Roman" w:hAnsi="Times New Roman" w:cs="Times New Roman"/>
          <w:lang w:eastAsia="sk-SK" w:bidi="sk-SK"/>
        </w:rPr>
        <w:t>ov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zdravých mladých mužov preukázali, že 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preniká do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mozgu a obsadzuje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receptory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závislosti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dávky a plazmatickej koncentrácie. Predpokladá sa, že plazmatické koncentrácie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ktoré sa dosahujú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dňovom režime podávania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dospelých, zabezpečujú obsadenie viac ako 95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mozgových NK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receptorov.</w:t>
      </w:r>
    </w:p>
    <w:p w14:paraId="12310FFF" w14:textId="77777777" w:rsidR="005D3283" w:rsidRPr="00E35E3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F3F51CB" w14:textId="77777777" w:rsidR="00ED7FB2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Predklinické údaje o bezpečnosti</w:t>
      </w:r>
    </w:p>
    <w:p w14:paraId="3B31E6BC" w14:textId="77777777" w:rsidR="00ED7FB2" w:rsidRPr="00E35E38" w:rsidRDefault="00ED7FB2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46D9C3B" w14:textId="77777777" w:rsidR="00ED7FB2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Predklinické údaje získané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základe obvyklých štúdií toxicity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jednorazovom a opakovanom podávaní,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genotoxicity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karcinogénneho potenciálu, reprodukčnej toxicity a vývinu neodhalili žiadne osobitné riziko pre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ľudí. Treba však podotknúť, že systémová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hlodavcov bola podobná alebo dokonca nižšia ako terapeutická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125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 Hoci sa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reprodukčných štúdiách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ľudských expozičných hladinách nezistili žiadne nežiaduce účinky, expozície zvierat nie sú dostatočné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adekvátne zhodnotenie rizika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človeka.</w:t>
      </w:r>
    </w:p>
    <w:p w14:paraId="7C0F466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D5F8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potkanoch liečených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63.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dňa viedol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250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skoršiemu otvoreniu vagíny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 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10 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oneskorenému oddeleniu predkožky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samcov. Neobjavili sa žiadne limity klinicky významnej expozície. Neobjavili sa žiadne účinky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reprodukciu,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fertilitu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alebo prežívanie embrya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plodu a žiadne patologické zmeny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E35E38">
        <w:rPr>
          <w:rFonts w:ascii="Times New Roman" w:eastAsia="Times New Roman" w:hAnsi="Times New Roman" w:cs="Times New Roman"/>
          <w:lang w:eastAsia="sk-SK" w:bidi="sk-SK"/>
        </w:rPr>
        <w:t>r</w:t>
      </w:r>
      <w:r w:rsidRPr="00E35E38">
        <w:rPr>
          <w:rFonts w:ascii="Times New Roman" w:eastAsia="Times New Roman" w:hAnsi="Times New Roman" w:cs="Times New Roman"/>
          <w:lang w:eastAsia="sk-SK" w:bidi="sk-SK"/>
        </w:rPr>
        <w:t>eprodukčných orgánoch.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psoch liečených od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14.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42.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6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deň pozoroval pokles hmotnosti semenníkov a veľkosti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Leydigových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buniek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 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4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deň zvýšenie hmotnosti maternice, hypertrofia maternice a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cervixu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opuch vaginálnych tkanív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samíc. Neobjavili sa žiadne limity klinicky významnej expozície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krátkodobej liečbe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súlade s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odporúčaným dávkovacím režimom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nálezoch považuje za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nepravdepodobné, že by boli klinicky významné.</w:t>
      </w:r>
    </w:p>
    <w:p w14:paraId="29174E4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E22101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CF5110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FARMACEUTICKÉ INFORMÁCIE</w:t>
      </w:r>
    </w:p>
    <w:p w14:paraId="5B65BA70" w14:textId="77777777" w:rsidR="005D3283" w:rsidRPr="00E35E38" w:rsidRDefault="005D3283" w:rsidP="009C7F2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AE3C9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Zoznam pomocných látok</w:t>
      </w:r>
    </w:p>
    <w:p w14:paraId="7F5862B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D1220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Obsah kapsuly</w:t>
      </w:r>
    </w:p>
    <w:p w14:paraId="7E149035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ydroxypropylcelulóza</w:t>
      </w:r>
      <w:proofErr w:type="spellEnd"/>
    </w:p>
    <w:p w14:paraId="75ED3DB5" w14:textId="73591A34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lauryls</w:t>
      </w:r>
      <w:r w:rsidR="00D76B55">
        <w:rPr>
          <w:rFonts w:ascii="Times New Roman" w:eastAsia="Times New Roman" w:hAnsi="Times New Roman" w:cs="Times New Roman"/>
          <w:lang w:eastAsia="sk-SK" w:bidi="sk-SK"/>
        </w:rPr>
        <w:t>íran</w:t>
      </w:r>
      <w:proofErr w:type="spellEnd"/>
      <w:r w:rsidR="007744EC" w:rsidRPr="00E35E38">
        <w:rPr>
          <w:rFonts w:ascii="Times New Roman" w:eastAsia="Times New Roman" w:hAnsi="Times New Roman" w:cs="Times New Roman"/>
          <w:lang w:eastAsia="sk-SK" w:bidi="sk-SK"/>
        </w:rPr>
        <w:t xml:space="preserve"> sodný</w:t>
      </w:r>
    </w:p>
    <w:p w14:paraId="29653DB8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sacharóza</w:t>
      </w:r>
    </w:p>
    <w:p w14:paraId="2BFD842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mikrokryštalická celulóza</w:t>
      </w:r>
    </w:p>
    <w:p w14:paraId="37C38A8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3A57BD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(125 mg)</w:t>
      </w:r>
    </w:p>
    <w:p w14:paraId="5E8D909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oxid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titaničitý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(E 171)</w:t>
      </w:r>
    </w:p>
    <w:p w14:paraId="77F00F3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červený oxid železitý (E 172)</w:t>
      </w:r>
    </w:p>
    <w:p w14:paraId="4F84E3E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382832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1A65C1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(80 mg)</w:t>
      </w:r>
    </w:p>
    <w:p w14:paraId="04BE82C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oxid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titaničitý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(E 171)</w:t>
      </w:r>
    </w:p>
    <w:p w14:paraId="1BAC6BF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40B6510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0184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lastRenderedPageBreak/>
        <w:t>Atrament potlače</w:t>
      </w:r>
    </w:p>
    <w:p w14:paraId="74C0D467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š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elak</w:t>
      </w:r>
    </w:p>
    <w:p w14:paraId="24A1677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r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oztok amoniaku, koncentrovaný</w:t>
      </w:r>
    </w:p>
    <w:p w14:paraId="5F0BC175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ropylénglykol</w:t>
      </w:r>
      <w:proofErr w:type="spellEnd"/>
    </w:p>
    <w:p w14:paraId="6109954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ydroxid draselný</w:t>
      </w:r>
    </w:p>
    <w:p w14:paraId="47B15EBF" w14:textId="209EF070" w:rsidR="005D3283" w:rsidRPr="00E35E38" w:rsidRDefault="00D76B5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č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ierny oxid želez</w:t>
      </w:r>
      <w:r w:rsidR="00F036B5">
        <w:rPr>
          <w:rFonts w:ascii="Times New Roman" w:eastAsia="Times New Roman" w:hAnsi="Times New Roman" w:cs="Times New Roman"/>
          <w:lang w:eastAsia="sk-SK" w:bidi="sk-SK"/>
        </w:rPr>
        <w:t>itý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(E 172)</w:t>
      </w:r>
    </w:p>
    <w:p w14:paraId="7A8CB2EE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2B943BC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Inkompatibility</w:t>
      </w:r>
    </w:p>
    <w:p w14:paraId="18682CB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F88ECE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Neaplikovateľné.</w:t>
      </w:r>
    </w:p>
    <w:p w14:paraId="72F665F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B37AB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Čas použiteľnosti</w:t>
      </w:r>
    </w:p>
    <w:p w14:paraId="0D78B1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0EED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30 mesiacov</w:t>
      </w:r>
    </w:p>
    <w:p w14:paraId="7246DD5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3A5E710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upozornenia na uchovávanie</w:t>
      </w:r>
    </w:p>
    <w:p w14:paraId="2E9E1AEB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027B7581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Tento liek nevyžaduje žiadne zvláštne podmienky na uchovávanie</w:t>
      </w:r>
    </w:p>
    <w:p w14:paraId="555777F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7A1BE49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 xml:space="preserve">Druh obalu a obsah balenia </w:t>
      </w:r>
    </w:p>
    <w:p w14:paraId="330DBD8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12DAB8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Dostupné sú rôzne veľkosti balenia vrátane rôznych 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 xml:space="preserve">síl lieku. </w:t>
      </w:r>
    </w:p>
    <w:p w14:paraId="401B3E8D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03B8A80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jednu 80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kapsulu.</w:t>
      </w:r>
    </w:p>
    <w:p w14:paraId="373D44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dve kapsule 80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</w:t>
      </w:r>
    </w:p>
    <w:p w14:paraId="446DD0A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päť kapsúl s obsahom 80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</w:p>
    <w:p w14:paraId="43EABA76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F001D4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jednu 125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kapsulu.</w:t>
      </w:r>
    </w:p>
    <w:p w14:paraId="626F1F0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päť kapsúl 125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</w:t>
      </w:r>
    </w:p>
    <w:p w14:paraId="5C06364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55CD00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PA / hliník / PVC / hliníkový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blister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obsahujúci jednu 125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kapsulu a dve kapsule 80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</w:t>
      </w:r>
    </w:p>
    <w:p w14:paraId="04A58A0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DAC7D7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balenia.</w:t>
      </w:r>
    </w:p>
    <w:p w14:paraId="3D56190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B0B9A88" w14:textId="77777777" w:rsidR="005D3283" w:rsidRPr="00E35E38" w:rsidRDefault="005D3283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2" w:name="OLE_LINK1"/>
      <w:r w:rsidRPr="00E35E38">
        <w:rPr>
          <w:rFonts w:ascii="Times New Roman" w:eastAsia="Times New Roman" w:hAnsi="Times New Roman" w:cs="Times New Roman"/>
          <w:b/>
          <w:lang w:eastAsia="sk-SK" w:bidi="sk-SK"/>
        </w:rPr>
        <w:t xml:space="preserve">Špeciálne opatrenia na likvidáciu </w:t>
      </w:r>
    </w:p>
    <w:bookmarkEnd w:id="2"/>
    <w:p w14:paraId="77341D95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55FD697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lang w:eastAsia="sk-SK" w:bidi="sk-SK"/>
        </w:rPr>
        <w:t>Žiadne zvláštne požiadavky na</w:t>
      </w:r>
      <w:r w:rsidR="007744EC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likvidáciu.</w:t>
      </w:r>
    </w:p>
    <w:p w14:paraId="68B82343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2DBB5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4782DE7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</w:t>
      </w:r>
    </w:p>
    <w:p w14:paraId="3185CD29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27C1458" w14:textId="77777777" w:rsidR="000F5FEB" w:rsidRDefault="000F5FEB" w:rsidP="000F5FEB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Mylan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Ireland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Limited</w:t>
      </w:r>
      <w:proofErr w:type="spellEnd"/>
    </w:p>
    <w:p w14:paraId="2D2554ED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Unit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35/36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Grange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Parade</w:t>
      </w:r>
      <w:proofErr w:type="spellEnd"/>
    </w:p>
    <w:p w14:paraId="0C37E397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Baldoyle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Industrial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Estate</w:t>
      </w:r>
      <w:proofErr w:type="spellEnd"/>
    </w:p>
    <w:p w14:paraId="70F3DFF3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Dublin 13</w:t>
      </w:r>
    </w:p>
    <w:p w14:paraId="5722C303" w14:textId="5DADD5E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Írsko</w:t>
      </w:r>
    </w:p>
    <w:p w14:paraId="7C828EFC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7B453FB" w14:textId="77777777" w:rsidR="005D3283" w:rsidRPr="00CF6EC9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C069688" w14:textId="0A48ED9A" w:rsidR="005D3283" w:rsidRPr="00E35E38" w:rsidRDefault="005D3283" w:rsidP="005D3283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REGISTRAČNÉ ČÍSL</w:t>
      </w:r>
      <w:r w:rsidR="00F036B5">
        <w:rPr>
          <w:rFonts w:ascii="Times New Roman" w:eastAsia="Times New Roman" w:hAnsi="Times New Roman" w:cs="Times New Roman"/>
          <w:b/>
          <w:lang w:eastAsia="sk-SK" w:bidi="sk-SK"/>
        </w:rPr>
        <w:t>A</w:t>
      </w:r>
    </w:p>
    <w:p w14:paraId="43C9AAC9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803BA" w14:textId="1720A085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F036B5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Pr="00F036B5">
        <w:rPr>
          <w:rFonts w:ascii="Times New Roman" w:eastAsia="Times New Roman" w:hAnsi="Times New Roman" w:cs="Times New Roman"/>
          <w:lang w:eastAsia="sk-SK" w:bidi="sk-SK"/>
        </w:rPr>
        <w:t xml:space="preserve"> 80 mg</w:t>
      </w:r>
      <w:r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Pr="00F036B5">
        <w:rPr>
          <w:rFonts w:ascii="Times New Roman" w:eastAsia="Times New Roman" w:hAnsi="Times New Roman" w:cs="Times New Roman"/>
          <w:lang w:eastAsia="sk-SK" w:bidi="sk-SK"/>
        </w:rPr>
        <w:t>20/0405/18-S</w:t>
      </w:r>
    </w:p>
    <w:p w14:paraId="01F3E59E" w14:textId="14B62B3A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Pr="00F036B5">
        <w:rPr>
          <w:rFonts w:ascii="Times New Roman" w:eastAsia="Times New Roman" w:hAnsi="Times New Roman" w:cs="Times New Roman"/>
          <w:lang w:eastAsia="sk-SK" w:bidi="sk-SK"/>
        </w:rPr>
        <w:t xml:space="preserve"> mg</w:t>
      </w:r>
      <w:r>
        <w:rPr>
          <w:rFonts w:ascii="Times New Roman" w:eastAsia="Times New Roman" w:hAnsi="Times New Roman" w:cs="Times New Roman"/>
          <w:lang w:eastAsia="sk-SK" w:bidi="sk-SK"/>
        </w:rPr>
        <w:t>: 20/0406</w:t>
      </w:r>
      <w:r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04BC9939" w14:textId="74636515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F036B5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Pr="00F036B5">
        <w:rPr>
          <w:rFonts w:ascii="Times New Roman" w:eastAsia="Times New Roman" w:hAnsi="Times New Roman" w:cs="Times New Roman"/>
          <w:lang w:eastAsia="sk-SK" w:bidi="sk-SK"/>
        </w:rPr>
        <w:t xml:space="preserve"> 80 mg</w:t>
      </w:r>
      <w:r>
        <w:rPr>
          <w:rFonts w:ascii="Times New Roman" w:eastAsia="Times New Roman" w:hAnsi="Times New Roman" w:cs="Times New Roman"/>
          <w:lang w:eastAsia="sk-SK" w:bidi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125 mg: 20/0407</w:t>
      </w:r>
      <w:r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46A690CA" w14:textId="77777777" w:rsidR="00F036B5" w:rsidRPr="00E35E38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AA9B08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E5AD71" w14:textId="638BB50A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lastRenderedPageBreak/>
        <w:t>DÁTUM PRVEJ REGISTRÁCIE/PREDĹŽENIA R</w:t>
      </w:r>
      <w:r w:rsidR="001C57D6">
        <w:rPr>
          <w:rFonts w:ascii="Times New Roman" w:eastAsia="Times New Roman" w:hAnsi="Times New Roman" w:cs="Times New Roman"/>
          <w:b/>
          <w:lang w:eastAsia="sk-SK" w:bidi="sk-SK"/>
        </w:rPr>
        <w:t>E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GISTRÁCIE</w:t>
      </w:r>
    </w:p>
    <w:p w14:paraId="683B9AB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51AA85EA" w14:textId="6D5CCDE8" w:rsid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Dátum prvej registrácie: </w:t>
      </w:r>
      <w:r w:rsidR="001C57D6">
        <w:rPr>
          <w:rFonts w:ascii="Times New Roman" w:eastAsia="Times New Roman" w:hAnsi="Times New Roman" w:cs="Times New Roman"/>
          <w:lang w:eastAsia="sk-SK" w:bidi="sk-SK"/>
        </w:rPr>
        <w:t>14. december 2018</w:t>
      </w:r>
    </w:p>
    <w:p w14:paraId="581F719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955726A" w14:textId="77777777" w:rsidR="00E35E38" w:rsidRPr="00E35E38" w:rsidRDefault="00E35E38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E132E10" w14:textId="77777777" w:rsidR="005D3283" w:rsidRPr="00E35E38" w:rsidRDefault="005D3283" w:rsidP="005D3283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REVÍZIE TEXTU</w:t>
      </w:r>
    </w:p>
    <w:p w14:paraId="70DB08A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4511760" w14:textId="2C1871F3" w:rsidR="00D76B55" w:rsidRPr="00E35E38" w:rsidRDefault="00D76B55" w:rsidP="005D3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12/2018</w:t>
      </w:r>
    </w:p>
    <w:sectPr w:rsidR="00D76B55" w:rsidRPr="00E35E38" w:rsidSect="00A933E2">
      <w:headerReference w:type="default" r:id="rId12"/>
      <w:footerReference w:type="default" r:id="rId13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8C2A" w14:textId="77777777" w:rsidR="001C57D6" w:rsidRDefault="001C57D6" w:rsidP="00784CAA">
      <w:pPr>
        <w:spacing w:after="0" w:line="240" w:lineRule="auto"/>
      </w:pPr>
      <w:r>
        <w:separator/>
      </w:r>
    </w:p>
  </w:endnote>
  <w:endnote w:type="continuationSeparator" w:id="0">
    <w:p w14:paraId="4BAD3101" w14:textId="77777777" w:rsidR="001C57D6" w:rsidRDefault="001C57D6" w:rsidP="0078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E414141" w14:textId="00D0E779" w:rsidR="001C57D6" w:rsidRPr="001C57D6" w:rsidRDefault="001C57D6" w:rsidP="00A933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1C57D6">
          <w:rPr>
            <w:rFonts w:ascii="Times New Roman" w:hAnsi="Times New Roman"/>
            <w:sz w:val="18"/>
            <w:szCs w:val="18"/>
          </w:rPr>
          <w:fldChar w:fldCharType="begin"/>
        </w:r>
        <w:r w:rsidRPr="00A933E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C57D6">
          <w:rPr>
            <w:rFonts w:ascii="Times New Roman" w:hAnsi="Times New Roman"/>
            <w:sz w:val="18"/>
            <w:szCs w:val="18"/>
          </w:rPr>
          <w:fldChar w:fldCharType="separate"/>
        </w:r>
        <w:r w:rsidR="009A078F">
          <w:rPr>
            <w:rFonts w:ascii="Times New Roman" w:hAnsi="Times New Roman"/>
            <w:sz w:val="18"/>
            <w:szCs w:val="18"/>
          </w:rPr>
          <w:t>10</w:t>
        </w:r>
        <w:r w:rsidRPr="001C57D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31B1" w14:textId="77777777" w:rsidR="001C57D6" w:rsidRDefault="001C57D6" w:rsidP="00784CAA">
      <w:pPr>
        <w:spacing w:after="0" w:line="240" w:lineRule="auto"/>
      </w:pPr>
      <w:r>
        <w:separator/>
      </w:r>
    </w:p>
  </w:footnote>
  <w:footnote w:type="continuationSeparator" w:id="0">
    <w:p w14:paraId="3A3E3066" w14:textId="77777777" w:rsidR="001C57D6" w:rsidRDefault="001C57D6" w:rsidP="0078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9F03" w14:textId="4C139C0F" w:rsidR="001C57D6" w:rsidRPr="00A933E2" w:rsidRDefault="001C57D6" w:rsidP="00A933E2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1C57D6">
      <w:rPr>
        <w:rFonts w:ascii="Times New Roman" w:eastAsia="Calibri" w:hAnsi="Times New Roman"/>
        <w:noProof/>
        <w:sz w:val="18"/>
        <w:szCs w:val="18"/>
        <w:lang w:eastAsia="en-US" w:bidi="ar-SA"/>
      </w:rPr>
      <w:t>Schválený text k rozhodnutiu o prevode, ev. č.: 2018/07121-TR</w:t>
    </w:r>
    <w:r>
      <w:rPr>
        <w:rFonts w:ascii="Times New Roman" w:eastAsia="Calibri" w:hAnsi="Times New Roman"/>
        <w:noProof/>
        <w:sz w:val="18"/>
        <w:szCs w:val="18"/>
        <w:lang w:eastAsia="en-US" w:bidi="ar-SA"/>
      </w:rPr>
      <w:t>,</w:t>
    </w:r>
    <w:r w:rsidRPr="001C57D6">
      <w:rPr>
        <w:rFonts w:ascii="Times New Roman" w:eastAsia="Calibri" w:hAnsi="Times New Roman"/>
        <w:noProof/>
        <w:sz w:val="18"/>
        <w:szCs w:val="18"/>
        <w:lang w:eastAsia="en-US" w:bidi="ar-SA"/>
      </w:rPr>
      <w:t xml:space="preserve"> 2018/0722-TR</w:t>
    </w:r>
    <w:r>
      <w:rPr>
        <w:rFonts w:ascii="Times New Roman" w:eastAsia="Calibri" w:hAnsi="Times New Roman"/>
        <w:noProof/>
        <w:sz w:val="18"/>
        <w:szCs w:val="18"/>
        <w:lang w:eastAsia="en-US" w:bidi="ar-SA"/>
      </w:rPr>
      <w:t>,</w:t>
    </w:r>
    <w:r w:rsidRPr="001C57D6">
      <w:rPr>
        <w:rFonts w:ascii="Times New Roman" w:eastAsia="Calibri" w:hAnsi="Times New Roman"/>
        <w:noProof/>
        <w:sz w:val="18"/>
        <w:szCs w:val="18"/>
        <w:lang w:eastAsia="en-US" w:bidi="ar-SA"/>
      </w:rPr>
      <w:t xml:space="preserve"> 2018/0723-TR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A754B2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69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B590C"/>
    <w:multiLevelType w:val="multilevel"/>
    <w:tmpl w:val="F2AA1D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37B"/>
    <w:multiLevelType w:val="hybridMultilevel"/>
    <w:tmpl w:val="C6A0872C"/>
    <w:lvl w:ilvl="0" w:tplc="16229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6175"/>
    <w:multiLevelType w:val="hybridMultilevel"/>
    <w:tmpl w:val="3D541A66"/>
    <w:lvl w:ilvl="0" w:tplc="836C3C4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D0908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705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00A91"/>
    <w:multiLevelType w:val="hybridMultilevel"/>
    <w:tmpl w:val="8C924966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10C70"/>
    <w:multiLevelType w:val="multilevel"/>
    <w:tmpl w:val="CDB2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7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83"/>
    <w:rsid w:val="00000476"/>
    <w:rsid w:val="000165A5"/>
    <w:rsid w:val="00036CAA"/>
    <w:rsid w:val="000F5FEB"/>
    <w:rsid w:val="00106783"/>
    <w:rsid w:val="001156DD"/>
    <w:rsid w:val="001166C1"/>
    <w:rsid w:val="00124BC4"/>
    <w:rsid w:val="0015184D"/>
    <w:rsid w:val="001C1F0E"/>
    <w:rsid w:val="001C57D6"/>
    <w:rsid w:val="001F3C7A"/>
    <w:rsid w:val="00252647"/>
    <w:rsid w:val="0027069F"/>
    <w:rsid w:val="002F3EE4"/>
    <w:rsid w:val="0036667E"/>
    <w:rsid w:val="003B7B4E"/>
    <w:rsid w:val="003D6886"/>
    <w:rsid w:val="003F07A1"/>
    <w:rsid w:val="00415BA7"/>
    <w:rsid w:val="00420D6D"/>
    <w:rsid w:val="00434DE5"/>
    <w:rsid w:val="00435B22"/>
    <w:rsid w:val="004A2828"/>
    <w:rsid w:val="005640A6"/>
    <w:rsid w:val="0056745F"/>
    <w:rsid w:val="0058212F"/>
    <w:rsid w:val="005D3283"/>
    <w:rsid w:val="005E126B"/>
    <w:rsid w:val="005F03DF"/>
    <w:rsid w:val="00611CCD"/>
    <w:rsid w:val="00646710"/>
    <w:rsid w:val="006A35D0"/>
    <w:rsid w:val="00701B39"/>
    <w:rsid w:val="007051C5"/>
    <w:rsid w:val="00725314"/>
    <w:rsid w:val="00745935"/>
    <w:rsid w:val="007744EC"/>
    <w:rsid w:val="00784CAA"/>
    <w:rsid w:val="007924A3"/>
    <w:rsid w:val="007A1F53"/>
    <w:rsid w:val="007B02D8"/>
    <w:rsid w:val="007D0A5C"/>
    <w:rsid w:val="007E5F7B"/>
    <w:rsid w:val="008B0436"/>
    <w:rsid w:val="0092636D"/>
    <w:rsid w:val="00982790"/>
    <w:rsid w:val="00983AD4"/>
    <w:rsid w:val="0099174A"/>
    <w:rsid w:val="009A078F"/>
    <w:rsid w:val="009C7F25"/>
    <w:rsid w:val="009E67BB"/>
    <w:rsid w:val="00A41E9C"/>
    <w:rsid w:val="00A933E2"/>
    <w:rsid w:val="00A96E36"/>
    <w:rsid w:val="00AD697A"/>
    <w:rsid w:val="00B00D01"/>
    <w:rsid w:val="00B742F0"/>
    <w:rsid w:val="00B83F37"/>
    <w:rsid w:val="00B86F74"/>
    <w:rsid w:val="00BF693F"/>
    <w:rsid w:val="00C50E87"/>
    <w:rsid w:val="00C808D4"/>
    <w:rsid w:val="00C822D5"/>
    <w:rsid w:val="00C97975"/>
    <w:rsid w:val="00CE3C4D"/>
    <w:rsid w:val="00CF6EC9"/>
    <w:rsid w:val="00D76B55"/>
    <w:rsid w:val="00DC3E54"/>
    <w:rsid w:val="00DE7BD8"/>
    <w:rsid w:val="00DF6D7B"/>
    <w:rsid w:val="00E1464C"/>
    <w:rsid w:val="00E35E38"/>
    <w:rsid w:val="00EA0C8E"/>
    <w:rsid w:val="00EC461B"/>
    <w:rsid w:val="00ED04F2"/>
    <w:rsid w:val="00ED73DF"/>
    <w:rsid w:val="00ED7FB2"/>
    <w:rsid w:val="00F036B5"/>
    <w:rsid w:val="00F41D30"/>
    <w:rsid w:val="00F42D77"/>
    <w:rsid w:val="00F64896"/>
    <w:rsid w:val="00FA0256"/>
    <w:rsid w:val="00FB4CAC"/>
    <w:rsid w:val="00FD120A"/>
    <w:rsid w:val="00FD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3FB3-5141-43FA-A096-11999E2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6919</Words>
  <Characters>39443</Characters>
  <Application>Microsoft Office Word</Application>
  <DocSecurity>0</DocSecurity>
  <Lines>328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3</cp:revision>
  <dcterms:created xsi:type="dcterms:W3CDTF">2018-12-14T08:47:00Z</dcterms:created>
  <dcterms:modified xsi:type="dcterms:W3CDTF">2018-12-14T08:49:00Z</dcterms:modified>
</cp:coreProperties>
</file>